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82609">
      <w:pPr>
        <w:pStyle w:val="3"/>
        <w:jc w:val="center"/>
        <w:rPr>
          <w:rFonts w:hint="default" w:ascii="宋体" w:hAnsi="宋体" w:eastAsia="宋体" w:cs="宋体"/>
          <w:color w:val="auto"/>
          <w:highlight w:val="none"/>
          <w:lang w:val="en-US"/>
        </w:rPr>
      </w:pPr>
      <w:r>
        <w:rPr>
          <w:rFonts w:hint="eastAsia" w:ascii="宋体" w:hAnsi="宋体" w:cs="宋体"/>
          <w:color w:val="auto"/>
          <w:sz w:val="52"/>
          <w:szCs w:val="52"/>
          <w:highlight w:val="none"/>
          <w:lang w:val="en-US" w:eastAsia="zh-CN"/>
        </w:rPr>
        <w:t xml:space="preserve"> 乌什县2024年秸秆综合利用重点县建设项目</w:t>
      </w:r>
    </w:p>
    <w:p w14:paraId="1799E874">
      <w:pPr>
        <w:rPr>
          <w:rFonts w:hint="eastAsia" w:ascii="宋体" w:hAnsi="宋体" w:eastAsia="宋体" w:cs="宋体"/>
          <w:color w:val="auto"/>
          <w:highlight w:val="none"/>
        </w:rPr>
      </w:pPr>
    </w:p>
    <w:p w14:paraId="53B081D5">
      <w:pPr>
        <w:jc w:val="center"/>
        <w:rPr>
          <w:rFonts w:hint="eastAsia" w:ascii="宋体" w:hAnsi="宋体" w:eastAsia="宋体" w:cs="宋体"/>
          <w:bCs/>
          <w:color w:val="auto"/>
          <w:sz w:val="24"/>
          <w:szCs w:val="24"/>
          <w:highlight w:val="none"/>
        </w:rPr>
      </w:pPr>
    </w:p>
    <w:p w14:paraId="58A29569">
      <w:pPr>
        <w:pStyle w:val="9"/>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
          <w:bCs/>
          <w:color w:val="auto"/>
          <w:kern w:val="2"/>
          <w:sz w:val="48"/>
          <w:szCs w:val="48"/>
          <w:highlight w:val="none"/>
          <w:lang w:val="en-US" w:eastAsia="zh-CN" w:bidi="ar-SA"/>
        </w:rPr>
        <w:t>【公开招标】</w:t>
      </w:r>
    </w:p>
    <w:p w14:paraId="33A94D2D">
      <w:pPr>
        <w:pStyle w:val="9"/>
        <w:rPr>
          <w:rFonts w:hint="eastAsia" w:ascii="宋体" w:hAnsi="宋体" w:eastAsia="宋体" w:cs="宋体"/>
          <w:bCs/>
          <w:color w:val="auto"/>
          <w:sz w:val="24"/>
          <w:szCs w:val="24"/>
          <w:highlight w:val="none"/>
        </w:rPr>
      </w:pPr>
    </w:p>
    <w:p w14:paraId="68C5BFED">
      <w:pPr>
        <w:pStyle w:val="9"/>
        <w:rPr>
          <w:rFonts w:hint="eastAsia" w:ascii="宋体" w:hAnsi="宋体" w:eastAsia="宋体" w:cs="宋体"/>
          <w:bCs/>
          <w:color w:val="auto"/>
          <w:sz w:val="24"/>
          <w:szCs w:val="24"/>
          <w:highlight w:val="none"/>
        </w:rPr>
      </w:pPr>
    </w:p>
    <w:p w14:paraId="42BA61FE">
      <w:pPr>
        <w:pStyle w:val="11"/>
        <w:rPr>
          <w:rFonts w:hint="eastAsia" w:ascii="宋体" w:hAnsi="宋体" w:eastAsia="宋体" w:cs="宋体"/>
          <w:bCs/>
          <w:color w:val="auto"/>
          <w:sz w:val="24"/>
          <w:szCs w:val="24"/>
          <w:highlight w:val="none"/>
        </w:rPr>
      </w:pPr>
    </w:p>
    <w:p w14:paraId="0BDE27A1">
      <w:pPr>
        <w:pStyle w:val="11"/>
        <w:rPr>
          <w:rFonts w:hint="eastAsia" w:ascii="宋体" w:hAnsi="宋体" w:eastAsia="宋体" w:cs="宋体"/>
          <w:bCs/>
          <w:color w:val="auto"/>
          <w:sz w:val="24"/>
          <w:szCs w:val="24"/>
          <w:highlight w:val="none"/>
        </w:rPr>
      </w:pPr>
    </w:p>
    <w:p w14:paraId="2AACED04">
      <w:pPr>
        <w:pStyle w:val="11"/>
        <w:rPr>
          <w:rFonts w:hint="eastAsia" w:ascii="宋体" w:hAnsi="宋体" w:eastAsia="宋体" w:cs="宋体"/>
          <w:bCs/>
          <w:color w:val="auto"/>
          <w:sz w:val="24"/>
          <w:szCs w:val="24"/>
          <w:highlight w:val="none"/>
        </w:rPr>
      </w:pPr>
    </w:p>
    <w:p w14:paraId="7B206C58">
      <w:pPr>
        <w:jc w:val="center"/>
        <w:rPr>
          <w:rFonts w:hint="eastAsia" w:ascii="宋体" w:hAnsi="宋体" w:eastAsia="宋体" w:cs="宋体"/>
          <w:bCs/>
          <w:color w:val="auto"/>
          <w:sz w:val="24"/>
          <w:szCs w:val="24"/>
          <w:highlight w:val="none"/>
        </w:rPr>
      </w:pPr>
    </w:p>
    <w:p w14:paraId="547DBC89">
      <w:pPr>
        <w:jc w:val="center"/>
        <w:outlineLvl w:val="0"/>
        <w:rPr>
          <w:rFonts w:hint="eastAsia" w:ascii="宋体" w:hAnsi="宋体" w:eastAsia="宋体" w:cs="宋体"/>
          <w:b/>
          <w:bCs/>
          <w:color w:val="auto"/>
          <w:sz w:val="96"/>
          <w:szCs w:val="96"/>
          <w:highlight w:val="none"/>
        </w:rPr>
      </w:pPr>
      <w:bookmarkStart w:id="0" w:name="_Toc3515"/>
      <w:bookmarkStart w:id="1" w:name="_Toc31878"/>
      <w:bookmarkStart w:id="2" w:name="_Toc15592"/>
      <w:r>
        <w:rPr>
          <w:rFonts w:hint="eastAsia" w:ascii="宋体" w:hAnsi="宋体" w:eastAsia="宋体" w:cs="宋体"/>
          <w:b/>
          <w:bCs/>
          <w:color w:val="auto"/>
          <w:sz w:val="96"/>
          <w:szCs w:val="96"/>
          <w:highlight w:val="none"/>
        </w:rPr>
        <w:t>招</w:t>
      </w:r>
      <w:r>
        <w:rPr>
          <w:rFonts w:hint="eastAsia" w:ascii="宋体" w:hAnsi="宋体" w:cs="宋体"/>
          <w:b/>
          <w:bCs/>
          <w:color w:val="auto"/>
          <w:sz w:val="96"/>
          <w:szCs w:val="96"/>
          <w:highlight w:val="none"/>
          <w:lang w:val="en-US" w:eastAsia="zh-CN"/>
        </w:rPr>
        <w:t xml:space="preserve"> </w:t>
      </w:r>
      <w:r>
        <w:rPr>
          <w:rFonts w:hint="eastAsia" w:ascii="宋体" w:hAnsi="宋体" w:eastAsia="宋体" w:cs="宋体"/>
          <w:b/>
          <w:bCs/>
          <w:color w:val="auto"/>
          <w:sz w:val="96"/>
          <w:szCs w:val="96"/>
          <w:highlight w:val="none"/>
        </w:rPr>
        <w:t>标</w:t>
      </w:r>
      <w:r>
        <w:rPr>
          <w:rFonts w:hint="eastAsia" w:ascii="宋体" w:hAnsi="宋体" w:cs="宋体"/>
          <w:b/>
          <w:bCs/>
          <w:color w:val="auto"/>
          <w:sz w:val="96"/>
          <w:szCs w:val="96"/>
          <w:highlight w:val="none"/>
          <w:lang w:val="en-US" w:eastAsia="zh-CN"/>
        </w:rPr>
        <w:t xml:space="preserve"> </w:t>
      </w:r>
      <w:r>
        <w:rPr>
          <w:rFonts w:hint="eastAsia" w:ascii="宋体" w:hAnsi="宋体" w:eastAsia="宋体" w:cs="宋体"/>
          <w:b/>
          <w:bCs/>
          <w:color w:val="auto"/>
          <w:sz w:val="96"/>
          <w:szCs w:val="96"/>
          <w:highlight w:val="none"/>
        </w:rPr>
        <w:t>文</w:t>
      </w:r>
      <w:r>
        <w:rPr>
          <w:rFonts w:hint="eastAsia" w:ascii="宋体" w:hAnsi="宋体" w:cs="宋体"/>
          <w:b/>
          <w:bCs/>
          <w:color w:val="auto"/>
          <w:sz w:val="96"/>
          <w:szCs w:val="96"/>
          <w:highlight w:val="none"/>
          <w:lang w:val="en-US" w:eastAsia="zh-CN"/>
        </w:rPr>
        <w:t xml:space="preserve"> </w:t>
      </w:r>
      <w:r>
        <w:rPr>
          <w:rFonts w:hint="eastAsia" w:ascii="宋体" w:hAnsi="宋体" w:eastAsia="宋体" w:cs="宋体"/>
          <w:b/>
          <w:bCs/>
          <w:color w:val="auto"/>
          <w:sz w:val="96"/>
          <w:szCs w:val="96"/>
          <w:highlight w:val="none"/>
        </w:rPr>
        <w:t>件</w:t>
      </w:r>
      <w:bookmarkEnd w:id="0"/>
      <w:bookmarkEnd w:id="1"/>
      <w:bookmarkEnd w:id="2"/>
    </w:p>
    <w:p w14:paraId="65EE5E9C">
      <w:pPr>
        <w:jc w:val="center"/>
        <w:rPr>
          <w:rFonts w:hint="eastAsia" w:ascii="宋体" w:hAnsi="宋体" w:eastAsia="宋体" w:cs="宋体"/>
          <w:bCs/>
          <w:color w:val="auto"/>
          <w:sz w:val="24"/>
          <w:szCs w:val="24"/>
          <w:highlight w:val="none"/>
        </w:rPr>
      </w:pPr>
    </w:p>
    <w:p w14:paraId="595F2811">
      <w:pPr>
        <w:jc w:val="center"/>
        <w:rPr>
          <w:rFonts w:hint="eastAsia" w:ascii="宋体" w:hAnsi="宋体" w:eastAsia="宋体" w:cs="宋体"/>
          <w:bCs/>
          <w:color w:val="auto"/>
          <w:sz w:val="24"/>
          <w:szCs w:val="24"/>
          <w:highlight w:val="none"/>
        </w:rPr>
      </w:pPr>
    </w:p>
    <w:p w14:paraId="2C293617">
      <w:pPr>
        <w:jc w:val="both"/>
        <w:rPr>
          <w:rFonts w:hint="eastAsia" w:ascii="宋体" w:hAnsi="宋体" w:eastAsia="宋体" w:cs="宋体"/>
          <w:bCs/>
          <w:color w:val="auto"/>
          <w:sz w:val="24"/>
          <w:szCs w:val="24"/>
          <w:highlight w:val="none"/>
        </w:rPr>
      </w:pPr>
    </w:p>
    <w:p w14:paraId="11EF4138">
      <w:pPr>
        <w:rPr>
          <w:rFonts w:hint="eastAsia" w:ascii="宋体" w:hAnsi="宋体" w:eastAsia="宋体" w:cs="宋体"/>
          <w:bCs/>
          <w:color w:val="auto"/>
          <w:sz w:val="24"/>
          <w:szCs w:val="24"/>
          <w:highlight w:val="none"/>
        </w:rPr>
      </w:pPr>
    </w:p>
    <w:p w14:paraId="15884B86">
      <w:pPr>
        <w:rPr>
          <w:rFonts w:hint="eastAsia" w:ascii="宋体" w:hAnsi="宋体" w:eastAsia="宋体" w:cs="宋体"/>
          <w:bCs/>
          <w:color w:val="auto"/>
          <w:sz w:val="24"/>
          <w:szCs w:val="24"/>
          <w:highlight w:val="none"/>
        </w:rPr>
      </w:pPr>
    </w:p>
    <w:p w14:paraId="2EA739F1">
      <w:pPr>
        <w:pStyle w:val="9"/>
        <w:rPr>
          <w:rFonts w:hint="eastAsia" w:ascii="宋体" w:hAnsi="宋体" w:eastAsia="宋体" w:cs="宋体"/>
          <w:bCs/>
          <w:color w:val="auto"/>
          <w:sz w:val="24"/>
          <w:szCs w:val="24"/>
          <w:highlight w:val="none"/>
        </w:rPr>
      </w:pPr>
    </w:p>
    <w:p w14:paraId="4DF45DD4">
      <w:pPr>
        <w:jc w:val="center"/>
        <w:rPr>
          <w:rFonts w:hint="eastAsia" w:ascii="宋体" w:hAnsi="宋体" w:eastAsia="宋体" w:cs="宋体"/>
          <w:bCs/>
          <w:color w:val="auto"/>
          <w:sz w:val="24"/>
          <w:szCs w:val="24"/>
          <w:highlight w:val="none"/>
        </w:rPr>
      </w:pPr>
    </w:p>
    <w:p w14:paraId="557566C5">
      <w:pPr>
        <w:jc w:val="both"/>
        <w:rPr>
          <w:rFonts w:hint="eastAsia" w:ascii="宋体" w:hAnsi="宋体" w:eastAsia="宋体" w:cs="宋体"/>
          <w:bCs/>
          <w:color w:val="auto"/>
          <w:sz w:val="24"/>
          <w:szCs w:val="24"/>
          <w:highlight w:val="none"/>
        </w:rPr>
      </w:pPr>
    </w:p>
    <w:p w14:paraId="56EF9E62">
      <w:pPr>
        <w:spacing w:line="60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项目编号：WSX【2024】-178</w:t>
      </w:r>
    </w:p>
    <w:p w14:paraId="323AF3D1">
      <w:pPr>
        <w:spacing w:line="60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采 购 人：乌什县农业农村局</w:t>
      </w:r>
    </w:p>
    <w:p w14:paraId="2768AE34">
      <w:pPr>
        <w:spacing w:line="60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代理机构：新疆金盛达招标代理有限责任公司</w:t>
      </w:r>
    </w:p>
    <w:p w14:paraId="4D58B138">
      <w:pPr>
        <w:spacing w:line="600" w:lineRule="auto"/>
        <w:jc w:val="center"/>
        <w:rPr>
          <w:rFonts w:hint="eastAsia" w:ascii="宋体" w:hAnsi="宋体" w:eastAsia="宋体" w:cs="宋体"/>
          <w:b/>
          <w:bCs/>
          <w:color w:val="auto"/>
          <w:sz w:val="28"/>
          <w:szCs w:val="28"/>
          <w:highlight w:val="none"/>
        </w:rPr>
      </w:pPr>
    </w:p>
    <w:p w14:paraId="4EF49BC9">
      <w:pPr>
        <w:spacing w:line="600" w:lineRule="auto"/>
        <w:jc w:val="center"/>
        <w:rPr>
          <w:rFonts w:hint="eastAsia" w:ascii="宋体" w:hAnsi="宋体" w:eastAsia="宋体" w:cs="宋体"/>
          <w:b/>
          <w:bCs/>
          <w:color w:val="auto"/>
          <w:sz w:val="28"/>
          <w:szCs w:val="28"/>
          <w:highlight w:val="none"/>
        </w:rPr>
        <w:sectPr>
          <w:pgSz w:w="11906" w:h="16838"/>
          <w:pgMar w:top="1440" w:right="1440" w:bottom="1440" w:left="1440" w:header="851" w:footer="992" w:gutter="0"/>
          <w:pgNumType w:fmt="decimal" w:start="1"/>
          <w:cols w:space="720" w:num="1"/>
          <w:docGrid w:type="lines" w:linePitch="317" w:charSpace="0"/>
        </w:sectPr>
      </w:pPr>
      <w:r>
        <w:rPr>
          <w:rFonts w:hint="eastAsia" w:ascii="宋体" w:hAnsi="宋体" w:eastAsia="宋体" w:cs="宋体"/>
          <w:b/>
          <w:bCs/>
          <w:color w:val="auto"/>
          <w:sz w:val="28"/>
          <w:szCs w:val="28"/>
          <w:highlight w:val="none"/>
        </w:rPr>
        <w:t>二0二</w:t>
      </w: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月</w:t>
      </w:r>
    </w:p>
    <w:p w14:paraId="3DEFAD20">
      <w:pPr>
        <w:spacing w:beforeLines="100"/>
        <w:jc w:val="center"/>
        <w:outlineLvl w:val="0"/>
        <w:rPr>
          <w:rFonts w:hint="eastAsia" w:ascii="宋体" w:hAnsi="宋体" w:eastAsia="宋体" w:cs="宋体"/>
          <w:b/>
          <w:bCs/>
          <w:color w:val="auto"/>
          <w:sz w:val="40"/>
          <w:szCs w:val="40"/>
          <w:highlight w:val="none"/>
        </w:rPr>
      </w:pPr>
      <w:bookmarkStart w:id="3" w:name="_Toc12764"/>
      <w:bookmarkStart w:id="4" w:name="_Toc26978"/>
      <w:bookmarkStart w:id="5" w:name="_Toc16835"/>
      <w:r>
        <w:rPr>
          <w:rFonts w:hint="eastAsia" w:ascii="宋体" w:hAnsi="宋体" w:eastAsia="宋体" w:cs="宋体"/>
          <w:b/>
          <w:bCs/>
          <w:color w:val="auto"/>
          <w:sz w:val="40"/>
          <w:szCs w:val="40"/>
          <w:highlight w:val="none"/>
        </w:rPr>
        <w:t>采购招标文件</w:t>
      </w:r>
      <w:bookmarkEnd w:id="3"/>
      <w:bookmarkEnd w:id="4"/>
      <w:bookmarkEnd w:id="5"/>
    </w:p>
    <w:p w14:paraId="78E9743C">
      <w:pPr>
        <w:rPr>
          <w:rFonts w:hint="eastAsia" w:ascii="宋体" w:hAnsi="宋体" w:eastAsia="宋体" w:cs="宋体"/>
          <w:color w:val="auto"/>
          <w:sz w:val="28"/>
          <w:szCs w:val="28"/>
          <w:highlight w:val="none"/>
        </w:rPr>
      </w:pPr>
    </w:p>
    <w:p w14:paraId="7B7309C8">
      <w:pPr>
        <w:spacing w:line="480" w:lineRule="auto"/>
        <w:ind w:left="1120" w:hanging="1120" w:hangingChars="40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项目名称：乌什县2024年秸秆综合利用重点县建设项目</w:t>
      </w:r>
    </w:p>
    <w:p w14:paraId="6A19C9B5">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采购人（公章）：乌什县农业农村局</w:t>
      </w:r>
    </w:p>
    <w:p w14:paraId="77B616DF">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法定代表人（签字或盖章）： </w:t>
      </w:r>
    </w:p>
    <w:p w14:paraId="10C1E427">
      <w:pPr>
        <w:spacing w:line="48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人：努尔阿斯娅·伊马木</w:t>
      </w:r>
      <w:r>
        <w:rPr>
          <w:rFonts w:hint="eastAsia" w:ascii="宋体" w:hAnsi="宋体" w:eastAsia="宋体" w:cs="宋体"/>
          <w:color w:val="auto"/>
          <w:sz w:val="28"/>
          <w:szCs w:val="28"/>
          <w:highlight w:val="none"/>
          <w:lang w:val="en-US" w:eastAsia="zh-CN"/>
        </w:rPr>
        <w:t xml:space="preserve"> </w:t>
      </w:r>
    </w:p>
    <w:p w14:paraId="43C3047D">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话：15699072043</w:t>
      </w:r>
      <w:r>
        <w:rPr>
          <w:rFonts w:hint="eastAsia" w:ascii="宋体" w:hAnsi="宋体" w:eastAsia="宋体" w:cs="宋体"/>
          <w:color w:val="auto"/>
          <w:sz w:val="28"/>
          <w:szCs w:val="28"/>
          <w:highlight w:val="none"/>
        </w:rPr>
        <w:tab/>
      </w:r>
    </w:p>
    <w:p w14:paraId="1E98B017">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联系地址：乌什县环城路2号农业综合大楼</w:t>
      </w:r>
    </w:p>
    <w:p w14:paraId="2A4CA738">
      <w:pPr>
        <w:spacing w:line="480" w:lineRule="auto"/>
        <w:ind w:firstLine="840" w:firstLineChars="300"/>
        <w:rPr>
          <w:rFonts w:hint="eastAsia" w:ascii="宋体" w:hAnsi="宋体" w:eastAsia="宋体" w:cs="宋体"/>
          <w:color w:val="auto"/>
          <w:sz w:val="28"/>
          <w:szCs w:val="28"/>
          <w:highlight w:val="none"/>
        </w:rPr>
      </w:pPr>
    </w:p>
    <w:p w14:paraId="3B1A2A5B">
      <w:pPr>
        <w:pStyle w:val="17"/>
        <w:rPr>
          <w:rFonts w:hint="eastAsia" w:ascii="宋体" w:hAnsi="宋体" w:eastAsia="宋体" w:cs="宋体"/>
          <w:color w:val="auto"/>
          <w:sz w:val="28"/>
          <w:szCs w:val="28"/>
          <w:highlight w:val="none"/>
        </w:rPr>
      </w:pPr>
    </w:p>
    <w:p w14:paraId="5E0D0814">
      <w:pPr>
        <w:rPr>
          <w:rFonts w:hint="eastAsia" w:ascii="宋体" w:hAnsi="宋体" w:eastAsia="宋体" w:cs="宋体"/>
          <w:color w:val="auto"/>
          <w:sz w:val="28"/>
          <w:szCs w:val="28"/>
          <w:highlight w:val="none"/>
        </w:rPr>
      </w:pPr>
    </w:p>
    <w:p w14:paraId="7F25264B">
      <w:pPr>
        <w:pStyle w:val="9"/>
        <w:rPr>
          <w:rFonts w:hint="eastAsia" w:ascii="宋体" w:hAnsi="宋体" w:eastAsia="宋体" w:cs="宋体"/>
          <w:color w:val="auto"/>
          <w:sz w:val="28"/>
          <w:szCs w:val="28"/>
          <w:highlight w:val="none"/>
        </w:rPr>
      </w:pPr>
    </w:p>
    <w:p w14:paraId="138D7D8C">
      <w:pPr>
        <w:pStyle w:val="9"/>
        <w:rPr>
          <w:rFonts w:hint="eastAsia" w:ascii="宋体" w:hAnsi="宋体" w:eastAsia="宋体" w:cs="宋体"/>
          <w:color w:val="auto"/>
          <w:sz w:val="28"/>
          <w:szCs w:val="28"/>
          <w:highlight w:val="none"/>
        </w:rPr>
      </w:pPr>
    </w:p>
    <w:p w14:paraId="42781FD4">
      <w:pPr>
        <w:pStyle w:val="17"/>
        <w:ind w:left="0" w:leftChars="0" w:firstLine="0" w:firstLineChars="0"/>
        <w:rPr>
          <w:rFonts w:hint="eastAsia" w:ascii="宋体" w:hAnsi="宋体" w:eastAsia="宋体" w:cs="宋体"/>
          <w:color w:val="auto"/>
          <w:sz w:val="28"/>
          <w:szCs w:val="28"/>
          <w:highlight w:val="none"/>
        </w:rPr>
      </w:pPr>
    </w:p>
    <w:p w14:paraId="08F334E1">
      <w:pPr>
        <w:pStyle w:val="17"/>
        <w:rPr>
          <w:rFonts w:hint="eastAsia" w:ascii="宋体" w:hAnsi="宋体" w:eastAsia="宋体" w:cs="宋体"/>
          <w:color w:val="auto"/>
          <w:sz w:val="28"/>
          <w:szCs w:val="28"/>
          <w:highlight w:val="none"/>
        </w:rPr>
      </w:pPr>
    </w:p>
    <w:p w14:paraId="688F4D3F">
      <w:pPr>
        <w:spacing w:line="48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采购代理机构（公章）：新疆金盛达招标代理有限责任公司</w:t>
      </w:r>
    </w:p>
    <w:p w14:paraId="48B08F0D">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0B7FB743">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 系 人：李凌云</w:t>
      </w:r>
    </w:p>
    <w:p w14:paraId="7BFEF5FA">
      <w:pPr>
        <w:spacing w:line="480" w:lineRule="auto"/>
        <w:rPr>
          <w:rFonts w:hint="default" w:ascii="宋体" w:hAnsi="宋体" w:eastAsia="宋体" w:cs="宋体"/>
          <w:i w:val="0"/>
          <w:caps w:val="0"/>
          <w:color w:val="auto"/>
          <w:spacing w:val="0"/>
          <w:sz w:val="28"/>
          <w:szCs w:val="28"/>
          <w:highlight w:val="none"/>
          <w:lang w:val="en-US" w:eastAsia="zh-CN"/>
        </w:rPr>
      </w:pPr>
      <w:r>
        <w:rPr>
          <w:rFonts w:hint="eastAsia" w:ascii="宋体" w:hAnsi="宋体" w:eastAsia="宋体" w:cs="宋体"/>
          <w:color w:val="auto"/>
          <w:sz w:val="28"/>
          <w:szCs w:val="28"/>
          <w:highlight w:val="none"/>
        </w:rPr>
        <w:t>电    话：15739629462</w:t>
      </w:r>
    </w:p>
    <w:p w14:paraId="2B86F259">
      <w:pPr>
        <w:spacing w:line="480" w:lineRule="auto"/>
        <w:rPr>
          <w:rFonts w:hint="eastAsia" w:ascii="宋体" w:hAnsi="宋体" w:eastAsia="宋体" w:cs="宋体"/>
          <w:i w:val="0"/>
          <w:caps w:val="0"/>
          <w:color w:val="auto"/>
          <w:spacing w:val="0"/>
          <w:sz w:val="28"/>
          <w:szCs w:val="28"/>
          <w:highlight w:val="none"/>
          <w:lang w:val="en-US" w:eastAsia="zh-CN"/>
        </w:rPr>
      </w:pPr>
      <w:r>
        <w:rPr>
          <w:rFonts w:hint="eastAsia" w:ascii="宋体" w:hAnsi="宋体" w:eastAsia="宋体" w:cs="宋体"/>
          <w:color w:val="auto"/>
          <w:sz w:val="28"/>
          <w:szCs w:val="28"/>
          <w:highlight w:val="none"/>
        </w:rPr>
        <w:t>联系地址：新疆阿克苏地区阿克苏市英巴扎街道巴格其社区友谊南路25号众恒·城市绿洲一期2号住宅楼1单元1301室</w:t>
      </w:r>
    </w:p>
    <w:p w14:paraId="3E39AD6B">
      <w:pPr>
        <w:pStyle w:val="6"/>
        <w:rPr>
          <w:rFonts w:hint="eastAsia"/>
          <w:color w:val="auto"/>
          <w:highlight w:val="none"/>
          <w:lang w:val="en-US" w:eastAsia="zh-CN"/>
        </w:rPr>
      </w:pPr>
    </w:p>
    <w:p w14:paraId="3A3E2296">
      <w:pPr>
        <w:pStyle w:val="9"/>
        <w:rPr>
          <w:rFonts w:hint="eastAsia"/>
          <w:b/>
          <w:bCs/>
          <w:color w:val="auto"/>
          <w:highlight w:val="none"/>
          <w:lang w:val="en-US" w:eastAsia="zh-CN"/>
        </w:rPr>
      </w:pPr>
    </w:p>
    <w:p w14:paraId="621E9E8B">
      <w:pPr>
        <w:tabs>
          <w:tab w:val="center" w:pos="4213"/>
          <w:tab w:val="left" w:pos="6487"/>
        </w:tabs>
        <w:jc w:val="left"/>
        <w:outlineLvl w:val="0"/>
        <w:rPr>
          <w:rFonts w:hint="eastAsia" w:ascii="宋体" w:hAnsi="宋体" w:cs="宋体"/>
          <w:color w:val="auto"/>
          <w:sz w:val="40"/>
          <w:szCs w:val="40"/>
          <w:highlight w:val="none"/>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bookmarkStart w:id="6" w:name="_Toc2425"/>
      <w:bookmarkStart w:id="7" w:name="_Toc21397"/>
      <w:bookmarkStart w:id="8" w:name="_Toc2476"/>
    </w:p>
    <w:p w14:paraId="20F9FEEC">
      <w:pPr>
        <w:tabs>
          <w:tab w:val="center" w:pos="4213"/>
          <w:tab w:val="left" w:pos="6487"/>
        </w:tabs>
        <w:jc w:val="left"/>
        <w:outlineLvl w:val="0"/>
        <w:rPr>
          <w:rFonts w:hint="eastAsia" w:ascii="宋体" w:hAnsi="宋体" w:cs="宋体"/>
          <w:color w:val="auto"/>
          <w:sz w:val="40"/>
          <w:szCs w:val="40"/>
          <w:highlight w:val="none"/>
          <w:lang w:eastAsia="zh-CN"/>
        </w:rPr>
      </w:pPr>
    </w:p>
    <w:p w14:paraId="6C1DFCA6">
      <w:pPr>
        <w:tabs>
          <w:tab w:val="center" w:pos="4213"/>
          <w:tab w:val="left" w:pos="6487"/>
        </w:tabs>
        <w:jc w:val="left"/>
        <w:outlineLvl w:val="0"/>
        <w:rPr>
          <w:rFonts w:hint="eastAsia" w:ascii="宋体" w:hAnsi="宋体" w:eastAsia="宋体" w:cs="宋体"/>
          <w:color w:val="auto"/>
          <w:sz w:val="36"/>
          <w:szCs w:val="36"/>
          <w:highlight w:val="none"/>
          <w:lang w:eastAsia="zh-CN"/>
        </w:rPr>
      </w:pPr>
      <w:r>
        <w:rPr>
          <w:rFonts w:hint="eastAsia" w:ascii="宋体" w:hAnsi="宋体" w:cs="宋体"/>
          <w:color w:val="auto"/>
          <w:sz w:val="40"/>
          <w:szCs w:val="40"/>
          <w:highlight w:val="none"/>
          <w:lang w:eastAsia="zh-CN"/>
        </w:rPr>
        <w:tab/>
      </w:r>
      <w:r>
        <w:rPr>
          <w:rFonts w:hint="eastAsia" w:ascii="宋体" w:hAnsi="宋体" w:eastAsia="宋体" w:cs="宋体"/>
          <w:color w:val="auto"/>
          <w:sz w:val="40"/>
          <w:szCs w:val="40"/>
          <w:highlight w:val="none"/>
        </w:rPr>
        <w:t>目  录</w:t>
      </w:r>
      <w:bookmarkEnd w:id="6"/>
      <w:bookmarkEnd w:id="7"/>
      <w:bookmarkEnd w:id="8"/>
      <w:r>
        <w:rPr>
          <w:rFonts w:hint="eastAsia" w:ascii="宋体" w:hAnsi="宋体" w:cs="宋体"/>
          <w:color w:val="auto"/>
          <w:sz w:val="40"/>
          <w:szCs w:val="40"/>
          <w:highlight w:val="none"/>
          <w:lang w:eastAsia="zh-CN"/>
        </w:rPr>
        <w:tab/>
      </w:r>
    </w:p>
    <w:p w14:paraId="3D8A6A29">
      <w:pPr>
        <w:pStyle w:val="13"/>
        <w:tabs>
          <w:tab w:val="right" w:leader="dot" w:pos="8306"/>
        </w:tabs>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p>
    <w:p w14:paraId="562B9F5A">
      <w:pPr>
        <w:pStyle w:val="15"/>
        <w:tabs>
          <w:tab w:val="right" w:leader="dot" w:pos="8306"/>
        </w:tabs>
        <w:ind w:left="0" w:leftChars="0" w:firstLine="0" w:firstLineChars="0"/>
        <w:rPr>
          <w:rFonts w:hint="eastAsia" w:ascii="宋体" w:hAnsi="宋体" w:eastAsia="宋体" w:cs="宋体"/>
          <w:color w:val="auto"/>
          <w:sz w:val="32"/>
          <w:highlight w:val="none"/>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_Toc25796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第一章 招标公告</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3</w:t>
      </w:r>
      <w:r>
        <w:rPr>
          <w:rFonts w:hint="eastAsia" w:ascii="宋体" w:hAnsi="宋体" w:eastAsia="宋体" w:cs="宋体"/>
          <w:color w:val="auto"/>
          <w:sz w:val="32"/>
          <w:szCs w:val="24"/>
          <w:highlight w:val="none"/>
        </w:rPr>
        <w:fldChar w:fldCharType="end"/>
      </w:r>
    </w:p>
    <w:p w14:paraId="0067F405">
      <w:pPr>
        <w:pStyle w:val="15"/>
        <w:tabs>
          <w:tab w:val="right" w:leader="dot" w:pos="8306"/>
        </w:tabs>
        <w:ind w:left="0" w:leftChars="0" w:firstLine="0" w:firstLineChars="0"/>
        <w:rPr>
          <w:rFonts w:hint="eastAsia" w:ascii="宋体" w:hAnsi="宋体" w:eastAsia="宋体" w:cs="宋体"/>
          <w:color w:val="auto"/>
          <w:sz w:val="32"/>
          <w:highlight w:val="none"/>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_Toc28628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第二章 投标人须知</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7</w:t>
      </w:r>
      <w:r>
        <w:rPr>
          <w:rFonts w:hint="eastAsia" w:ascii="宋体" w:hAnsi="宋体" w:eastAsia="宋体" w:cs="宋体"/>
          <w:color w:val="auto"/>
          <w:sz w:val="32"/>
          <w:szCs w:val="24"/>
          <w:highlight w:val="none"/>
        </w:rPr>
        <w:fldChar w:fldCharType="end"/>
      </w:r>
    </w:p>
    <w:p w14:paraId="18D4F533">
      <w:pPr>
        <w:rPr>
          <w:rFonts w:hint="default" w:eastAsia="宋体"/>
          <w:color w:val="auto"/>
          <w:highlight w:val="none"/>
          <w:lang w:val="en-US" w:eastAsia="zh-CN"/>
        </w:rPr>
      </w:pPr>
      <w:r>
        <w:rPr>
          <w:rFonts w:hint="eastAsia" w:ascii="宋体" w:hAnsi="宋体" w:cs="宋体"/>
          <w:color w:val="auto"/>
          <w:sz w:val="32"/>
          <w:szCs w:val="24"/>
          <w:highlight w:val="none"/>
          <w:lang w:eastAsia="zh-CN"/>
        </w:rPr>
        <w:t>第三章</w:t>
      </w:r>
      <w:r>
        <w:rPr>
          <w:rFonts w:hint="eastAsia" w:ascii="宋体" w:hAnsi="宋体" w:cs="宋体"/>
          <w:color w:val="auto"/>
          <w:sz w:val="32"/>
          <w:szCs w:val="24"/>
          <w:highlight w:val="none"/>
          <w:lang w:val="en-US" w:eastAsia="zh-CN"/>
        </w:rPr>
        <w:t xml:space="preserve"> 采购需求</w:t>
      </w:r>
      <w:r>
        <w:rPr>
          <w:rFonts w:hint="eastAsia" w:ascii="宋体" w:hAnsi="宋体" w:cs="宋体"/>
          <w:color w:val="auto"/>
          <w:kern w:val="2"/>
          <w:sz w:val="32"/>
          <w:szCs w:val="22"/>
          <w:highlight w:val="none"/>
          <w:lang w:val="en-US" w:eastAsia="zh-CN" w:bidi="ar-SA"/>
        </w:rPr>
        <w:t xml:space="preserve"> ................................. 40</w:t>
      </w:r>
    </w:p>
    <w:p w14:paraId="678C1167">
      <w:pPr>
        <w:pStyle w:val="15"/>
        <w:tabs>
          <w:tab w:val="right" w:leader="dot" w:pos="8306"/>
        </w:tabs>
        <w:ind w:left="0" w:leftChars="0" w:firstLine="0" w:firstLineChars="0"/>
        <w:rPr>
          <w:rFonts w:hint="eastAsia" w:ascii="宋体" w:hAnsi="宋体" w:eastAsia="宋体" w:cs="宋体"/>
          <w:color w:val="auto"/>
          <w:sz w:val="32"/>
          <w:highlight w:val="none"/>
          <w:lang w:val="en-US" w:eastAsia="zh-CN"/>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_Toc29057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第四章 评标办法</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4</w:t>
      </w:r>
      <w:r>
        <w:rPr>
          <w:rFonts w:hint="eastAsia" w:ascii="宋体" w:hAnsi="宋体" w:eastAsia="宋体" w:cs="宋体"/>
          <w:color w:val="auto"/>
          <w:sz w:val="32"/>
          <w:szCs w:val="24"/>
          <w:highlight w:val="none"/>
        </w:rPr>
        <w:fldChar w:fldCharType="end"/>
      </w:r>
      <w:r>
        <w:rPr>
          <w:rFonts w:hint="eastAsia" w:ascii="宋体" w:hAnsi="宋体" w:cs="宋体"/>
          <w:color w:val="auto"/>
          <w:sz w:val="32"/>
          <w:szCs w:val="24"/>
          <w:highlight w:val="none"/>
          <w:lang w:val="en-US" w:eastAsia="zh-CN"/>
        </w:rPr>
        <w:t>2</w:t>
      </w:r>
    </w:p>
    <w:p w14:paraId="69A64782">
      <w:pPr>
        <w:pStyle w:val="15"/>
        <w:tabs>
          <w:tab w:val="right" w:leader="dot" w:pos="8306"/>
        </w:tabs>
        <w:ind w:left="0" w:leftChars="0" w:firstLine="0" w:firstLineChars="0"/>
        <w:rPr>
          <w:rFonts w:hint="eastAsia" w:ascii="宋体" w:hAnsi="宋体" w:eastAsia="宋体" w:cs="宋体"/>
          <w:color w:val="auto"/>
          <w:sz w:val="32"/>
          <w:highlight w:val="none"/>
          <w:lang w:val="en-US" w:eastAsia="zh-CN"/>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_Toc15961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第五章 签订合同、合同主要条款</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4</w:t>
      </w:r>
      <w:r>
        <w:rPr>
          <w:rFonts w:hint="eastAsia" w:ascii="宋体" w:hAnsi="宋体" w:eastAsia="宋体" w:cs="宋体"/>
          <w:color w:val="auto"/>
          <w:sz w:val="32"/>
          <w:szCs w:val="24"/>
          <w:highlight w:val="none"/>
        </w:rPr>
        <w:fldChar w:fldCharType="end"/>
      </w:r>
      <w:r>
        <w:rPr>
          <w:rFonts w:hint="eastAsia" w:ascii="宋体" w:hAnsi="宋体" w:cs="宋体"/>
          <w:color w:val="auto"/>
          <w:sz w:val="32"/>
          <w:szCs w:val="24"/>
          <w:highlight w:val="none"/>
          <w:lang w:val="en-US" w:eastAsia="zh-CN"/>
        </w:rPr>
        <w:t>9</w:t>
      </w:r>
    </w:p>
    <w:p w14:paraId="101EA91F">
      <w:pPr>
        <w:pStyle w:val="15"/>
        <w:tabs>
          <w:tab w:val="right" w:leader="dot" w:pos="8306"/>
        </w:tabs>
        <w:ind w:left="0" w:leftChars="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_Toc20993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第六章 投标文件格式</w:t>
      </w:r>
      <w:r>
        <w:rPr>
          <w:rFonts w:hint="eastAsia" w:ascii="宋体" w:hAnsi="宋体" w:eastAsia="宋体" w:cs="宋体"/>
          <w:color w:val="auto"/>
          <w:sz w:val="32"/>
          <w:highlight w:val="none"/>
        </w:rPr>
        <w:tab/>
      </w:r>
      <w:r>
        <w:rPr>
          <w:rFonts w:hint="eastAsia" w:ascii="宋体" w:hAnsi="宋体" w:cs="宋体"/>
          <w:color w:val="auto"/>
          <w:sz w:val="32"/>
          <w:highlight w:val="none"/>
          <w:lang w:val="en-US" w:eastAsia="zh-CN"/>
        </w:rPr>
        <w:t>5</w:t>
      </w:r>
      <w:r>
        <w:rPr>
          <w:rFonts w:hint="eastAsia" w:ascii="宋体" w:hAnsi="宋体" w:eastAsia="宋体" w:cs="宋体"/>
          <w:color w:val="auto"/>
          <w:sz w:val="32"/>
          <w:szCs w:val="24"/>
          <w:highlight w:val="none"/>
        </w:rPr>
        <w:fldChar w:fldCharType="end"/>
      </w:r>
      <w:r>
        <w:rPr>
          <w:rFonts w:hint="eastAsia" w:ascii="宋体" w:hAnsi="宋体" w:cs="宋体"/>
          <w:color w:val="auto"/>
          <w:sz w:val="32"/>
          <w:szCs w:val="24"/>
          <w:highlight w:val="none"/>
          <w:lang w:val="en-US" w:eastAsia="zh-CN"/>
        </w:rPr>
        <w:t>5</w:t>
      </w:r>
    </w:p>
    <w:p w14:paraId="209A7233">
      <w:pPr>
        <w:spacing w:line="360" w:lineRule="auto"/>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end"/>
      </w:r>
    </w:p>
    <w:p w14:paraId="592A1F4C">
      <w:pPr>
        <w:pStyle w:val="10"/>
        <w:rPr>
          <w:rFonts w:hint="eastAsia" w:ascii="宋体" w:hAnsi="宋体" w:eastAsia="宋体" w:cs="宋体"/>
          <w:color w:val="auto"/>
          <w:highlight w:val="none"/>
        </w:rPr>
        <w:sectPr>
          <w:footerReference r:id="rId4" w:type="default"/>
          <w:pgSz w:w="11906" w:h="16838"/>
          <w:pgMar w:top="1440" w:right="1800" w:bottom="1440" w:left="1800" w:header="851" w:footer="992" w:gutter="0"/>
          <w:pgNumType w:fmt="decimal"/>
          <w:cols w:space="720" w:num="1"/>
          <w:docGrid w:type="lines" w:linePitch="312" w:charSpace="0"/>
        </w:sectPr>
      </w:pPr>
    </w:p>
    <w:p w14:paraId="5D908A10">
      <w:pPr>
        <w:pStyle w:val="22"/>
        <w:numPr>
          <w:ilvl w:val="0"/>
          <w:numId w:val="1"/>
        </w:numPr>
        <w:jc w:val="center"/>
        <w:rPr>
          <w:rFonts w:hint="eastAsia" w:ascii="宋体" w:hAnsi="宋体" w:eastAsia="宋体" w:cs="宋体"/>
          <w:b/>
          <w:bCs/>
          <w:color w:val="auto"/>
          <w:sz w:val="36"/>
          <w:szCs w:val="36"/>
          <w:highlight w:val="none"/>
          <w:lang w:val="en-US" w:eastAsia="zh-CN"/>
        </w:rPr>
      </w:pPr>
      <w:bookmarkStart w:id="9" w:name="_Toc494455908"/>
      <w:r>
        <w:rPr>
          <w:rFonts w:hint="eastAsia" w:ascii="宋体" w:hAnsi="宋体" w:eastAsia="宋体" w:cs="宋体"/>
          <w:b/>
          <w:bCs/>
          <w:color w:val="auto"/>
          <w:sz w:val="36"/>
          <w:szCs w:val="36"/>
          <w:highlight w:val="none"/>
          <w:lang w:val="en-US" w:eastAsia="zh-CN"/>
        </w:rPr>
        <w:t xml:space="preserve"> 招标公告</w:t>
      </w:r>
    </w:p>
    <w:p w14:paraId="6BFCBF92">
      <w:pPr>
        <w:pStyle w:val="22"/>
        <w:numPr>
          <w:ilvl w:val="0"/>
          <w:numId w:val="0"/>
        </w:numPr>
        <w:jc w:val="both"/>
        <w:rPr>
          <w:rFonts w:hint="eastAsia" w:ascii="宋体" w:hAnsi="宋体" w:eastAsia="宋体" w:cs="宋体"/>
          <w:b/>
          <w:bCs/>
          <w:color w:val="auto"/>
          <w:sz w:val="36"/>
          <w:szCs w:val="36"/>
          <w:highlight w:val="none"/>
          <w:lang w:val="en-US" w:eastAsia="zh-CN"/>
        </w:rPr>
      </w:pPr>
    </w:p>
    <w:p w14:paraId="59FB5410">
      <w:pPr>
        <w:jc w:val="center"/>
        <w:rPr>
          <w:rFonts w:hint="eastAsia"/>
          <w:b/>
          <w:bCs/>
          <w:color w:val="auto"/>
          <w:sz w:val="32"/>
          <w:szCs w:val="32"/>
          <w:lang w:val="en-US" w:eastAsia="zh-CN"/>
        </w:rPr>
      </w:pPr>
      <w:bookmarkStart w:id="10" w:name="_Toc28628"/>
      <w:r>
        <w:rPr>
          <w:rFonts w:hint="eastAsia"/>
          <w:b/>
          <w:bCs/>
          <w:color w:val="auto"/>
          <w:sz w:val="32"/>
          <w:szCs w:val="32"/>
          <w:lang w:val="en-US" w:eastAsia="zh-CN"/>
        </w:rPr>
        <w:t>乌什县2024年秸秆综合利用重点县建设项目公开招标公告</w:t>
      </w:r>
    </w:p>
    <w:p w14:paraId="462D4C49">
      <w:pPr>
        <w:jc w:val="center"/>
        <w:rPr>
          <w:rFonts w:hint="eastAsia"/>
          <w:b/>
          <w:bCs/>
          <w:color w:val="auto"/>
          <w:sz w:val="24"/>
          <w:szCs w:val="24"/>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FB2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8D32915">
            <w:pPr>
              <w:spacing w:line="360" w:lineRule="auto"/>
              <w:rPr>
                <w:color w:val="auto"/>
                <w:sz w:val="24"/>
                <w:szCs w:val="24"/>
              </w:rPr>
            </w:pPr>
            <w:r>
              <w:rPr>
                <w:color w:val="auto"/>
                <w:sz w:val="24"/>
                <w:szCs w:val="24"/>
              </w:rPr>
              <w:t>项目概况</w:t>
            </w:r>
          </w:p>
          <w:p w14:paraId="6398FF41">
            <w:pPr>
              <w:spacing w:line="360" w:lineRule="auto"/>
              <w:rPr>
                <w:rFonts w:hint="eastAsia"/>
                <w:b/>
                <w:bCs/>
                <w:color w:val="auto"/>
                <w:sz w:val="24"/>
                <w:szCs w:val="24"/>
                <w:vertAlign w:val="baseline"/>
                <w:lang w:val="en-US" w:eastAsia="zh-CN"/>
              </w:rPr>
            </w:pPr>
            <w:r>
              <w:rPr>
                <w:rFonts w:hint="eastAsia"/>
                <w:color w:val="auto"/>
                <w:sz w:val="24"/>
                <w:szCs w:val="24"/>
              </w:rPr>
              <w:t>乌什县2024年秸秆综合利用重点县建设项目的潜在投标人应在政采云平台线上获取招标文件，并于</w:t>
            </w:r>
            <w:r>
              <w:rPr>
                <w:rFonts w:hint="eastAsia"/>
                <w:b/>
                <w:bCs/>
                <w:color w:val="auto"/>
                <w:sz w:val="24"/>
                <w:szCs w:val="24"/>
              </w:rPr>
              <w:t>2024年</w:t>
            </w:r>
            <w:r>
              <w:rPr>
                <w:rFonts w:hint="eastAsia"/>
                <w:b/>
                <w:bCs/>
                <w:color w:val="auto"/>
                <w:sz w:val="24"/>
                <w:szCs w:val="24"/>
                <w:lang w:val="en-US" w:eastAsia="zh-CN"/>
              </w:rPr>
              <w:t>11</w:t>
            </w:r>
            <w:r>
              <w:rPr>
                <w:rFonts w:hint="eastAsia"/>
                <w:b/>
                <w:bCs/>
                <w:color w:val="auto"/>
                <w:sz w:val="24"/>
                <w:szCs w:val="24"/>
              </w:rPr>
              <w:t>月</w:t>
            </w:r>
            <w:r>
              <w:rPr>
                <w:rFonts w:hint="eastAsia"/>
                <w:b/>
                <w:bCs/>
                <w:color w:val="auto"/>
                <w:sz w:val="24"/>
                <w:szCs w:val="24"/>
                <w:lang w:val="en-US" w:eastAsia="zh-CN"/>
              </w:rPr>
              <w:t>28</w:t>
            </w:r>
            <w:r>
              <w:rPr>
                <w:rFonts w:hint="eastAsia"/>
                <w:b/>
                <w:bCs/>
                <w:color w:val="auto"/>
                <w:sz w:val="24"/>
                <w:szCs w:val="24"/>
              </w:rPr>
              <w:t>日 11:00（北京时间）</w:t>
            </w:r>
            <w:r>
              <w:rPr>
                <w:rFonts w:hint="eastAsia"/>
                <w:color w:val="auto"/>
                <w:sz w:val="24"/>
                <w:szCs w:val="24"/>
              </w:rPr>
              <w:t>前递交投标文件。</w:t>
            </w:r>
          </w:p>
        </w:tc>
      </w:tr>
    </w:tbl>
    <w:p w14:paraId="1A2541AF">
      <w:pPr>
        <w:spacing w:line="360" w:lineRule="auto"/>
        <w:rPr>
          <w:b/>
          <w:bCs/>
          <w:color w:val="auto"/>
          <w:sz w:val="24"/>
          <w:szCs w:val="24"/>
        </w:rPr>
      </w:pPr>
    </w:p>
    <w:p w14:paraId="52AEDEBD">
      <w:pPr>
        <w:spacing w:line="360" w:lineRule="auto"/>
        <w:rPr>
          <w:b/>
          <w:bCs/>
          <w:color w:val="auto"/>
          <w:sz w:val="24"/>
          <w:szCs w:val="24"/>
        </w:rPr>
      </w:pPr>
      <w:r>
        <w:rPr>
          <w:b/>
          <w:bCs/>
          <w:color w:val="auto"/>
          <w:sz w:val="24"/>
          <w:szCs w:val="24"/>
        </w:rPr>
        <w:t>一、项目基本情况</w:t>
      </w:r>
    </w:p>
    <w:p w14:paraId="168ADBCB">
      <w:pPr>
        <w:spacing w:line="360" w:lineRule="auto"/>
        <w:rPr>
          <w:rFonts w:hint="default" w:eastAsia="宋体"/>
          <w:color w:val="auto"/>
          <w:sz w:val="24"/>
          <w:szCs w:val="24"/>
          <w:lang w:val="en-US" w:eastAsia="zh-CN"/>
        </w:rPr>
      </w:pPr>
      <w:r>
        <w:rPr>
          <w:rFonts w:hint="eastAsia"/>
          <w:color w:val="auto"/>
          <w:sz w:val="24"/>
          <w:szCs w:val="24"/>
        </w:rPr>
        <w:t>项目编号：WSX【2024】-</w:t>
      </w:r>
      <w:r>
        <w:rPr>
          <w:rFonts w:hint="eastAsia"/>
          <w:color w:val="auto"/>
          <w:sz w:val="24"/>
          <w:szCs w:val="24"/>
          <w:lang w:val="en-US" w:eastAsia="zh-CN"/>
        </w:rPr>
        <w:t>178</w:t>
      </w:r>
    </w:p>
    <w:p w14:paraId="54DBD0D0">
      <w:pPr>
        <w:spacing w:line="360" w:lineRule="auto"/>
        <w:rPr>
          <w:color w:val="auto"/>
          <w:sz w:val="24"/>
          <w:szCs w:val="24"/>
        </w:rPr>
      </w:pPr>
      <w:r>
        <w:rPr>
          <w:rFonts w:hint="eastAsia"/>
          <w:color w:val="auto"/>
          <w:sz w:val="24"/>
          <w:szCs w:val="24"/>
        </w:rPr>
        <w:t>项目名称：乌什县2024年秸秆综合利用重点县建设项目</w:t>
      </w:r>
    </w:p>
    <w:p w14:paraId="35386D54">
      <w:pPr>
        <w:spacing w:line="360" w:lineRule="auto"/>
        <w:rPr>
          <w:color w:val="auto"/>
          <w:sz w:val="24"/>
          <w:szCs w:val="24"/>
        </w:rPr>
      </w:pPr>
      <w:r>
        <w:rPr>
          <w:rFonts w:hint="eastAsia"/>
          <w:color w:val="auto"/>
          <w:sz w:val="24"/>
          <w:szCs w:val="24"/>
        </w:rPr>
        <w:t>采购方式：公开招标</w:t>
      </w:r>
    </w:p>
    <w:p w14:paraId="5D6D74BC">
      <w:pPr>
        <w:spacing w:line="360" w:lineRule="auto"/>
        <w:rPr>
          <w:rFonts w:hint="default" w:eastAsia="宋体"/>
          <w:color w:val="auto"/>
          <w:sz w:val="24"/>
          <w:szCs w:val="24"/>
          <w:lang w:val="en-US" w:eastAsia="zh-CN"/>
        </w:rPr>
      </w:pPr>
      <w:r>
        <w:rPr>
          <w:rFonts w:hint="eastAsia"/>
          <w:color w:val="auto"/>
          <w:sz w:val="24"/>
          <w:szCs w:val="24"/>
        </w:rPr>
        <w:t>预算金额（元）：</w:t>
      </w:r>
      <w:r>
        <w:rPr>
          <w:rFonts w:hint="eastAsia"/>
          <w:color w:val="auto"/>
          <w:sz w:val="24"/>
          <w:szCs w:val="24"/>
          <w:lang w:val="en-US" w:eastAsia="zh-CN"/>
        </w:rPr>
        <w:t>5860000</w:t>
      </w:r>
    </w:p>
    <w:p w14:paraId="10B1B6B6">
      <w:pPr>
        <w:spacing w:line="360" w:lineRule="auto"/>
        <w:rPr>
          <w:rFonts w:hint="default" w:eastAsia="宋体"/>
          <w:color w:val="auto"/>
          <w:sz w:val="24"/>
          <w:szCs w:val="24"/>
          <w:lang w:val="en-US" w:eastAsia="zh-CN"/>
        </w:rPr>
      </w:pPr>
      <w:r>
        <w:rPr>
          <w:rFonts w:hint="eastAsia"/>
          <w:color w:val="auto"/>
          <w:sz w:val="24"/>
          <w:szCs w:val="24"/>
        </w:rPr>
        <w:t>最高限价（元）：</w:t>
      </w:r>
      <w:r>
        <w:rPr>
          <w:rFonts w:hint="eastAsia"/>
          <w:color w:val="auto"/>
          <w:sz w:val="24"/>
          <w:szCs w:val="24"/>
          <w:lang w:val="en-US" w:eastAsia="zh-CN"/>
        </w:rPr>
        <w:t>5860000</w:t>
      </w:r>
    </w:p>
    <w:p w14:paraId="7C2D1F56">
      <w:pPr>
        <w:spacing w:line="360" w:lineRule="auto"/>
        <w:rPr>
          <w:rFonts w:hint="eastAsia"/>
          <w:color w:val="auto"/>
          <w:sz w:val="24"/>
          <w:szCs w:val="24"/>
        </w:rPr>
      </w:pPr>
      <w:r>
        <w:rPr>
          <w:rFonts w:hint="eastAsia"/>
          <w:color w:val="auto"/>
          <w:sz w:val="24"/>
          <w:szCs w:val="24"/>
        </w:rPr>
        <w:t>采购需求：</w:t>
      </w:r>
      <w:r>
        <w:rPr>
          <w:rFonts w:hint="eastAsia"/>
          <w:color w:val="auto"/>
          <w:sz w:val="24"/>
          <w:szCs w:val="24"/>
        </w:rPr>
        <w:br w:type="textWrapping"/>
      </w:r>
      <w:r>
        <w:rPr>
          <w:rFonts w:hint="eastAsia"/>
          <w:color w:val="auto"/>
          <w:sz w:val="24"/>
          <w:szCs w:val="24"/>
        </w:rPr>
        <w:t>   标项名称:乌什县2024年秸秆综合利用重点县建设项目</w:t>
      </w:r>
      <w:r>
        <w:rPr>
          <w:rFonts w:hint="eastAsia"/>
          <w:color w:val="auto"/>
          <w:sz w:val="24"/>
          <w:szCs w:val="24"/>
        </w:rPr>
        <w:br w:type="textWrapping"/>
      </w:r>
      <w:r>
        <w:rPr>
          <w:rFonts w:hint="eastAsia"/>
          <w:color w:val="auto"/>
          <w:sz w:val="24"/>
          <w:szCs w:val="24"/>
        </w:rPr>
        <w:t>   数量:1</w:t>
      </w:r>
      <w:r>
        <w:rPr>
          <w:rFonts w:hint="eastAsia"/>
          <w:color w:val="auto"/>
          <w:sz w:val="24"/>
          <w:szCs w:val="24"/>
        </w:rPr>
        <w:br w:type="textWrapping"/>
      </w:r>
      <w:r>
        <w:rPr>
          <w:rFonts w:hint="eastAsia"/>
          <w:color w:val="auto"/>
          <w:sz w:val="24"/>
          <w:szCs w:val="24"/>
        </w:rPr>
        <w:t>   预算金额（元）:</w:t>
      </w:r>
      <w:r>
        <w:rPr>
          <w:rFonts w:hint="eastAsia"/>
          <w:color w:val="auto"/>
          <w:sz w:val="24"/>
          <w:szCs w:val="24"/>
          <w:lang w:val="en-US" w:eastAsia="zh-CN"/>
        </w:rPr>
        <w:t>5860000</w:t>
      </w:r>
      <w:r>
        <w:rPr>
          <w:rFonts w:hint="eastAsia"/>
          <w:color w:val="auto"/>
          <w:sz w:val="24"/>
          <w:szCs w:val="24"/>
        </w:rPr>
        <w:br w:type="textWrapping"/>
      </w:r>
      <w:r>
        <w:rPr>
          <w:rFonts w:hint="eastAsia"/>
          <w:color w:val="auto"/>
          <w:sz w:val="24"/>
          <w:szCs w:val="24"/>
        </w:rPr>
        <w:t>   简要规格描述或项目基本概况介绍、用途：采购青贮玉米收割机7台，除尘柔丝打包一体机8台（详见清单及参数）</w:t>
      </w:r>
      <w:r>
        <w:rPr>
          <w:rFonts w:hint="eastAsia"/>
          <w:color w:val="auto"/>
          <w:sz w:val="24"/>
          <w:szCs w:val="24"/>
          <w:lang w:eastAsia="zh-CN"/>
        </w:rPr>
        <w:t>。</w:t>
      </w:r>
      <w:r>
        <w:rPr>
          <w:rFonts w:hint="eastAsia"/>
          <w:color w:val="auto"/>
          <w:sz w:val="24"/>
          <w:szCs w:val="24"/>
        </w:rPr>
        <w:t xml:space="preserve">  </w:t>
      </w:r>
    </w:p>
    <w:p w14:paraId="4B0F5076">
      <w:pPr>
        <w:spacing w:line="360" w:lineRule="auto"/>
        <w:rPr>
          <w:color w:val="auto"/>
          <w:sz w:val="24"/>
          <w:szCs w:val="24"/>
        </w:rPr>
      </w:pPr>
      <w:r>
        <w:rPr>
          <w:rFonts w:hint="eastAsia"/>
          <w:color w:val="auto"/>
          <w:sz w:val="24"/>
          <w:szCs w:val="24"/>
        </w:rPr>
        <w:t> 备注：</w:t>
      </w:r>
    </w:p>
    <w:p w14:paraId="433E7C0E">
      <w:pPr>
        <w:spacing w:line="360" w:lineRule="auto"/>
        <w:rPr>
          <w:rFonts w:hint="eastAsia" w:eastAsia="宋体"/>
          <w:color w:val="auto"/>
          <w:sz w:val="24"/>
          <w:szCs w:val="24"/>
          <w:lang w:eastAsia="zh-CN"/>
        </w:rPr>
      </w:pPr>
      <w:r>
        <w:rPr>
          <w:rFonts w:hint="eastAsia"/>
          <w:color w:val="auto"/>
          <w:sz w:val="24"/>
          <w:szCs w:val="24"/>
        </w:rPr>
        <w:t>合同履约期限：标项 1，甲乙双方合同签订之日起</w:t>
      </w:r>
      <w:r>
        <w:rPr>
          <w:rFonts w:hint="eastAsia"/>
          <w:color w:val="auto"/>
          <w:sz w:val="24"/>
          <w:szCs w:val="24"/>
          <w:lang w:val="en-US" w:eastAsia="zh-CN"/>
        </w:rPr>
        <w:t>30</w:t>
      </w:r>
      <w:r>
        <w:rPr>
          <w:rFonts w:hint="eastAsia"/>
          <w:color w:val="auto"/>
          <w:sz w:val="24"/>
          <w:szCs w:val="24"/>
        </w:rPr>
        <w:t>日历天完成供货</w:t>
      </w:r>
    </w:p>
    <w:p w14:paraId="7B7ECB10">
      <w:pPr>
        <w:spacing w:line="360" w:lineRule="auto"/>
        <w:rPr>
          <w:rFonts w:hint="eastAsia"/>
          <w:color w:val="auto"/>
          <w:sz w:val="24"/>
          <w:szCs w:val="24"/>
        </w:rPr>
      </w:pPr>
      <w:r>
        <w:rPr>
          <w:rFonts w:hint="eastAsia"/>
          <w:color w:val="auto"/>
          <w:sz w:val="24"/>
          <w:szCs w:val="24"/>
        </w:rPr>
        <w:t>本项目（否）接受联合体投标。</w:t>
      </w:r>
    </w:p>
    <w:p w14:paraId="3DEB5D93">
      <w:pPr>
        <w:spacing w:line="360" w:lineRule="auto"/>
        <w:rPr>
          <w:rFonts w:hint="eastAsia"/>
          <w:color w:val="auto"/>
          <w:sz w:val="24"/>
          <w:szCs w:val="24"/>
        </w:rPr>
      </w:pPr>
    </w:p>
    <w:p w14:paraId="303D75A0">
      <w:pPr>
        <w:spacing w:line="360" w:lineRule="auto"/>
        <w:rPr>
          <w:color w:val="auto"/>
          <w:sz w:val="24"/>
          <w:szCs w:val="24"/>
        </w:rPr>
      </w:pPr>
      <w:r>
        <w:rPr>
          <w:b/>
          <w:bCs/>
          <w:color w:val="auto"/>
          <w:sz w:val="24"/>
          <w:szCs w:val="24"/>
        </w:rPr>
        <w:t>二、申请人的资格要求：</w:t>
      </w:r>
    </w:p>
    <w:p w14:paraId="1F3CF9F7">
      <w:pPr>
        <w:spacing w:line="360" w:lineRule="auto"/>
        <w:rPr>
          <w:color w:val="auto"/>
          <w:sz w:val="24"/>
          <w:szCs w:val="24"/>
        </w:rPr>
      </w:pPr>
      <w:r>
        <w:rPr>
          <w:rFonts w:hint="eastAsia"/>
          <w:color w:val="auto"/>
          <w:sz w:val="24"/>
          <w:szCs w:val="24"/>
        </w:rPr>
        <w:t>1.满足《中华人民共和国政府采购法》第二十二条规定；</w:t>
      </w:r>
    </w:p>
    <w:p w14:paraId="66EF9475">
      <w:pPr>
        <w:spacing w:line="360" w:lineRule="auto"/>
        <w:rPr>
          <w:color w:val="auto"/>
          <w:sz w:val="24"/>
          <w:szCs w:val="24"/>
        </w:rPr>
      </w:pPr>
      <w:r>
        <w:rPr>
          <w:rFonts w:hint="eastAsia"/>
          <w:color w:val="auto"/>
          <w:sz w:val="24"/>
          <w:szCs w:val="24"/>
        </w:rPr>
        <w:t>2.落实政府采购政策需满足的资格要求：标项1：（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5）《财政部发展改革委生态环境部市场监管总局关于调整优化节能产品环境标志产品政府采购执行机制的通知》（财库〔2019〕9号），投标产品遵照《关于印发节能产品政府采购品目清单的通知》（财库〔2019〕19号）相关规定执行；（</w:t>
      </w:r>
      <w:r>
        <w:rPr>
          <w:rFonts w:hint="eastAsia"/>
          <w:color w:val="auto"/>
          <w:sz w:val="24"/>
          <w:szCs w:val="24"/>
          <w:lang w:val="en-US" w:eastAsia="zh-CN"/>
        </w:rPr>
        <w:t>6</w:t>
      </w:r>
      <w:r>
        <w:rPr>
          <w:rFonts w:hint="eastAsia"/>
          <w:color w:val="auto"/>
          <w:sz w:val="24"/>
          <w:szCs w:val="24"/>
        </w:rPr>
        <w:t xml:space="preserve">）《关于落实好政府采购支持中小企业发展的通知》新财购〔2022〕22号。 </w:t>
      </w:r>
    </w:p>
    <w:p w14:paraId="2A22A6E7">
      <w:pPr>
        <w:spacing w:line="360" w:lineRule="auto"/>
        <w:rPr>
          <w:color w:val="auto"/>
          <w:sz w:val="24"/>
          <w:szCs w:val="24"/>
        </w:rPr>
      </w:pPr>
      <w:r>
        <w:rPr>
          <w:rFonts w:hint="eastAsia"/>
          <w:color w:val="auto"/>
          <w:sz w:val="24"/>
          <w:szCs w:val="24"/>
        </w:rPr>
        <w:t>3.本项目的特定资格要求：</w:t>
      </w:r>
      <w:r>
        <w:rPr>
          <w:rFonts w:hint="eastAsia"/>
          <w:color w:val="auto"/>
          <w:sz w:val="24"/>
          <w:szCs w:val="24"/>
        </w:rPr>
        <w:br w:type="textWrapping"/>
      </w:r>
      <w:r>
        <w:rPr>
          <w:rFonts w:hint="eastAsia"/>
          <w:color w:val="auto"/>
          <w:sz w:val="24"/>
          <w:szCs w:val="24"/>
        </w:rPr>
        <w:t>【标项1】</w:t>
      </w:r>
      <w:r>
        <w:rPr>
          <w:rFonts w:hint="eastAsia"/>
          <w:color w:val="auto"/>
          <w:sz w:val="24"/>
          <w:szCs w:val="24"/>
        </w:rPr>
        <w:br w:type="textWrapping"/>
      </w:r>
      <w:r>
        <w:rPr>
          <w:rFonts w:hint="eastAsia"/>
          <w:color w:val="auto"/>
          <w:sz w:val="24"/>
          <w:szCs w:val="24"/>
          <w:lang w:val="en-US" w:eastAsia="zh-CN"/>
        </w:rPr>
        <w:t xml:space="preserve"> </w:t>
      </w:r>
      <w:r>
        <w:rPr>
          <w:rFonts w:hint="eastAsia"/>
          <w:color w:val="auto"/>
          <w:sz w:val="24"/>
          <w:szCs w:val="24"/>
        </w:rPr>
        <w:t>无</w:t>
      </w:r>
    </w:p>
    <w:p w14:paraId="616D752C">
      <w:pPr>
        <w:spacing w:line="360" w:lineRule="auto"/>
        <w:rPr>
          <w:b/>
          <w:bCs/>
          <w:color w:val="auto"/>
          <w:sz w:val="24"/>
          <w:szCs w:val="24"/>
        </w:rPr>
      </w:pPr>
      <w:r>
        <w:rPr>
          <w:b/>
          <w:bCs/>
          <w:color w:val="auto"/>
          <w:sz w:val="24"/>
          <w:szCs w:val="24"/>
        </w:rPr>
        <w:t>三、获取招标文件</w:t>
      </w:r>
    </w:p>
    <w:p w14:paraId="2490B300">
      <w:pPr>
        <w:spacing w:line="360" w:lineRule="auto"/>
        <w:rPr>
          <w:color w:val="auto"/>
          <w:sz w:val="24"/>
          <w:szCs w:val="24"/>
        </w:rPr>
      </w:pPr>
      <w:r>
        <w:rPr>
          <w:rFonts w:hint="eastAsia"/>
          <w:color w:val="auto"/>
          <w:sz w:val="24"/>
          <w:szCs w:val="24"/>
        </w:rPr>
        <w:t>时间：2024年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22</w:t>
      </w:r>
      <w:r>
        <w:rPr>
          <w:rFonts w:hint="eastAsia"/>
          <w:color w:val="auto"/>
          <w:sz w:val="24"/>
          <w:szCs w:val="24"/>
        </w:rPr>
        <w:t>日至2024年10月</w:t>
      </w:r>
      <w:r>
        <w:rPr>
          <w:rFonts w:hint="eastAsia"/>
          <w:color w:val="auto"/>
          <w:sz w:val="24"/>
          <w:szCs w:val="24"/>
          <w:lang w:val="en-US" w:eastAsia="zh-CN"/>
        </w:rPr>
        <w:t>29</w:t>
      </w:r>
      <w:r>
        <w:rPr>
          <w:rFonts w:hint="eastAsia"/>
          <w:color w:val="auto"/>
          <w:sz w:val="24"/>
          <w:szCs w:val="24"/>
        </w:rPr>
        <w:t>日，每天上午10:00至14:00，下午15:30至19:30（北京时间，法定节假日除外）</w:t>
      </w:r>
    </w:p>
    <w:p w14:paraId="580D554D">
      <w:pPr>
        <w:spacing w:line="360" w:lineRule="auto"/>
        <w:rPr>
          <w:color w:val="auto"/>
          <w:sz w:val="24"/>
          <w:szCs w:val="24"/>
        </w:rPr>
      </w:pPr>
      <w:r>
        <w:rPr>
          <w:rFonts w:hint="eastAsia"/>
          <w:color w:val="auto"/>
          <w:sz w:val="24"/>
          <w:szCs w:val="24"/>
        </w:rPr>
        <w:t>地点：政采云平台线上</w:t>
      </w:r>
    </w:p>
    <w:p w14:paraId="23C4F112">
      <w:pPr>
        <w:spacing w:line="360" w:lineRule="auto"/>
        <w:rPr>
          <w:color w:val="auto"/>
          <w:sz w:val="24"/>
          <w:szCs w:val="24"/>
        </w:rPr>
      </w:pPr>
      <w:r>
        <w:rPr>
          <w:rFonts w:hint="eastAsia"/>
          <w:color w:val="auto"/>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D94D680">
      <w:pPr>
        <w:spacing w:line="360" w:lineRule="auto"/>
        <w:rPr>
          <w:color w:val="auto"/>
          <w:sz w:val="24"/>
          <w:szCs w:val="24"/>
        </w:rPr>
      </w:pPr>
      <w:r>
        <w:rPr>
          <w:rFonts w:hint="eastAsia"/>
          <w:color w:val="auto"/>
          <w:sz w:val="24"/>
          <w:szCs w:val="24"/>
        </w:rPr>
        <w:t>售价（元）：0</w:t>
      </w:r>
    </w:p>
    <w:p w14:paraId="75BE6206">
      <w:pPr>
        <w:spacing w:line="360" w:lineRule="auto"/>
        <w:rPr>
          <w:b/>
          <w:bCs/>
          <w:color w:val="auto"/>
          <w:sz w:val="24"/>
          <w:szCs w:val="24"/>
        </w:rPr>
      </w:pPr>
      <w:r>
        <w:rPr>
          <w:b/>
          <w:bCs/>
          <w:color w:val="auto"/>
          <w:sz w:val="24"/>
          <w:szCs w:val="24"/>
        </w:rPr>
        <w:t>四、提交投标文件截止时间、开标时间和地点</w:t>
      </w:r>
    </w:p>
    <w:p w14:paraId="0F9E9BF3">
      <w:pPr>
        <w:spacing w:line="360" w:lineRule="auto"/>
        <w:rPr>
          <w:color w:val="auto"/>
          <w:sz w:val="24"/>
          <w:szCs w:val="24"/>
        </w:rPr>
      </w:pPr>
      <w:r>
        <w:rPr>
          <w:rFonts w:hint="eastAsia"/>
          <w:color w:val="auto"/>
          <w:sz w:val="24"/>
          <w:szCs w:val="24"/>
        </w:rPr>
        <w:t>提交投标文件截止时间：</w:t>
      </w:r>
      <w:r>
        <w:rPr>
          <w:rFonts w:hint="eastAsia"/>
          <w:b/>
          <w:bCs/>
          <w:color w:val="auto"/>
          <w:sz w:val="24"/>
          <w:szCs w:val="24"/>
        </w:rPr>
        <w:t>2024年</w:t>
      </w:r>
      <w:r>
        <w:rPr>
          <w:rFonts w:hint="eastAsia"/>
          <w:b/>
          <w:bCs/>
          <w:color w:val="auto"/>
          <w:sz w:val="24"/>
          <w:szCs w:val="24"/>
          <w:lang w:val="en-US" w:eastAsia="zh-CN"/>
        </w:rPr>
        <w:t>11</w:t>
      </w:r>
      <w:r>
        <w:rPr>
          <w:rFonts w:hint="eastAsia"/>
          <w:b/>
          <w:bCs/>
          <w:color w:val="auto"/>
          <w:sz w:val="24"/>
          <w:szCs w:val="24"/>
        </w:rPr>
        <w:t>月</w:t>
      </w:r>
      <w:r>
        <w:rPr>
          <w:rFonts w:hint="eastAsia"/>
          <w:b/>
          <w:bCs/>
          <w:color w:val="auto"/>
          <w:sz w:val="24"/>
          <w:szCs w:val="24"/>
          <w:lang w:val="en-US" w:eastAsia="zh-CN"/>
        </w:rPr>
        <w:t>28</w:t>
      </w:r>
      <w:r>
        <w:rPr>
          <w:rFonts w:hint="eastAsia"/>
          <w:b/>
          <w:bCs/>
          <w:color w:val="auto"/>
          <w:sz w:val="24"/>
          <w:szCs w:val="24"/>
        </w:rPr>
        <w:t>日 11:00（北京时间）</w:t>
      </w:r>
    </w:p>
    <w:p w14:paraId="59D24467">
      <w:pPr>
        <w:spacing w:line="360" w:lineRule="auto"/>
        <w:rPr>
          <w:color w:val="auto"/>
          <w:sz w:val="24"/>
          <w:szCs w:val="24"/>
        </w:rPr>
      </w:pPr>
      <w:r>
        <w:rPr>
          <w:rFonts w:hint="eastAsia"/>
          <w:color w:val="auto"/>
          <w:sz w:val="24"/>
          <w:szCs w:val="24"/>
        </w:rPr>
        <w:t>投标地点：请登录政采云投标客户端投标</w:t>
      </w:r>
    </w:p>
    <w:p w14:paraId="72C7E781">
      <w:pPr>
        <w:spacing w:line="360" w:lineRule="auto"/>
        <w:rPr>
          <w:color w:val="auto"/>
          <w:sz w:val="24"/>
          <w:szCs w:val="24"/>
        </w:rPr>
      </w:pPr>
      <w:r>
        <w:rPr>
          <w:rFonts w:hint="eastAsia"/>
          <w:color w:val="auto"/>
          <w:sz w:val="24"/>
          <w:szCs w:val="24"/>
        </w:rPr>
        <w:t>开标时间：</w:t>
      </w:r>
      <w:r>
        <w:rPr>
          <w:rFonts w:hint="eastAsia"/>
          <w:b/>
          <w:bCs/>
          <w:color w:val="auto"/>
          <w:sz w:val="24"/>
          <w:szCs w:val="24"/>
        </w:rPr>
        <w:t>2024年1</w:t>
      </w:r>
      <w:r>
        <w:rPr>
          <w:rFonts w:hint="eastAsia"/>
          <w:b/>
          <w:bCs/>
          <w:color w:val="auto"/>
          <w:sz w:val="24"/>
          <w:szCs w:val="24"/>
          <w:lang w:val="en-US" w:eastAsia="zh-CN"/>
        </w:rPr>
        <w:t>1</w:t>
      </w:r>
      <w:r>
        <w:rPr>
          <w:rFonts w:hint="eastAsia"/>
          <w:b/>
          <w:bCs/>
          <w:color w:val="auto"/>
          <w:sz w:val="24"/>
          <w:szCs w:val="24"/>
        </w:rPr>
        <w:t>月</w:t>
      </w:r>
      <w:r>
        <w:rPr>
          <w:rFonts w:hint="eastAsia"/>
          <w:b/>
          <w:bCs/>
          <w:color w:val="auto"/>
          <w:sz w:val="24"/>
          <w:szCs w:val="24"/>
          <w:lang w:val="en-US" w:eastAsia="zh-CN"/>
        </w:rPr>
        <w:t>28</w:t>
      </w:r>
      <w:r>
        <w:rPr>
          <w:rFonts w:hint="eastAsia"/>
          <w:b/>
          <w:bCs/>
          <w:color w:val="auto"/>
          <w:sz w:val="24"/>
          <w:szCs w:val="24"/>
        </w:rPr>
        <w:t>日 11:00（北京时间）</w:t>
      </w:r>
    </w:p>
    <w:p w14:paraId="7D1C445D">
      <w:pPr>
        <w:spacing w:line="360" w:lineRule="auto"/>
        <w:rPr>
          <w:color w:val="auto"/>
          <w:sz w:val="24"/>
          <w:szCs w:val="24"/>
        </w:rPr>
      </w:pPr>
      <w:r>
        <w:rPr>
          <w:rFonts w:hint="eastAsia"/>
          <w:color w:val="auto"/>
          <w:sz w:val="24"/>
          <w:szCs w:val="24"/>
        </w:rPr>
        <w:t>开标地点：投标人登录政采云平台https://www.zcygov.cn/，进入“项目采购-开标评标-右边选择对应项目点击“进入项目”进入开标大厅。</w:t>
      </w:r>
    </w:p>
    <w:p w14:paraId="29D890A9">
      <w:pPr>
        <w:spacing w:line="360" w:lineRule="auto"/>
        <w:rPr>
          <w:color w:val="auto"/>
          <w:sz w:val="24"/>
          <w:szCs w:val="24"/>
        </w:rPr>
      </w:pPr>
      <w:r>
        <w:rPr>
          <w:b/>
          <w:bCs/>
          <w:color w:val="auto"/>
          <w:sz w:val="24"/>
          <w:szCs w:val="24"/>
        </w:rPr>
        <w:t>五、公告期限</w:t>
      </w:r>
    </w:p>
    <w:p w14:paraId="31AA4047">
      <w:pPr>
        <w:spacing w:line="360" w:lineRule="auto"/>
        <w:rPr>
          <w:color w:val="auto"/>
          <w:sz w:val="24"/>
          <w:szCs w:val="24"/>
        </w:rPr>
      </w:pPr>
      <w:r>
        <w:rPr>
          <w:rFonts w:hint="eastAsia"/>
          <w:color w:val="auto"/>
          <w:sz w:val="24"/>
          <w:szCs w:val="24"/>
        </w:rPr>
        <w:t>自本公告发布之日起5个工作日。</w:t>
      </w:r>
    </w:p>
    <w:p w14:paraId="51915300">
      <w:pPr>
        <w:spacing w:line="360" w:lineRule="auto"/>
        <w:rPr>
          <w:b/>
          <w:bCs/>
          <w:color w:val="auto"/>
          <w:sz w:val="24"/>
          <w:szCs w:val="24"/>
        </w:rPr>
      </w:pPr>
      <w:r>
        <w:rPr>
          <w:b/>
          <w:bCs/>
          <w:color w:val="auto"/>
          <w:sz w:val="24"/>
          <w:szCs w:val="24"/>
        </w:rPr>
        <w:t>六、其他补充事宜</w:t>
      </w:r>
    </w:p>
    <w:p w14:paraId="66525FF9">
      <w:pPr>
        <w:spacing w:line="360" w:lineRule="auto"/>
        <w:rPr>
          <w:color w:val="auto"/>
          <w:sz w:val="24"/>
          <w:szCs w:val="24"/>
        </w:rPr>
      </w:pPr>
      <w:r>
        <w:rPr>
          <w:rFonts w:hint="eastAsia"/>
          <w:color w:val="auto"/>
          <w:sz w:val="24"/>
          <w:szCs w:val="24"/>
        </w:rPr>
        <w:t>1、本次公告在新疆政府采购网、阿克苏地区行政公署网、乌什县人民政府网发布；</w:t>
      </w:r>
      <w:r>
        <w:rPr>
          <w:rFonts w:hint="eastAsia"/>
          <w:color w:val="auto"/>
          <w:sz w:val="24"/>
          <w:szCs w:val="24"/>
        </w:rPr>
        <w:br w:type="textWrapping"/>
      </w:r>
      <w:r>
        <w:rPr>
          <w:rFonts w:hint="eastAsia"/>
          <w:color w:val="auto"/>
          <w:sz w:val="24"/>
          <w:szCs w:val="24"/>
        </w:rPr>
        <w:t>2、请供应商随时关注本项目的变更、答疑、澄清文件；</w:t>
      </w:r>
      <w:r>
        <w:rPr>
          <w:rFonts w:hint="eastAsia"/>
          <w:color w:val="auto"/>
          <w:sz w:val="24"/>
          <w:szCs w:val="24"/>
        </w:rPr>
        <w:br w:type="textWrapping"/>
      </w:r>
      <w:r>
        <w:rPr>
          <w:rFonts w:hint="eastAsia"/>
          <w:color w:val="auto"/>
          <w:sz w:val="24"/>
          <w:szCs w:val="24"/>
        </w:rPr>
        <w:t>3、本项目实行电子招投标，供应商须登录政采云平台申请获取招标文件，并通过政采云电子投标客户端制作投标文件，同时自行承担与投标有关的一切费用；</w:t>
      </w:r>
      <w:r>
        <w:rPr>
          <w:rFonts w:hint="eastAsia"/>
          <w:color w:val="auto"/>
          <w:sz w:val="24"/>
          <w:szCs w:val="24"/>
        </w:rPr>
        <w:br w:type="textWrapping"/>
      </w:r>
      <w:r>
        <w:rPr>
          <w:rFonts w:hint="eastAsia"/>
          <w:color w:val="auto"/>
          <w:sz w:val="24"/>
          <w:szCs w:val="24"/>
        </w:rPr>
        <w:t>4、各供应商应在开标前确保成为新疆维吾尔自治区政府采购网正式注册入库供应商，并完成CA数字证书申领。因未注册入库、未办理CA数字证书等原因造成无法投标或投标失败等后果由供应商自行承担；</w:t>
      </w:r>
      <w:r>
        <w:rPr>
          <w:rFonts w:hint="eastAsia"/>
          <w:color w:val="auto"/>
          <w:sz w:val="24"/>
          <w:szCs w:val="24"/>
        </w:rPr>
        <w:br w:type="textWrapping"/>
      </w:r>
      <w:r>
        <w:rPr>
          <w:rFonts w:hint="eastAsia"/>
          <w:color w:val="auto"/>
          <w:sz w:val="24"/>
          <w:szCs w:val="24"/>
        </w:rPr>
        <w:t>5、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w:t>
      </w:r>
      <w:r>
        <w:rPr>
          <w:rFonts w:hint="eastAsia"/>
          <w:color w:val="auto"/>
          <w:sz w:val="24"/>
          <w:szCs w:val="24"/>
        </w:rPr>
        <w:br w:type="textWrapping"/>
      </w:r>
      <w:r>
        <w:rPr>
          <w:rFonts w:hint="eastAsia"/>
          <w:color w:val="auto"/>
          <w:sz w:val="24"/>
          <w:szCs w:val="24"/>
        </w:rPr>
        <w:t>6、本项目采用不见面开标，供应商须在投标截止时间前通过CA在政采云平台上传加密的电子投标文件。</w:t>
      </w:r>
      <w:r>
        <w:rPr>
          <w:rFonts w:hint="eastAsia"/>
          <w:color w:val="auto"/>
          <w:sz w:val="24"/>
          <w:szCs w:val="24"/>
        </w:rPr>
        <w:br w:type="textWrapping"/>
      </w:r>
      <w:r>
        <w:rPr>
          <w:rFonts w:hint="eastAsia"/>
          <w:color w:val="auto"/>
          <w:sz w:val="24"/>
          <w:szCs w:val="24"/>
        </w:rPr>
        <w:t>7、供应商在开标前须提前配置好电脑浏览器（建议使用360浏览器或谷歌浏览器），开标时请使用制作加密电子投标文件的CA锁进行解密及报价确认。本项目投标文件解密时间定为30分钟，如因自身原因导致无法正常解密，后果由供应商自行承担。</w:t>
      </w:r>
    </w:p>
    <w:p w14:paraId="7641F7EE">
      <w:pPr>
        <w:spacing w:line="360" w:lineRule="auto"/>
        <w:rPr>
          <w:b/>
          <w:bCs/>
          <w:color w:val="auto"/>
          <w:sz w:val="21"/>
          <w:szCs w:val="21"/>
        </w:rPr>
      </w:pPr>
      <w:r>
        <w:rPr>
          <w:rFonts w:hint="eastAsia"/>
          <w:b/>
          <w:bCs/>
          <w:color w:val="auto"/>
          <w:sz w:val="21"/>
          <w:szCs w:val="21"/>
        </w:rPr>
        <w:t>特别提示：</w:t>
      </w:r>
    </w:p>
    <w:p w14:paraId="3DB0FF39">
      <w:pPr>
        <w:spacing w:line="360" w:lineRule="auto"/>
        <w:rPr>
          <w:b/>
          <w:bCs/>
          <w:color w:val="auto"/>
          <w:sz w:val="21"/>
          <w:szCs w:val="21"/>
        </w:rPr>
      </w:pPr>
      <w:r>
        <w:rPr>
          <w:rFonts w:hint="eastAsia"/>
          <w:b/>
          <w:bCs/>
          <w:color w:val="auto"/>
          <w:sz w:val="21"/>
          <w:szCs w:val="21"/>
        </w:rPr>
        <w:t>1、采购限额标准以上，200万元以下的货物和服务采购项目、400万元以下的工程采购项目，适宜由中小企业提供的，采购人应当专门面向中小企业采购。</w:t>
      </w:r>
    </w:p>
    <w:p w14:paraId="2E12F941">
      <w:pPr>
        <w:spacing w:line="360" w:lineRule="auto"/>
        <w:rPr>
          <w:b/>
          <w:bCs/>
          <w:color w:val="auto"/>
          <w:sz w:val="21"/>
          <w:szCs w:val="21"/>
        </w:rPr>
      </w:pPr>
      <w:r>
        <w:rPr>
          <w:rFonts w:hint="eastAsia"/>
          <w:b/>
          <w:bCs/>
          <w:color w:val="auto"/>
          <w:sz w:val="21"/>
          <w:szCs w:val="21"/>
        </w:rPr>
        <w:t>2、超过200万元的货物和服务采购项目，预留该部分采购项目预算总额的30%以上专门面向中小企业采购，其中预留给小微企业的比例不低于60%。</w:t>
      </w:r>
    </w:p>
    <w:p w14:paraId="2011A144">
      <w:pPr>
        <w:spacing w:line="360" w:lineRule="auto"/>
        <w:rPr>
          <w:b/>
          <w:bCs/>
          <w:color w:val="auto"/>
          <w:sz w:val="21"/>
          <w:szCs w:val="21"/>
        </w:rPr>
      </w:pPr>
      <w:r>
        <w:rPr>
          <w:rFonts w:hint="eastAsia"/>
          <w:b/>
          <w:bCs/>
          <w:color w:val="auto"/>
          <w:sz w:val="21"/>
          <w:szCs w:val="21"/>
        </w:rPr>
        <w:t>3、超过400万元的工程采购项目中适宜由中小企业提供的，预留该部分采购项目预算总额的40%以上专门面向中小企业采购，其中预留给小微企业的比例不低于60%。</w:t>
      </w:r>
    </w:p>
    <w:p w14:paraId="6472EACA">
      <w:pPr>
        <w:spacing w:line="360" w:lineRule="auto"/>
        <w:rPr>
          <w:b/>
          <w:bCs/>
          <w:color w:val="auto"/>
          <w:sz w:val="21"/>
          <w:szCs w:val="21"/>
        </w:rPr>
      </w:pPr>
      <w:r>
        <w:rPr>
          <w:rFonts w:hint="eastAsia"/>
          <w:b/>
          <w:bCs/>
          <w:color w:val="auto"/>
          <w:sz w:val="21"/>
          <w:szCs w:val="21"/>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AE10FB7">
      <w:pPr>
        <w:spacing w:line="360" w:lineRule="auto"/>
        <w:rPr>
          <w:b/>
          <w:bCs/>
          <w:color w:val="auto"/>
          <w:sz w:val="21"/>
          <w:szCs w:val="21"/>
        </w:rPr>
      </w:pPr>
      <w:r>
        <w:rPr>
          <w:rFonts w:hint="eastAsia"/>
          <w:b/>
          <w:bCs/>
          <w:color w:val="auto"/>
          <w:sz w:val="21"/>
          <w:szCs w:val="21"/>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0429083">
      <w:pPr>
        <w:spacing w:line="480" w:lineRule="auto"/>
        <w:rPr>
          <w:color w:val="auto"/>
          <w:sz w:val="24"/>
          <w:szCs w:val="24"/>
        </w:rPr>
      </w:pPr>
      <w:r>
        <w:rPr>
          <w:b/>
          <w:bCs/>
          <w:color w:val="auto"/>
          <w:sz w:val="24"/>
          <w:szCs w:val="24"/>
        </w:rPr>
        <w:t>七、对本次采购提出询问，请按以下方式联系</w:t>
      </w:r>
    </w:p>
    <w:p w14:paraId="70355598">
      <w:pPr>
        <w:spacing w:line="480" w:lineRule="auto"/>
        <w:rPr>
          <w:rFonts w:hint="eastAsia"/>
          <w:color w:val="auto"/>
          <w:sz w:val="24"/>
          <w:szCs w:val="24"/>
        </w:rPr>
      </w:pPr>
      <w:r>
        <w:rPr>
          <w:rFonts w:hint="eastAsia"/>
          <w:color w:val="auto"/>
          <w:sz w:val="24"/>
          <w:szCs w:val="24"/>
        </w:rPr>
        <w:t>1.采购人信息</w:t>
      </w:r>
    </w:p>
    <w:p w14:paraId="7AD79105">
      <w:pPr>
        <w:spacing w:line="480" w:lineRule="auto"/>
        <w:rPr>
          <w:rFonts w:hint="eastAsia"/>
          <w:color w:val="auto"/>
          <w:sz w:val="24"/>
          <w:szCs w:val="24"/>
        </w:rPr>
      </w:pPr>
      <w:r>
        <w:rPr>
          <w:rFonts w:hint="eastAsia"/>
          <w:color w:val="auto"/>
          <w:sz w:val="24"/>
          <w:szCs w:val="24"/>
        </w:rPr>
        <w:t>名 称：新疆阿克苏地区乌什县农业农村局（本级）</w:t>
      </w:r>
    </w:p>
    <w:p w14:paraId="56F44238">
      <w:pPr>
        <w:spacing w:line="480" w:lineRule="auto"/>
        <w:rPr>
          <w:rFonts w:hint="eastAsia"/>
          <w:color w:val="auto"/>
          <w:sz w:val="24"/>
          <w:szCs w:val="24"/>
        </w:rPr>
      </w:pPr>
      <w:r>
        <w:rPr>
          <w:rFonts w:hint="eastAsia"/>
          <w:color w:val="auto"/>
          <w:sz w:val="24"/>
          <w:szCs w:val="24"/>
        </w:rPr>
        <w:t>地 址：乌什县环城路2号农业综合大楼</w:t>
      </w:r>
    </w:p>
    <w:p w14:paraId="3473E6CE">
      <w:pPr>
        <w:spacing w:line="480" w:lineRule="auto"/>
        <w:rPr>
          <w:rFonts w:hint="eastAsia"/>
          <w:color w:val="auto"/>
          <w:sz w:val="24"/>
          <w:szCs w:val="24"/>
        </w:rPr>
      </w:pPr>
      <w:r>
        <w:rPr>
          <w:rFonts w:hint="eastAsia"/>
          <w:color w:val="auto"/>
          <w:sz w:val="24"/>
          <w:szCs w:val="24"/>
        </w:rPr>
        <w:t>联系方式：15699072043</w:t>
      </w:r>
    </w:p>
    <w:p w14:paraId="35DA9DBB">
      <w:pPr>
        <w:spacing w:line="480" w:lineRule="auto"/>
        <w:rPr>
          <w:rFonts w:hint="eastAsia"/>
          <w:color w:val="auto"/>
          <w:sz w:val="24"/>
          <w:szCs w:val="24"/>
        </w:rPr>
      </w:pPr>
      <w:r>
        <w:rPr>
          <w:rFonts w:hint="eastAsia"/>
          <w:color w:val="auto"/>
          <w:sz w:val="24"/>
          <w:szCs w:val="24"/>
        </w:rPr>
        <w:t>2.采购代理机构信息</w:t>
      </w:r>
    </w:p>
    <w:p w14:paraId="52686603">
      <w:pPr>
        <w:spacing w:line="480" w:lineRule="auto"/>
        <w:rPr>
          <w:rFonts w:hint="eastAsia"/>
          <w:color w:val="auto"/>
          <w:sz w:val="24"/>
          <w:szCs w:val="24"/>
        </w:rPr>
      </w:pPr>
      <w:r>
        <w:rPr>
          <w:rFonts w:hint="eastAsia"/>
          <w:color w:val="auto"/>
          <w:sz w:val="24"/>
          <w:szCs w:val="24"/>
        </w:rPr>
        <w:t>名 称：</w:t>
      </w:r>
      <w:r>
        <w:rPr>
          <w:rFonts w:hint="eastAsia"/>
          <w:color w:val="auto"/>
          <w:sz w:val="24"/>
          <w:szCs w:val="24"/>
          <w:lang w:val="en-US" w:eastAsia="zh-CN"/>
        </w:rPr>
        <w:t>新疆金盛达招标代理</w:t>
      </w:r>
      <w:r>
        <w:rPr>
          <w:rFonts w:hint="eastAsia"/>
          <w:color w:val="auto"/>
          <w:sz w:val="24"/>
          <w:szCs w:val="24"/>
        </w:rPr>
        <w:t>有限</w:t>
      </w:r>
      <w:r>
        <w:rPr>
          <w:rFonts w:hint="eastAsia"/>
          <w:color w:val="auto"/>
          <w:sz w:val="24"/>
          <w:szCs w:val="24"/>
          <w:lang w:val="en-US" w:eastAsia="zh-CN"/>
        </w:rPr>
        <w:t>责任</w:t>
      </w:r>
      <w:r>
        <w:rPr>
          <w:rFonts w:hint="eastAsia"/>
          <w:color w:val="auto"/>
          <w:sz w:val="24"/>
          <w:szCs w:val="24"/>
        </w:rPr>
        <w:t>公司</w:t>
      </w:r>
    </w:p>
    <w:p w14:paraId="6FC15773">
      <w:pPr>
        <w:spacing w:line="480" w:lineRule="auto"/>
        <w:rPr>
          <w:rFonts w:hint="eastAsia"/>
          <w:color w:val="auto"/>
          <w:sz w:val="24"/>
          <w:szCs w:val="24"/>
        </w:rPr>
      </w:pPr>
      <w:r>
        <w:rPr>
          <w:rFonts w:hint="eastAsia"/>
          <w:color w:val="auto"/>
          <w:sz w:val="24"/>
          <w:szCs w:val="24"/>
        </w:rPr>
        <w:t>地 址：新疆阿克苏地区阿克苏市英巴扎街道巴格其社区友谊南路25号众恒·城市绿洲一期2号住宅楼1单元1301室</w:t>
      </w:r>
    </w:p>
    <w:p w14:paraId="6BA5F2B9">
      <w:pPr>
        <w:spacing w:line="480" w:lineRule="auto"/>
        <w:rPr>
          <w:rFonts w:hint="eastAsia"/>
          <w:color w:val="auto"/>
          <w:sz w:val="24"/>
          <w:szCs w:val="24"/>
        </w:rPr>
      </w:pPr>
      <w:r>
        <w:rPr>
          <w:rFonts w:hint="eastAsia"/>
          <w:color w:val="auto"/>
          <w:sz w:val="24"/>
          <w:szCs w:val="24"/>
        </w:rPr>
        <w:t>3.项目联系方式</w:t>
      </w:r>
    </w:p>
    <w:p w14:paraId="47199B30">
      <w:pPr>
        <w:spacing w:line="480" w:lineRule="auto"/>
        <w:rPr>
          <w:rFonts w:hint="default" w:eastAsia="宋体"/>
          <w:color w:val="auto"/>
          <w:sz w:val="24"/>
          <w:szCs w:val="24"/>
          <w:lang w:val="en-US" w:eastAsia="zh-CN"/>
        </w:rPr>
      </w:pPr>
      <w:r>
        <w:rPr>
          <w:rFonts w:hint="eastAsia"/>
          <w:color w:val="auto"/>
          <w:sz w:val="24"/>
          <w:szCs w:val="24"/>
        </w:rPr>
        <w:t>项目联系人：</w:t>
      </w:r>
      <w:r>
        <w:rPr>
          <w:rFonts w:hint="eastAsia"/>
          <w:color w:val="auto"/>
          <w:sz w:val="24"/>
          <w:szCs w:val="24"/>
          <w:lang w:val="en-US" w:eastAsia="zh-CN"/>
        </w:rPr>
        <w:t>李凌云</w:t>
      </w:r>
    </w:p>
    <w:p w14:paraId="797A1DA6">
      <w:pPr>
        <w:spacing w:line="480" w:lineRule="auto"/>
        <w:rPr>
          <w:rFonts w:hint="default" w:eastAsia="宋体"/>
          <w:color w:val="auto"/>
          <w:sz w:val="24"/>
          <w:szCs w:val="24"/>
          <w:lang w:val="en-US" w:eastAsia="zh-CN"/>
        </w:rPr>
      </w:pPr>
      <w:r>
        <w:rPr>
          <w:rFonts w:hint="eastAsia"/>
          <w:color w:val="auto"/>
          <w:sz w:val="24"/>
          <w:szCs w:val="24"/>
        </w:rPr>
        <w:t>电 话：</w:t>
      </w:r>
      <w:r>
        <w:rPr>
          <w:rFonts w:hint="eastAsia"/>
          <w:color w:val="auto"/>
          <w:sz w:val="24"/>
          <w:szCs w:val="24"/>
          <w:lang w:val="en-US" w:eastAsia="zh-CN"/>
        </w:rPr>
        <w:t>15739629462</w:t>
      </w:r>
    </w:p>
    <w:p w14:paraId="0FF3986E">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05FAEC70">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E5EA09C">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43B7D89C">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4F32DCC">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0A5365FB">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4A71C752">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2503162">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16448151">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54EB2BF">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4ABA35D0">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59635261">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307857DD">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6D04890E">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lang w:eastAsia="zh-CN"/>
        </w:rPr>
      </w:pPr>
    </w:p>
    <w:p w14:paraId="6AAE87E8">
      <w:pPr>
        <w:numPr>
          <w:ilvl w:val="0"/>
          <w:numId w:val="0"/>
        </w:numPr>
        <w:spacing w:afterLines="100" w:line="400" w:lineRule="exact"/>
        <w:ind w:leftChars="0"/>
        <w:jc w:val="both"/>
        <w:outlineLvl w:val="1"/>
        <w:rPr>
          <w:rFonts w:hint="eastAsia" w:ascii="宋体" w:hAnsi="宋体" w:eastAsia="宋体" w:cs="宋体"/>
          <w:b/>
          <w:bCs/>
          <w:color w:val="auto"/>
          <w:sz w:val="36"/>
          <w:szCs w:val="36"/>
          <w:highlight w:val="none"/>
          <w:lang w:eastAsia="zh-CN"/>
        </w:rPr>
      </w:pPr>
    </w:p>
    <w:p w14:paraId="1126AAA3">
      <w:pPr>
        <w:numPr>
          <w:ilvl w:val="0"/>
          <w:numId w:val="0"/>
        </w:numPr>
        <w:spacing w:afterLines="100" w:line="400" w:lineRule="exact"/>
        <w:ind w:leftChars="0"/>
        <w:jc w:val="center"/>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第二章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 xml:space="preserve"> 投标人须知</w:t>
      </w:r>
      <w:bookmarkEnd w:id="10"/>
      <w:bookmarkStart w:id="11" w:name="_Toc7536"/>
      <w:bookmarkStart w:id="12" w:name="_Toc12494"/>
    </w:p>
    <w:p w14:paraId="36B0A855">
      <w:pPr>
        <w:numPr>
          <w:ilvl w:val="0"/>
          <w:numId w:val="0"/>
        </w:numPr>
        <w:spacing w:afterLines="100" w:line="400" w:lineRule="exact"/>
        <w:ind w:leftChars="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bookmarkEnd w:id="9"/>
      <w:bookmarkEnd w:id="11"/>
      <w:bookmarkEnd w:id="12"/>
    </w:p>
    <w:tbl>
      <w:tblPr>
        <w:tblStyle w:val="18"/>
        <w:tblW w:w="10092" w:type="dxa"/>
        <w:jc w:val="center"/>
        <w:shd w:val="clear" w:color="auto" w:fill="auto"/>
        <w:tblLayout w:type="fixed"/>
        <w:tblCellMar>
          <w:top w:w="0" w:type="dxa"/>
          <w:left w:w="108" w:type="dxa"/>
          <w:bottom w:w="0" w:type="dxa"/>
          <w:right w:w="108" w:type="dxa"/>
        </w:tblCellMar>
      </w:tblPr>
      <w:tblGrid>
        <w:gridCol w:w="966"/>
        <w:gridCol w:w="2917"/>
        <w:gridCol w:w="6209"/>
      </w:tblGrid>
      <w:tr w14:paraId="2A162D2F">
        <w:tblPrEx>
          <w:shd w:val="clear" w:color="auto" w:fill="auto"/>
          <w:tblCellMar>
            <w:top w:w="0" w:type="dxa"/>
            <w:left w:w="108" w:type="dxa"/>
            <w:bottom w:w="0" w:type="dxa"/>
            <w:right w:w="108" w:type="dxa"/>
          </w:tblCellMar>
        </w:tblPrEx>
        <w:trPr>
          <w:trHeight w:val="57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11A643">
            <w:pPr>
              <w:tabs>
                <w:tab w:val="left" w:pos="7665"/>
              </w:tabs>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E69C1">
            <w:pPr>
              <w:tabs>
                <w:tab w:val="left" w:pos="7665"/>
              </w:tabs>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条款名称</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4C812">
            <w:pPr>
              <w:tabs>
                <w:tab w:val="left" w:pos="7665"/>
              </w:tabs>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编列内容</w:t>
            </w:r>
          </w:p>
        </w:tc>
      </w:tr>
      <w:tr w14:paraId="03A30A5C">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619BBE">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2EE605">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EE9215">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称：乌什县农业农村局</w:t>
            </w:r>
          </w:p>
          <w:p w14:paraId="29EF977A">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址：乌什县环城路2号农业综合大楼</w:t>
            </w:r>
          </w:p>
          <w:p w14:paraId="10E965F7">
            <w:pPr>
              <w:adjustRightInd w:val="0"/>
              <w:snapToGrid w:val="0"/>
              <w:spacing w:before="120" w:beforeLines="50" w:line="240" w:lineRule="auto"/>
              <w:jc w:val="lef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 系 人：努尔阿斯娅·伊马木</w:t>
            </w:r>
          </w:p>
          <w:p w14:paraId="3E25D41C">
            <w:pPr>
              <w:spacing w:line="360" w:lineRule="auto"/>
              <w:rPr>
                <w:rFonts w:hint="eastAsia"/>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联系方式：15699072043</w:t>
            </w:r>
          </w:p>
        </w:tc>
      </w:tr>
      <w:tr w14:paraId="34E2FE08">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D28D4">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1168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5DC2D">
            <w:pPr>
              <w:spacing w:line="360" w:lineRule="auto"/>
              <w:rPr>
                <w:rFonts w:hint="eastAsia"/>
                <w:color w:val="auto"/>
                <w:sz w:val="24"/>
                <w:szCs w:val="24"/>
                <w:highlight w:val="none"/>
                <w:lang w:val="zh-CN" w:eastAsia="zh-CN"/>
              </w:rPr>
            </w:pPr>
            <w:r>
              <w:rPr>
                <w:rFonts w:hint="eastAsia"/>
                <w:color w:val="auto"/>
                <w:sz w:val="24"/>
                <w:szCs w:val="24"/>
                <w:highlight w:val="none"/>
                <w:lang w:val="zh-CN" w:eastAsia="zh-CN"/>
              </w:rPr>
              <w:t>名称：新疆金盛达招标代理有限责任公司</w:t>
            </w:r>
          </w:p>
          <w:p w14:paraId="18148F11">
            <w:pPr>
              <w:spacing w:line="360" w:lineRule="auto"/>
              <w:rPr>
                <w:rFonts w:hint="eastAsia"/>
                <w:color w:val="auto"/>
                <w:sz w:val="24"/>
                <w:szCs w:val="24"/>
                <w:highlight w:val="none"/>
                <w:lang w:val="zh-CN" w:eastAsia="zh-CN"/>
              </w:rPr>
            </w:pPr>
            <w:r>
              <w:rPr>
                <w:rFonts w:hint="eastAsia"/>
                <w:color w:val="auto"/>
                <w:sz w:val="24"/>
                <w:szCs w:val="24"/>
                <w:highlight w:val="none"/>
                <w:lang w:val="zh-CN" w:eastAsia="zh-CN"/>
              </w:rPr>
              <w:t>地址：新疆阿克苏地区阿克苏市英巴扎街道巴格其社区友谊南路25号众恒·城市绿洲一期2号住宅楼1单元1301室</w:t>
            </w:r>
          </w:p>
          <w:p w14:paraId="316437AB">
            <w:pPr>
              <w:spacing w:line="360" w:lineRule="auto"/>
              <w:rPr>
                <w:rFonts w:hint="default"/>
                <w:color w:val="auto"/>
                <w:sz w:val="24"/>
                <w:szCs w:val="24"/>
                <w:highlight w:val="none"/>
                <w:lang w:val="en-US" w:eastAsia="zh-CN"/>
              </w:rPr>
            </w:pPr>
            <w:r>
              <w:rPr>
                <w:rFonts w:hint="eastAsia"/>
                <w:color w:val="auto"/>
                <w:sz w:val="24"/>
                <w:szCs w:val="24"/>
                <w:highlight w:val="none"/>
                <w:lang w:val="zh-CN" w:eastAsia="zh-CN"/>
              </w:rPr>
              <w:t>联系人：李凌云</w:t>
            </w:r>
          </w:p>
          <w:p w14:paraId="7D765A7B">
            <w:pPr>
              <w:spacing w:line="360" w:lineRule="auto"/>
              <w:rPr>
                <w:rFonts w:hint="default" w:eastAsia="宋体"/>
                <w:color w:val="auto"/>
                <w:sz w:val="24"/>
                <w:szCs w:val="24"/>
                <w:highlight w:val="none"/>
                <w:lang w:val="en-US" w:eastAsia="zh-CN"/>
              </w:rPr>
            </w:pPr>
            <w:r>
              <w:rPr>
                <w:rFonts w:hint="eastAsia"/>
                <w:color w:val="auto"/>
                <w:sz w:val="24"/>
                <w:szCs w:val="24"/>
                <w:highlight w:val="none"/>
                <w:lang w:val="zh-CN" w:eastAsia="zh-CN"/>
              </w:rPr>
              <w:t>电</w:t>
            </w:r>
            <w:r>
              <w:rPr>
                <w:rFonts w:hint="eastAsia"/>
                <w:color w:val="auto"/>
                <w:sz w:val="24"/>
                <w:szCs w:val="24"/>
                <w:highlight w:val="none"/>
                <w:lang w:val="en-US" w:eastAsia="zh-CN"/>
              </w:rPr>
              <w:t xml:space="preserve">  </w:t>
            </w:r>
            <w:r>
              <w:rPr>
                <w:rFonts w:hint="eastAsia"/>
                <w:color w:val="auto"/>
                <w:sz w:val="24"/>
                <w:szCs w:val="24"/>
                <w:highlight w:val="none"/>
                <w:lang w:val="zh-CN" w:eastAsia="zh-CN"/>
              </w:rPr>
              <w:t>话：15739629462</w:t>
            </w:r>
          </w:p>
        </w:tc>
      </w:tr>
      <w:tr w14:paraId="22C19C54">
        <w:tblPrEx>
          <w:shd w:val="clear" w:color="auto" w:fill="auto"/>
          <w:tblCellMar>
            <w:top w:w="0" w:type="dxa"/>
            <w:left w:w="108" w:type="dxa"/>
            <w:bottom w:w="0" w:type="dxa"/>
            <w:right w:w="108" w:type="dxa"/>
          </w:tblCellMar>
        </w:tblPrEx>
        <w:trPr>
          <w:trHeight w:val="460" w:hRule="atLeast"/>
          <w:jc w:val="center"/>
        </w:trPr>
        <w:tc>
          <w:tcPr>
            <w:tcW w:w="966" w:type="dxa"/>
            <w:vMerge w:val="restart"/>
            <w:tcBorders>
              <w:top w:val="single" w:color="auto" w:sz="4" w:space="0"/>
              <w:left w:val="single" w:color="auto" w:sz="4" w:space="0"/>
              <w:right w:val="single" w:color="auto" w:sz="4" w:space="0"/>
            </w:tcBorders>
            <w:shd w:val="clear" w:color="auto" w:fill="auto"/>
            <w:noWrap w:val="0"/>
            <w:vAlign w:val="center"/>
          </w:tcPr>
          <w:p w14:paraId="5ACCF86F">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5427E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61B4A">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乌什县2024年秸秆综合利用重点县建设项目</w:t>
            </w:r>
          </w:p>
        </w:tc>
      </w:tr>
      <w:tr w14:paraId="483FE801">
        <w:tblPrEx>
          <w:shd w:val="clear" w:color="auto" w:fill="auto"/>
          <w:tblCellMar>
            <w:top w:w="0" w:type="dxa"/>
            <w:left w:w="108" w:type="dxa"/>
            <w:bottom w:w="0" w:type="dxa"/>
            <w:right w:w="108" w:type="dxa"/>
          </w:tblCellMar>
        </w:tblPrEx>
        <w:trPr>
          <w:trHeight w:val="450" w:hRule="atLeast"/>
          <w:jc w:val="center"/>
        </w:trPr>
        <w:tc>
          <w:tcPr>
            <w:tcW w:w="966" w:type="dxa"/>
            <w:vMerge w:val="continue"/>
            <w:tcBorders>
              <w:left w:val="single" w:color="auto" w:sz="4" w:space="0"/>
              <w:bottom w:val="single" w:color="auto" w:sz="4" w:space="0"/>
              <w:right w:val="single" w:color="auto" w:sz="4" w:space="0"/>
            </w:tcBorders>
            <w:shd w:val="clear" w:color="auto" w:fill="auto"/>
            <w:noWrap w:val="0"/>
            <w:vAlign w:val="center"/>
          </w:tcPr>
          <w:p w14:paraId="20981056">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F672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DB9C2">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WSX【2024】-178</w:t>
            </w:r>
          </w:p>
        </w:tc>
      </w:tr>
      <w:tr w14:paraId="30A563B3">
        <w:tblPrEx>
          <w:shd w:val="clear" w:color="auto" w:fill="auto"/>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355366">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65285">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资金来源</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DFC81">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中央资金</w:t>
            </w:r>
          </w:p>
        </w:tc>
      </w:tr>
      <w:tr w14:paraId="2BC69853">
        <w:tblPrEx>
          <w:shd w:val="clear" w:color="auto" w:fill="auto"/>
          <w:tblCellMar>
            <w:top w:w="0" w:type="dxa"/>
            <w:left w:w="108" w:type="dxa"/>
            <w:bottom w:w="0" w:type="dxa"/>
            <w:right w:w="108" w:type="dxa"/>
          </w:tblCellMar>
        </w:tblPrEx>
        <w:trPr>
          <w:trHeight w:val="58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FCB6E">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E292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F40CB">
            <w:pPr>
              <w:spacing w:line="400" w:lineRule="exac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采购青贮玉米收割机7台，除尘柔丝打包一体机8台（详见清单及参数）。  </w:t>
            </w:r>
          </w:p>
        </w:tc>
      </w:tr>
      <w:tr w14:paraId="5C1CE4E6">
        <w:tblPrEx>
          <w:shd w:val="clear" w:color="auto" w:fill="auto"/>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9C2DF">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4ADE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880197">
            <w:pPr>
              <w:spacing w:line="400" w:lineRule="exact"/>
              <w:rPr>
                <w:rFonts w:hint="eastAsia" w:ascii="宋体" w:hAnsi="宋体" w:eastAsia="宋体" w:cs="宋体"/>
                <w:color w:val="auto"/>
                <w:sz w:val="24"/>
                <w:szCs w:val="24"/>
                <w:highlight w:val="none"/>
                <w:lang w:eastAsia="zh-CN"/>
              </w:rPr>
            </w:pPr>
            <w:r>
              <w:rPr>
                <w:rFonts w:hint="eastAsia"/>
                <w:color w:val="auto"/>
                <w:sz w:val="24"/>
                <w:szCs w:val="24"/>
                <w:highlight w:val="none"/>
                <w:lang w:val="en-US" w:eastAsia="zh-CN"/>
              </w:rPr>
              <w:t>小写：5860000元</w:t>
            </w:r>
          </w:p>
          <w:p w14:paraId="1168A8E5">
            <w:p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r>
              <w:rPr>
                <w:rFonts w:hint="eastAsia" w:ascii="宋体" w:hAnsi="宋体" w:eastAsia="宋体" w:cs="宋体"/>
                <w:i w:val="0"/>
                <w:iCs w:val="0"/>
                <w:caps w:val="0"/>
                <w:color w:val="auto"/>
                <w:spacing w:val="0"/>
                <w:sz w:val="24"/>
                <w:szCs w:val="24"/>
                <w:highlight w:val="none"/>
                <w:lang w:val="zh-CN" w:eastAsia="zh-CN"/>
              </w:rPr>
              <w:t>报价超过上限价（预算价）的其投标无效</w:t>
            </w:r>
          </w:p>
        </w:tc>
      </w:tr>
      <w:tr w14:paraId="576DCED8">
        <w:tblPrEx>
          <w:shd w:val="clear" w:color="auto" w:fill="auto"/>
          <w:tblCellMar>
            <w:top w:w="0" w:type="dxa"/>
            <w:left w:w="108" w:type="dxa"/>
            <w:bottom w:w="0" w:type="dxa"/>
            <w:right w:w="108" w:type="dxa"/>
          </w:tblCellMar>
        </w:tblPrEx>
        <w:trPr>
          <w:trHeight w:val="533"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7B038">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BAE865">
            <w:pPr>
              <w:spacing w:line="400" w:lineRule="exact"/>
              <w:ind w:firstLine="720" w:firstLineChars="300"/>
              <w:jc w:val="both"/>
              <w:rPr>
                <w:rFonts w:hint="eastAsia" w:ascii="宋体" w:hAnsi="宋体" w:eastAsia="宋体" w:cs="宋体"/>
                <w:color w:val="auto"/>
                <w:sz w:val="24"/>
                <w:szCs w:val="24"/>
                <w:highlight w:val="none"/>
                <w:lang w:eastAsia="zh-CN"/>
              </w:rPr>
            </w:pPr>
            <w:r>
              <w:rPr>
                <w:rFonts w:hint="eastAsia"/>
                <w:color w:val="auto"/>
                <w:sz w:val="24"/>
                <w:szCs w:val="24"/>
                <w:highlight w:val="none"/>
              </w:rPr>
              <w:t>合同履约期限</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6AE06">
            <w:pPr>
              <w:spacing w:line="360" w:lineRule="auto"/>
              <w:rPr>
                <w:rFonts w:hint="eastAsia" w:ascii="宋体" w:hAnsi="宋体" w:eastAsia="宋体" w:cs="宋体"/>
                <w:color w:val="auto"/>
                <w:sz w:val="24"/>
                <w:highlight w:val="none"/>
                <w:lang w:val="en-US" w:eastAsia="zh-CN"/>
              </w:rPr>
            </w:pPr>
            <w:r>
              <w:rPr>
                <w:rFonts w:hint="eastAsia"/>
                <w:color w:val="auto"/>
                <w:sz w:val="24"/>
                <w:szCs w:val="24"/>
              </w:rPr>
              <w:t>自合同签订之日起</w:t>
            </w:r>
            <w:r>
              <w:rPr>
                <w:rFonts w:hint="eastAsia"/>
                <w:color w:val="auto"/>
                <w:sz w:val="24"/>
                <w:szCs w:val="24"/>
                <w:lang w:val="en-US" w:eastAsia="zh-CN"/>
              </w:rPr>
              <w:t>30日历天完成</w:t>
            </w:r>
            <w:r>
              <w:rPr>
                <w:rFonts w:hint="eastAsia"/>
                <w:color w:val="auto"/>
                <w:sz w:val="24"/>
                <w:szCs w:val="24"/>
              </w:rPr>
              <w:t>供货</w:t>
            </w:r>
          </w:p>
        </w:tc>
      </w:tr>
      <w:tr w14:paraId="3F1FACF6">
        <w:tblPrEx>
          <w:shd w:val="clear" w:color="auto" w:fill="auto"/>
          <w:tblCellMar>
            <w:top w:w="0" w:type="dxa"/>
            <w:left w:w="108" w:type="dxa"/>
            <w:bottom w:w="0" w:type="dxa"/>
            <w:right w:w="108" w:type="dxa"/>
          </w:tblCellMar>
        </w:tblPrEx>
        <w:trPr>
          <w:trHeight w:val="598"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DD893">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2AF0E">
            <w:pPr>
              <w:spacing w:line="40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rPr>
              <w:t>地点</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72311">
            <w:pPr>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采购人指定地点</w:t>
            </w:r>
          </w:p>
        </w:tc>
      </w:tr>
      <w:tr w14:paraId="421A7010">
        <w:tblPrEx>
          <w:shd w:val="clear" w:color="auto" w:fill="auto"/>
          <w:tblCellMar>
            <w:top w:w="0" w:type="dxa"/>
            <w:left w:w="108" w:type="dxa"/>
            <w:bottom w:w="0" w:type="dxa"/>
            <w:right w:w="108" w:type="dxa"/>
          </w:tblCellMar>
        </w:tblPrEx>
        <w:trPr>
          <w:trHeight w:val="62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D6EE2">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447997">
            <w:pPr>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质保期</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B6AAD5">
            <w:pPr>
              <w:spacing w:line="400" w:lineRule="exac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质保期：</w:t>
            </w:r>
            <w:r>
              <w:rPr>
                <w:rFonts w:hint="eastAsia" w:ascii="宋体" w:hAnsi="宋体" w:cs="宋体"/>
                <w:color w:val="000000" w:themeColor="text1"/>
                <w:sz w:val="24"/>
                <w:szCs w:val="24"/>
                <w:highlight w:val="none"/>
                <w:lang w:val="en-US" w:eastAsia="zh-CN"/>
                <w14:textFill>
                  <w14:solidFill>
                    <w14:schemeClr w14:val="tx1"/>
                  </w14:solidFill>
                </w14:textFill>
              </w:rPr>
              <w:t>1年</w:t>
            </w:r>
          </w:p>
          <w:p w14:paraId="0E9AC431">
            <w:pPr>
              <w:spacing w:line="40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质量要求：符合国家及行业质量验收合格标准</w:t>
            </w:r>
          </w:p>
        </w:tc>
      </w:tr>
      <w:tr w14:paraId="567A1AF8">
        <w:tblPrEx>
          <w:shd w:val="clear" w:color="auto" w:fill="auto"/>
          <w:tblCellMar>
            <w:top w:w="0" w:type="dxa"/>
            <w:left w:w="108" w:type="dxa"/>
            <w:bottom w:w="0" w:type="dxa"/>
            <w:right w:w="108" w:type="dxa"/>
          </w:tblCellMar>
        </w:tblPrEx>
        <w:trPr>
          <w:trHeight w:val="98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C2E23">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508DA5">
            <w:pPr>
              <w:spacing w:line="40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投标有效期</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A255A7">
            <w:pPr>
              <w:spacing w:line="40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60日历天</w:t>
            </w:r>
          </w:p>
        </w:tc>
      </w:tr>
      <w:tr w14:paraId="6E605868">
        <w:tblPrEx>
          <w:shd w:val="clear" w:color="auto" w:fill="auto"/>
          <w:tblCellMar>
            <w:top w:w="0" w:type="dxa"/>
            <w:left w:w="108" w:type="dxa"/>
            <w:bottom w:w="0" w:type="dxa"/>
            <w:right w:w="108" w:type="dxa"/>
          </w:tblCellMar>
        </w:tblPrEx>
        <w:trPr>
          <w:trHeight w:val="98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86989">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83B2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DADF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不接受</w:t>
            </w:r>
          </w:p>
          <w:p w14:paraId="600F1F3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□接受，应满足下列要求：</w:t>
            </w:r>
            <w:r>
              <w:rPr>
                <w:rFonts w:hint="eastAsia" w:ascii="宋体" w:hAnsi="宋体" w:eastAsia="宋体" w:cs="宋体"/>
                <w:color w:val="auto"/>
                <w:sz w:val="24"/>
                <w:szCs w:val="24"/>
                <w:highlight w:val="none"/>
                <w:u w:val="single"/>
              </w:rPr>
              <w:t xml:space="preserve">           </w:t>
            </w:r>
          </w:p>
        </w:tc>
      </w:tr>
      <w:tr w14:paraId="7A04EF33">
        <w:tblPrEx>
          <w:shd w:val="clear" w:color="auto" w:fill="auto"/>
          <w:tblCellMar>
            <w:top w:w="0" w:type="dxa"/>
            <w:left w:w="108" w:type="dxa"/>
            <w:bottom w:w="0" w:type="dxa"/>
            <w:right w:w="108" w:type="dxa"/>
          </w:tblCellMar>
        </w:tblPrEx>
        <w:trPr>
          <w:trHeight w:val="51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DE87B">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43572">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投标有效期</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B9255B">
            <w:pPr>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自投标截止之日起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rPr>
              <w:t xml:space="preserve"> 天</w:t>
            </w:r>
            <w:r>
              <w:rPr>
                <w:rFonts w:hint="eastAsia" w:ascii="宋体" w:hAnsi="宋体" w:eastAsia="宋体" w:cs="宋体"/>
                <w:color w:val="auto"/>
                <w:sz w:val="24"/>
                <w:szCs w:val="24"/>
                <w:highlight w:val="none"/>
              </w:rPr>
              <w:t>。</w:t>
            </w:r>
          </w:p>
        </w:tc>
      </w:tr>
      <w:tr w14:paraId="68A985C8">
        <w:tblPrEx>
          <w:shd w:val="clear" w:color="auto" w:fill="auto"/>
          <w:tblCellMar>
            <w:top w:w="0" w:type="dxa"/>
            <w:left w:w="108" w:type="dxa"/>
            <w:bottom w:w="0" w:type="dxa"/>
            <w:right w:w="108" w:type="dxa"/>
          </w:tblCellMar>
        </w:tblPrEx>
        <w:trPr>
          <w:trHeight w:val="132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6928A">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5D3614">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踏勘现场</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D64D5">
            <w:pPr>
              <w:spacing w:line="400" w:lineRule="exac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不组织，自行踏勘</w:t>
            </w:r>
          </w:p>
          <w:p w14:paraId="5FF57310">
            <w:pPr>
              <w:tabs>
                <w:tab w:val="left" w:pos="7665"/>
              </w:tabs>
              <w:spacing w:line="400" w:lineRule="exac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 xml:space="preserve"> 组织踏勘，</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zh-CN"/>
              </w:rPr>
              <w:t>自行踏勘</w:t>
            </w:r>
            <w:r>
              <w:rPr>
                <w:rFonts w:hint="eastAsia" w:ascii="宋体" w:hAnsi="宋体" w:cs="宋体"/>
                <w:color w:val="auto"/>
                <w:sz w:val="24"/>
                <w:szCs w:val="24"/>
                <w:highlight w:val="none"/>
                <w:lang w:val="zh-CN"/>
              </w:rPr>
              <w:t>，投标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val="zh-CN"/>
              </w:rPr>
              <w:t>需到采购人单位现场踏勘了解项目的建设具体内容、</w:t>
            </w:r>
            <w:r>
              <w:rPr>
                <w:rFonts w:hint="eastAsia" w:ascii="宋体" w:hAnsi="宋体" w:cs="宋体"/>
                <w:color w:val="auto"/>
                <w:sz w:val="24"/>
                <w:szCs w:val="24"/>
                <w:highlight w:val="none"/>
                <w:lang w:val="en-US" w:eastAsia="zh-CN"/>
              </w:rPr>
              <w:t>场地情况等</w:t>
            </w:r>
            <w:r>
              <w:rPr>
                <w:rFonts w:hint="eastAsia" w:ascii="宋体" w:hAnsi="宋体" w:cs="宋体"/>
                <w:color w:val="auto"/>
                <w:sz w:val="24"/>
                <w:szCs w:val="24"/>
                <w:highlight w:val="none"/>
                <w:lang w:val="zh-CN"/>
              </w:rPr>
              <w:t>相关实际需求。踏勘时间为报名截止后</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日</w:t>
            </w:r>
            <w:r>
              <w:rPr>
                <w:rFonts w:hint="eastAsia" w:ascii="宋体" w:hAnsi="宋体" w:cs="宋体"/>
                <w:color w:val="auto"/>
                <w:sz w:val="24"/>
                <w:szCs w:val="24"/>
                <w:highlight w:val="none"/>
                <w:lang w:val="en-US" w:eastAsia="zh-CN"/>
              </w:rPr>
              <w:t>内</w:t>
            </w:r>
            <w:r>
              <w:rPr>
                <w:rFonts w:hint="eastAsia" w:ascii="宋体" w:hAnsi="宋体" w:cs="宋体"/>
                <w:color w:val="auto"/>
                <w:sz w:val="24"/>
                <w:szCs w:val="24"/>
                <w:highlight w:val="none"/>
                <w:lang w:val="zh-CN"/>
              </w:rPr>
              <w:t>，踏勘后需得到采购人单位出具的现场踏勘证明（踏勘</w:t>
            </w:r>
            <w:r>
              <w:rPr>
                <w:rFonts w:hint="eastAsia" w:ascii="宋体" w:hAnsi="宋体" w:cs="宋体"/>
                <w:color w:val="auto"/>
                <w:sz w:val="24"/>
                <w:szCs w:val="24"/>
                <w:highlight w:val="none"/>
                <w:lang w:val="en-US" w:eastAsia="zh-CN"/>
              </w:rPr>
              <w:t>所产生的相关</w:t>
            </w:r>
            <w:r>
              <w:rPr>
                <w:rFonts w:hint="eastAsia" w:ascii="宋体" w:hAnsi="宋体" w:cs="宋体"/>
                <w:color w:val="auto"/>
                <w:sz w:val="24"/>
                <w:szCs w:val="24"/>
                <w:highlight w:val="none"/>
                <w:lang w:val="zh-CN"/>
              </w:rPr>
              <w:t>费用自理）</w:t>
            </w:r>
          </w:p>
        </w:tc>
      </w:tr>
      <w:tr w14:paraId="3C2A94D7">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974B51">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0F5893">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履约保证金</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1AE79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履约保证金的收取及退还:由招标单位及中标单位签订合同时自行约定</w:t>
            </w:r>
          </w:p>
        </w:tc>
      </w:tr>
      <w:tr w14:paraId="5A6FF12A">
        <w:tblPrEx>
          <w:shd w:val="clear" w:color="auto" w:fill="auto"/>
          <w:tblCellMar>
            <w:top w:w="0" w:type="dxa"/>
            <w:left w:w="108" w:type="dxa"/>
            <w:bottom w:w="0" w:type="dxa"/>
            <w:right w:w="108" w:type="dxa"/>
          </w:tblCellMar>
        </w:tblPrEx>
        <w:trPr>
          <w:trHeight w:val="95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DA6C6">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F293F">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采购代理服务费支付</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08CC6">
            <w:pPr>
              <w:pStyle w:val="9"/>
              <w:rPr>
                <w:rFonts w:hint="default"/>
                <w:color w:val="auto"/>
                <w:highlight w:val="none"/>
                <w:lang w:val="en-US"/>
              </w:rPr>
            </w:pPr>
            <w:r>
              <w:rPr>
                <w:rFonts w:hint="eastAsia" w:ascii="宋体" w:hAnsi="宋体" w:eastAsia="宋体" w:cs="宋体"/>
                <w:color w:val="auto"/>
                <w:kern w:val="2"/>
                <w:sz w:val="24"/>
                <w:szCs w:val="24"/>
                <w:highlight w:val="none"/>
                <w:lang w:val="en-US" w:eastAsia="zh-CN" w:bidi="ar-SA"/>
              </w:rPr>
              <w:t>代理服务费：按照发改价格(2015)299号通知要求，参照国家计委计价格(2002)1980号文及发改价格(2011)534号文的差额定率累进法计算，以中标金额为基准价收取招标代理服务费。</w:t>
            </w:r>
          </w:p>
        </w:tc>
      </w:tr>
      <w:tr w14:paraId="31A9E250">
        <w:tblPrEx>
          <w:shd w:val="clear" w:color="auto" w:fill="auto"/>
          <w:tblCellMar>
            <w:top w:w="0" w:type="dxa"/>
            <w:left w:w="108" w:type="dxa"/>
            <w:bottom w:w="0" w:type="dxa"/>
            <w:right w:w="108" w:type="dxa"/>
          </w:tblCellMar>
        </w:tblPrEx>
        <w:trPr>
          <w:trHeight w:val="66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1B5B75">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DE4B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构成招标文件的其他材料</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8ADF25">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答疑、澄清、修改、补充文件</w:t>
            </w:r>
          </w:p>
        </w:tc>
      </w:tr>
      <w:tr w14:paraId="4A0C1E73">
        <w:tblPrEx>
          <w:shd w:val="clear" w:color="auto" w:fill="auto"/>
          <w:tblCellMar>
            <w:top w:w="0" w:type="dxa"/>
            <w:left w:w="108" w:type="dxa"/>
            <w:bottom w:w="0" w:type="dxa"/>
            <w:right w:w="108" w:type="dxa"/>
          </w:tblCellMar>
        </w:tblPrEx>
        <w:trPr>
          <w:trHeight w:val="91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D6A8B7">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61E9E">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投标人确认收到招标文件澄清或修改的时间</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6824E">
            <w:pPr>
              <w:spacing w:line="400" w:lineRule="exact"/>
              <w:jc w:val="lef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从补充文件发布时间开始48小时内</w:t>
            </w:r>
          </w:p>
        </w:tc>
      </w:tr>
      <w:tr w14:paraId="371CBE62">
        <w:tblPrEx>
          <w:shd w:val="clear" w:color="auto" w:fill="auto"/>
          <w:tblCellMar>
            <w:top w:w="0" w:type="dxa"/>
            <w:left w:w="108" w:type="dxa"/>
            <w:bottom w:w="0" w:type="dxa"/>
            <w:right w:w="108" w:type="dxa"/>
          </w:tblCellMar>
        </w:tblPrEx>
        <w:trPr>
          <w:trHeight w:val="2759"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2032E">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105AD5">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投标人资格条件</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107BE1">
            <w:pPr>
              <w:keepNext w:val="0"/>
              <w:keepLines w:val="0"/>
              <w:pageBreakBefore w:val="0"/>
              <w:widowControl w:val="0"/>
              <w:kinsoku/>
              <w:wordWrap/>
              <w:overflowPunct/>
              <w:topLinePunct w:val="0"/>
              <w:autoSpaceDE/>
              <w:autoSpaceDN/>
              <w:bidi w:val="0"/>
              <w:spacing w:line="440" w:lineRule="exact"/>
              <w:rPr>
                <w:color w:val="auto"/>
                <w:sz w:val="24"/>
                <w:szCs w:val="24"/>
                <w:highlight w:val="none"/>
              </w:rPr>
            </w:pPr>
            <w:r>
              <w:rPr>
                <w:rFonts w:hint="eastAsia"/>
                <w:color w:val="auto"/>
                <w:sz w:val="24"/>
                <w:szCs w:val="24"/>
                <w:highlight w:val="none"/>
              </w:rPr>
              <w:t>1.满足《中华人民共和国政府采购法》第二十二条规定；</w:t>
            </w:r>
          </w:p>
          <w:p w14:paraId="5BE8A41C">
            <w:pPr>
              <w:spacing w:line="360" w:lineRule="auto"/>
              <w:rPr>
                <w:rFonts w:hint="eastAsia"/>
                <w:color w:val="auto"/>
                <w:sz w:val="24"/>
                <w:szCs w:val="24"/>
              </w:rPr>
            </w:pPr>
            <w:r>
              <w:rPr>
                <w:rFonts w:hint="eastAsia"/>
                <w:color w:val="auto"/>
                <w:sz w:val="24"/>
                <w:szCs w:val="24"/>
                <w:highlight w:val="none"/>
              </w:rPr>
              <w:t xml:space="preserve">2.落实政府采购政策需满足的资格要求：（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5）《财政部发展改革委生态环境部市场监管总局关于调整优化节能产品环境标志产品政府采购执行机制的通知》（财库〔2019〕9号），投标产品遵照《关于印发节能产品政府采购品目清单的通知》（财库〔2019〕19号）相关规定执行；(6)《关于落实好政府采购支持中小企业发展的通知》新财购〔2022〕22号。 </w:t>
            </w:r>
          </w:p>
          <w:p w14:paraId="6A84F2C9">
            <w:pPr>
              <w:keepNext w:val="0"/>
              <w:keepLines w:val="0"/>
              <w:pageBreakBefore w:val="0"/>
              <w:widowControl w:val="0"/>
              <w:kinsoku/>
              <w:wordWrap/>
              <w:overflowPunct/>
              <w:topLinePunct w:val="0"/>
              <w:autoSpaceDE/>
              <w:autoSpaceDN/>
              <w:bidi w:val="0"/>
              <w:spacing w:line="440" w:lineRule="exact"/>
              <w:rPr>
                <w:rFonts w:hint="eastAsia" w:eastAsia="宋体"/>
                <w:color w:val="auto"/>
                <w:sz w:val="24"/>
                <w:szCs w:val="24"/>
                <w:highlight w:val="none"/>
                <w:lang w:eastAsia="zh-CN"/>
              </w:rPr>
            </w:pPr>
            <w:r>
              <w:rPr>
                <w:rFonts w:hint="eastAsia"/>
                <w:color w:val="auto"/>
                <w:sz w:val="24"/>
                <w:szCs w:val="24"/>
                <w:highlight w:val="none"/>
              </w:rPr>
              <w:t>3.本项目的特定资格要求：</w:t>
            </w:r>
          </w:p>
          <w:p w14:paraId="22DBC3F3">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（1）有效经年检的三证合一营业执照；</w:t>
            </w:r>
          </w:p>
          <w:p w14:paraId="5BB95751">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（2）提供法定代表人及其委托代理人本人身份证原件扫描件，委托代理人还应具备《法定代表人身份证明》及《法人代表授权委托书》；</w:t>
            </w:r>
          </w:p>
          <w:p w14:paraId="0A77F13A">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近</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个月（连续）的社保证明（需有相关人员的社保缴纳明细，退休人员需提供退休证明）和完税证明、提供</w:t>
            </w:r>
            <w:r>
              <w:rPr>
                <w:rFonts w:hint="eastAsia" w:ascii="宋体" w:hAnsi="宋体" w:eastAsia="宋体" w:cs="宋体"/>
                <w:color w:val="auto"/>
                <w:sz w:val="24"/>
                <w:szCs w:val="24"/>
                <w:highlight w:val="none"/>
                <w:lang w:eastAsia="zh-CN"/>
              </w:rPr>
              <w:t>近三年</w:t>
            </w:r>
            <w:r>
              <w:rPr>
                <w:rFonts w:hint="eastAsia" w:ascii="宋体" w:hAnsi="宋体" w:eastAsia="宋体" w:cs="宋体"/>
                <w:color w:val="auto"/>
                <w:sz w:val="24"/>
                <w:szCs w:val="24"/>
                <w:highlight w:val="none"/>
              </w:rPr>
              <w:t>的财务审计报告或财务报表〔成立不足一年</w:t>
            </w:r>
            <w:r>
              <w:rPr>
                <w:rFonts w:hint="eastAsia" w:ascii="宋体" w:hAnsi="宋体" w:eastAsia="宋体" w:cs="宋体"/>
                <w:color w:val="auto"/>
                <w:sz w:val="24"/>
                <w:szCs w:val="24"/>
                <w:highlight w:val="none"/>
                <w:lang w:eastAsia="zh-CN"/>
              </w:rPr>
              <w:t>需</w:t>
            </w:r>
            <w:r>
              <w:rPr>
                <w:rFonts w:hint="eastAsia" w:ascii="宋体" w:hAnsi="宋体" w:eastAsia="宋体" w:cs="宋体"/>
                <w:color w:val="auto"/>
                <w:sz w:val="24"/>
                <w:szCs w:val="24"/>
                <w:highlight w:val="none"/>
              </w:rPr>
              <w:t>提供成立至今财务报表）；</w:t>
            </w:r>
          </w:p>
          <w:p w14:paraId="19EBF739">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由采购人或采购代理机构现场查询</w:t>
            </w:r>
            <w:r>
              <w:rPr>
                <w:rFonts w:hint="eastAsia" w:ascii="宋体" w:hAnsi="宋体" w:cs="宋体"/>
                <w:color w:val="000000" w:themeColor="text1"/>
                <w:sz w:val="24"/>
                <w:szCs w:val="24"/>
                <w:highlight w:val="none"/>
                <w:lang w:eastAsia="zh-CN"/>
                <w14:textFill>
                  <w14:solidFill>
                    <w14:schemeClr w14:val="tx1"/>
                  </w14:solidFill>
                </w14:textFill>
              </w:rPr>
              <w:t>）</w:t>
            </w:r>
          </w:p>
          <w:p w14:paraId="31A0688A">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政府采购诚信承诺书</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EC367DF">
            <w:pPr>
              <w:keepNext w:val="0"/>
              <w:keepLines w:val="0"/>
              <w:pageBreakBefore w:val="0"/>
              <w:widowControl w:val="0"/>
              <w:kinsoku/>
              <w:wordWrap/>
              <w:overflowPunct/>
              <w:topLinePunct w:val="0"/>
              <w:autoSpaceDE/>
              <w:autoSpaceDN/>
              <w:bidi w:val="0"/>
              <w:spacing w:line="440" w:lineRule="exac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）提供参加政府采购活动前三年内，在经营活动中没有重大违法记录（承诺函原件）</w:t>
            </w:r>
            <w:r>
              <w:rPr>
                <w:rFonts w:hint="eastAsia" w:ascii="宋体" w:hAnsi="宋体" w:cs="宋体"/>
                <w:color w:val="auto"/>
                <w:sz w:val="24"/>
                <w:szCs w:val="24"/>
                <w:highlight w:val="none"/>
                <w:lang w:eastAsia="zh-CN"/>
              </w:rPr>
              <w:t>；</w:t>
            </w:r>
          </w:p>
          <w:p w14:paraId="540ECDFE">
            <w:pPr>
              <w:keepNext w:val="0"/>
              <w:keepLines w:val="0"/>
              <w:pageBreakBefore w:val="0"/>
              <w:widowControl w:val="0"/>
              <w:kinsoku/>
              <w:wordWrap/>
              <w:overflowPunct/>
              <w:topLinePunct w:val="0"/>
              <w:autoSpaceDE/>
              <w:autoSpaceDN/>
              <w:bidi w:val="0"/>
              <w:spacing w:line="440" w:lineRule="exac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提供具有履行合同所必须的设备和专业技术能力的承诺函原件；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格式自拟</w:t>
            </w:r>
            <w:r>
              <w:rPr>
                <w:rFonts w:hint="eastAsia" w:ascii="宋体" w:hAnsi="宋体" w:cs="宋体"/>
                <w:color w:val="auto"/>
                <w:sz w:val="24"/>
                <w:szCs w:val="24"/>
                <w:highlight w:val="none"/>
                <w:lang w:eastAsia="zh-CN"/>
              </w:rPr>
              <w:t>）；</w:t>
            </w:r>
          </w:p>
          <w:p w14:paraId="5B1E3F8F">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违反规定的，相关投标均无效。</w:t>
            </w:r>
          </w:p>
          <w:p w14:paraId="17843B6B">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4.本项目不接受联合体参加。</w:t>
            </w:r>
          </w:p>
          <w:p w14:paraId="16E7E206">
            <w:pPr>
              <w:keepNext w:val="0"/>
              <w:keepLines w:val="0"/>
              <w:pageBreakBefore w:val="0"/>
              <w:widowControl w:val="0"/>
              <w:kinsoku/>
              <w:wordWrap/>
              <w:overflowPunct/>
              <w:topLinePunct w:val="0"/>
              <w:autoSpaceDE/>
              <w:autoSpaceDN/>
              <w:bidi w:val="0"/>
              <w:spacing w:line="44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注：投标人提交的所有证明文件及材料必须清晰、准确、真实。</w:t>
            </w:r>
          </w:p>
        </w:tc>
      </w:tr>
      <w:tr w14:paraId="6E32D6E0">
        <w:tblPrEx>
          <w:shd w:val="clear" w:color="auto" w:fill="auto"/>
          <w:tblCellMar>
            <w:top w:w="0" w:type="dxa"/>
            <w:left w:w="108" w:type="dxa"/>
            <w:bottom w:w="0" w:type="dxa"/>
            <w:right w:w="108" w:type="dxa"/>
          </w:tblCellMar>
        </w:tblPrEx>
        <w:trPr>
          <w:trHeight w:val="202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71B3B">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55D64">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是否允许递交备选</w:t>
            </w:r>
          </w:p>
          <w:p w14:paraId="33D6B7DE">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投标方案</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1FA6B2">
            <w:pPr>
              <w:keepNext w:val="0"/>
              <w:keepLines w:val="0"/>
              <w:pageBreakBefore w:val="0"/>
              <w:widowControl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☑不允许</w:t>
            </w:r>
          </w:p>
          <w:p w14:paraId="6B50AA5D">
            <w:pPr>
              <w:keepNext w:val="0"/>
              <w:keepLines w:val="0"/>
              <w:pageBreakBefore w:val="0"/>
              <w:widowControl w:val="0"/>
              <w:kinsoku/>
              <w:wordWrap/>
              <w:overflowPunct/>
              <w:topLinePunct w:val="0"/>
              <w:autoSpaceDE/>
              <w:autoSpaceDN/>
              <w:bidi w:val="0"/>
              <w:spacing w:line="440" w:lineRule="exact"/>
              <w:ind w:left="360" w:hanging="360" w:hangingChars="150"/>
              <w:jc w:val="lef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□允许。要求：只有中标人所递交的备选投标方案方可予以考虑。评标委员会认为中标人的备选投标方案优于其按照招标文件要求的投标方案，采购人可以接受该备选投标方案。</w:t>
            </w:r>
          </w:p>
        </w:tc>
      </w:tr>
      <w:tr w14:paraId="1BEA3D52">
        <w:tblPrEx>
          <w:shd w:val="clear" w:color="auto" w:fill="auto"/>
          <w:tblCellMar>
            <w:top w:w="0" w:type="dxa"/>
            <w:left w:w="108" w:type="dxa"/>
            <w:bottom w:w="0" w:type="dxa"/>
            <w:right w:w="108" w:type="dxa"/>
          </w:tblCellMar>
        </w:tblPrEx>
        <w:trPr>
          <w:trHeight w:val="842"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D48BDD">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6A27C">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投标报价的范围</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5A4F0">
            <w:pPr>
              <w:keepNext w:val="0"/>
              <w:keepLines w:val="0"/>
              <w:pageBreakBefore w:val="0"/>
              <w:widowControl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含税全包价，包括产品保险、运输、装卸、安装、调试、培训、验收等一切费用。</w:t>
            </w:r>
          </w:p>
        </w:tc>
      </w:tr>
      <w:tr w14:paraId="4590D20F">
        <w:tblPrEx>
          <w:shd w:val="clear" w:color="auto" w:fill="auto"/>
          <w:tblCellMar>
            <w:top w:w="0" w:type="dxa"/>
            <w:left w:w="108" w:type="dxa"/>
            <w:bottom w:w="0" w:type="dxa"/>
            <w:right w:w="108" w:type="dxa"/>
          </w:tblCellMar>
        </w:tblPrEx>
        <w:trPr>
          <w:trHeight w:val="614"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EA8DFC">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FB11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投标报价的次数</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552D4">
            <w:pPr>
              <w:keepNext w:val="0"/>
              <w:keepLines w:val="0"/>
              <w:pageBreakBefore w:val="0"/>
              <w:widowControl w:val="0"/>
              <w:kinsoku/>
              <w:wordWrap/>
              <w:overflowPunct/>
              <w:topLinePunct w:val="0"/>
              <w:autoSpaceDE/>
              <w:autoSpaceDN/>
              <w:bidi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本次投标报价为一次不得更改报价，投标人只有一次报价的机会。投标报价（即开标报价）不得有选择性报价和附有条件的报价，且不得高于预算金额（备注：设定最高限价的，本项内容改为最高限价）。</w:t>
            </w:r>
          </w:p>
        </w:tc>
      </w:tr>
      <w:tr w14:paraId="7A5355C7">
        <w:tblPrEx>
          <w:shd w:val="clear" w:color="auto" w:fill="auto"/>
          <w:tblCellMar>
            <w:top w:w="0" w:type="dxa"/>
            <w:left w:w="108" w:type="dxa"/>
            <w:bottom w:w="0" w:type="dxa"/>
            <w:right w:w="108" w:type="dxa"/>
          </w:tblCellMar>
        </w:tblPrEx>
        <w:trPr>
          <w:trHeight w:val="567"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DE3184">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159E0E">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样品</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CD0D0">
            <w:pPr>
              <w:keepNext w:val="0"/>
              <w:keepLines w:val="0"/>
              <w:pageBreakBefore w:val="0"/>
              <w:widowControl w:val="0"/>
              <w:kinsoku/>
              <w:wordWrap/>
              <w:overflowPunct/>
              <w:topLinePunct w:val="0"/>
              <w:autoSpaceDE/>
              <w:autoSpaceDN/>
              <w:bidi w:val="0"/>
              <w:spacing w:line="440" w:lineRule="exact"/>
              <w:jc w:val="left"/>
              <w:rPr>
                <w:rFonts w:hint="eastAsia"/>
                <w:color w:val="auto"/>
                <w:highlight w:val="none"/>
              </w:rPr>
            </w:pPr>
            <w:r>
              <w:rPr>
                <w:rFonts w:hint="eastAsia" w:ascii="宋体" w:hAnsi="宋体" w:eastAsia="宋体" w:cs="宋体"/>
                <w:color w:val="auto"/>
                <w:sz w:val="24"/>
                <w:szCs w:val="24"/>
                <w:highlight w:val="none"/>
                <w:lang w:val="zh-CN"/>
              </w:rPr>
              <w:t>不需要</w:t>
            </w:r>
          </w:p>
        </w:tc>
      </w:tr>
      <w:tr w14:paraId="6077C69D">
        <w:tblPrEx>
          <w:tblCellMar>
            <w:top w:w="0" w:type="dxa"/>
            <w:left w:w="108" w:type="dxa"/>
            <w:bottom w:w="0" w:type="dxa"/>
            <w:right w:w="108" w:type="dxa"/>
          </w:tblCellMar>
        </w:tblPrEx>
        <w:trPr>
          <w:trHeight w:val="40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F12E1D">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CD80B6">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投标保证金的交纳</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9E0164">
            <w:pPr>
              <w:shd w:val="clear" w:color="auto" w:fill="auto"/>
              <w:spacing w:line="360" w:lineRule="auto"/>
              <w:rPr>
                <w:rFonts w:hint="default"/>
                <w:color w:val="auto"/>
                <w:sz w:val="24"/>
                <w:szCs w:val="24"/>
                <w:lang w:val="en-US" w:eastAsia="zh-CN"/>
              </w:rPr>
            </w:pPr>
            <w:r>
              <w:rPr>
                <w:rFonts w:hint="default"/>
                <w:color w:val="auto"/>
                <w:sz w:val="24"/>
                <w:szCs w:val="24"/>
                <w:lang w:val="en-US" w:eastAsia="zh-CN"/>
              </w:rPr>
              <w:t>投标保证金：</w:t>
            </w:r>
          </w:p>
          <w:p w14:paraId="1B32E5D9">
            <w:pPr>
              <w:shd w:val="clear" w:color="auto" w:fill="auto"/>
              <w:spacing w:line="360" w:lineRule="auto"/>
              <w:rPr>
                <w:rFonts w:hint="default"/>
                <w:color w:val="auto"/>
                <w:sz w:val="24"/>
                <w:szCs w:val="24"/>
                <w:lang w:val="en-US" w:eastAsia="zh-CN"/>
              </w:rPr>
            </w:pPr>
            <w:r>
              <w:rPr>
                <w:rFonts w:hint="default"/>
                <w:color w:val="auto"/>
                <w:sz w:val="24"/>
                <w:szCs w:val="24"/>
                <w:lang w:val="en-US" w:eastAsia="zh-CN"/>
              </w:rPr>
              <w:t>1、投标保证金仅允许以支票、汇票、本票或者金融机构、担保机构出具的保函等非现金形式提交（投标人所在地企业基本账户），除此之外以电汇、转账等方式提交投标保证金的，作无效投标处理；</w:t>
            </w:r>
          </w:p>
          <w:p w14:paraId="538B62B3">
            <w:pPr>
              <w:shd w:val="clear" w:color="auto" w:fill="auto"/>
              <w:spacing w:line="360" w:lineRule="auto"/>
              <w:rPr>
                <w:rFonts w:hint="default"/>
                <w:b/>
                <w:bCs/>
                <w:color w:val="auto"/>
                <w:sz w:val="24"/>
                <w:szCs w:val="24"/>
                <w:lang w:val="en-US" w:eastAsia="zh-CN"/>
              </w:rPr>
            </w:pPr>
            <w:r>
              <w:rPr>
                <w:rFonts w:hint="default"/>
                <w:color w:val="auto"/>
                <w:sz w:val="24"/>
                <w:szCs w:val="24"/>
                <w:lang w:val="en-US" w:eastAsia="zh-CN"/>
              </w:rPr>
              <w:t>2、</w:t>
            </w:r>
            <w:r>
              <w:rPr>
                <w:rFonts w:hint="default"/>
                <w:b/>
                <w:bCs/>
                <w:color w:val="auto"/>
                <w:sz w:val="24"/>
                <w:szCs w:val="24"/>
                <w:lang w:val="en-US" w:eastAsia="zh-CN"/>
              </w:rPr>
              <w:t>投标保证金金额：</w:t>
            </w:r>
            <w:r>
              <w:rPr>
                <w:rFonts w:hint="eastAsia"/>
                <w:b/>
                <w:bCs/>
                <w:color w:val="auto"/>
                <w:sz w:val="24"/>
                <w:szCs w:val="24"/>
                <w:lang w:val="en-US" w:eastAsia="zh-CN"/>
              </w:rPr>
              <w:t>55000</w:t>
            </w:r>
            <w:r>
              <w:rPr>
                <w:rFonts w:hint="default"/>
                <w:b/>
                <w:bCs/>
                <w:color w:val="auto"/>
                <w:sz w:val="24"/>
                <w:szCs w:val="24"/>
                <w:lang w:val="en-US" w:eastAsia="zh-CN"/>
              </w:rPr>
              <w:t>元（</w:t>
            </w:r>
            <w:r>
              <w:rPr>
                <w:rFonts w:hint="eastAsia"/>
                <w:b/>
                <w:bCs/>
                <w:color w:val="auto"/>
                <w:sz w:val="24"/>
                <w:szCs w:val="24"/>
                <w:lang w:val="en-US" w:eastAsia="zh-CN"/>
              </w:rPr>
              <w:t>大写：伍万伍仟元整</w:t>
            </w:r>
            <w:r>
              <w:rPr>
                <w:rFonts w:hint="default"/>
                <w:b/>
                <w:bCs/>
                <w:color w:val="auto"/>
                <w:sz w:val="24"/>
                <w:szCs w:val="24"/>
                <w:lang w:val="en-US" w:eastAsia="zh-CN"/>
              </w:rPr>
              <w:t>）。</w:t>
            </w:r>
          </w:p>
          <w:p w14:paraId="14B86FD7">
            <w:pPr>
              <w:shd w:val="clear" w:color="auto" w:fill="auto"/>
              <w:spacing w:line="360" w:lineRule="auto"/>
              <w:rPr>
                <w:rFonts w:hint="default"/>
                <w:color w:val="auto"/>
                <w:sz w:val="24"/>
                <w:szCs w:val="24"/>
                <w:lang w:val="en-US" w:eastAsia="zh-CN"/>
              </w:rPr>
            </w:pPr>
            <w:r>
              <w:rPr>
                <w:rFonts w:hint="default"/>
                <w:color w:val="auto"/>
                <w:sz w:val="24"/>
                <w:szCs w:val="24"/>
                <w:lang w:val="en-US" w:eastAsia="zh-CN"/>
              </w:rPr>
              <w:t>3、</w:t>
            </w:r>
            <w:r>
              <w:rPr>
                <w:rFonts w:hint="default"/>
                <w:b/>
                <w:bCs/>
                <w:color w:val="auto"/>
                <w:sz w:val="24"/>
                <w:szCs w:val="24"/>
                <w:lang w:val="en-US" w:eastAsia="zh-CN"/>
              </w:rPr>
              <w:t>投标保证金</w:t>
            </w:r>
            <w:r>
              <w:rPr>
                <w:rFonts w:hint="default"/>
                <w:b/>
                <w:bCs/>
                <w:color w:val="auto"/>
                <w:sz w:val="24"/>
                <w:szCs w:val="24"/>
                <w:highlight w:val="none"/>
                <w:lang w:val="en-US" w:eastAsia="zh-CN"/>
              </w:rPr>
              <w:t>截止时间：202</w:t>
            </w:r>
            <w:r>
              <w:rPr>
                <w:rFonts w:hint="eastAsia"/>
                <w:b/>
                <w:bCs/>
                <w:color w:val="auto"/>
                <w:sz w:val="24"/>
                <w:szCs w:val="24"/>
                <w:highlight w:val="none"/>
                <w:lang w:val="en-US" w:eastAsia="zh-CN"/>
              </w:rPr>
              <w:t>4</w:t>
            </w:r>
            <w:r>
              <w:rPr>
                <w:rFonts w:hint="default"/>
                <w:b/>
                <w:bCs/>
                <w:color w:val="auto"/>
                <w:sz w:val="24"/>
                <w:szCs w:val="24"/>
                <w:highlight w:val="none"/>
                <w:lang w:val="en-US" w:eastAsia="zh-CN"/>
              </w:rPr>
              <w:t>年</w:t>
            </w:r>
            <w:r>
              <w:rPr>
                <w:rFonts w:hint="eastAsia"/>
                <w:b/>
                <w:bCs/>
                <w:color w:val="auto"/>
                <w:sz w:val="24"/>
                <w:szCs w:val="24"/>
                <w:highlight w:val="none"/>
                <w:lang w:val="en-US" w:eastAsia="zh-CN"/>
              </w:rPr>
              <w:t xml:space="preserve"> 11 </w:t>
            </w:r>
            <w:r>
              <w:rPr>
                <w:rFonts w:hint="default"/>
                <w:b/>
                <w:bCs/>
                <w:color w:val="auto"/>
                <w:sz w:val="24"/>
                <w:szCs w:val="24"/>
                <w:highlight w:val="none"/>
                <w:lang w:val="en-US" w:eastAsia="zh-CN"/>
              </w:rPr>
              <w:t>月</w:t>
            </w:r>
            <w:r>
              <w:rPr>
                <w:rFonts w:hint="eastAsia"/>
                <w:b/>
                <w:bCs/>
                <w:color w:val="auto"/>
                <w:sz w:val="24"/>
                <w:szCs w:val="24"/>
                <w:highlight w:val="none"/>
                <w:lang w:val="en-US" w:eastAsia="zh-CN"/>
              </w:rPr>
              <w:t xml:space="preserve"> 28</w:t>
            </w:r>
            <w:r>
              <w:rPr>
                <w:rFonts w:hint="default"/>
                <w:b/>
                <w:bCs/>
                <w:color w:val="auto"/>
                <w:sz w:val="24"/>
                <w:szCs w:val="24"/>
                <w:highlight w:val="none"/>
                <w:lang w:val="en-US" w:eastAsia="zh-CN"/>
              </w:rPr>
              <w:t xml:space="preserve">日 </w:t>
            </w:r>
            <w:r>
              <w:rPr>
                <w:rFonts w:hint="eastAsia"/>
                <w:b/>
                <w:bCs/>
                <w:color w:val="auto"/>
                <w:sz w:val="24"/>
                <w:szCs w:val="24"/>
                <w:highlight w:val="none"/>
                <w:lang w:val="en-US" w:eastAsia="zh-CN"/>
              </w:rPr>
              <w:t>11</w:t>
            </w:r>
            <w:r>
              <w:rPr>
                <w:rFonts w:hint="default"/>
                <w:b/>
                <w:bCs/>
                <w:color w:val="auto"/>
                <w:sz w:val="24"/>
                <w:szCs w:val="24"/>
                <w:highlight w:val="none"/>
                <w:lang w:val="en-US" w:eastAsia="zh-CN"/>
              </w:rPr>
              <w:t>:</w:t>
            </w:r>
            <w:r>
              <w:rPr>
                <w:rFonts w:hint="eastAsia"/>
                <w:b/>
                <w:bCs/>
                <w:color w:val="auto"/>
                <w:sz w:val="24"/>
                <w:szCs w:val="24"/>
                <w:highlight w:val="none"/>
                <w:lang w:val="en-US" w:eastAsia="zh-CN"/>
              </w:rPr>
              <w:t>00</w:t>
            </w:r>
            <w:r>
              <w:rPr>
                <w:rFonts w:hint="default"/>
                <w:b/>
                <w:bCs/>
                <w:color w:val="auto"/>
                <w:sz w:val="24"/>
                <w:szCs w:val="24"/>
                <w:highlight w:val="none"/>
                <w:lang w:val="en-US" w:eastAsia="zh-CN"/>
              </w:rPr>
              <w:t>前。</w:t>
            </w:r>
          </w:p>
          <w:p w14:paraId="1EE9EF32">
            <w:pPr>
              <w:shd w:val="clear" w:color="auto" w:fill="auto"/>
              <w:spacing w:line="360" w:lineRule="auto"/>
              <w:rPr>
                <w:rFonts w:hint="eastAsia"/>
                <w:color w:val="auto"/>
                <w:sz w:val="24"/>
                <w:szCs w:val="24"/>
                <w:lang w:val="en-US" w:eastAsia="zh-CN"/>
              </w:rPr>
            </w:pPr>
            <w:r>
              <w:rPr>
                <w:rFonts w:hint="default"/>
                <w:color w:val="auto"/>
                <w:sz w:val="24"/>
                <w:szCs w:val="24"/>
                <w:lang w:val="en-US" w:eastAsia="zh-CN"/>
              </w:rPr>
              <w:t>4</w:t>
            </w:r>
            <w:r>
              <w:rPr>
                <w:rFonts w:hint="eastAsia"/>
                <w:color w:val="auto"/>
                <w:sz w:val="24"/>
                <w:szCs w:val="24"/>
                <w:lang w:val="en-US" w:eastAsia="zh-CN"/>
              </w:rPr>
              <w:t>、开户名称：新疆金盛达招标代理有限责任公司</w:t>
            </w:r>
          </w:p>
          <w:p w14:paraId="10A37E5A">
            <w:pPr>
              <w:shd w:val="clear" w:color="auto" w:fill="auto"/>
              <w:spacing w:line="360" w:lineRule="auto"/>
              <w:rPr>
                <w:rFonts w:hint="eastAsia"/>
                <w:color w:val="auto"/>
                <w:sz w:val="24"/>
                <w:szCs w:val="24"/>
                <w:lang w:val="en-US" w:eastAsia="zh-CN"/>
              </w:rPr>
            </w:pPr>
            <w:r>
              <w:rPr>
                <w:rFonts w:hint="eastAsia"/>
                <w:color w:val="auto"/>
                <w:sz w:val="24"/>
                <w:szCs w:val="24"/>
                <w:lang w:val="en-US" w:eastAsia="zh-CN"/>
              </w:rPr>
              <w:t>开户银行：中国工商银行股份有限公司阿克苏南大街支行</w:t>
            </w:r>
          </w:p>
          <w:p w14:paraId="1410F2D2">
            <w:pPr>
              <w:shd w:val="clear" w:color="auto" w:fill="auto"/>
              <w:spacing w:line="360" w:lineRule="auto"/>
              <w:rPr>
                <w:rFonts w:hint="eastAsia"/>
                <w:color w:val="auto"/>
                <w:lang w:val="en-US" w:eastAsia="zh-CN"/>
              </w:rPr>
            </w:pPr>
            <w:r>
              <w:rPr>
                <w:rFonts w:hint="eastAsia"/>
                <w:color w:val="auto"/>
                <w:sz w:val="24"/>
                <w:szCs w:val="24"/>
                <w:lang w:val="en-US" w:eastAsia="zh-CN"/>
              </w:rPr>
              <w:t>帐    号：3014021509100116191</w:t>
            </w:r>
            <w:r>
              <w:rPr>
                <w:rFonts w:hint="eastAsia"/>
                <w:color w:val="auto"/>
                <w:lang w:val="en-US" w:eastAsia="zh-CN"/>
              </w:rPr>
              <w:t xml:space="preserve">  </w:t>
            </w:r>
          </w:p>
          <w:p w14:paraId="4290656F">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Times New Roman" w:hAnsi="Times New Roman" w:eastAsia="宋体" w:cs="Times New Roman"/>
                <w:b/>
                <w:bCs/>
                <w:i w:val="0"/>
                <w:iCs w:val="0"/>
                <w:color w:val="auto"/>
                <w:spacing w:val="0"/>
                <w:kern w:val="2"/>
                <w:sz w:val="24"/>
                <w:szCs w:val="24"/>
                <w:lang w:val="en-US" w:eastAsia="zh-CN" w:bidi="ar-SA"/>
              </w:rPr>
              <w:t>注：投标保函原件</w:t>
            </w:r>
            <w:r>
              <w:rPr>
                <w:rFonts w:hint="eastAsia" w:ascii="Times New Roman" w:hAnsi="Times New Roman" w:cs="Times New Roman"/>
                <w:b/>
                <w:bCs/>
                <w:i w:val="0"/>
                <w:iCs w:val="0"/>
                <w:color w:val="auto"/>
                <w:spacing w:val="0"/>
                <w:kern w:val="2"/>
                <w:sz w:val="24"/>
                <w:szCs w:val="24"/>
                <w:lang w:val="en-US" w:eastAsia="zh-CN" w:bidi="ar-SA"/>
              </w:rPr>
              <w:t>或投标保证金打款凭证原件</w:t>
            </w:r>
            <w:r>
              <w:rPr>
                <w:rFonts w:hint="eastAsia" w:ascii="Times New Roman" w:hAnsi="Times New Roman" w:eastAsia="宋体" w:cs="Times New Roman"/>
                <w:b/>
                <w:bCs/>
                <w:i w:val="0"/>
                <w:iCs w:val="0"/>
                <w:color w:val="auto"/>
                <w:spacing w:val="0"/>
                <w:kern w:val="2"/>
                <w:sz w:val="24"/>
                <w:szCs w:val="24"/>
                <w:lang w:val="en-US" w:eastAsia="zh-CN" w:bidi="ar-SA"/>
              </w:rPr>
              <w:t>扫描件加盖单位公章需放入投标文件内</w:t>
            </w:r>
          </w:p>
        </w:tc>
      </w:tr>
      <w:tr w14:paraId="7FC96DB9">
        <w:tblPrEx>
          <w:shd w:val="clear" w:color="auto" w:fill="auto"/>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2A9FA">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F407D">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cs="宋体"/>
                <w:color w:val="auto"/>
                <w:sz w:val="24"/>
                <w:szCs w:val="24"/>
                <w:highlight w:val="none"/>
                <w:lang w:val="zh-CN"/>
              </w:rPr>
              <w:t>要求</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952BB7">
            <w:pPr>
              <w:pStyle w:val="23"/>
              <w:keepNext w:val="0"/>
              <w:keepLines w:val="0"/>
              <w:pageBreakBefore w:val="0"/>
              <w:widowControl w:val="0"/>
              <w:numPr>
                <w:ilvl w:val="0"/>
                <w:numId w:val="2"/>
              </w:numPr>
              <w:tabs>
                <w:tab w:val="left" w:pos="830"/>
              </w:tabs>
              <w:kinsoku/>
              <w:wordWrap/>
              <w:overflowPunct/>
              <w:topLinePunct w:val="0"/>
              <w:autoSpaceDE/>
              <w:autoSpaceDN/>
              <w:bidi w:val="0"/>
              <w:adjustRightInd/>
              <w:snapToGrid/>
              <w:spacing w:before="80" w:after="0" w:line="440" w:lineRule="exact"/>
              <w:ind w:left="108" w:right="-29" w:firstLine="480"/>
              <w:jc w:val="left"/>
              <w:textAlignment w:val="auto"/>
              <w:rPr>
                <w:color w:val="auto"/>
                <w:sz w:val="24"/>
                <w:highlight w:val="none"/>
              </w:rPr>
            </w:pPr>
            <w:r>
              <w:rPr>
                <w:color w:val="auto"/>
                <w:spacing w:val="-7"/>
                <w:sz w:val="24"/>
                <w:highlight w:val="none"/>
              </w:rPr>
              <w:t>本项目采用电子交易方式，供应商可前往新疆政府</w:t>
            </w:r>
            <w:r>
              <w:rPr>
                <w:color w:val="auto"/>
                <w:spacing w:val="-37"/>
                <w:sz w:val="24"/>
                <w:highlight w:val="none"/>
              </w:rPr>
              <w:t>采购网</w:t>
            </w:r>
            <w:r>
              <w:rPr>
                <w:color w:val="auto"/>
                <w:highlight w:val="none"/>
              </w:rPr>
              <w:fldChar w:fldCharType="begin"/>
            </w:r>
            <w:r>
              <w:rPr>
                <w:color w:val="auto"/>
                <w:highlight w:val="none"/>
              </w:rPr>
              <w:instrText xml:space="preserve"> HYPERLINK "http://www.ccgp-xinjiang.gov.cn/" \h </w:instrText>
            </w:r>
            <w:r>
              <w:rPr>
                <w:color w:val="auto"/>
                <w:highlight w:val="none"/>
              </w:rPr>
              <w:fldChar w:fldCharType="separate"/>
            </w:r>
            <w:r>
              <w:rPr>
                <w:color w:val="auto"/>
                <w:spacing w:val="-3"/>
                <w:sz w:val="24"/>
                <w:highlight w:val="none"/>
              </w:rPr>
              <w:t>（http://www.ccgp-xinjiang.gov.cn/</w:t>
            </w:r>
            <w:r>
              <w:rPr>
                <w:color w:val="auto"/>
                <w:spacing w:val="-3"/>
                <w:sz w:val="24"/>
                <w:highlight w:val="none"/>
              </w:rPr>
              <w:fldChar w:fldCharType="end"/>
            </w:r>
            <w:r>
              <w:rPr>
                <w:color w:val="auto"/>
                <w:spacing w:val="-3"/>
                <w:sz w:val="24"/>
                <w:highlight w:val="none"/>
              </w:rPr>
              <w:t xml:space="preserve">）下载专区， </w:t>
            </w:r>
            <w:r>
              <w:rPr>
                <w:color w:val="auto"/>
                <w:spacing w:val="-5"/>
                <w:sz w:val="24"/>
                <w:highlight w:val="none"/>
              </w:rPr>
              <w:t>下载政采云电子投标客户端，安装完成后，可通过账号密</w:t>
            </w:r>
            <w:r>
              <w:rPr>
                <w:color w:val="auto"/>
                <w:spacing w:val="-21"/>
                <w:sz w:val="24"/>
                <w:highlight w:val="none"/>
              </w:rPr>
              <w:t xml:space="preserve">码或 </w:t>
            </w:r>
            <w:r>
              <w:rPr>
                <w:color w:val="auto"/>
                <w:sz w:val="24"/>
                <w:highlight w:val="none"/>
              </w:rPr>
              <w:t>CA</w:t>
            </w:r>
            <w:r>
              <w:rPr>
                <w:color w:val="auto"/>
                <w:spacing w:val="-8"/>
                <w:sz w:val="24"/>
                <w:highlight w:val="none"/>
              </w:rPr>
              <w:t xml:space="preserve"> 登录客户端进行响应文件制作。在使用政采云电</w:t>
            </w:r>
            <w:r>
              <w:rPr>
                <w:color w:val="auto"/>
                <w:spacing w:val="-12"/>
                <w:sz w:val="24"/>
                <w:highlight w:val="none"/>
              </w:rPr>
              <w:t xml:space="preserve">子投标客户端时，建议使用 </w:t>
            </w:r>
            <w:r>
              <w:rPr>
                <w:color w:val="auto"/>
                <w:sz w:val="24"/>
                <w:highlight w:val="none"/>
              </w:rPr>
              <w:t>WIN7</w:t>
            </w:r>
            <w:r>
              <w:rPr>
                <w:color w:val="auto"/>
                <w:spacing w:val="-8"/>
                <w:sz w:val="24"/>
                <w:highlight w:val="none"/>
              </w:rPr>
              <w:t xml:space="preserve"> 及以上操作系统。如有</w:t>
            </w:r>
            <w:r>
              <w:rPr>
                <w:color w:val="auto"/>
                <w:spacing w:val="10"/>
                <w:sz w:val="24"/>
                <w:highlight w:val="none"/>
              </w:rPr>
              <w:t>问题可拨打政采云客户服务热线</w:t>
            </w:r>
            <w:r>
              <w:rPr>
                <w:rFonts w:hint="eastAsia"/>
                <w:color w:val="auto"/>
                <w:spacing w:val="10"/>
                <w:sz w:val="24"/>
                <w:highlight w:val="none"/>
                <w:lang w:val="en-US" w:eastAsia="zh-CN"/>
              </w:rPr>
              <w:t>95763</w:t>
            </w:r>
            <w:r>
              <w:rPr>
                <w:color w:val="auto"/>
                <w:spacing w:val="-3"/>
                <w:sz w:val="24"/>
                <w:highlight w:val="none"/>
              </w:rPr>
              <w:t>进行咨询。</w:t>
            </w:r>
          </w:p>
          <w:p w14:paraId="1B44F2D0">
            <w:pPr>
              <w:pStyle w:val="23"/>
              <w:keepNext w:val="0"/>
              <w:keepLines w:val="0"/>
              <w:pageBreakBefore w:val="0"/>
              <w:widowControl w:val="0"/>
              <w:numPr>
                <w:ilvl w:val="0"/>
                <w:numId w:val="2"/>
              </w:numPr>
              <w:tabs>
                <w:tab w:val="left" w:pos="830"/>
              </w:tabs>
              <w:kinsoku/>
              <w:wordWrap/>
              <w:overflowPunct/>
              <w:topLinePunct w:val="0"/>
              <w:autoSpaceDE/>
              <w:autoSpaceDN/>
              <w:bidi w:val="0"/>
              <w:adjustRightInd/>
              <w:snapToGrid/>
              <w:spacing w:before="2" w:after="0" w:line="440" w:lineRule="exact"/>
              <w:ind w:left="829" w:right="0" w:hanging="242"/>
              <w:jc w:val="left"/>
              <w:textAlignment w:val="auto"/>
              <w:rPr>
                <w:b/>
                <w:bCs/>
                <w:color w:val="auto"/>
                <w:sz w:val="24"/>
                <w:highlight w:val="none"/>
              </w:rPr>
            </w:pPr>
            <w:r>
              <w:rPr>
                <w:b/>
                <w:bCs/>
                <w:color w:val="auto"/>
                <w:sz w:val="24"/>
                <w:highlight w:val="none"/>
              </w:rPr>
              <w:t>投标文件分技术文件、商务文件。</w:t>
            </w:r>
          </w:p>
          <w:p w14:paraId="6EB0343D">
            <w:pPr>
              <w:pStyle w:val="23"/>
              <w:keepNext w:val="0"/>
              <w:keepLines w:val="0"/>
              <w:pageBreakBefore w:val="0"/>
              <w:widowControl w:val="0"/>
              <w:numPr>
                <w:ilvl w:val="0"/>
                <w:numId w:val="2"/>
              </w:numPr>
              <w:tabs>
                <w:tab w:val="left" w:pos="830"/>
              </w:tabs>
              <w:kinsoku/>
              <w:wordWrap/>
              <w:overflowPunct/>
              <w:topLinePunct w:val="0"/>
              <w:autoSpaceDE/>
              <w:autoSpaceDN/>
              <w:bidi w:val="0"/>
              <w:adjustRightInd/>
              <w:snapToGrid/>
              <w:spacing w:before="94" w:after="0" w:line="440" w:lineRule="exact"/>
              <w:ind w:left="108" w:right="96" w:firstLine="480"/>
              <w:jc w:val="both"/>
              <w:textAlignment w:val="auto"/>
              <w:rPr>
                <w:color w:val="auto"/>
                <w:sz w:val="24"/>
                <w:highlight w:val="none"/>
              </w:rPr>
            </w:pPr>
            <w:r>
              <w:rPr>
                <w:color w:val="auto"/>
                <w:spacing w:val="-10"/>
                <w:sz w:val="24"/>
                <w:highlight w:val="none"/>
              </w:rPr>
              <w:t>投标文件内容。投标人应按照招标文件的要求编写投标文件；对招标文件要求填写的表格或者资料不得缺少</w:t>
            </w:r>
            <w:r>
              <w:rPr>
                <w:color w:val="auto"/>
                <w:sz w:val="24"/>
                <w:highlight w:val="none"/>
              </w:rPr>
              <w:t>或者留空，投标文件不得加行。</w:t>
            </w:r>
          </w:p>
          <w:p w14:paraId="1467D1AD">
            <w:pPr>
              <w:pStyle w:val="23"/>
              <w:keepNext w:val="0"/>
              <w:keepLines w:val="0"/>
              <w:pageBreakBefore w:val="0"/>
              <w:widowControl w:val="0"/>
              <w:numPr>
                <w:ilvl w:val="0"/>
                <w:numId w:val="2"/>
              </w:numPr>
              <w:tabs>
                <w:tab w:val="left" w:pos="830"/>
              </w:tabs>
              <w:kinsoku/>
              <w:wordWrap/>
              <w:overflowPunct/>
              <w:topLinePunct w:val="0"/>
              <w:autoSpaceDE/>
              <w:autoSpaceDN/>
              <w:bidi w:val="0"/>
              <w:adjustRightInd/>
              <w:snapToGrid/>
              <w:spacing w:before="0" w:after="0" w:line="440" w:lineRule="exact"/>
              <w:ind w:left="108" w:right="24" w:firstLine="480"/>
              <w:jc w:val="left"/>
              <w:textAlignment w:val="auto"/>
              <w:rPr>
                <w:color w:val="auto"/>
                <w:sz w:val="24"/>
                <w:highlight w:val="none"/>
              </w:rPr>
            </w:pPr>
            <w:r>
              <w:rPr>
                <w:color w:val="auto"/>
                <w:spacing w:val="-1"/>
                <w:sz w:val="24"/>
                <w:highlight w:val="none"/>
              </w:rPr>
              <w:t>投标文件应编制目录，内容标注连续页码，</w:t>
            </w:r>
            <w:r>
              <w:rPr>
                <w:color w:val="auto"/>
                <w:sz w:val="24"/>
                <w:highlight w:val="none"/>
              </w:rPr>
              <w:t>页码从</w:t>
            </w:r>
            <w:r>
              <w:rPr>
                <w:rFonts w:hint="eastAsia"/>
                <w:color w:val="auto"/>
                <w:sz w:val="24"/>
                <w:highlight w:val="none"/>
                <w:lang w:val="en-US" w:eastAsia="zh-CN"/>
              </w:rPr>
              <w:t>正文</w:t>
            </w:r>
            <w:r>
              <w:rPr>
                <w:color w:val="auto"/>
                <w:sz w:val="24"/>
                <w:highlight w:val="none"/>
              </w:rPr>
              <w:t>编起，标注于页面底部居中位置。</w:t>
            </w:r>
          </w:p>
          <w:p w14:paraId="6FBA6AA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zh-CN"/>
              </w:rPr>
            </w:pPr>
            <w:r>
              <w:rPr>
                <w:color w:val="auto"/>
                <w:sz w:val="24"/>
                <w:highlight w:val="none"/>
              </w:rPr>
              <w:t>供应商中标后应按要求提供纸质响应文件。</w:t>
            </w:r>
          </w:p>
        </w:tc>
      </w:tr>
      <w:tr w14:paraId="43CF824B">
        <w:tblPrEx>
          <w:shd w:val="clear" w:color="auto" w:fill="auto"/>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0D534">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03AE4">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投标文件签署和盖章</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070EB">
            <w:pPr>
              <w:pStyle w:val="23"/>
              <w:keepNext w:val="0"/>
              <w:keepLines w:val="0"/>
              <w:pageBreakBefore w:val="0"/>
              <w:widowControl w:val="0"/>
              <w:numPr>
                <w:ilvl w:val="0"/>
                <w:numId w:val="0"/>
              </w:numPr>
              <w:tabs>
                <w:tab w:val="left" w:pos="836"/>
              </w:tabs>
              <w:kinsoku/>
              <w:wordWrap/>
              <w:overflowPunct/>
              <w:topLinePunct w:val="0"/>
              <w:autoSpaceDE/>
              <w:autoSpaceDN/>
              <w:bidi w:val="0"/>
              <w:adjustRightInd/>
              <w:snapToGrid/>
              <w:spacing w:before="81" w:after="0" w:line="440" w:lineRule="exact"/>
              <w:ind w:left="108" w:leftChars="0" w:right="96" w:rightChars="0" w:firstLine="480" w:firstLineChars="0"/>
              <w:jc w:val="both"/>
              <w:textAlignment w:val="auto"/>
              <w:rPr>
                <w:b/>
                <w:bCs/>
                <w:color w:val="auto"/>
                <w:sz w:val="24"/>
                <w:highlight w:val="none"/>
              </w:rPr>
            </w:pPr>
            <w:r>
              <w:rPr>
                <w:rFonts w:hint="default" w:ascii="仿宋" w:hAnsi="仿宋" w:eastAsia="仿宋" w:cs="仿宋"/>
                <w:b w:val="0"/>
                <w:bCs w:val="0"/>
                <w:color w:val="auto"/>
                <w:w w:val="100"/>
                <w:kern w:val="2"/>
                <w:sz w:val="22"/>
                <w:szCs w:val="22"/>
                <w:highlight w:val="none"/>
                <w:lang w:val="zh-CN" w:eastAsia="zh-CN" w:bidi="zh-CN"/>
              </w:rPr>
              <w:t>1.</w:t>
            </w:r>
            <w:r>
              <w:rPr>
                <w:rFonts w:hint="eastAsia"/>
                <w:color w:val="auto"/>
                <w:spacing w:val="6"/>
                <w:sz w:val="24"/>
                <w:highlight w:val="none"/>
              </w:rPr>
              <w:t>招标文件要求投标人法定代表人或者被授权代表在签字处手写签名或加盖其个人电子印章</w:t>
            </w:r>
            <w:r>
              <w:rPr>
                <w:rFonts w:hint="eastAsia"/>
                <w:color w:val="auto"/>
                <w:spacing w:val="6"/>
                <w:sz w:val="24"/>
                <w:highlight w:val="none"/>
                <w:lang w:eastAsia="zh-CN"/>
              </w:rPr>
              <w:t>，</w:t>
            </w:r>
            <w:r>
              <w:rPr>
                <w:b w:val="0"/>
                <w:bCs w:val="0"/>
                <w:color w:val="auto"/>
                <w:spacing w:val="-7"/>
                <w:sz w:val="24"/>
                <w:highlight w:val="none"/>
              </w:rPr>
              <w:t>并逐页加盖单位公章</w:t>
            </w:r>
            <w:r>
              <w:rPr>
                <w:b w:val="0"/>
                <w:bCs w:val="0"/>
                <w:color w:val="auto"/>
                <w:sz w:val="24"/>
                <w:highlight w:val="none"/>
              </w:rPr>
              <w:t>的电子印章。</w:t>
            </w:r>
          </w:p>
          <w:p w14:paraId="1D9EB83C">
            <w:pPr>
              <w:pStyle w:val="23"/>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1" w:after="0" w:line="440" w:lineRule="exact"/>
              <w:ind w:left="108" w:leftChars="0" w:right="96" w:rightChars="0" w:firstLine="480" w:firstLineChars="0"/>
              <w:jc w:val="left"/>
              <w:textAlignment w:val="auto"/>
              <w:rPr>
                <w:color w:val="auto"/>
                <w:sz w:val="24"/>
                <w:highlight w:val="none"/>
              </w:rPr>
            </w:pPr>
            <w:r>
              <w:rPr>
                <w:rFonts w:hint="default" w:ascii="仿宋" w:hAnsi="仿宋" w:eastAsia="仿宋" w:cs="仿宋"/>
                <w:color w:val="auto"/>
                <w:w w:val="100"/>
                <w:kern w:val="2"/>
                <w:sz w:val="22"/>
                <w:szCs w:val="22"/>
                <w:highlight w:val="none"/>
                <w:lang w:val="zh-CN" w:eastAsia="zh-CN" w:bidi="zh-CN"/>
              </w:rPr>
              <w:t>2.</w:t>
            </w:r>
            <w:r>
              <w:rPr>
                <w:color w:val="auto"/>
                <w:spacing w:val="-9"/>
                <w:sz w:val="24"/>
                <w:highlight w:val="none"/>
              </w:rPr>
              <w:t>被授权代表人签章的，投标文件应附法人授权委托</w:t>
            </w:r>
            <w:r>
              <w:rPr>
                <w:color w:val="auto"/>
                <w:sz w:val="24"/>
                <w:highlight w:val="none"/>
              </w:rPr>
              <w:t>书。</w:t>
            </w:r>
          </w:p>
          <w:p w14:paraId="218E40E8">
            <w:pPr>
              <w:pStyle w:val="23"/>
              <w:keepNext w:val="0"/>
              <w:keepLines w:val="0"/>
              <w:pageBreakBefore w:val="0"/>
              <w:widowControl w:val="0"/>
              <w:numPr>
                <w:ilvl w:val="0"/>
                <w:numId w:val="0"/>
              </w:numPr>
              <w:tabs>
                <w:tab w:val="left" w:pos="836"/>
              </w:tabs>
              <w:kinsoku/>
              <w:wordWrap/>
              <w:overflowPunct/>
              <w:topLinePunct w:val="0"/>
              <w:autoSpaceDE/>
              <w:autoSpaceDN/>
              <w:bidi w:val="0"/>
              <w:adjustRightInd/>
              <w:snapToGrid/>
              <w:spacing w:before="0" w:after="0" w:line="440" w:lineRule="exact"/>
              <w:ind w:left="108" w:leftChars="0" w:right="96" w:rightChars="0" w:firstLine="480" w:firstLineChars="0"/>
              <w:jc w:val="both"/>
              <w:textAlignment w:val="auto"/>
              <w:rPr>
                <w:rFonts w:hint="eastAsia" w:ascii="宋体" w:hAnsi="宋体" w:eastAsia="宋体" w:cs="宋体"/>
                <w:color w:val="auto"/>
                <w:sz w:val="24"/>
                <w:szCs w:val="24"/>
                <w:highlight w:val="none"/>
                <w:lang w:val="zh-CN"/>
              </w:rPr>
            </w:pPr>
            <w:r>
              <w:rPr>
                <w:rFonts w:hint="default" w:ascii="仿宋" w:hAnsi="仿宋" w:eastAsia="仿宋" w:cs="仿宋"/>
                <w:color w:val="auto"/>
                <w:w w:val="100"/>
                <w:kern w:val="2"/>
                <w:sz w:val="22"/>
                <w:szCs w:val="22"/>
                <w:highlight w:val="none"/>
                <w:lang w:val="zh-CN" w:eastAsia="zh-CN" w:bidi="zh-CN"/>
              </w:rPr>
              <w:t>3.</w:t>
            </w:r>
            <w:r>
              <w:rPr>
                <w:color w:val="auto"/>
                <w:spacing w:val="6"/>
                <w:sz w:val="24"/>
                <w:highlight w:val="none"/>
              </w:rPr>
              <w:t>投标人在投标文件以及相关书面文件中的单位盖</w:t>
            </w:r>
            <w:r>
              <w:rPr>
                <w:color w:val="auto"/>
                <w:spacing w:val="-24"/>
                <w:sz w:val="24"/>
                <w:highlight w:val="none"/>
              </w:rPr>
              <w:t>章</w:t>
            </w:r>
            <w:r>
              <w:rPr>
                <w:color w:val="auto"/>
                <w:sz w:val="24"/>
                <w:highlight w:val="none"/>
              </w:rPr>
              <w:t>（</w:t>
            </w:r>
            <w:r>
              <w:rPr>
                <w:color w:val="auto"/>
                <w:spacing w:val="-5"/>
                <w:sz w:val="24"/>
                <w:highlight w:val="none"/>
              </w:rPr>
              <w:t>包括印章、公章等</w:t>
            </w:r>
            <w:r>
              <w:rPr>
                <w:color w:val="auto"/>
                <w:spacing w:val="-24"/>
                <w:sz w:val="24"/>
                <w:highlight w:val="none"/>
              </w:rPr>
              <w:t>）</w:t>
            </w:r>
            <w:r>
              <w:rPr>
                <w:color w:val="auto"/>
                <w:spacing w:val="-2"/>
                <w:sz w:val="24"/>
                <w:highlight w:val="none"/>
              </w:rPr>
              <w:t>均指与投标人名称全称相一致的</w:t>
            </w:r>
            <w:r>
              <w:rPr>
                <w:color w:val="auto"/>
                <w:spacing w:val="-4"/>
                <w:sz w:val="24"/>
                <w:highlight w:val="none"/>
              </w:rPr>
              <w:t>标准公章，不得使用其他形式</w:t>
            </w:r>
            <w:r>
              <w:rPr>
                <w:color w:val="auto"/>
                <w:sz w:val="24"/>
                <w:highlight w:val="none"/>
              </w:rPr>
              <w:t>（</w:t>
            </w:r>
            <w:r>
              <w:rPr>
                <w:color w:val="auto"/>
                <w:spacing w:val="-9"/>
                <w:sz w:val="24"/>
                <w:highlight w:val="none"/>
              </w:rPr>
              <w:t>如带有“专用章”、“合</w:t>
            </w:r>
            <w:r>
              <w:rPr>
                <w:color w:val="auto"/>
                <w:sz w:val="24"/>
                <w:highlight w:val="none"/>
              </w:rPr>
              <w:t>同章”、“财务章”、“业务章”等）的印章。</w:t>
            </w:r>
          </w:p>
        </w:tc>
      </w:tr>
      <w:tr w14:paraId="1F65460E">
        <w:tblPrEx>
          <w:shd w:val="clear" w:color="auto" w:fill="auto"/>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27944A">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147FA">
            <w:pPr>
              <w:spacing w:line="400" w:lineRule="exact"/>
              <w:jc w:val="center"/>
              <w:rPr>
                <w:rFonts w:hint="eastAsia" w:ascii="宋体" w:hAnsi="宋体" w:eastAsia="宋体" w:cs="宋体"/>
                <w:color w:val="auto"/>
                <w:sz w:val="24"/>
                <w:szCs w:val="24"/>
                <w:highlight w:val="none"/>
                <w:lang w:val="zh-CN"/>
              </w:rPr>
            </w:pPr>
            <w:r>
              <w:rPr>
                <w:color w:val="auto"/>
                <w:sz w:val="24"/>
                <w:highlight w:val="none"/>
              </w:rPr>
              <w:t>投标文件加密、上传</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148D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投标文件应按</w:t>
            </w:r>
            <w:r>
              <w:rPr>
                <w:rFonts w:hint="eastAsia" w:ascii="宋体" w:hAnsi="宋体" w:eastAsia="宋体" w:cs="宋体"/>
                <w:color w:val="auto"/>
                <w:sz w:val="24"/>
                <w:szCs w:val="24"/>
                <w:highlight w:val="none"/>
                <w:lang w:val="en-US" w:eastAsia="zh-CN"/>
              </w:rPr>
              <w:t>商务文件和技术文件</w:t>
            </w:r>
            <w:r>
              <w:rPr>
                <w:rFonts w:hint="eastAsia" w:ascii="宋体" w:hAnsi="宋体" w:eastAsia="宋体" w:cs="宋体"/>
                <w:color w:val="auto"/>
                <w:sz w:val="24"/>
                <w:szCs w:val="24"/>
                <w:highlight w:val="none"/>
                <w:lang w:val="zh-CN"/>
              </w:rPr>
              <w:t>进行编制：</w:t>
            </w:r>
          </w:p>
          <w:p w14:paraId="36A08C2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14:paraId="44D3DDC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698569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lang w:val="en-US" w:eastAsia="zh-CN"/>
              </w:rPr>
              <w:t>进行咨询。</w:t>
            </w:r>
          </w:p>
          <w:p w14:paraId="032F128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4、供应商在开标时须携带制作加密电子响应文件所使用的CA锁，电脑须提前配置好浏览器（建议使用360浏览器或谷歌浏览器），以便开标时在线解密。</w:t>
            </w:r>
          </w:p>
          <w:p w14:paraId="0671BAA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5、投标供应商应当在投标截止时间前，将生成的“JMBS格式电子加密响应文件”上传递交至“政府采购云平台”，投标截止时间以后上传递交的响应文件将被“政府采购云平台”拒收。</w:t>
            </w:r>
          </w:p>
          <w:p w14:paraId="6BAF571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6、评标结束后，各投标单位须在一周内按招标文件要求将纸质版投标文件递交至招标代理处（所产生的费用投标单位自理）。纸质版投标文件可通过加密电子版投标</w:t>
            </w:r>
            <w:r>
              <w:rPr>
                <w:rFonts w:hint="eastAsia" w:ascii="宋体" w:hAnsi="宋体" w:eastAsia="宋体" w:cs="宋体"/>
                <w:b w:val="0"/>
                <w:bCs w:val="0"/>
                <w:color w:val="auto"/>
                <w:sz w:val="24"/>
                <w:szCs w:val="24"/>
                <w:highlight w:val="none"/>
                <w:lang w:val="en-US" w:eastAsia="zh-CN"/>
              </w:rPr>
              <w:t>文</w:t>
            </w:r>
            <w:r>
              <w:rPr>
                <w:rFonts w:hint="eastAsia" w:ascii="宋体" w:hAnsi="宋体" w:eastAsia="宋体" w:cs="宋体"/>
                <w:color w:val="auto"/>
                <w:sz w:val="24"/>
                <w:szCs w:val="24"/>
                <w:highlight w:val="none"/>
                <w:lang w:val="en-US" w:eastAsia="zh-CN"/>
              </w:rPr>
              <w:t>件打印生成，应当与电子版投标文件一致。【 1 、份数要求：正本壹份、副本贰份，电子标叁份 (U 盘) 。2 、装订 要求：投标文件商务技术部分装订成一册，投标文件的装订必须采用死 页胶粘本。】</w:t>
            </w:r>
          </w:p>
        </w:tc>
      </w:tr>
      <w:tr w14:paraId="0FC6896C">
        <w:tblPrEx>
          <w:shd w:val="clear" w:color="auto" w:fill="auto"/>
          <w:tblCellMar>
            <w:top w:w="0" w:type="dxa"/>
            <w:left w:w="108" w:type="dxa"/>
            <w:bottom w:w="0" w:type="dxa"/>
            <w:right w:w="108" w:type="dxa"/>
          </w:tblCellMar>
        </w:tblPrEx>
        <w:trPr>
          <w:trHeight w:val="70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B83514">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F7172">
            <w:pPr>
              <w:spacing w:line="400" w:lineRule="exact"/>
              <w:jc w:val="center"/>
              <w:rPr>
                <w:rFonts w:hint="eastAsia" w:ascii="宋体" w:hAnsi="宋体" w:eastAsia="宋体" w:cs="宋体"/>
                <w:color w:val="auto"/>
                <w:sz w:val="24"/>
                <w:szCs w:val="24"/>
                <w:highlight w:val="none"/>
                <w:lang w:val="zh-CN"/>
              </w:rPr>
            </w:pPr>
            <w:r>
              <w:rPr>
                <w:color w:val="auto"/>
                <w:sz w:val="24"/>
                <w:highlight w:val="none"/>
              </w:rPr>
              <w:t>投标人签到及电子投标文件解密</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0CB12">
            <w:pPr>
              <w:spacing w:line="400" w:lineRule="exact"/>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投标人登录政采云平台，在投标截止时间前必须完成签到，（本项目解密时长为：30 分钟，签名时长为：10 分钟）开标时间后 30 分钟内（用“项目采购- 开标评标” 功能进行解密投标文件。若投标人在规定时间内未按时签到或解密的，视为无效投标。解密与加密投标文件须为同一个 CA。</w:t>
            </w:r>
          </w:p>
        </w:tc>
      </w:tr>
      <w:tr w14:paraId="32961CD0">
        <w:tblPrEx>
          <w:shd w:val="clear" w:color="auto" w:fill="auto"/>
          <w:tblCellMar>
            <w:top w:w="0" w:type="dxa"/>
            <w:left w:w="108" w:type="dxa"/>
            <w:bottom w:w="0" w:type="dxa"/>
            <w:right w:w="108" w:type="dxa"/>
          </w:tblCellMar>
        </w:tblPrEx>
        <w:trPr>
          <w:trHeight w:val="97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14776">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58B87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递交投标文件截止时间及地点</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23C2D">
            <w:pPr>
              <w:spacing w:line="40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时间：</w:t>
            </w:r>
            <w:r>
              <w:rPr>
                <w:rFonts w:hint="eastAsia" w:ascii="宋体" w:hAnsi="宋体" w:eastAsia="宋体" w:cs="宋体"/>
                <w:b/>
                <w:bCs/>
                <w:color w:val="auto"/>
                <w:sz w:val="24"/>
                <w:szCs w:val="24"/>
                <w:highlight w:val="none"/>
                <w:u w:val="single"/>
                <w:lang w:val="zh-CN"/>
              </w:rPr>
              <w:t>20</w:t>
            </w:r>
            <w:r>
              <w:rPr>
                <w:rFonts w:hint="eastAsia" w:ascii="宋体" w:hAnsi="宋体" w:eastAsia="宋体" w:cs="宋体"/>
                <w:b/>
                <w:bCs/>
                <w:color w:val="auto"/>
                <w:sz w:val="24"/>
                <w:szCs w:val="24"/>
                <w:highlight w:val="none"/>
                <w:u w:val="single"/>
                <w:lang w:val="en-US" w:eastAsia="zh-CN"/>
              </w:rPr>
              <w:t>2</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lang w:val="zh-CN"/>
              </w:rPr>
              <w:t>年</w:t>
            </w:r>
            <w:r>
              <w:rPr>
                <w:rFonts w:hint="eastAsia" w:ascii="宋体" w:hAnsi="宋体" w:cs="宋体"/>
                <w:b/>
                <w:bCs/>
                <w:color w:val="auto"/>
                <w:sz w:val="24"/>
                <w:szCs w:val="24"/>
                <w:highlight w:val="none"/>
                <w:u w:val="single"/>
                <w:lang w:val="en-US" w:eastAsia="zh-CN"/>
              </w:rPr>
              <w:t xml:space="preserve"> 11 </w:t>
            </w:r>
            <w:r>
              <w:rPr>
                <w:rFonts w:hint="eastAsia" w:ascii="宋体" w:hAnsi="宋体" w:eastAsia="宋体" w:cs="宋体"/>
                <w:b/>
                <w:bCs/>
                <w:color w:val="auto"/>
                <w:sz w:val="24"/>
                <w:szCs w:val="24"/>
                <w:highlight w:val="none"/>
                <w:u w:val="none"/>
                <w:lang w:val="en-US" w:eastAsia="zh-CN"/>
              </w:rPr>
              <w:t>月</w:t>
            </w:r>
            <w:r>
              <w:rPr>
                <w:rFonts w:hint="eastAsia" w:ascii="宋体" w:hAnsi="宋体" w:cs="宋体"/>
                <w:b/>
                <w:bCs/>
                <w:color w:val="auto"/>
                <w:sz w:val="24"/>
                <w:szCs w:val="24"/>
                <w:highlight w:val="none"/>
                <w:u w:val="single"/>
                <w:lang w:val="en-US" w:eastAsia="zh-CN"/>
              </w:rPr>
              <w:t xml:space="preserve"> 28</w:t>
            </w:r>
            <w:r>
              <w:rPr>
                <w:rFonts w:hint="eastAsia" w:ascii="宋体" w:hAnsi="宋体" w:eastAsia="宋体" w:cs="宋体"/>
                <w:b/>
                <w:bCs/>
                <w:color w:val="auto"/>
                <w:sz w:val="24"/>
                <w:szCs w:val="24"/>
                <w:highlight w:val="none"/>
                <w:u w:val="none"/>
                <w:lang w:val="en-US" w:eastAsia="zh-CN"/>
              </w:rPr>
              <w:t>日</w:t>
            </w:r>
            <w:r>
              <w:rPr>
                <w:rFonts w:hint="eastAsia" w:ascii="宋体" w:hAnsi="宋体" w:cs="宋体"/>
                <w:b/>
                <w:bCs/>
                <w:color w:val="auto"/>
                <w:sz w:val="24"/>
                <w:szCs w:val="24"/>
                <w:highlight w:val="none"/>
                <w:lang w:val="en-US" w:eastAsia="zh-CN"/>
              </w:rPr>
              <w:t>上</w:t>
            </w:r>
            <w:r>
              <w:rPr>
                <w:rFonts w:hint="eastAsia" w:ascii="宋体" w:hAnsi="宋体" w:eastAsia="宋体" w:cs="宋体"/>
                <w:b/>
                <w:bCs/>
                <w:color w:val="auto"/>
                <w:sz w:val="24"/>
                <w:szCs w:val="24"/>
                <w:highlight w:val="none"/>
                <w:lang w:val="en-US" w:eastAsia="zh-CN"/>
              </w:rPr>
              <w:t>午</w:t>
            </w:r>
            <w:r>
              <w:rPr>
                <w:rFonts w:hint="eastAsia" w:ascii="宋体" w:hAnsi="宋体" w:cs="宋体"/>
                <w:b/>
                <w:bCs/>
                <w:color w:val="auto"/>
                <w:sz w:val="24"/>
                <w:szCs w:val="24"/>
                <w:highlight w:val="none"/>
                <w:lang w:val="en-US" w:eastAsia="zh-CN"/>
              </w:rPr>
              <w:t xml:space="preserve"> 11</w:t>
            </w:r>
            <w:r>
              <w:rPr>
                <w:rFonts w:hint="eastAsia" w:ascii="宋体" w:hAnsi="宋体" w:eastAsia="宋体" w:cs="宋体"/>
                <w:b/>
                <w:bCs/>
                <w:color w:val="auto"/>
                <w:sz w:val="24"/>
                <w:szCs w:val="24"/>
                <w:highlight w:val="none"/>
                <w:lang w:val="zh-CN"/>
              </w:rPr>
              <w:t>时</w:t>
            </w:r>
            <w:r>
              <w:rPr>
                <w:rFonts w:hint="eastAsia" w:ascii="宋体" w:hAnsi="宋体" w:cs="宋体"/>
                <w:b/>
                <w:bCs/>
                <w:color w:val="auto"/>
                <w:sz w:val="24"/>
                <w:szCs w:val="24"/>
                <w:highlight w:val="none"/>
                <w:lang w:val="en-US" w:eastAsia="zh-CN"/>
              </w:rPr>
              <w:t xml:space="preserve">00 </w:t>
            </w:r>
            <w:r>
              <w:rPr>
                <w:rFonts w:hint="eastAsia" w:ascii="宋体" w:hAnsi="宋体" w:eastAsia="宋体" w:cs="宋体"/>
                <w:b/>
                <w:bCs/>
                <w:color w:val="auto"/>
                <w:sz w:val="24"/>
                <w:szCs w:val="24"/>
                <w:highlight w:val="none"/>
                <w:lang w:val="zh-CN"/>
              </w:rPr>
              <w:t>分</w:t>
            </w:r>
            <w:r>
              <w:rPr>
                <w:rFonts w:hint="eastAsia" w:ascii="宋体" w:hAnsi="宋体" w:cs="宋体"/>
                <w:b/>
                <w:bCs/>
                <w:color w:val="auto"/>
                <w:sz w:val="24"/>
                <w:szCs w:val="24"/>
                <w:highlight w:val="none"/>
                <w:lang w:val="zh-CN"/>
              </w:rPr>
              <w:t>（北京时间）</w:t>
            </w:r>
          </w:p>
          <w:p w14:paraId="3EFFE2FD">
            <w:pPr>
              <w:spacing w:line="400" w:lineRule="exact"/>
              <w:ind w:left="360" w:hanging="360"/>
              <w:jc w:val="left"/>
              <w:rPr>
                <w:rFonts w:hint="eastAsia" w:ascii="宋体" w:hAnsi="宋体" w:eastAsia="宋体" w:cs="宋体"/>
                <w:b/>
                <w:color w:val="auto"/>
                <w:sz w:val="24"/>
                <w:highlight w:val="none"/>
                <w:lang w:val="zh-CN"/>
              </w:rPr>
            </w:pPr>
            <w:r>
              <w:rPr>
                <w:rFonts w:hint="eastAsia" w:ascii="宋体" w:hAnsi="宋体" w:eastAsia="宋体" w:cs="宋体"/>
                <w:b/>
                <w:bCs/>
                <w:color w:val="auto"/>
                <w:sz w:val="24"/>
                <w:szCs w:val="24"/>
                <w:highlight w:val="none"/>
                <w:lang w:val="zh-CN"/>
              </w:rPr>
              <w:t>地点：新疆政府采购网政采云不见面开标系统</w:t>
            </w:r>
          </w:p>
        </w:tc>
      </w:tr>
      <w:tr w14:paraId="3D25100D">
        <w:tblPrEx>
          <w:shd w:val="clear" w:color="auto" w:fill="auto"/>
          <w:tblCellMar>
            <w:top w:w="0" w:type="dxa"/>
            <w:left w:w="108" w:type="dxa"/>
            <w:bottom w:w="0" w:type="dxa"/>
            <w:right w:w="108" w:type="dxa"/>
          </w:tblCellMar>
        </w:tblPrEx>
        <w:trPr>
          <w:trHeight w:val="1131"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11C89">
            <w:pPr>
              <w:numPr>
                <w:ilvl w:val="0"/>
                <w:numId w:val="0"/>
              </w:numPr>
              <w:spacing w:line="400" w:lineRule="exact"/>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9F608">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开标时间及地点</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5E7">
            <w:pPr>
              <w:spacing w:line="38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时间：</w:t>
            </w:r>
            <w:r>
              <w:rPr>
                <w:rFonts w:hint="eastAsia" w:ascii="宋体" w:hAnsi="宋体" w:eastAsia="宋体" w:cs="宋体"/>
                <w:b/>
                <w:bCs/>
                <w:color w:val="auto"/>
                <w:sz w:val="24"/>
                <w:szCs w:val="24"/>
                <w:highlight w:val="none"/>
                <w:u w:val="single"/>
                <w:lang w:val="zh-CN"/>
              </w:rPr>
              <w:t>20</w:t>
            </w:r>
            <w:r>
              <w:rPr>
                <w:rFonts w:hint="eastAsia" w:ascii="宋体" w:hAnsi="宋体" w:eastAsia="宋体" w:cs="宋体"/>
                <w:b/>
                <w:bCs/>
                <w:color w:val="auto"/>
                <w:sz w:val="24"/>
                <w:szCs w:val="24"/>
                <w:highlight w:val="none"/>
                <w:u w:val="single"/>
                <w:lang w:val="en-US" w:eastAsia="zh-CN"/>
              </w:rPr>
              <w:t>2</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lang w:val="zh-CN"/>
              </w:rPr>
              <w:t>年</w:t>
            </w:r>
            <w:r>
              <w:rPr>
                <w:rFonts w:hint="eastAsia" w:ascii="宋体" w:hAnsi="宋体" w:cs="宋体"/>
                <w:b/>
                <w:bCs/>
                <w:color w:val="auto"/>
                <w:sz w:val="24"/>
                <w:szCs w:val="24"/>
                <w:highlight w:val="none"/>
                <w:u w:val="single"/>
                <w:lang w:val="en-US" w:eastAsia="zh-CN"/>
              </w:rPr>
              <w:t xml:space="preserve"> 11</w:t>
            </w:r>
            <w:r>
              <w:rPr>
                <w:rFonts w:hint="eastAsia" w:ascii="宋体" w:hAnsi="宋体" w:eastAsia="宋体" w:cs="宋体"/>
                <w:b/>
                <w:bCs/>
                <w:color w:val="auto"/>
                <w:sz w:val="24"/>
                <w:szCs w:val="24"/>
                <w:highlight w:val="none"/>
                <w:u w:val="none"/>
                <w:lang w:val="en-US" w:eastAsia="zh-CN"/>
              </w:rPr>
              <w:t>月</w:t>
            </w:r>
            <w:r>
              <w:rPr>
                <w:rFonts w:hint="eastAsia" w:ascii="宋体" w:hAnsi="宋体" w:cs="宋体"/>
                <w:b/>
                <w:bCs/>
                <w:color w:val="auto"/>
                <w:sz w:val="24"/>
                <w:szCs w:val="24"/>
                <w:highlight w:val="none"/>
                <w:u w:val="single"/>
                <w:lang w:val="en-US" w:eastAsia="zh-CN"/>
              </w:rPr>
              <w:t xml:space="preserve"> 28</w:t>
            </w:r>
            <w:r>
              <w:rPr>
                <w:rFonts w:hint="eastAsia" w:ascii="宋体" w:hAnsi="宋体" w:eastAsia="宋体" w:cs="宋体"/>
                <w:b/>
                <w:bCs/>
                <w:color w:val="auto"/>
                <w:sz w:val="24"/>
                <w:szCs w:val="24"/>
                <w:highlight w:val="none"/>
                <w:u w:val="none"/>
                <w:lang w:val="en-US" w:eastAsia="zh-CN"/>
              </w:rPr>
              <w:t>日</w:t>
            </w:r>
            <w:r>
              <w:rPr>
                <w:rFonts w:hint="eastAsia" w:ascii="宋体" w:hAnsi="宋体" w:cs="宋体"/>
                <w:b/>
                <w:bCs/>
                <w:color w:val="auto"/>
                <w:sz w:val="24"/>
                <w:szCs w:val="24"/>
                <w:highlight w:val="none"/>
                <w:lang w:val="en-US" w:eastAsia="zh-CN"/>
              </w:rPr>
              <w:t>上</w:t>
            </w:r>
            <w:r>
              <w:rPr>
                <w:rFonts w:hint="eastAsia" w:ascii="宋体" w:hAnsi="宋体" w:eastAsia="宋体" w:cs="宋体"/>
                <w:b/>
                <w:bCs/>
                <w:color w:val="auto"/>
                <w:sz w:val="24"/>
                <w:szCs w:val="24"/>
                <w:highlight w:val="none"/>
                <w:lang w:val="en-US" w:eastAsia="zh-CN"/>
              </w:rPr>
              <w:t>午</w:t>
            </w:r>
            <w:r>
              <w:rPr>
                <w:rFonts w:hint="eastAsia" w:ascii="宋体" w:hAnsi="宋体" w:cs="宋体"/>
                <w:b/>
                <w:bCs/>
                <w:color w:val="auto"/>
                <w:sz w:val="24"/>
                <w:szCs w:val="24"/>
                <w:highlight w:val="none"/>
                <w:lang w:val="en-US" w:eastAsia="zh-CN"/>
              </w:rPr>
              <w:t xml:space="preserve"> 11 </w:t>
            </w:r>
            <w:r>
              <w:rPr>
                <w:rFonts w:hint="eastAsia" w:ascii="宋体" w:hAnsi="宋体" w:eastAsia="宋体" w:cs="宋体"/>
                <w:b/>
                <w:bCs/>
                <w:color w:val="auto"/>
                <w:sz w:val="24"/>
                <w:szCs w:val="24"/>
                <w:highlight w:val="none"/>
                <w:lang w:val="zh-CN"/>
              </w:rPr>
              <w:t>时</w:t>
            </w:r>
            <w:r>
              <w:rPr>
                <w:rFonts w:hint="eastAsia" w:ascii="宋体" w:hAnsi="宋体" w:cs="宋体"/>
                <w:b/>
                <w:bCs/>
                <w:color w:val="auto"/>
                <w:sz w:val="24"/>
                <w:szCs w:val="24"/>
                <w:highlight w:val="none"/>
                <w:lang w:val="en-US" w:eastAsia="zh-CN"/>
              </w:rPr>
              <w:t xml:space="preserve">00 </w:t>
            </w:r>
            <w:r>
              <w:rPr>
                <w:rFonts w:hint="eastAsia" w:ascii="宋体" w:hAnsi="宋体" w:eastAsia="宋体" w:cs="宋体"/>
                <w:b/>
                <w:bCs/>
                <w:color w:val="auto"/>
                <w:sz w:val="24"/>
                <w:szCs w:val="24"/>
                <w:highlight w:val="none"/>
                <w:lang w:val="zh-CN"/>
              </w:rPr>
              <w:t>分</w:t>
            </w:r>
            <w:r>
              <w:rPr>
                <w:rFonts w:hint="eastAsia" w:ascii="宋体" w:hAnsi="宋体" w:cs="宋体"/>
                <w:b/>
                <w:bCs/>
                <w:color w:val="auto"/>
                <w:sz w:val="24"/>
                <w:szCs w:val="24"/>
                <w:highlight w:val="none"/>
                <w:lang w:val="zh-CN"/>
              </w:rPr>
              <w:t>（北京时间）</w:t>
            </w:r>
          </w:p>
          <w:p w14:paraId="331EF9A0">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地点：乌什县政务服务和公共资源交易中心三楼开标室</w:t>
            </w:r>
          </w:p>
        </w:tc>
      </w:tr>
      <w:tr w14:paraId="2B3FA33D">
        <w:tblPrEx>
          <w:tblCellMar>
            <w:top w:w="0" w:type="dxa"/>
            <w:left w:w="108" w:type="dxa"/>
            <w:bottom w:w="0" w:type="dxa"/>
            <w:right w:w="108" w:type="dxa"/>
          </w:tblCellMar>
        </w:tblPrEx>
        <w:trPr>
          <w:trHeight w:val="1131"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2E638">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FC480">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开标流程</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85B8B">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1.在招标文件确定的投标文件提交截止时间停止接受投标文件。开标会主持人确定投标人数量是否符合开标要求（要求所有投标人提前一小时准备好开标相关资料，</w:t>
            </w:r>
          </w:p>
          <w:p w14:paraId="5BB29CC5">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调试好电脑设备。）；</w:t>
            </w:r>
          </w:p>
          <w:p w14:paraId="5D26DA94">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2.本项目采用“政采云不见面”开标， 投标人须在投标截止时间前登录政采云平台 http://www.zcygov.cn/进行签到。</w:t>
            </w:r>
          </w:p>
          <w:p w14:paraId="55691462">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3.主持人宣布开标会开始，宣布开标纪律；</w:t>
            </w:r>
          </w:p>
          <w:p w14:paraId="5E7989BB">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4.宣布主持人、开标人、唱标人、记录人、监督人等工作人员姓名；</w:t>
            </w:r>
          </w:p>
          <w:p w14:paraId="4C18AECA">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5.解密：法定代表人或授权委托人须全程在线准时参加开标活动进行文件解密、异议、质疑及澄清等。</w:t>
            </w:r>
          </w:p>
          <w:p w14:paraId="344D155D">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 .参与“政采云不见面”开标的各投标人，请在互联网网络环境较好的电脑端登录政采云不见面开标大厅参与开标；不要在电脑进行下载、安装等工作，认真耐心等待指令并及时操作，并保持手机畅通；因投标人网络环境或硬件配备不达标等原因，影响开标的，造成的后果由投标人自行承担。</w:t>
            </w:r>
          </w:p>
          <w:p w14:paraId="3E6CA3E8">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7.开标结束。</w:t>
            </w:r>
          </w:p>
          <w:p w14:paraId="207D999F">
            <w:pPr>
              <w:numPr>
                <w:ilvl w:val="0"/>
                <w:numId w:val="0"/>
              </w:numPr>
              <w:autoSpaceDE w:val="0"/>
              <w:autoSpaceDN w:val="0"/>
              <w:adjustRightInd w:val="0"/>
              <w:spacing w:line="38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招标代理机构应当对上述开标过程做好记录，存档备查。</w:t>
            </w:r>
          </w:p>
        </w:tc>
      </w:tr>
      <w:tr w14:paraId="2CA20756">
        <w:tblPrEx>
          <w:tblCellMar>
            <w:top w:w="0" w:type="dxa"/>
            <w:left w:w="108" w:type="dxa"/>
            <w:bottom w:w="0" w:type="dxa"/>
            <w:right w:w="108" w:type="dxa"/>
          </w:tblCellMar>
        </w:tblPrEx>
        <w:trPr>
          <w:trHeight w:val="137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AE83F6">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E30F94">
            <w:pPr>
              <w:autoSpaceDE w:val="0"/>
              <w:autoSpaceDN w:val="0"/>
              <w:adjustRightInd w:val="0"/>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07E54E">
            <w:pPr>
              <w:numPr>
                <w:ilvl w:val="0"/>
                <w:numId w:val="3"/>
              </w:numPr>
              <w:autoSpaceDE w:val="0"/>
              <w:autoSpaceDN w:val="0"/>
              <w:adjustRightInd w:val="0"/>
              <w:spacing w:line="380" w:lineRule="exact"/>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人，其中招标人代表</w:t>
            </w:r>
            <w:r>
              <w:rPr>
                <w:rFonts w:hint="eastAsia" w:ascii="宋体" w:hAnsi="宋体" w:cs="宋体"/>
                <w:color w:val="auto"/>
                <w:sz w:val="24"/>
                <w:szCs w:val="24"/>
                <w:highlight w:val="none"/>
                <w:lang w:val="en-US" w:eastAsia="zh-CN"/>
              </w:rPr>
              <w:t xml:space="preserve">  0 </w:t>
            </w:r>
            <w:r>
              <w:rPr>
                <w:rFonts w:hint="eastAsia" w:ascii="宋体" w:hAnsi="宋体" w:eastAsia="宋体" w:cs="宋体"/>
                <w:color w:val="auto"/>
                <w:sz w:val="24"/>
                <w:szCs w:val="24"/>
                <w:highlight w:val="none"/>
              </w:rPr>
              <w:t>人，专家</w:t>
            </w:r>
            <w:r>
              <w:rPr>
                <w:rFonts w:hint="eastAsia" w:ascii="宋体" w:hAnsi="宋体" w:cs="宋体"/>
                <w:color w:val="auto"/>
                <w:sz w:val="24"/>
                <w:szCs w:val="24"/>
                <w:highlight w:val="none"/>
                <w:lang w:val="en-US" w:eastAsia="zh-CN"/>
              </w:rPr>
              <w:t xml:space="preserve"> 5 </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 xml:space="preserve">   </w:t>
            </w:r>
          </w:p>
          <w:p w14:paraId="1F976C58">
            <w:pPr>
              <w:numPr>
                <w:ilvl w:val="0"/>
                <w:numId w:val="0"/>
              </w:numPr>
              <w:autoSpaceDE w:val="0"/>
              <w:autoSpaceDN w:val="0"/>
              <w:adjustRightInd w:val="0"/>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（2）评标专家确定方式：由招标代理在开标前48小时在政采云专家库中随机抽取此次评标专家。</w:t>
            </w:r>
          </w:p>
        </w:tc>
      </w:tr>
      <w:tr w14:paraId="1DDAC992">
        <w:tblPrEx>
          <w:shd w:val="clear" w:color="auto" w:fill="auto"/>
          <w:tblCellMar>
            <w:top w:w="0" w:type="dxa"/>
            <w:left w:w="108" w:type="dxa"/>
            <w:bottom w:w="0" w:type="dxa"/>
            <w:right w:w="108" w:type="dxa"/>
          </w:tblCellMar>
        </w:tblPrEx>
        <w:trPr>
          <w:trHeight w:val="895" w:hRule="atLeast"/>
          <w:jc w:val="center"/>
        </w:trPr>
        <w:tc>
          <w:tcPr>
            <w:tcW w:w="966" w:type="dxa"/>
            <w:tcBorders>
              <w:top w:val="single" w:color="auto" w:sz="4" w:space="0"/>
              <w:left w:val="single" w:color="auto" w:sz="4" w:space="0"/>
              <w:right w:val="single" w:color="auto" w:sz="4" w:space="0"/>
            </w:tcBorders>
            <w:shd w:val="clear" w:color="auto" w:fill="auto"/>
            <w:noWrap w:val="0"/>
            <w:vAlign w:val="center"/>
          </w:tcPr>
          <w:p w14:paraId="79917FB2">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2917" w:type="dxa"/>
            <w:tcBorders>
              <w:top w:val="single" w:color="auto" w:sz="4" w:space="0"/>
              <w:left w:val="single" w:color="auto" w:sz="4" w:space="0"/>
              <w:right w:val="single" w:color="auto" w:sz="4" w:space="0"/>
            </w:tcBorders>
            <w:shd w:val="clear" w:color="auto" w:fill="auto"/>
            <w:noWrap w:val="0"/>
            <w:vAlign w:val="center"/>
          </w:tcPr>
          <w:p w14:paraId="21BAEC9A">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评标办法</w:t>
            </w:r>
          </w:p>
        </w:tc>
        <w:tc>
          <w:tcPr>
            <w:tcW w:w="6209" w:type="dxa"/>
            <w:tcBorders>
              <w:top w:val="single" w:color="auto" w:sz="4" w:space="0"/>
              <w:left w:val="single" w:color="auto" w:sz="4" w:space="0"/>
              <w:right w:val="single" w:color="auto" w:sz="4" w:space="0"/>
            </w:tcBorders>
            <w:shd w:val="clear" w:color="auto" w:fill="auto"/>
            <w:noWrap w:val="0"/>
            <w:vAlign w:val="center"/>
          </w:tcPr>
          <w:p w14:paraId="1E0A6800">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☑综合评分法</w:t>
            </w:r>
          </w:p>
          <w:p w14:paraId="666C2A2C">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□最低评标价法</w:t>
            </w:r>
          </w:p>
        </w:tc>
      </w:tr>
      <w:tr w14:paraId="3F7BBE56">
        <w:tblPrEx>
          <w:shd w:val="clear" w:color="auto" w:fill="auto"/>
          <w:tblCellMar>
            <w:top w:w="0" w:type="dxa"/>
            <w:left w:w="108" w:type="dxa"/>
            <w:bottom w:w="0" w:type="dxa"/>
            <w:right w:w="108" w:type="dxa"/>
          </w:tblCellMar>
        </w:tblPrEx>
        <w:trPr>
          <w:trHeight w:val="97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086329">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C3D39">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是否授权评标委员会确定中标人</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7B3AA3">
            <w:pPr>
              <w:spacing w:line="380" w:lineRule="exact"/>
              <w:ind w:left="360" w:hanging="360" w:hanging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val="zh-CN"/>
              </w:rPr>
              <w:t>每包确定一个中标人。</w:t>
            </w:r>
          </w:p>
          <w:p w14:paraId="04D0BE59">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否，</w:t>
            </w:r>
            <w:r>
              <w:rPr>
                <w:rFonts w:hint="eastAsia" w:ascii="宋体" w:hAnsi="宋体" w:cs="宋体"/>
                <w:color w:val="auto"/>
                <w:sz w:val="24"/>
                <w:szCs w:val="24"/>
                <w:highlight w:val="none"/>
                <w:lang w:eastAsia="zh-CN"/>
              </w:rPr>
              <w:t>推荐</w:t>
            </w:r>
            <w:r>
              <w:rPr>
                <w:rFonts w:hint="eastAsia" w:ascii="宋体" w:hAnsi="宋体" w:eastAsia="宋体" w:cs="宋体"/>
                <w:color w:val="auto"/>
                <w:sz w:val="24"/>
                <w:szCs w:val="24"/>
                <w:highlight w:val="none"/>
              </w:rPr>
              <w:t>中标候选人数：</w:t>
            </w:r>
            <w:r>
              <w:rPr>
                <w:rFonts w:hint="eastAsia" w:ascii="宋体" w:hAnsi="宋体" w:eastAsia="宋体" w:cs="宋体"/>
                <w:color w:val="auto"/>
                <w:sz w:val="24"/>
                <w:szCs w:val="24"/>
                <w:highlight w:val="none"/>
                <w:u w:val="single"/>
              </w:rPr>
              <w:t xml:space="preserve"> 3</w:t>
            </w:r>
            <w:r>
              <w:rPr>
                <w:rFonts w:hint="eastAsia" w:ascii="宋体" w:hAnsi="宋体" w:cs="宋体"/>
                <w:color w:val="auto"/>
                <w:sz w:val="24"/>
                <w:szCs w:val="24"/>
                <w:highlight w:val="none"/>
                <w:u w:val="single"/>
                <w:lang w:val="en-US" w:eastAsia="zh-CN"/>
              </w:rPr>
              <w:t xml:space="preserve"> </w:t>
            </w:r>
          </w:p>
        </w:tc>
      </w:tr>
      <w:tr w14:paraId="7FB2AA64">
        <w:tblPrEx>
          <w:shd w:val="clear" w:color="auto" w:fill="auto"/>
          <w:tblCellMar>
            <w:top w:w="0" w:type="dxa"/>
            <w:left w:w="108" w:type="dxa"/>
            <w:bottom w:w="0" w:type="dxa"/>
            <w:right w:w="108" w:type="dxa"/>
          </w:tblCellMar>
        </w:tblPrEx>
        <w:trPr>
          <w:trHeight w:val="134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49A81">
            <w:pPr>
              <w:numPr>
                <w:ilvl w:val="0"/>
                <w:numId w:val="0"/>
              </w:numPr>
              <w:spacing w:line="400" w:lineRule="exact"/>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0AC1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DA0A36">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除投标人需收回的资格、资信等证明文件中的证明材料原件（如营业执照、合同、相关资质证书等）外，其他文件概不退还。</w:t>
            </w:r>
          </w:p>
        </w:tc>
      </w:tr>
      <w:tr w14:paraId="2C478AB1">
        <w:tblPrEx>
          <w:shd w:val="clear" w:color="auto" w:fill="auto"/>
          <w:tblCellMar>
            <w:top w:w="0" w:type="dxa"/>
            <w:left w:w="108" w:type="dxa"/>
            <w:bottom w:w="0" w:type="dxa"/>
            <w:right w:w="108" w:type="dxa"/>
          </w:tblCellMar>
        </w:tblPrEx>
        <w:trPr>
          <w:trHeight w:val="546"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C97F2">
            <w:pPr>
              <w:numPr>
                <w:ilvl w:val="0"/>
                <w:numId w:val="0"/>
              </w:numPr>
              <w:spacing w:line="400" w:lineRule="exact"/>
              <w:ind w:lef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5</w:t>
            </w:r>
          </w:p>
        </w:tc>
        <w:tc>
          <w:tcPr>
            <w:tcW w:w="912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6920448">
            <w:pPr>
              <w:spacing w:line="38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其他需补充的内容</w:t>
            </w:r>
          </w:p>
        </w:tc>
      </w:tr>
      <w:tr w14:paraId="2899A180">
        <w:tblPrEx>
          <w:shd w:val="clear" w:color="auto" w:fill="auto"/>
          <w:tblCellMar>
            <w:top w:w="0" w:type="dxa"/>
            <w:left w:w="108" w:type="dxa"/>
            <w:bottom w:w="0" w:type="dxa"/>
            <w:right w:w="108" w:type="dxa"/>
          </w:tblCellMar>
        </w:tblPrEx>
        <w:trPr>
          <w:trHeight w:val="908"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14495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1AE68A">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投标人在开标时需携带的验资文件</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DD8107">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本项目实行电子招投标，</w:t>
            </w:r>
            <w:r>
              <w:rPr>
                <w:rFonts w:hint="eastAsia" w:ascii="宋体" w:hAnsi="宋体" w:eastAsia="宋体" w:cs="宋体"/>
                <w:b/>
                <w:bCs/>
                <w:color w:val="auto"/>
                <w:sz w:val="24"/>
                <w:szCs w:val="24"/>
                <w:highlight w:val="none"/>
                <w:lang w:val="en-US" w:eastAsia="zh-CN"/>
              </w:rPr>
              <w:t>无需人员到场开标。</w:t>
            </w:r>
          </w:p>
        </w:tc>
      </w:tr>
      <w:tr w14:paraId="76A9E999">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F62542">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025B83">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资金支付</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AEB088">
            <w:pPr>
              <w:spacing w:line="3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采购资金支付方式、支付时间由采购人与中标供应商按照相关法律法规及本项目具体要求在合同中约定。</w:t>
            </w:r>
          </w:p>
        </w:tc>
      </w:tr>
      <w:tr w14:paraId="49D31B9E">
        <w:tblPrEx>
          <w:shd w:val="clear" w:color="auto" w:fill="auto"/>
          <w:tblCellMar>
            <w:top w:w="0" w:type="dxa"/>
            <w:left w:w="108" w:type="dxa"/>
            <w:bottom w:w="0" w:type="dxa"/>
            <w:right w:w="108" w:type="dxa"/>
          </w:tblCellMar>
        </w:tblPrEx>
        <w:trPr>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E0DC4C4">
            <w:pPr>
              <w:spacing w:line="400" w:lineRule="exact"/>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p>
        </w:tc>
        <w:tc>
          <w:tcPr>
            <w:tcW w:w="291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8900FF6">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定义</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0AA215">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原件：</w:t>
            </w:r>
            <w:r>
              <w:rPr>
                <w:rFonts w:hint="eastAsia" w:ascii="宋体" w:hAnsi="宋体" w:eastAsia="宋体" w:cs="宋体"/>
                <w:color w:val="auto"/>
                <w:sz w:val="24"/>
                <w:szCs w:val="24"/>
                <w:highlight w:val="none"/>
              </w:rPr>
              <w:t>最初产生的区别于复制件的原始文件或文件的原本或公证处出具的文件复制件公证书。</w:t>
            </w:r>
          </w:p>
        </w:tc>
      </w:tr>
      <w:tr w14:paraId="3E489D8A">
        <w:tblPrEx>
          <w:shd w:val="clear" w:color="auto" w:fill="auto"/>
          <w:tblCellMar>
            <w:top w:w="0" w:type="dxa"/>
            <w:left w:w="108" w:type="dxa"/>
            <w:bottom w:w="0" w:type="dxa"/>
            <w:right w:w="108" w:type="dxa"/>
          </w:tblCellMar>
        </w:tblPrEx>
        <w:trPr>
          <w:jc w:val="center"/>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0FDD24B">
            <w:pPr>
              <w:spacing w:line="400" w:lineRule="exact"/>
              <w:jc w:val="center"/>
              <w:rPr>
                <w:rFonts w:hint="eastAsia" w:ascii="宋体" w:hAnsi="宋体" w:eastAsia="宋体" w:cs="宋体"/>
                <w:color w:val="auto"/>
                <w:sz w:val="24"/>
                <w:szCs w:val="24"/>
                <w:highlight w:val="none"/>
                <w:lang w:val="zh-CN"/>
              </w:rPr>
            </w:pPr>
          </w:p>
        </w:tc>
        <w:tc>
          <w:tcPr>
            <w:tcW w:w="29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90094B3">
            <w:pPr>
              <w:spacing w:line="400" w:lineRule="exact"/>
              <w:jc w:val="center"/>
              <w:rPr>
                <w:rFonts w:hint="eastAsia" w:ascii="宋体" w:hAnsi="宋体" w:eastAsia="宋体" w:cs="宋体"/>
                <w:color w:val="auto"/>
                <w:sz w:val="24"/>
                <w:szCs w:val="24"/>
                <w:highlight w:val="none"/>
                <w:lang w:val="zh-CN"/>
              </w:rPr>
            </w:pP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B5F8B">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书面形式：包括文字的打印或复印件、传真、信函、电传、电报、</w:t>
            </w:r>
            <w:r>
              <w:rPr>
                <w:rFonts w:hint="eastAsia" w:ascii="宋体" w:hAnsi="宋体" w:eastAsia="宋体" w:cs="宋体"/>
                <w:color w:val="auto"/>
                <w:sz w:val="24"/>
                <w:szCs w:val="24"/>
                <w:highlight w:val="none"/>
                <w:shd w:val="clear" w:color="auto" w:fill="FFFFFF"/>
              </w:rPr>
              <w:t>电子邮件、</w:t>
            </w:r>
            <w:r>
              <w:rPr>
                <w:rFonts w:hint="eastAsia" w:ascii="宋体" w:hAnsi="宋体" w:eastAsia="宋体" w:cs="宋体"/>
                <w:color w:val="auto"/>
                <w:sz w:val="24"/>
                <w:szCs w:val="24"/>
                <w:highlight w:val="none"/>
              </w:rPr>
              <w:t>相关媒介发布的公告</w:t>
            </w:r>
            <w:r>
              <w:rPr>
                <w:rFonts w:hint="eastAsia" w:ascii="宋体" w:hAnsi="宋体" w:eastAsia="宋体" w:cs="宋体"/>
                <w:color w:val="auto"/>
                <w:sz w:val="24"/>
                <w:szCs w:val="24"/>
                <w:highlight w:val="none"/>
                <w:shd w:val="clear" w:color="auto" w:fill="FFFFFF"/>
              </w:rPr>
              <w:t>等可以有形地表现所载内容的形式。</w:t>
            </w:r>
          </w:p>
        </w:tc>
      </w:tr>
      <w:tr w14:paraId="6EA9B44D">
        <w:tblPrEx>
          <w:shd w:val="clear" w:color="auto" w:fill="auto"/>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1B515">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C604C">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分包和非主体、非关键性工作</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C9B81">
            <w:pPr>
              <w:spacing w:line="380" w:lineRule="exact"/>
              <w:ind w:left="360" w:hanging="360" w:hanging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不允许</w:t>
            </w:r>
          </w:p>
          <w:p w14:paraId="18055774">
            <w:pPr>
              <w:spacing w:line="3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color w:val="auto"/>
                <w:sz w:val="24"/>
                <w:szCs w:val="24"/>
                <w:highlight w:val="none"/>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002B2D4D">
        <w:tblPrEx>
          <w:shd w:val="clear" w:color="auto" w:fill="auto"/>
          <w:tblCellMar>
            <w:top w:w="0" w:type="dxa"/>
            <w:left w:w="108" w:type="dxa"/>
            <w:bottom w:w="0" w:type="dxa"/>
            <w:right w:w="108" w:type="dxa"/>
          </w:tblCellMar>
        </w:tblPrEx>
        <w:trPr>
          <w:trHeight w:val="1075"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6ADE1">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324FDA">
            <w:pPr>
              <w:spacing w:line="4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监督</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D0F2DC">
            <w:pPr>
              <w:spacing w:line="40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本次招标投标活动以及相关当事人应当接受相关部门依法实施的监督。</w:t>
            </w:r>
          </w:p>
        </w:tc>
      </w:tr>
      <w:tr w14:paraId="70254212">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92EB3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E77D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小、微企业投标产品价格扣除</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BF94D9">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政府采购促进中小企业发展暂行办法》（财库〔2011〕181号）文的有关规定，投标人属于符合本办法第二条之规定的中小企业者，应在投标文件中按财库〔2011〕181号文规定的《中小企业声明函》格式提供《中小企业声明函》。</w:t>
            </w:r>
          </w:p>
          <w:p w14:paraId="09A1E510">
            <w:pPr>
              <w:spacing w:line="380" w:lineRule="exact"/>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68D047B7">
            <w:pPr>
              <w:spacing w:line="380" w:lineRule="exact"/>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90D77CA">
            <w:pPr>
              <w:spacing w:line="380" w:lineRule="exact"/>
              <w:jc w:val="left"/>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本项目给予小微企业的价格扣除为 10%</w:t>
            </w:r>
          </w:p>
          <w:p w14:paraId="0731EEEF">
            <w:pPr>
              <w:spacing w:line="380" w:lineRule="exact"/>
              <w:jc w:val="left"/>
              <w:rPr>
                <w:rFonts w:hint="default"/>
                <w:color w:val="auto"/>
                <w:highlight w:val="none"/>
                <w:lang w:val="en-US"/>
              </w:rPr>
            </w:pPr>
            <w:r>
              <w:rPr>
                <w:rFonts w:hint="default" w:ascii="宋体" w:hAnsi="宋体" w:eastAsia="宋体" w:cs="宋体"/>
                <w:color w:val="auto"/>
                <w:sz w:val="24"/>
                <w:szCs w:val="24"/>
                <w:highlight w:val="none"/>
                <w:lang w:val="en-US"/>
              </w:rPr>
              <w:t xml:space="preserve"> 小型和微型企业适用价格扣除办法时应提供的相关资料：《中小企业声明函》</w:t>
            </w:r>
          </w:p>
        </w:tc>
      </w:tr>
      <w:tr w14:paraId="5D9BF3F6">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6069D">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ECF9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zh-CN" w:eastAsia="zh-CN" w:bidi="ar-SA"/>
              </w:rPr>
              <w:t>融资与信用担保</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2AE98">
            <w:pPr>
              <w:pStyle w:val="6"/>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政府采购支持中小企业融资：有融资需求的，可查询相关业务。</w:t>
            </w:r>
          </w:p>
          <w:p w14:paraId="3DEC1AB3">
            <w:pPr>
              <w:pStyle w:val="6"/>
              <w:rPr>
                <w:rFonts w:hint="eastAsia"/>
                <w:color w:val="auto"/>
                <w:highlight w:val="none"/>
                <w:lang w:val="zh-CN" w:eastAsia="zh-CN"/>
              </w:rPr>
            </w:pPr>
            <w:r>
              <w:rPr>
                <w:rFonts w:hint="eastAsia" w:ascii="宋体" w:hAnsi="宋体" w:eastAsia="宋体" w:cs="宋体"/>
                <w:color w:val="auto"/>
                <w:kern w:val="2"/>
                <w:sz w:val="24"/>
                <w:szCs w:val="24"/>
                <w:highlight w:val="none"/>
                <w:lang w:val="zh-CN" w:eastAsia="zh-CN" w:bidi="ar-SA"/>
              </w:rPr>
              <w:t>政府采购信用担保：有担保需求的，可查询相关业务。</w:t>
            </w:r>
          </w:p>
        </w:tc>
      </w:tr>
      <w:tr w14:paraId="528B59AE">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5D02BF">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C42A2">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中标结果公告</w:t>
            </w:r>
            <w:r>
              <w:rPr>
                <w:rFonts w:hint="eastAsia" w:ascii="宋体" w:hAnsi="宋体" w:cs="宋体"/>
                <w:color w:val="auto"/>
                <w:sz w:val="24"/>
                <w:szCs w:val="24"/>
                <w:highlight w:val="none"/>
                <w:lang w:val="en-US" w:eastAsia="zh-CN"/>
              </w:rPr>
              <w:t>的媒介</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B01D89">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在新疆政府采购网、阿克苏地区行政公署网</w:t>
            </w:r>
            <w:r>
              <w:rPr>
                <w:rFonts w:hint="eastAsia" w:ascii="宋体" w:hAnsi="宋体" w:cs="宋体"/>
                <w:color w:val="000000" w:themeColor="text1"/>
                <w:sz w:val="24"/>
                <w:szCs w:val="24"/>
                <w:highlight w:val="none"/>
                <w:lang w:val="en-US" w:eastAsia="zh-CN"/>
                <w14:textFill>
                  <w14:solidFill>
                    <w14:schemeClr w14:val="tx1"/>
                  </w14:solidFill>
                </w14:textFill>
              </w:rPr>
              <w:t>、乌什县人民政府网</w:t>
            </w:r>
            <w:r>
              <w:rPr>
                <w:rFonts w:hint="eastAsia" w:ascii="宋体" w:hAnsi="宋体" w:eastAsia="宋体" w:cs="宋体"/>
                <w:color w:val="000000" w:themeColor="text1"/>
                <w:sz w:val="24"/>
                <w:szCs w:val="24"/>
                <w:highlight w:val="none"/>
                <w:lang w:val="en-US" w:eastAsia="zh-CN"/>
                <w14:textFill>
                  <w14:solidFill>
                    <w14:schemeClr w14:val="tx1"/>
                  </w14:solidFill>
                </w14:textFill>
              </w:rPr>
              <w:t>同时发布</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14:paraId="17854DB7">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835BE">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572EE">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其他方式采购</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8885C">
            <w:p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开招标数额标准以上的采购项目，投标截止后投标人不足3家或者通过资格审查或符合性审查的投标人不足3家的，除采购任务取消情形外，根据《政府采购货物和服务招标投标管理办法》（中华人民共和国财政部令第87号）第四十三条规定，按照以下方式处理：</w:t>
            </w:r>
          </w:p>
          <w:p w14:paraId="56C67B99">
            <w:p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（1）招标文件存在不合理条款或者招标程序不符合规定的，采购人、采购代理机构改正后依法重新招标；</w:t>
            </w:r>
          </w:p>
          <w:p w14:paraId="1646B444">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（2）招标文件没有不合理条款、招标程序符合规定，需要采用其他采购方式采购的，采购人应当依法报财政部门批准。</w:t>
            </w:r>
          </w:p>
        </w:tc>
      </w:tr>
      <w:tr w14:paraId="4AC4C663">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CA5FB">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35.10</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DBB0B2">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质疑</w:t>
            </w:r>
            <w:r>
              <w:rPr>
                <w:rFonts w:hint="eastAsia" w:ascii="宋体" w:hAnsi="宋体" w:cs="宋体"/>
                <w:color w:val="auto"/>
                <w:sz w:val="24"/>
                <w:szCs w:val="24"/>
                <w:highlight w:val="none"/>
                <w:lang w:eastAsia="zh-CN"/>
              </w:rPr>
              <w:t>与</w:t>
            </w:r>
            <w:r>
              <w:rPr>
                <w:rFonts w:hint="eastAsia" w:ascii="宋体" w:hAnsi="宋体" w:eastAsia="宋体" w:cs="宋体"/>
                <w:color w:val="auto"/>
                <w:sz w:val="24"/>
                <w:szCs w:val="24"/>
                <w:highlight w:val="none"/>
                <w:lang w:val="en-US" w:eastAsia="zh-CN"/>
              </w:rPr>
              <w:t>澄清</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69342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招标文件的澄清和质疑</w:t>
            </w:r>
          </w:p>
          <w:p w14:paraId="7A61567B">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1、综合说明</w:t>
            </w:r>
          </w:p>
          <w:p w14:paraId="65314217">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14:paraId="7E72F2F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2、对招标文件的澄清和质疑</w:t>
            </w:r>
          </w:p>
          <w:p w14:paraId="32705F3D">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14:paraId="305E998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14:paraId="77C859F4">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3、对招标过程和拟中标结果的质疑</w:t>
            </w:r>
          </w:p>
          <w:p w14:paraId="2E678689">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14:paraId="7FCAD795">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14:paraId="5C0CD33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4、澄清或质疑不予受理的情况，有下列情形之一的，属于无效质疑，被质疑人不予受理，由此产生的影响由投标人自行承担：</w:t>
            </w:r>
          </w:p>
          <w:p w14:paraId="7053A5DB">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(一)不是参与该政府采购项目活动供应商的;</w:t>
            </w:r>
          </w:p>
          <w:p w14:paraId="2498666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(二)被质疑人为采购人或政府采购代理机构之外的；</w:t>
            </w:r>
          </w:p>
          <w:p w14:paraId="11216FE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(三)所有质疑事项超过质疑有效期的；</w:t>
            </w:r>
          </w:p>
          <w:p w14:paraId="30B4C8D7">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(四)以具有法律效力的文书送达之外方式提出的；</w:t>
            </w:r>
          </w:p>
          <w:p w14:paraId="2139959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 未按上述规定递交澄清或质疑函的；</w:t>
            </w:r>
          </w:p>
          <w:p w14:paraId="5C3769EE">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 其它不符合受理条件的情形。</w:t>
            </w:r>
          </w:p>
          <w:p w14:paraId="0093527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w:t>
            </w:r>
          </w:p>
          <w:p w14:paraId="0D2E670C">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澄清或质疑函递交地点：新疆阿克苏地区阿克苏市英巴扎街道巴格其社区友谊南路25号众恒·城市绿洲一期2号住宅楼1单元1301室</w:t>
            </w:r>
          </w:p>
          <w:p w14:paraId="2360ED63">
            <w:pPr>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联系方式：15739629462</w:t>
            </w:r>
          </w:p>
        </w:tc>
      </w:tr>
      <w:tr w14:paraId="1D2F3D33">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FF945E">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35.11</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002B9">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投诉</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B6107">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（1）质疑供应商对采购人、采购代理机构的答复不满意或者采购人、采购代理机构未在规定的时间内作出答复的，可以在答复期满后十五个工作日内向同级政府采购监理部门投诉。</w:t>
            </w:r>
          </w:p>
          <w:p w14:paraId="141BA070">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14:paraId="3DE0B26F">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2432BC">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35.12</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CD15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企业信用担保及融资</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DD485">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政府采购支持中小企业融资:有融资需求的，可查询相关业务</w:t>
            </w:r>
            <w:r>
              <w:rPr>
                <w:rFonts w:hint="eastAsia" w:ascii="宋体" w:hAnsi="宋体" w:eastAsia="宋体" w:cs="宋体"/>
                <w:color w:val="auto"/>
                <w:sz w:val="24"/>
                <w:szCs w:val="24"/>
                <w:highlight w:val="none"/>
                <w:lang w:eastAsia="zh-CN"/>
              </w:rPr>
              <w:t>。</w:t>
            </w:r>
          </w:p>
          <w:p w14:paraId="03BC1969">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政府采购信用担保;有担保需求的，可查询相关业务。</w:t>
            </w:r>
          </w:p>
        </w:tc>
      </w:tr>
      <w:tr w14:paraId="40376637">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93E332">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35.13</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E91C10">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其它要求</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33B9DD">
            <w:pPr>
              <w:numPr>
                <w:ilvl w:val="0"/>
                <w:numId w:val="0"/>
              </w:numPr>
              <w:adjustRightInd w:val="0"/>
              <w:snapToGrid w:val="0"/>
              <w:spacing w:before="120" w:beforeLines="50" w:line="24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须在投标文件中添加如下附件（原件扫描件或加盖公章的复印件）</w:t>
            </w:r>
            <w:r>
              <w:rPr>
                <w:rFonts w:hint="eastAsia" w:ascii="宋体" w:hAnsi="宋体" w:eastAsia="宋体" w:cs="宋体"/>
                <w:color w:val="auto"/>
                <w:sz w:val="24"/>
                <w:szCs w:val="24"/>
                <w:highlight w:val="none"/>
                <w:u w:val="none"/>
                <w:lang w:val="en-US" w:eastAsia="zh-CN"/>
              </w:rPr>
              <w:t>：</w:t>
            </w:r>
          </w:p>
          <w:p w14:paraId="79D77819">
            <w:pPr>
              <w:keepNext w:val="0"/>
              <w:keepLines w:val="0"/>
              <w:pageBreakBefore w:val="0"/>
              <w:widowControl w:val="0"/>
              <w:numPr>
                <w:ilvl w:val="0"/>
                <w:numId w:val="4"/>
              </w:numPr>
              <w:kinsoku/>
              <w:wordWrap/>
              <w:overflowPunct/>
              <w:topLinePunct w:val="0"/>
              <w:autoSpaceDE/>
              <w:autoSpaceDN/>
              <w:bidi w:val="0"/>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满足《中华人民共和国政府采购法》第二十二条规定（须提供承诺书，加盖单位公章）；</w:t>
            </w:r>
          </w:p>
          <w:p w14:paraId="250EAFE8">
            <w:pPr>
              <w:keepNext w:val="0"/>
              <w:keepLines w:val="0"/>
              <w:pageBreakBefore w:val="0"/>
              <w:widowControl w:val="0"/>
              <w:numPr>
                <w:ilvl w:val="0"/>
                <w:numId w:val="4"/>
              </w:numPr>
              <w:kinsoku/>
              <w:wordWrap/>
              <w:overflowPunct/>
              <w:topLinePunct w:val="0"/>
              <w:autoSpaceDE/>
              <w:autoSpaceDN/>
              <w:bidi w:val="0"/>
              <w:spacing w:line="400" w:lineRule="exact"/>
              <w:textAlignment w:val="auto"/>
              <w:rPr>
                <w:rFonts w:hint="eastAsia" w:ascii="宋体" w:hAnsi="宋体" w:cs="宋体"/>
                <w:color w:val="auto"/>
                <w:sz w:val="24"/>
                <w:highlight w:val="none"/>
              </w:rPr>
            </w:pPr>
            <w:r>
              <w:rPr>
                <w:rFonts w:hint="eastAsia" w:ascii="宋体" w:hAnsi="宋体" w:eastAsia="宋体" w:cs="宋体"/>
                <w:color w:val="auto"/>
                <w:sz w:val="24"/>
                <w:szCs w:val="24"/>
                <w:highlight w:val="none"/>
              </w:rPr>
              <w:t>提供法定代表人及其委托代理人本人身份证原件扫描件，委托代理人还应具备《法定代表人身份证明》及《法人代表授权委托书》</w:t>
            </w:r>
            <w:r>
              <w:rPr>
                <w:rFonts w:hint="eastAsia" w:ascii="宋体" w:hAnsi="宋体" w:cs="宋体"/>
                <w:color w:val="auto"/>
                <w:sz w:val="24"/>
                <w:highlight w:val="none"/>
                <w:lang w:val="zh-CN"/>
              </w:rPr>
              <w:t>；</w:t>
            </w:r>
          </w:p>
          <w:p w14:paraId="57BD11D9">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、有效经年检的三证合一营业执照</w:t>
            </w:r>
            <w:r>
              <w:rPr>
                <w:rFonts w:hint="eastAsia" w:ascii="宋体" w:hAnsi="宋体" w:cs="宋体"/>
                <w:color w:val="auto"/>
                <w:sz w:val="24"/>
                <w:highlight w:val="none"/>
                <w:lang w:eastAsia="zh-CN"/>
              </w:rPr>
              <w:t>；</w:t>
            </w:r>
          </w:p>
          <w:p w14:paraId="47406D9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color w:val="auto"/>
                <w:sz w:val="24"/>
                <w:szCs w:val="24"/>
                <w:highlight w:val="none"/>
                <w:lang w:eastAsia="zh-CN"/>
              </w:rPr>
              <w:t>提供</w:t>
            </w:r>
            <w:r>
              <w:rPr>
                <w:rFonts w:hint="eastAsia"/>
                <w:color w:val="auto"/>
                <w:sz w:val="24"/>
                <w:szCs w:val="24"/>
                <w:highlight w:val="none"/>
              </w:rPr>
              <w:t>近</w:t>
            </w:r>
            <w:r>
              <w:rPr>
                <w:rFonts w:hint="eastAsia"/>
                <w:color w:val="auto"/>
                <w:sz w:val="24"/>
                <w:szCs w:val="24"/>
                <w:highlight w:val="none"/>
                <w:lang w:eastAsia="zh-CN"/>
              </w:rPr>
              <w:t>三</w:t>
            </w:r>
            <w:r>
              <w:rPr>
                <w:rFonts w:hint="eastAsia"/>
                <w:color w:val="auto"/>
                <w:sz w:val="24"/>
                <w:szCs w:val="24"/>
                <w:highlight w:val="none"/>
              </w:rPr>
              <w:t>个月（连续）的社保证明（需有相关人员的社保缴纳明细，退休人员需提供退休证明）和完税证明、提供</w:t>
            </w:r>
            <w:r>
              <w:rPr>
                <w:rFonts w:hint="eastAsia"/>
                <w:color w:val="auto"/>
                <w:sz w:val="24"/>
                <w:szCs w:val="24"/>
                <w:highlight w:val="none"/>
                <w:lang w:eastAsia="zh-CN"/>
              </w:rPr>
              <w:t>近三年</w:t>
            </w:r>
            <w:r>
              <w:rPr>
                <w:rFonts w:hint="eastAsia"/>
                <w:color w:val="auto"/>
                <w:sz w:val="24"/>
                <w:szCs w:val="24"/>
                <w:highlight w:val="none"/>
              </w:rPr>
              <w:t>的财务审计报告或财务报表〔成立不足一年提供成立至今财务报表）；</w:t>
            </w:r>
          </w:p>
          <w:p w14:paraId="00948A36">
            <w:pPr>
              <w:keepNext w:val="0"/>
              <w:keepLines w:val="0"/>
              <w:pageBreakBefore w:val="0"/>
              <w:widowControl w:val="0"/>
              <w:kinsoku/>
              <w:wordWrap/>
              <w:overflowPunct/>
              <w:topLinePunct w:val="0"/>
              <w:autoSpaceDE/>
              <w:autoSpaceDN/>
              <w:bidi w:val="0"/>
              <w:spacing w:line="4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000000" w:themeColor="text1"/>
                <w:sz w:val="24"/>
                <w:highlight w:val="none"/>
                <w14:textFill>
                  <w14:solidFill>
                    <w14:schemeClr w14:val="tx1"/>
                  </w14:solidFill>
                </w14:textFill>
              </w:rPr>
              <w:t>凡拟参加本次招标项目的投标人，如在“信用中国”网站（www.creditchina.gov.cn）、中国政府采购网（www.ccgp.gov.cn）被列入失信被执行人、重大税收违法案件当事人名单、政府采购严重违法失信行为记录</w:t>
            </w:r>
          </w:p>
          <w:p w14:paraId="6966B17A">
            <w:pPr>
              <w:keepNext w:val="0"/>
              <w:keepLines w:val="0"/>
              <w:pageBreakBefore w:val="0"/>
              <w:widowControl w:val="0"/>
              <w:kinsoku/>
              <w:wordWrap/>
              <w:overflowPunct/>
              <w:topLinePunct w:val="0"/>
              <w:autoSpaceDE/>
              <w:autoSpaceDN/>
              <w:bidi w:val="0"/>
              <w:spacing w:line="4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名单的（尚在处罚期内的），将拒绝其参本次政府采购活动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由采购人或采购代理机构现场查询</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31B2F203">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6政府采购诚信承诺书</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42DC309">
            <w:pPr>
              <w:keepNext w:val="0"/>
              <w:keepLines w:val="0"/>
              <w:pageBreakBefore w:val="0"/>
              <w:widowControl w:val="0"/>
              <w:kinsoku/>
              <w:wordWrap/>
              <w:overflowPunct/>
              <w:topLinePunct w:val="0"/>
              <w:autoSpaceDE/>
              <w:autoSpaceDN/>
              <w:bidi w:val="0"/>
              <w:spacing w:line="440" w:lineRule="exac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提供参加政府采购活动前三年内，在经营活动中没有重大违法记录（承诺函原件）</w:t>
            </w:r>
            <w:r>
              <w:rPr>
                <w:rFonts w:hint="eastAsia" w:ascii="宋体" w:hAnsi="宋体" w:cs="宋体"/>
                <w:color w:val="auto"/>
                <w:sz w:val="24"/>
                <w:szCs w:val="24"/>
                <w:highlight w:val="none"/>
                <w:lang w:eastAsia="zh-CN"/>
              </w:rPr>
              <w:t>；</w:t>
            </w:r>
          </w:p>
          <w:p w14:paraId="59DEB7B1">
            <w:pPr>
              <w:keepNext w:val="0"/>
              <w:keepLines w:val="0"/>
              <w:pageBreakBefore w:val="0"/>
              <w:widowControl w:val="0"/>
              <w:kinsoku/>
              <w:wordWrap/>
              <w:overflowPunct/>
              <w:topLinePunct w:val="0"/>
              <w:autoSpaceDE/>
              <w:autoSpaceDN/>
              <w:bidi w:val="0"/>
              <w:spacing w:line="440" w:lineRule="exac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提供具有履行合同所必须的设备和专业技术能力的承诺函原件；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格式自拟</w:t>
            </w:r>
            <w:r>
              <w:rPr>
                <w:rFonts w:hint="eastAsia" w:ascii="宋体" w:hAnsi="宋体" w:cs="宋体"/>
                <w:color w:val="auto"/>
                <w:sz w:val="24"/>
                <w:szCs w:val="24"/>
                <w:highlight w:val="none"/>
                <w:lang w:eastAsia="zh-CN"/>
              </w:rPr>
              <w:t>）</w:t>
            </w:r>
          </w:p>
          <w:p w14:paraId="40EED13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备注：上述证件、资料齐全、满足要求的投标人为有效投标人。</w:t>
            </w:r>
          </w:p>
          <w:p w14:paraId="13477C54">
            <w:pPr>
              <w:spacing w:line="400" w:lineRule="exact"/>
              <w:jc w:val="left"/>
              <w:rPr>
                <w:rFonts w:hint="eastAsia" w:ascii="宋体" w:hAnsi="宋体" w:eastAsia="宋体" w:cs="宋体"/>
                <w:color w:val="auto"/>
                <w:sz w:val="24"/>
                <w:szCs w:val="24"/>
                <w:highlight w:val="none"/>
              </w:rPr>
            </w:pPr>
            <w:r>
              <w:rPr>
                <w:rFonts w:hint="eastAsia" w:ascii="宋体" w:hAnsi="宋体" w:cs="宋体"/>
                <w:b/>
                <w:bCs/>
                <w:color w:val="auto"/>
                <w:sz w:val="24"/>
                <w:highlight w:val="none"/>
                <w:lang w:val="en-US" w:eastAsia="zh-CN"/>
              </w:rPr>
              <w:t>上述证件的公证件，本次招标不予认可</w:t>
            </w:r>
          </w:p>
        </w:tc>
      </w:tr>
      <w:tr w14:paraId="481D8FE6">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8D447C">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35.14</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7080C">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投标人不得存在下列情形之一</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91830">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投标人不得存在下列情形之一：</w:t>
            </w:r>
          </w:p>
          <w:p w14:paraId="409B8495">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（1）与招标人存在利害关系且可能影响招标公正性；</w:t>
            </w:r>
          </w:p>
          <w:p w14:paraId="350B4BA9">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（2）与本招标项目的其他投标人为同一个单位负责人；</w:t>
            </w:r>
          </w:p>
          <w:p w14:paraId="0AB3DE58">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（3）与本招标项目的其他投标人存在控股、管理关系；</w:t>
            </w:r>
          </w:p>
          <w:p w14:paraId="49CDA31D">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（4）被依法暂停或者取消投标资格；</w:t>
            </w:r>
          </w:p>
          <w:p w14:paraId="206BC177">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（5）被责令停产停业、暂扣或者吊销许可证、暂扣或者吊销执照；</w:t>
            </w:r>
          </w:p>
          <w:p w14:paraId="43D2415C">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（6）进入清算程序，或被宣告破产，或其他丧失履约能力的情形；</w:t>
            </w:r>
          </w:p>
          <w:p w14:paraId="591FEDA3">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（7）被工商行政管理机关在全国企业信用信息公示系统中列入严重违法失信企业名单；</w:t>
            </w:r>
          </w:p>
          <w:p w14:paraId="767E7276">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（8）被最高人民法院在“信用中国”网站（www.creditchina.gov.cn）或各级信用信息共享平台中列入失信被执行人名单；</w:t>
            </w:r>
          </w:p>
          <w:p w14:paraId="60A4DDF6">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（9）在近三年内投标人或其法定代表人、拟委任的项目负责人有行贿犯罪行为的；</w:t>
            </w:r>
          </w:p>
          <w:p w14:paraId="250D2632">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（10）法律法规或投标人须知前附表规定的其他情形。</w:t>
            </w:r>
          </w:p>
        </w:tc>
      </w:tr>
      <w:tr w14:paraId="4DCE3929">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44479">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35.15</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9F255">
            <w:pPr>
              <w:spacing w:line="400" w:lineRule="exact"/>
              <w:jc w:val="center"/>
              <w:rPr>
                <w:rFonts w:hint="eastAsia" w:ascii="宋体" w:hAnsi="宋体" w:cs="宋体"/>
                <w:color w:val="auto"/>
                <w:sz w:val="24"/>
                <w:szCs w:val="24"/>
                <w:highlight w:val="none"/>
                <w:lang w:eastAsia="zh-CN"/>
              </w:rPr>
            </w:pPr>
            <w:r>
              <w:rPr>
                <w:rFonts w:hint="eastAsia" w:ascii="宋体" w:hAnsi="宋体" w:cs="宋体"/>
                <w:b/>
                <w:bCs/>
                <w:color w:val="auto"/>
                <w:sz w:val="24"/>
                <w:highlight w:val="none"/>
                <w:lang w:val="en-US" w:eastAsia="zh-CN"/>
              </w:rPr>
              <w:t>低于成本价不正当竞争预防措施</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309CB">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低于成本价不正当竞争预防措施：</w:t>
            </w:r>
          </w:p>
          <w:p w14:paraId="5CFBC2CA">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761021">
            <w:pPr>
              <w:spacing w:line="400" w:lineRule="exact"/>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tc>
      </w:tr>
      <w:tr w14:paraId="1AEB6B7E">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7218B">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35.16</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E79E0">
            <w:pPr>
              <w:spacing w:line="400" w:lineRule="exact"/>
              <w:jc w:val="center"/>
              <w:rPr>
                <w:rFonts w:hint="eastAsia" w:ascii="宋体" w:hAnsi="宋体" w:cs="宋体"/>
                <w:color w:val="auto"/>
                <w:sz w:val="24"/>
                <w:szCs w:val="24"/>
                <w:highlight w:val="none"/>
                <w:lang w:eastAsia="zh-CN"/>
              </w:rPr>
            </w:pPr>
            <w:r>
              <w:rPr>
                <w:rFonts w:hint="eastAsia" w:ascii="宋体" w:hAnsi="宋体" w:eastAsia="宋体" w:cs="宋体"/>
                <w:b/>
                <w:bCs w:val="0"/>
                <w:color w:val="auto"/>
                <w:sz w:val="24"/>
                <w:highlight w:val="none"/>
                <w:lang w:val="en-US" w:eastAsia="zh-CN"/>
              </w:rPr>
              <w:t xml:space="preserve">设备     </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C47D89">
            <w:pPr>
              <w:spacing w:line="400" w:lineRule="exact"/>
              <w:jc w:val="left"/>
              <w:rPr>
                <w:rFonts w:hint="eastAsia" w:ascii="宋体" w:hAnsi="宋体" w:cs="宋体"/>
                <w:b/>
                <w:bCs/>
                <w:color w:val="auto"/>
                <w:sz w:val="24"/>
                <w:highlight w:val="none"/>
                <w:lang w:val="en-US" w:eastAsia="zh-CN"/>
              </w:rPr>
            </w:pPr>
            <w:r>
              <w:rPr>
                <w:rFonts w:hint="eastAsia" w:ascii="宋体" w:hAnsi="宋体" w:eastAsia="宋体" w:cs="宋体"/>
                <w:b/>
                <w:bCs w:val="0"/>
                <w:color w:val="auto"/>
                <w:sz w:val="24"/>
                <w:highlight w:val="none"/>
                <w:lang w:val="en-US" w:eastAsia="zh-CN"/>
              </w:rPr>
              <w:t>设备进口：□是 ☑否</w:t>
            </w:r>
          </w:p>
        </w:tc>
      </w:tr>
      <w:tr w14:paraId="21ED1A0C">
        <w:tblPrEx>
          <w:shd w:val="clear" w:color="auto" w:fill="auto"/>
          <w:tblCellMar>
            <w:top w:w="0" w:type="dxa"/>
            <w:left w:w="108" w:type="dxa"/>
            <w:bottom w:w="0" w:type="dxa"/>
            <w:right w:w="108" w:type="dxa"/>
          </w:tblCellMar>
        </w:tblPrEx>
        <w:trPr>
          <w:trHeight w:val="1077" w:hRule="atLeast"/>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A4780">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35.17</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7AE3E">
            <w:pPr>
              <w:spacing w:line="400" w:lineRule="exact"/>
              <w:jc w:val="cente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补充</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EBD29">
            <w:pPr>
              <w:spacing w:line="400" w:lineRule="exact"/>
              <w:jc w:val="left"/>
              <w:rPr>
                <w:rFonts w:hint="eastAsia" w:ascii="宋体" w:hAnsi="宋体" w:eastAsia="宋体" w:cs="宋体"/>
                <w:bCs/>
                <w:color w:val="auto"/>
                <w:sz w:val="24"/>
                <w:highlight w:val="none"/>
                <w:lang w:val="en-US" w:eastAsia="zh-CN"/>
              </w:rPr>
            </w:pPr>
            <w:r>
              <w:rPr>
                <w:rFonts w:hint="default" w:ascii="宋体" w:hAnsi="宋体" w:eastAsia="宋体" w:cs="宋体"/>
                <w:bCs/>
                <w:color w:val="auto"/>
                <w:sz w:val="24"/>
                <w:highlight w:val="none"/>
                <w:lang w:val="en-US" w:eastAsia="zh-CN"/>
              </w:rPr>
              <w:t>投标企业必须对提供的企业和人员资质负责，如出现资质不符将取消</w:t>
            </w:r>
            <w:r>
              <w:rPr>
                <w:rFonts w:hint="eastAsia" w:ascii="宋体" w:hAnsi="宋体" w:eastAsia="宋体" w:cs="宋体"/>
                <w:bCs/>
                <w:color w:val="auto"/>
                <w:sz w:val="24"/>
                <w:highlight w:val="none"/>
                <w:lang w:val="en-US" w:eastAsia="zh-CN"/>
              </w:rPr>
              <w:t>投标</w:t>
            </w:r>
            <w:r>
              <w:rPr>
                <w:rFonts w:hint="default" w:ascii="宋体" w:hAnsi="宋体" w:eastAsia="宋体" w:cs="宋体"/>
                <w:bCs/>
                <w:color w:val="auto"/>
                <w:sz w:val="24"/>
                <w:highlight w:val="none"/>
                <w:lang w:val="en-US" w:eastAsia="zh-CN"/>
              </w:rPr>
              <w:t>资格。若有涉嫌造假的行为，将上报自治区行业主管部门启动失信黑名单处罚措施。</w:t>
            </w:r>
          </w:p>
        </w:tc>
      </w:tr>
      <w:tr w14:paraId="54E2E599">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08CCF">
            <w:pPr>
              <w:pStyle w:val="9"/>
              <w:jc w:val="center"/>
              <w:rPr>
                <w:rFonts w:hint="default"/>
                <w:color w:val="auto"/>
                <w:highlight w:val="none"/>
                <w:lang w:val="en-US" w:eastAsia="zh-CN"/>
              </w:rPr>
            </w:pPr>
            <w:r>
              <w:rPr>
                <w:rFonts w:hint="eastAsia" w:hAnsi="宋体" w:cs="宋体"/>
                <w:color w:val="auto"/>
                <w:kern w:val="2"/>
                <w:sz w:val="24"/>
                <w:szCs w:val="24"/>
                <w:highlight w:val="none"/>
                <w:lang w:val="en-US" w:eastAsia="zh-CN" w:bidi="ar-SA"/>
              </w:rPr>
              <w:t>35.18</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4D1BD">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772CE8">
            <w:pPr>
              <w:spacing w:line="40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若参数中出现品牌型号，仅供参考，采购人未指定任何品牌及型号</w:t>
            </w:r>
          </w:p>
        </w:tc>
      </w:tr>
      <w:tr w14:paraId="5A617824">
        <w:tblPrEx>
          <w:shd w:val="clear" w:color="auto" w:fill="auto"/>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EEDC6">
            <w:pPr>
              <w:pStyle w:val="9"/>
              <w:jc w:val="center"/>
              <w:rPr>
                <w:rFonts w:hint="default" w:hAnsi="宋体" w:cs="宋体"/>
                <w:color w:val="000000" w:themeColor="text1"/>
                <w:kern w:val="2"/>
                <w:sz w:val="24"/>
                <w:szCs w:val="24"/>
                <w:highlight w:val="none"/>
                <w:lang w:val="en-US" w:eastAsia="zh-CN" w:bidi="ar-SA"/>
                <w14:textFill>
                  <w14:solidFill>
                    <w14:schemeClr w14:val="tx1"/>
                  </w14:solidFill>
                </w14:textFill>
              </w:rPr>
            </w:pPr>
            <w:r>
              <w:rPr>
                <w:rFonts w:hint="eastAsia" w:hAnsi="宋体" w:cs="宋体"/>
                <w:color w:val="000000" w:themeColor="text1"/>
                <w:kern w:val="2"/>
                <w:sz w:val="24"/>
                <w:szCs w:val="24"/>
                <w:highlight w:val="none"/>
                <w:lang w:val="en-US" w:eastAsia="zh-CN" w:bidi="ar-SA"/>
                <w14:textFill>
                  <w14:solidFill>
                    <w14:schemeClr w14:val="tx1"/>
                  </w14:solidFill>
                </w14:textFill>
              </w:rPr>
              <w:t>35.19</w:t>
            </w:r>
          </w:p>
        </w:tc>
        <w:tc>
          <w:tcPr>
            <w:tcW w:w="29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7AD297">
            <w:pPr>
              <w:spacing w:line="400" w:lineRule="exact"/>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项目所属行业</w:t>
            </w:r>
          </w:p>
        </w:tc>
        <w:tc>
          <w:tcPr>
            <w:tcW w:w="62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B9AF8">
            <w:pPr>
              <w:spacing w:line="400" w:lineRule="exact"/>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制造业</w:t>
            </w:r>
          </w:p>
        </w:tc>
      </w:tr>
    </w:tbl>
    <w:p w14:paraId="78E87480">
      <w:pPr>
        <w:spacing w:line="400" w:lineRule="exact"/>
        <w:jc w:val="center"/>
        <w:rPr>
          <w:rFonts w:hint="eastAsia" w:ascii="宋体" w:hAnsi="宋体" w:eastAsia="宋体" w:cs="宋体"/>
          <w:color w:val="auto"/>
          <w:sz w:val="24"/>
          <w:szCs w:val="24"/>
          <w:highlight w:val="none"/>
        </w:rPr>
      </w:pPr>
    </w:p>
    <w:p w14:paraId="3E958923">
      <w:pPr>
        <w:rPr>
          <w:rFonts w:hint="eastAsia" w:ascii="宋体" w:hAnsi="宋体" w:cs="宋体"/>
          <w:color w:val="auto"/>
          <w:highlight w:val="none"/>
        </w:rPr>
      </w:pPr>
      <w:r>
        <w:rPr>
          <w:rFonts w:hint="eastAsia" w:ascii="宋体" w:hAnsi="宋体" w:cs="宋体"/>
          <w:color w:val="auto"/>
          <w:kern w:val="0"/>
          <w:sz w:val="24"/>
          <w:highlight w:val="none"/>
        </w:rPr>
        <w:t>注：本表内容与招标文件其它内容不一致的，应当以本表内容为准。</w:t>
      </w:r>
    </w:p>
    <w:p w14:paraId="0EAE6DFD">
      <w:pPr>
        <w:spacing w:line="400" w:lineRule="exact"/>
        <w:jc w:val="center"/>
        <w:rPr>
          <w:rFonts w:hint="eastAsia" w:ascii="宋体" w:hAnsi="宋体" w:eastAsia="宋体" w:cs="宋体"/>
          <w:color w:val="auto"/>
          <w:sz w:val="24"/>
          <w:szCs w:val="24"/>
          <w:highlight w:val="none"/>
        </w:rPr>
      </w:pPr>
    </w:p>
    <w:p w14:paraId="0905FECF">
      <w:pPr>
        <w:spacing w:afterLines="50" w:line="440" w:lineRule="exact"/>
        <w:jc w:val="center"/>
        <w:outlineLvl w:val="1"/>
        <w:rPr>
          <w:rFonts w:hint="eastAsia" w:ascii="宋体" w:hAnsi="宋体" w:eastAsia="宋体" w:cs="宋体"/>
          <w:color w:val="auto"/>
          <w:sz w:val="28"/>
          <w:szCs w:val="28"/>
          <w:highlight w:val="none"/>
        </w:rPr>
      </w:pPr>
      <w:bookmarkStart w:id="13" w:name="_Toc16701"/>
      <w:bookmarkStart w:id="14" w:name="_Toc14086"/>
    </w:p>
    <w:p w14:paraId="4242DCC3">
      <w:pPr>
        <w:spacing w:afterLines="50" w:line="440" w:lineRule="exact"/>
        <w:jc w:val="center"/>
        <w:outlineLvl w:val="1"/>
        <w:rPr>
          <w:rFonts w:hint="eastAsia" w:ascii="宋体" w:hAnsi="宋体" w:eastAsia="宋体" w:cs="宋体"/>
          <w:color w:val="auto"/>
          <w:sz w:val="28"/>
          <w:szCs w:val="28"/>
          <w:highlight w:val="none"/>
        </w:rPr>
      </w:pPr>
    </w:p>
    <w:p w14:paraId="72E39CFD">
      <w:pPr>
        <w:spacing w:afterLines="50" w:line="440" w:lineRule="exact"/>
        <w:jc w:val="center"/>
        <w:outlineLvl w:val="1"/>
        <w:rPr>
          <w:rFonts w:hint="eastAsia" w:ascii="宋体" w:hAnsi="宋体" w:eastAsia="宋体" w:cs="宋体"/>
          <w:color w:val="auto"/>
          <w:sz w:val="28"/>
          <w:szCs w:val="28"/>
          <w:highlight w:val="none"/>
        </w:rPr>
      </w:pPr>
    </w:p>
    <w:p w14:paraId="3A15FF8E">
      <w:pPr>
        <w:spacing w:afterLines="50" w:line="440" w:lineRule="exact"/>
        <w:jc w:val="center"/>
        <w:outlineLvl w:val="1"/>
        <w:rPr>
          <w:rFonts w:hint="eastAsia" w:ascii="宋体" w:hAnsi="宋体" w:eastAsia="宋体" w:cs="宋体"/>
          <w:color w:val="auto"/>
          <w:sz w:val="28"/>
          <w:szCs w:val="28"/>
          <w:highlight w:val="none"/>
        </w:rPr>
      </w:pPr>
    </w:p>
    <w:p w14:paraId="5B091047">
      <w:pPr>
        <w:spacing w:afterLines="50" w:line="440" w:lineRule="exact"/>
        <w:jc w:val="center"/>
        <w:outlineLvl w:val="1"/>
        <w:rPr>
          <w:rFonts w:hint="eastAsia" w:ascii="宋体" w:hAnsi="宋体" w:eastAsia="宋体" w:cs="宋体"/>
          <w:color w:val="auto"/>
          <w:sz w:val="28"/>
          <w:szCs w:val="28"/>
          <w:highlight w:val="none"/>
        </w:rPr>
      </w:pPr>
    </w:p>
    <w:p w14:paraId="69CAED0A">
      <w:pPr>
        <w:spacing w:afterLines="50" w:line="440" w:lineRule="exact"/>
        <w:jc w:val="center"/>
        <w:outlineLvl w:val="1"/>
        <w:rPr>
          <w:rFonts w:hint="eastAsia" w:ascii="宋体" w:hAnsi="宋体" w:eastAsia="宋体" w:cs="宋体"/>
          <w:color w:val="auto"/>
          <w:sz w:val="28"/>
          <w:szCs w:val="28"/>
          <w:highlight w:val="none"/>
        </w:rPr>
      </w:pPr>
    </w:p>
    <w:p w14:paraId="200CDA71">
      <w:pPr>
        <w:spacing w:afterLines="50" w:line="440" w:lineRule="exact"/>
        <w:jc w:val="center"/>
        <w:outlineLvl w:val="1"/>
        <w:rPr>
          <w:rFonts w:hint="eastAsia" w:ascii="宋体" w:hAnsi="宋体" w:eastAsia="宋体" w:cs="宋体"/>
          <w:color w:val="auto"/>
          <w:sz w:val="28"/>
          <w:szCs w:val="28"/>
          <w:highlight w:val="none"/>
        </w:rPr>
      </w:pPr>
    </w:p>
    <w:p w14:paraId="2CFC6525">
      <w:pPr>
        <w:spacing w:afterLines="50" w:line="440" w:lineRule="exact"/>
        <w:jc w:val="center"/>
        <w:outlineLvl w:val="1"/>
        <w:rPr>
          <w:rFonts w:hint="eastAsia" w:ascii="宋体" w:hAnsi="宋体" w:eastAsia="宋体" w:cs="宋体"/>
          <w:color w:val="auto"/>
          <w:sz w:val="28"/>
          <w:szCs w:val="28"/>
          <w:highlight w:val="none"/>
        </w:rPr>
      </w:pPr>
    </w:p>
    <w:p w14:paraId="1BC940B3">
      <w:pPr>
        <w:spacing w:afterLines="50" w:line="440" w:lineRule="exact"/>
        <w:jc w:val="center"/>
        <w:outlineLvl w:val="1"/>
        <w:rPr>
          <w:rFonts w:hint="eastAsia" w:ascii="宋体" w:hAnsi="宋体" w:eastAsia="宋体" w:cs="宋体"/>
          <w:color w:val="auto"/>
          <w:sz w:val="28"/>
          <w:szCs w:val="28"/>
          <w:highlight w:val="none"/>
        </w:rPr>
      </w:pPr>
    </w:p>
    <w:p w14:paraId="1CC64FE9">
      <w:pPr>
        <w:spacing w:afterLines="50" w:line="440" w:lineRule="exact"/>
        <w:jc w:val="center"/>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投标人须知</w:t>
      </w:r>
      <w:r>
        <w:rPr>
          <w:rFonts w:hint="eastAsia" w:ascii="宋体" w:hAnsi="宋体" w:eastAsia="宋体" w:cs="宋体"/>
          <w:color w:val="auto"/>
          <w:sz w:val="28"/>
          <w:szCs w:val="28"/>
          <w:highlight w:val="none"/>
          <w:lang w:val="en-US" w:eastAsia="zh-CN"/>
        </w:rPr>
        <w:t>正文</w:t>
      </w:r>
      <w:bookmarkEnd w:id="13"/>
      <w:bookmarkEnd w:id="14"/>
    </w:p>
    <w:p w14:paraId="71AF516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15" w:name="_Toc30488"/>
      <w:bookmarkStart w:id="16" w:name="_Toc30860"/>
      <w:bookmarkStart w:id="17" w:name="_Toc494455650"/>
      <w:r>
        <w:rPr>
          <w:rFonts w:hint="eastAsia" w:ascii="宋体" w:hAnsi="宋体" w:eastAsia="宋体" w:cs="宋体"/>
          <w:color w:val="auto"/>
          <w:sz w:val="21"/>
          <w:szCs w:val="21"/>
          <w:highlight w:val="none"/>
        </w:rPr>
        <w:t>1.招标依据以及原则</w:t>
      </w:r>
      <w:bookmarkEnd w:id="15"/>
      <w:bookmarkEnd w:id="16"/>
      <w:bookmarkEnd w:id="17"/>
    </w:p>
    <w:p w14:paraId="68F3325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1.1《中华人民共和国政府采购法》；</w:t>
      </w:r>
    </w:p>
    <w:p w14:paraId="222CF10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1.2《中华人民共和国合同法》；</w:t>
      </w:r>
    </w:p>
    <w:p w14:paraId="58ABEE3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1.3《中华人民共和国政府采购法实施条例》；</w:t>
      </w:r>
    </w:p>
    <w:p w14:paraId="46B2D5D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1.4《政府采购货物和服务招标投标管理办法》；</w:t>
      </w:r>
    </w:p>
    <w:p w14:paraId="4696515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1.5《政府采购供应商投诉处理办法》；</w:t>
      </w:r>
    </w:p>
    <w:p w14:paraId="7BF7C83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1.6其他有关法律、行政法规以及省市规范性文件规定。</w:t>
      </w:r>
    </w:p>
    <w:p w14:paraId="707AEC8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18" w:name="_Toc494455651"/>
      <w:bookmarkStart w:id="19" w:name="_Toc19991"/>
      <w:bookmarkStart w:id="20" w:name="_Toc8140"/>
      <w:r>
        <w:rPr>
          <w:rFonts w:hint="eastAsia" w:ascii="宋体" w:hAnsi="宋体" w:eastAsia="宋体" w:cs="宋体"/>
          <w:color w:val="auto"/>
          <w:sz w:val="21"/>
          <w:szCs w:val="21"/>
          <w:highlight w:val="none"/>
        </w:rPr>
        <w:t>2.合格的投标人</w:t>
      </w:r>
      <w:bookmarkEnd w:id="18"/>
      <w:bookmarkEnd w:id="19"/>
      <w:bookmarkEnd w:id="20"/>
    </w:p>
    <w:p w14:paraId="3CB46E2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2.1符合《中华人民共和国政府采购法》第二十二条规定的条件；</w:t>
      </w:r>
    </w:p>
    <w:p w14:paraId="7825213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2.2符合本招标文件规定的资格要求，且按照要求提供相关证明材料；</w:t>
      </w:r>
    </w:p>
    <w:p w14:paraId="2C4D32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2.3单位负责人为同一个人的两个以及两个以上法人，母公司、全资子公司以及其控股公司或者存在管理关系的不同单位，都不得在同一包或者未划分包的同一招标项目同时投标；</w:t>
      </w:r>
    </w:p>
    <w:p w14:paraId="3E5C37B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2.4投标人须知前附表规定接受联合体投标的，应符合以下规定：</w:t>
      </w:r>
    </w:p>
    <w:p w14:paraId="04A0B5C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2.4.1联合体各方应按照招标文件提供的格式签订联合体协议书，明确联合体牵头人和各方权利义务；</w:t>
      </w:r>
    </w:p>
    <w:p w14:paraId="553E580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2.4.2联合体各方均应当符合《政府采购法》第二十二条第一款规定的条件；</w:t>
      </w:r>
    </w:p>
    <w:p w14:paraId="6D66E45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2.4.3联合体中有同类资质的投标人按照联合体分工承担相同工作的，应当按照资质等级较低的投标人确定资质等级。</w:t>
      </w:r>
    </w:p>
    <w:p w14:paraId="548D0D2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2.4.4以联合体形式参加政府采购活动的，联合体各方不得再单独参加或者与其他投标人另外组成联合体参加同一合同项下的政府采购活动。</w:t>
      </w:r>
    </w:p>
    <w:p w14:paraId="5031EC2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2.4.5联合体各方应当共同与采购人签订采购合同，就合同约定的事项对采购人承担连带责任；</w:t>
      </w:r>
    </w:p>
    <w:p w14:paraId="766BBF1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2.4.6鼓励大中型企业和其他自然人、法人或者其他组织与小型、微型企业组成联合体投标，但联合体各方均应符合上述规定。</w:t>
      </w:r>
    </w:p>
    <w:p w14:paraId="0778247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2.5除采购人拟采购进口产品通过财政部门审核外，投标人不得提供直接进口或者委托进口产品（包括已进入中国境内的进口产品）。</w:t>
      </w:r>
    </w:p>
    <w:p w14:paraId="3ECB9D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2.6为本项目提供整体设计、规范编制或者项目管理、监理、检测等服务的投标人，不得再参加本项目的招标活动。</w:t>
      </w:r>
    </w:p>
    <w:p w14:paraId="26DA95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2.7采购代理机构及其分支机构不得在所代理的采购项目中投标或者代理投标，不得为所代理的采购项目的投标人参加本项目提供投标咨询。</w:t>
      </w:r>
    </w:p>
    <w:p w14:paraId="18FA385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2.8投标人提供的证明材料内容必须真实可靠。</w:t>
      </w:r>
    </w:p>
    <w:p w14:paraId="0C1CB83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符合上述条件的投标人即为合格投标人，具有参与公开招标的资格。</w:t>
      </w:r>
    </w:p>
    <w:p w14:paraId="52710B1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21" w:name="_Toc2666"/>
      <w:bookmarkStart w:id="22" w:name="_Toc494455652"/>
      <w:bookmarkStart w:id="23" w:name="_Toc28661"/>
      <w:r>
        <w:rPr>
          <w:rFonts w:hint="eastAsia" w:ascii="宋体" w:hAnsi="宋体" w:eastAsia="宋体" w:cs="宋体"/>
          <w:color w:val="auto"/>
          <w:sz w:val="21"/>
          <w:szCs w:val="21"/>
          <w:highlight w:val="none"/>
        </w:rPr>
        <w:t>3.保密</w:t>
      </w:r>
      <w:bookmarkEnd w:id="21"/>
      <w:bookmarkEnd w:id="22"/>
      <w:bookmarkEnd w:id="23"/>
    </w:p>
    <w:p w14:paraId="5E16652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参与招标投标活动的当事人应对招标文件和投标文件中的商业和技术等秘密保密，违者应对由此造成的后果承担法律责任。</w:t>
      </w:r>
    </w:p>
    <w:p w14:paraId="60D71DD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24" w:name="_Toc15532"/>
      <w:bookmarkStart w:id="25" w:name="_Toc25963"/>
      <w:bookmarkStart w:id="26" w:name="_Toc494455653"/>
      <w:r>
        <w:rPr>
          <w:rFonts w:hint="eastAsia" w:ascii="宋体" w:hAnsi="宋体" w:eastAsia="宋体" w:cs="宋体"/>
          <w:color w:val="auto"/>
          <w:sz w:val="21"/>
          <w:szCs w:val="21"/>
          <w:highlight w:val="none"/>
        </w:rPr>
        <w:t>4.语言文字、计量单位、时间单位、投标有效期以及投标费用</w:t>
      </w:r>
      <w:bookmarkEnd w:id="24"/>
      <w:bookmarkEnd w:id="25"/>
      <w:bookmarkEnd w:id="26"/>
    </w:p>
    <w:p w14:paraId="02A9B20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4.1语言文字</w:t>
      </w:r>
    </w:p>
    <w:p w14:paraId="21FA041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14:paraId="08C3D13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4.2计量单位</w:t>
      </w:r>
    </w:p>
    <w:p w14:paraId="0DFCAA8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除招标文件另有规定外，计量均应采用中华人民共和国法定计量单位；所有报价一律使用人民币，货币单位为“元”。</w:t>
      </w:r>
    </w:p>
    <w:p w14:paraId="7247743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4.3时间单位</w:t>
      </w:r>
    </w:p>
    <w:p w14:paraId="12E52EA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除招标文件中另有规定外，招标文件所使用的时间单位“天”、“日”均指日历天，时、分均为北京时间。</w:t>
      </w:r>
    </w:p>
    <w:p w14:paraId="0C09A1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4.4投标有效期</w:t>
      </w:r>
    </w:p>
    <w:p w14:paraId="7992E90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4.4.1在投标人须知前附表规定的投标有效期内，投标文件以及其补充、承诺等部分均保持有效。</w:t>
      </w:r>
    </w:p>
    <w:p w14:paraId="6530774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14:paraId="4C2201D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4.4.3投标有效期内投标人撤销投标文件的，采购人或者采购代理机构可以不退还投标保证金。</w:t>
      </w:r>
    </w:p>
    <w:p w14:paraId="3F3D237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4.5投标费用</w:t>
      </w:r>
    </w:p>
    <w:p w14:paraId="7DCDE69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投标人应自行承担其准备和参加投标活动发生的所有费用。</w:t>
      </w:r>
    </w:p>
    <w:p w14:paraId="2BEA343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27" w:name="_Toc494455654"/>
      <w:bookmarkStart w:id="28" w:name="_Toc11935"/>
      <w:bookmarkStart w:id="29" w:name="_Toc27687"/>
      <w:r>
        <w:rPr>
          <w:rFonts w:hint="eastAsia" w:ascii="宋体" w:hAnsi="宋体" w:eastAsia="宋体" w:cs="宋体"/>
          <w:color w:val="auto"/>
          <w:sz w:val="21"/>
          <w:szCs w:val="21"/>
          <w:highlight w:val="none"/>
        </w:rPr>
        <w:t>5.踏勘现场</w:t>
      </w:r>
      <w:bookmarkEnd w:id="27"/>
      <w:bookmarkEnd w:id="28"/>
      <w:bookmarkEnd w:id="29"/>
    </w:p>
    <w:p w14:paraId="4D584E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5.1投标人须知前附表规定组织踏勘现场的，采购人必须按照规定时间、地点组织投标人踏勘项目现场，以便投标人获取有关编制投标文件和签署合同所涉及现场的资料。投标人承担踏勘现场所发生的自身费用。</w:t>
      </w:r>
    </w:p>
    <w:p w14:paraId="39ECF54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5.2采购人向投标人提供的有关现场的资料和数据，是采购人现有的能使投标人利用的资料，采购人对投标人由此而做出的推论、理解和结论不负责任。</w:t>
      </w:r>
    </w:p>
    <w:p w14:paraId="243C959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14:paraId="218A42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30" w:name="_Toc494455655"/>
      <w:bookmarkStart w:id="31" w:name="_Toc17226"/>
      <w:bookmarkStart w:id="32" w:name="_Toc6095"/>
      <w:r>
        <w:rPr>
          <w:rFonts w:hint="eastAsia" w:ascii="宋体" w:hAnsi="宋体" w:eastAsia="宋体" w:cs="宋体"/>
          <w:color w:val="auto"/>
          <w:sz w:val="21"/>
          <w:szCs w:val="21"/>
          <w:highlight w:val="none"/>
        </w:rPr>
        <w:t>6.询问</w:t>
      </w:r>
      <w:bookmarkEnd w:id="30"/>
      <w:bookmarkEnd w:id="31"/>
      <w:bookmarkEnd w:id="32"/>
    </w:p>
    <w:p w14:paraId="076686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6.1投标人对招标投标活动事项有疑问的，可以向采购代理机构提出询问；采购代理机构应当及时作出答复，但答复的内容不得涉及商业秘密。</w:t>
      </w:r>
    </w:p>
    <w:p w14:paraId="45139D1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6.2询问及答复既可以采取书面形式，也可以采取电话、面谈等口头方式。</w:t>
      </w:r>
    </w:p>
    <w:p w14:paraId="70EBFB4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33" w:name="_Toc13742"/>
      <w:bookmarkStart w:id="34" w:name="_Toc494455656"/>
      <w:bookmarkStart w:id="35" w:name="_Toc30639"/>
      <w:r>
        <w:rPr>
          <w:rFonts w:hint="eastAsia" w:ascii="宋体" w:hAnsi="宋体" w:eastAsia="宋体" w:cs="宋体"/>
          <w:color w:val="auto"/>
          <w:sz w:val="21"/>
          <w:szCs w:val="21"/>
          <w:highlight w:val="none"/>
        </w:rPr>
        <w:t>7.偏离</w:t>
      </w:r>
      <w:bookmarkEnd w:id="33"/>
      <w:bookmarkEnd w:id="34"/>
      <w:bookmarkEnd w:id="35"/>
    </w:p>
    <w:p w14:paraId="7FA99E5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cs="宋体"/>
          <w:color w:val="auto"/>
          <w:sz w:val="21"/>
          <w:szCs w:val="21"/>
          <w:highlight w:val="none"/>
          <w:lang w:val="en-US" w:eastAsia="zh-CN"/>
        </w:rPr>
      </w:pPr>
      <w:bookmarkStart w:id="36" w:name="_Toc6203"/>
      <w:bookmarkStart w:id="37" w:name="_Toc11651"/>
      <w:bookmarkStart w:id="38" w:name="_Toc494455657"/>
      <w:r>
        <w:rPr>
          <w:rFonts w:hint="eastAsia" w:ascii="宋体" w:hAnsi="宋体" w:cs="宋体"/>
          <w:color w:val="auto"/>
          <w:sz w:val="21"/>
          <w:szCs w:val="21"/>
          <w:highlight w:val="none"/>
          <w:lang w:val="en-US" w:eastAsia="zh-CN"/>
        </w:rPr>
        <w:t>本项目不允许偏离</w:t>
      </w:r>
    </w:p>
    <w:p w14:paraId="1E4377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8.履约担保</w:t>
      </w:r>
      <w:bookmarkEnd w:id="36"/>
      <w:bookmarkEnd w:id="37"/>
      <w:bookmarkEnd w:id="38"/>
    </w:p>
    <w:p w14:paraId="45EA6B0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8.1在签订合同前，中标人应按照有关规定或者事先经过采购人书面认可的履约担保要求向采购人提交履约担保。除另有规定外，履约担保金额不超过中标合同金额的10%。</w:t>
      </w:r>
    </w:p>
    <w:p w14:paraId="713DABB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8.2中标人未按照要求提交履约担保的，视为放弃中标，其投标保证金不予退还，给采购人造成的损失超过投标保证金的，中标人应当对超过部分予以赔偿。</w:t>
      </w:r>
    </w:p>
    <w:p w14:paraId="2D746CE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39" w:name="_Toc21616"/>
      <w:bookmarkStart w:id="40" w:name="_Toc494455658"/>
      <w:bookmarkStart w:id="41" w:name="_Toc8201"/>
      <w:r>
        <w:rPr>
          <w:rFonts w:hint="eastAsia" w:ascii="宋体" w:hAnsi="宋体" w:eastAsia="宋体" w:cs="宋体"/>
          <w:color w:val="auto"/>
          <w:sz w:val="21"/>
          <w:szCs w:val="21"/>
          <w:highlight w:val="none"/>
        </w:rPr>
        <w:t>9.采购代理服务费</w:t>
      </w:r>
      <w:bookmarkEnd w:id="39"/>
      <w:bookmarkEnd w:id="40"/>
      <w:bookmarkEnd w:id="41"/>
    </w:p>
    <w:p w14:paraId="18DE16C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val="en-US" w:eastAsia="zh-CN"/>
        </w:rPr>
      </w:pPr>
      <w:bookmarkStart w:id="42" w:name="_Toc537"/>
      <w:bookmarkStart w:id="43" w:name="_Toc494455659"/>
      <w:r>
        <w:rPr>
          <w:rFonts w:hint="eastAsia" w:ascii="宋体" w:hAnsi="宋体" w:cs="宋体"/>
          <w:color w:val="auto"/>
          <w:sz w:val="21"/>
          <w:szCs w:val="21"/>
          <w:highlight w:val="none"/>
          <w:lang w:val="en-US" w:eastAsia="zh-CN"/>
        </w:rPr>
        <w:t>招标代理费支付账户信息</w:t>
      </w:r>
      <w:r>
        <w:rPr>
          <w:rFonts w:hint="eastAsia" w:ascii="宋体" w:hAnsi="宋体" w:eastAsia="宋体" w:cs="宋体"/>
          <w:color w:val="auto"/>
          <w:sz w:val="21"/>
          <w:szCs w:val="21"/>
          <w:highlight w:val="none"/>
          <w:lang w:val="en-US" w:eastAsia="zh-CN"/>
        </w:rPr>
        <w:t xml:space="preserve">        </w:t>
      </w:r>
    </w:p>
    <w:p w14:paraId="5505CED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b/>
          <w:bCs/>
          <w:color w:val="auto"/>
          <w:sz w:val="21"/>
          <w:szCs w:val="21"/>
          <w:highlight w:val="none"/>
          <w:lang w:eastAsia="zh-CN"/>
        </w:rPr>
      </w:pPr>
      <w:bookmarkStart w:id="44" w:name="_Toc3691"/>
      <w:r>
        <w:rPr>
          <w:rFonts w:hint="eastAsia" w:ascii="宋体" w:hAnsi="宋体" w:eastAsia="宋体" w:cs="宋体"/>
          <w:b w:val="0"/>
          <w:bCs w:val="0"/>
          <w:color w:val="auto"/>
          <w:sz w:val="21"/>
          <w:szCs w:val="21"/>
          <w:highlight w:val="none"/>
        </w:rPr>
        <w:t>单位名称：</w:t>
      </w:r>
      <w:r>
        <w:rPr>
          <w:rFonts w:hint="eastAsia" w:ascii="宋体" w:hAnsi="宋体" w:eastAsia="宋体" w:cs="宋体"/>
          <w:color w:val="auto"/>
          <w:sz w:val="21"/>
          <w:szCs w:val="21"/>
          <w:highlight w:val="none"/>
        </w:rPr>
        <w:t>新疆金盛达招标代理有限责任公司</w:t>
      </w:r>
    </w:p>
    <w:p w14:paraId="17AC24A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开户银行：中国工商银行股份有限公司阿克苏南大街支行</w:t>
      </w:r>
    </w:p>
    <w:p w14:paraId="5FA4933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号：3014021509100116191</w:t>
      </w:r>
    </w:p>
    <w:p w14:paraId="78686DC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w:t>
      </w:r>
      <w:bookmarkEnd w:id="42"/>
      <w:bookmarkEnd w:id="43"/>
      <w:bookmarkEnd w:id="44"/>
    </w:p>
    <w:p w14:paraId="279CC3A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10.1招标文件的组成</w:t>
      </w:r>
    </w:p>
    <w:p w14:paraId="5AE7B10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10.1.1招标文件是用以阐明所需货物以及服务、招标程序和合同格式的规范性文件。招标文件主要由以下部分组成：</w:t>
      </w:r>
    </w:p>
    <w:p w14:paraId="47E7402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7655AE9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投标人须知；</w:t>
      </w:r>
    </w:p>
    <w:p w14:paraId="3CE1D47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采购需求；</w:t>
      </w:r>
    </w:p>
    <w:p w14:paraId="3B57EE0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评标办法；</w:t>
      </w:r>
    </w:p>
    <w:p w14:paraId="73AA488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签订合同、合同主要条款；</w:t>
      </w:r>
    </w:p>
    <w:p w14:paraId="2F1B087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第六章  投标文件格式</w:t>
      </w:r>
      <w:r>
        <w:rPr>
          <w:rFonts w:hint="eastAsia" w:ascii="宋体" w:hAnsi="宋体" w:cs="宋体"/>
          <w:color w:val="auto"/>
          <w:sz w:val="21"/>
          <w:szCs w:val="21"/>
          <w:highlight w:val="none"/>
          <w:lang w:eastAsia="zh-CN"/>
        </w:rPr>
        <w:t>。</w:t>
      </w:r>
    </w:p>
    <w:p w14:paraId="233C9DD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10.1.2根据本章第10.2款对采购文件所作的澄清和修改，构成采购文件的组成部分。</w:t>
      </w:r>
    </w:p>
    <w:p w14:paraId="6A284C0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10.1.3除非有特殊要求，招标文件不单独提供项目所在地的自然环境、气候条件、公用设施等情况，投标人被视为熟悉上述与履行合同有关的一切情况。</w:t>
      </w:r>
    </w:p>
    <w:p w14:paraId="3914197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10.2招标文件的澄清和修改</w:t>
      </w:r>
    </w:p>
    <w:p w14:paraId="0E9D090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10.2.1采购人对已发出的招标文件进行必要澄清或者修改的，应当在规定的投标截止时间15日前，向各投标人发出补充文件，以书面形式通知所有招标文件收受人，但不指明澄清问题的来源。如果澄清或者修改招标文件的时间距投标截止时间不足15日，采购人应延长投标截止时间，具体时间将在补充文件中予以明确。</w:t>
      </w:r>
    </w:p>
    <w:p w14:paraId="06B532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的电子信箱，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14:paraId="0317535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10.2.3招标文件的澄清或者修改文件，应作为招标文件组成部分并具有法律效力，任何口头答复、通知无效。招标文件的澄清或者修改在同一内容的表述上不一致时，以最后发出的公告为准。</w:t>
      </w:r>
    </w:p>
    <w:p w14:paraId="43D3302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10.2.4投标人认为招标文件存在歧视性条款或者不合理要求等需要澄清的，应在规定时间内一次性全部提出。在规定时间未一次性提出或者对已澄清的条款再提异议者，即视为同意和接受相关条款。</w:t>
      </w:r>
    </w:p>
    <w:p w14:paraId="56A3E82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10.2.5从补充文件发出时间开始，投标人应在投标人须知前附表规定的时间内回复确认函，加盖投标人单位公章以及确认日期，采用信函、传真或者直接送达的形式通知采购代理机构。否则，即视为同意和接受该公告内容。</w:t>
      </w:r>
    </w:p>
    <w:p w14:paraId="623DF80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10.3延长投标截止时间和开标时间</w:t>
      </w:r>
    </w:p>
    <w:p w14:paraId="00351F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采购人可以视采购具体情况，延长投标截止时间和开标时间，但至少应当在招标文件要求提交投标文件的截止时间3日前，以书面形式通知所有招标文件收受人。</w:t>
      </w:r>
    </w:p>
    <w:p w14:paraId="1D3600B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45" w:name="_Toc13654"/>
      <w:bookmarkStart w:id="46" w:name="_Toc24258"/>
      <w:bookmarkStart w:id="47" w:name="_Toc494455660"/>
      <w:r>
        <w:rPr>
          <w:rFonts w:hint="eastAsia" w:ascii="宋体" w:hAnsi="宋体" w:eastAsia="宋体" w:cs="宋体"/>
          <w:color w:val="auto"/>
          <w:sz w:val="21"/>
          <w:szCs w:val="21"/>
          <w:highlight w:val="none"/>
        </w:rPr>
        <w:t>11.投标文件的组成</w:t>
      </w:r>
      <w:bookmarkEnd w:id="45"/>
      <w:bookmarkEnd w:id="46"/>
      <w:bookmarkEnd w:id="47"/>
    </w:p>
    <w:p w14:paraId="243CFF2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11.1投标人应按照招标文件的要求以及格式编制投标文件，并保证其真实性、准确性以及完整性，并按照招标文件要求提交全部资料并做出实质性响应。</w:t>
      </w:r>
    </w:p>
    <w:p w14:paraId="796DC1B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11.2投标文件由商务文件、技术文件以及电子版投标文件组成：</w:t>
      </w:r>
    </w:p>
    <w:p w14:paraId="5427C22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11.3商务文件：详见“第六章 投标文件格式 商务文件”</w:t>
      </w:r>
    </w:p>
    <w:p w14:paraId="2CABEA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11.4技术文件：详见“第六章 投标文件格式 技术文件”</w:t>
      </w:r>
    </w:p>
    <w:p w14:paraId="5D8506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11.5电子版投标文件内容为技术文件、商务文件要求的内容。</w:t>
      </w:r>
    </w:p>
    <w:p w14:paraId="1F2617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11.6电子版投标文件作为投标文件的一部分，均不退回。</w:t>
      </w:r>
    </w:p>
    <w:p w14:paraId="40D3FD8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48" w:name="_Toc494455661"/>
      <w:bookmarkStart w:id="49" w:name="_Toc8207"/>
      <w:bookmarkStart w:id="50" w:name="_Toc28937"/>
      <w:r>
        <w:rPr>
          <w:rFonts w:hint="eastAsia" w:ascii="宋体" w:hAnsi="宋体" w:eastAsia="宋体" w:cs="宋体"/>
          <w:color w:val="auto"/>
          <w:sz w:val="21"/>
          <w:szCs w:val="21"/>
          <w:highlight w:val="none"/>
        </w:rPr>
        <w:t>12.投标报价</w:t>
      </w:r>
      <w:bookmarkEnd w:id="48"/>
      <w:bookmarkEnd w:id="49"/>
      <w:bookmarkEnd w:id="50"/>
    </w:p>
    <w:p w14:paraId="3006753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12.1投标报价的范围：见投标人须知前附表。</w:t>
      </w:r>
    </w:p>
    <w:p w14:paraId="5F2CC1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12.2投标人应对所投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的货物进行报价，对</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包含的所有内容</w:t>
      </w:r>
      <w:r>
        <w:rPr>
          <w:rFonts w:hint="eastAsia" w:ascii="宋体" w:hAnsi="宋体" w:eastAsia="宋体" w:cs="宋体"/>
          <w:color w:val="auto"/>
          <w:sz w:val="21"/>
          <w:szCs w:val="21"/>
          <w:highlight w:val="none"/>
        </w:rPr>
        <w:t>的报价必须全部报齐。</w:t>
      </w:r>
    </w:p>
    <w:p w14:paraId="5D1B0D3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12.3投标报价的次数：见投标人须知前附表。</w:t>
      </w:r>
    </w:p>
    <w:p w14:paraId="06E026A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12.4投标人不得以任何方式或者方法提供投标以外的任何附赠条款。</w:t>
      </w:r>
    </w:p>
    <w:p w14:paraId="2639AD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12.5投标人应按照招标文件中要求的内容填写报价，并由法定代表人或者被授权代表签署。</w:t>
      </w:r>
    </w:p>
    <w:p w14:paraId="7B1216B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12.6投标人须按照附件格式表中的各单项明细逐项填写，以方便评标委员会对各投标文件进行比较。</w:t>
      </w:r>
    </w:p>
    <w:p w14:paraId="415533A8">
      <w:pPr>
        <w:pStyle w:val="4"/>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12.7本项目只允许有一个报价，且投标人的投标报价应保持一致。</w:t>
      </w:r>
    </w:p>
    <w:p w14:paraId="1874299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投标文件报价出现前后不一致的，除招标文件另有规定外，按照下列规定修正：</w:t>
      </w:r>
    </w:p>
    <w:p w14:paraId="07BA68F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（一）投标文件中开标一览表（报价表）内容与投标文件中相应内容不一致的，以开标一览表（报价表）为准；</w:t>
      </w:r>
    </w:p>
    <w:p w14:paraId="43D07A5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（二）大写金额和小写金额不一致的，以大写金额为准；</w:t>
      </w:r>
    </w:p>
    <w:p w14:paraId="79C9809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（三）单价金额小数点或者百分比有明显错位的，以开标一览表的总价为准，并修改单价；</w:t>
      </w:r>
    </w:p>
    <w:p w14:paraId="3E8A6C2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（四）总价金额与按单价汇总金额不一致的，以单价金额计算结果为准。</w:t>
      </w:r>
    </w:p>
    <w:p w14:paraId="7DD00F1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同时出现两种以上不一致的，按照前款规定的顺序修正。修正后的报价经投标人确认后产生约束力，投标人不确认的，其投标无效。</w:t>
      </w:r>
    </w:p>
    <w:p w14:paraId="63C9FA5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唱标时，采购代理机构只对按照招标文件要求编制的投标报价进行唱标。</w:t>
      </w:r>
    </w:p>
    <w:p w14:paraId="04322E9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投标人的中标价格在合同执行中是固定不变的，不得以任何理由予以变更，不得出现任何包含价格调整的要求。</w:t>
      </w:r>
    </w:p>
    <w:p w14:paraId="0FE43B6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采购人不接受未经中国海关报验放进入中国境内且产自关境外的货物报价。</w:t>
      </w:r>
    </w:p>
    <w:p w14:paraId="579F667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GB"/>
        </w:rPr>
        <w:t>投标人须知前附表未规定可以采购进口产品的，不允许进口产品参加投标。</w:t>
      </w:r>
    </w:p>
    <w:p w14:paraId="6A51C79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51" w:name="_Toc24675"/>
      <w:bookmarkStart w:id="52" w:name="_Toc494455662"/>
      <w:bookmarkStart w:id="53" w:name="_Toc30173"/>
      <w:r>
        <w:rPr>
          <w:rFonts w:hint="eastAsia" w:ascii="宋体" w:hAnsi="宋体" w:eastAsia="宋体" w:cs="宋体"/>
          <w:color w:val="auto"/>
          <w:sz w:val="21"/>
          <w:szCs w:val="21"/>
          <w:highlight w:val="none"/>
        </w:rPr>
        <w:t>13.投标文件格式以及编制要求</w:t>
      </w:r>
      <w:bookmarkEnd w:id="51"/>
      <w:bookmarkEnd w:id="52"/>
      <w:bookmarkEnd w:id="53"/>
    </w:p>
    <w:p w14:paraId="2C7D60F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13.1投标文件应按所投包分别进行编制。</w:t>
      </w:r>
    </w:p>
    <w:p w14:paraId="761CC4E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13.2投标文件编制装订：见投标人须知前附表。</w:t>
      </w:r>
    </w:p>
    <w:p w14:paraId="4C8B795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13.3投标文件签署和盖章：见投标人须知前附表。</w:t>
      </w:r>
    </w:p>
    <w:p w14:paraId="21FA6E1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13.4投标人可对供货现场以及其范围环境进行考察，以获取有关编制投标文件和签署实施合同所需的各项资料，投标人应承担现场考察的费用、责任和风险。</w:t>
      </w:r>
    </w:p>
    <w:p w14:paraId="2D9D114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13.5投标人编制投标文件时，应当如实在技术响应表和资信以及商务响应表中填写响应情况。</w:t>
      </w:r>
    </w:p>
    <w:p w14:paraId="30E346D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13.6投标文件份数及要求：见投标人须知前附表。</w:t>
      </w:r>
    </w:p>
    <w:p w14:paraId="219DBE0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54" w:name="_Toc494455663"/>
      <w:bookmarkStart w:id="55" w:name="_Toc22295"/>
      <w:bookmarkStart w:id="56" w:name="_Toc283"/>
      <w:r>
        <w:rPr>
          <w:rFonts w:hint="eastAsia" w:ascii="宋体" w:hAnsi="宋体" w:eastAsia="宋体" w:cs="宋体"/>
          <w:color w:val="auto"/>
          <w:sz w:val="21"/>
          <w:szCs w:val="21"/>
          <w:highlight w:val="none"/>
        </w:rPr>
        <w:t>14.投标文件的密封和标记</w:t>
      </w:r>
      <w:bookmarkEnd w:id="54"/>
      <w:bookmarkEnd w:id="55"/>
      <w:bookmarkEnd w:id="56"/>
    </w:p>
    <w:p w14:paraId="2FFCF13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见投标人须知前附表。</w:t>
      </w:r>
    </w:p>
    <w:p w14:paraId="14589D6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57" w:name="_Toc4171"/>
      <w:bookmarkStart w:id="58" w:name="_Toc15416"/>
      <w:bookmarkStart w:id="59" w:name="_Toc494455664"/>
      <w:r>
        <w:rPr>
          <w:rFonts w:hint="eastAsia" w:ascii="宋体" w:hAnsi="宋体" w:eastAsia="宋体" w:cs="宋体"/>
          <w:color w:val="auto"/>
          <w:sz w:val="21"/>
          <w:szCs w:val="21"/>
          <w:highlight w:val="none"/>
        </w:rPr>
        <w:t>15.投标文件的递交</w:t>
      </w:r>
      <w:bookmarkEnd w:id="57"/>
      <w:bookmarkEnd w:id="58"/>
      <w:bookmarkEnd w:id="59"/>
    </w:p>
    <w:p w14:paraId="5B85CF9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15.1投标人应在投标截止时间前递交投标文件。</w:t>
      </w:r>
    </w:p>
    <w:p w14:paraId="1313D74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15.2投标人递交投标文件的时间、地点和要求：见投标人须知前附表。</w:t>
      </w:r>
    </w:p>
    <w:p w14:paraId="48D0F3A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15.3投标人有下列情况之一，采购人或者采购代理机构应当拒绝接收投标人的投标文件：</w:t>
      </w:r>
    </w:p>
    <w:p w14:paraId="182051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15.3.1逾期送达的或者未送达指定地点的；</w:t>
      </w:r>
    </w:p>
    <w:p w14:paraId="07D84E5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15.3.2投标文件未按招标文件要求密封的。</w:t>
      </w:r>
    </w:p>
    <w:p w14:paraId="0269D3F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15.4除投标人须知前附表另有规定外，不论招标过程和结果如何，投标人的投标文件均不退还。</w:t>
      </w:r>
    </w:p>
    <w:p w14:paraId="15D49E2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60" w:name="_Toc494455665"/>
      <w:bookmarkStart w:id="61" w:name="_Toc10901"/>
      <w:bookmarkStart w:id="62" w:name="_Toc2916"/>
      <w:r>
        <w:rPr>
          <w:rFonts w:hint="eastAsia" w:ascii="宋体" w:hAnsi="宋体" w:eastAsia="宋体" w:cs="宋体"/>
          <w:color w:val="auto"/>
          <w:sz w:val="21"/>
          <w:szCs w:val="21"/>
          <w:highlight w:val="none"/>
        </w:rPr>
        <w:t>16.投标文件的修改与撤回</w:t>
      </w:r>
      <w:bookmarkEnd w:id="60"/>
      <w:bookmarkEnd w:id="61"/>
      <w:bookmarkEnd w:id="62"/>
    </w:p>
    <w:p w14:paraId="295302B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16.1投标人在招标文件要求提交投标文件截止时间前，可以补充、修改或者撤回已提交的投标文件，并书面形式通知采购人或者采购代理机构。补充、修改的内容为投标文件的组成部分。</w:t>
      </w:r>
    </w:p>
    <w:p w14:paraId="5A4E8A1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16.2投标人对投标文件的补充、修改，应按照本招标文件有关规定进行编制、密封、标记、盖章和递交，并在投标文件密封袋上，清楚标明“修改投标文件”或者“撤回投标”字样。</w:t>
      </w:r>
    </w:p>
    <w:p w14:paraId="409DC3A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16.3在提交投标文件截止时间后到招标文件规定的投标有效期终止之前，投标人不得补充、修改或者撤回其投标文件。投标人撤回全部或者部分投标文件的，其投标保证金将被没收。</w:t>
      </w:r>
    </w:p>
    <w:p w14:paraId="4F547C4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lang w:eastAsia="zh-CN"/>
        </w:rPr>
      </w:pPr>
      <w:bookmarkStart w:id="63" w:name="_Toc7601"/>
      <w:bookmarkStart w:id="64" w:name="_Toc494455666"/>
      <w:bookmarkStart w:id="65" w:name="_Toc27148"/>
      <w:r>
        <w:rPr>
          <w:rFonts w:hint="eastAsia" w:ascii="宋体" w:hAnsi="宋体" w:eastAsia="宋体" w:cs="宋体"/>
          <w:color w:val="auto"/>
          <w:sz w:val="21"/>
          <w:szCs w:val="21"/>
          <w:highlight w:val="none"/>
        </w:rPr>
        <w:t>17.投标保证金</w:t>
      </w:r>
      <w:bookmarkEnd w:id="63"/>
      <w:bookmarkEnd w:id="64"/>
      <w:bookmarkEnd w:id="65"/>
    </w:p>
    <w:p w14:paraId="69921B4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17.1投标保证金的交纳</w:t>
      </w:r>
    </w:p>
    <w:p w14:paraId="6D2B9F3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17.1.1投标保证金的交纳金额和形式：见投标人须知前附表。</w:t>
      </w:r>
    </w:p>
    <w:p w14:paraId="43AE803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17.1.2投标保证金以到账时间为准。</w:t>
      </w:r>
    </w:p>
    <w:p w14:paraId="7A4671A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17.1.3投标人为联合体的，联合体牵头人交纳的保证金对联合体各方均具有约束力。</w:t>
      </w:r>
    </w:p>
    <w:p w14:paraId="20D845C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17.2投标保证金的退还</w:t>
      </w:r>
    </w:p>
    <w:p w14:paraId="267889C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17.2.1投标人在招标文件要求提交投标文件截止时间前撤回已提交的投标文件的，采购人或者采购代理机构自收到投标人书面撤回通知之日起5个工作日内，退还已收取的投标保证金，但因投标人自身原因导致无法及时退还的除外。</w:t>
      </w:r>
    </w:p>
    <w:p w14:paraId="5AE8A09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17.2.2采购代理机构应当自中标通知书发出之日起2个工作日内退还未中标人的投标保证金，自采购合同签订之日起5个工作日内退还中标人的投标保证金或者转为中标人的履约保证金。</w:t>
      </w:r>
    </w:p>
    <w:p w14:paraId="684A1FC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17.3投标保证金的不予退还</w:t>
      </w:r>
    </w:p>
    <w:p w14:paraId="32DA57B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17.3.1投标人有下列情形之一的，投标保证金将不予退还：</w:t>
      </w:r>
    </w:p>
    <w:p w14:paraId="41A6173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（1）提供的有关资料不真实或者提供虚假材料的；</w:t>
      </w:r>
    </w:p>
    <w:p w14:paraId="2843E95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（2）投标有效期内投标人撤销投标文件的；</w:t>
      </w:r>
    </w:p>
    <w:p w14:paraId="0E1DD26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（3）损害采购人或者采购代理机构合法权益的；</w:t>
      </w:r>
    </w:p>
    <w:p w14:paraId="3896EBA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（4）投标人向采购代理机构、采购人、专家提供不正当利益的；</w:t>
      </w:r>
    </w:p>
    <w:p w14:paraId="4161BA1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（5）经评标委员会认定有故意哄抬报价、串标或者其它违法行为的;</w:t>
      </w:r>
    </w:p>
    <w:p w14:paraId="509D5A8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（6）中标人未按照招标文件规定签订合同或者未按照招标文件规定提供履约保证金的；</w:t>
      </w:r>
    </w:p>
    <w:p w14:paraId="1BAC71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（7）法律、行政法规以及有关规定的其它情形。</w:t>
      </w:r>
    </w:p>
    <w:p w14:paraId="448EBBD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17.3.2不予退还的投标保证金应在规定时间内上缴国库。</w:t>
      </w:r>
    </w:p>
    <w:p w14:paraId="0988C4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66" w:name="_Toc884"/>
      <w:bookmarkStart w:id="67" w:name="_Toc494455670"/>
      <w:bookmarkStart w:id="68" w:name="_Toc16491"/>
      <w:bookmarkStart w:id="69" w:name="_Toc494455667"/>
      <w:r>
        <w:rPr>
          <w:rFonts w:hint="eastAsia" w:ascii="宋体" w:hAnsi="宋体" w:eastAsia="宋体" w:cs="宋体"/>
          <w:color w:val="auto"/>
          <w:sz w:val="21"/>
          <w:szCs w:val="21"/>
          <w:highlight w:val="none"/>
        </w:rPr>
        <w:t>18.开标、评标、定标</w:t>
      </w:r>
      <w:bookmarkEnd w:id="66"/>
      <w:bookmarkEnd w:id="67"/>
      <w:bookmarkEnd w:id="68"/>
    </w:p>
    <w:p w14:paraId="38CCCA7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0" w:name="_Toc494455671"/>
      <w:r>
        <w:rPr>
          <w:rFonts w:hint="eastAsia" w:ascii="宋体" w:hAnsi="宋体" w:eastAsia="宋体" w:cs="宋体"/>
          <w:color w:val="auto"/>
          <w:sz w:val="21"/>
          <w:szCs w:val="21"/>
          <w:highlight w:val="none"/>
        </w:rPr>
        <w:t>18.1开标程序</w:t>
      </w:r>
      <w:bookmarkEnd w:id="70"/>
    </w:p>
    <w:p w14:paraId="194FDDF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18.1.1宣布开标纪律；</w:t>
      </w:r>
    </w:p>
    <w:p w14:paraId="7B0901B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18.1.2宣布主持人、唱标人、记录人等有关人员姓名；</w:t>
      </w:r>
    </w:p>
    <w:p w14:paraId="1CCBD64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18.1.3公布在投标截止时间前递交投标文件的投标人名称及签到顺序；</w:t>
      </w:r>
    </w:p>
    <w:p w14:paraId="58DC6AB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18.1.4投标人相互检查投标文件密封情况，并签字确认；</w:t>
      </w:r>
    </w:p>
    <w:p w14:paraId="6E1889D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18.1.5由公证人员、采购人及监督对各投标单位验资，各投标人在验资表上签字确认；</w:t>
      </w:r>
    </w:p>
    <w:p w14:paraId="172CD0F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18.1.6开启投标文件，按照签到顺序公布投标人名称、投标报价等内容，并记录在案；</w:t>
      </w:r>
    </w:p>
    <w:p w14:paraId="37CF791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18.1.7投标人法定代表人（或者被授权代表）、采购人代表、记录人等有关人员在开标记录上签字确认；</w:t>
      </w:r>
    </w:p>
    <w:p w14:paraId="15DD1E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18.1.8开标结束。</w:t>
      </w:r>
    </w:p>
    <w:p w14:paraId="1AC7D6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采购过程中出现以下情形，导致电子交易平台无法正常运行，或者无法保证电子交易的公平、公正和安全时，可中止电子交易活动：</w:t>
      </w:r>
    </w:p>
    <w:p w14:paraId="2AC9BD8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（一）电子交易平台发生故障而无法登录访问的；</w:t>
      </w:r>
    </w:p>
    <w:p w14:paraId="1325850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（二）电子交易平台应用或数据库出现错误，不能进行正常操作的；</w:t>
      </w:r>
    </w:p>
    <w:p w14:paraId="6C4227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（三）电子交易平台发现严重安全漏洞，有潜在泄密危险的；</w:t>
      </w:r>
    </w:p>
    <w:p w14:paraId="06C5438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（四）病毒发作导致不能进行正常操作的；</w:t>
      </w:r>
    </w:p>
    <w:p w14:paraId="161A5BA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（五）其他无法保证电子交易的公平、公正和安全的情况。</w:t>
      </w:r>
    </w:p>
    <w:p w14:paraId="26621A6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出现前款规定情形，不影响采购公平、公正性的，采购代理机构可以待上述情形消除后继续组织电子交易活动；影响或可能影响采购公平、公正性的，重新组织采购。</w:t>
      </w:r>
    </w:p>
    <w:p w14:paraId="001929A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采购代理机构或谈判小组因不可抗力（不可抗力包括但不限于自然灾害、断电、传播疫病等）原因造成电子交易活动无法正常运行的，将采取以下措施：</w:t>
      </w:r>
    </w:p>
    <w:p w14:paraId="1F7ED7E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⑴短时间内能消除不可抗力因素的，采购代理机构或</w:t>
      </w:r>
      <w:r>
        <w:rPr>
          <w:rFonts w:hint="eastAsia" w:ascii="宋体" w:hAnsi="宋体" w:eastAsia="宋体" w:cs="宋体"/>
          <w:color w:val="auto"/>
          <w:sz w:val="21"/>
          <w:szCs w:val="21"/>
          <w:highlight w:val="none"/>
          <w:lang w:val="en-US" w:eastAsia="zh-CN"/>
        </w:rPr>
        <w:t>评委</w:t>
      </w:r>
      <w:r>
        <w:rPr>
          <w:rFonts w:hint="eastAsia" w:ascii="宋体" w:hAnsi="宋体" w:eastAsia="宋体" w:cs="宋体"/>
          <w:color w:val="auto"/>
          <w:sz w:val="21"/>
          <w:szCs w:val="21"/>
          <w:highlight w:val="none"/>
          <w:lang w:eastAsia="zh-CN"/>
        </w:rPr>
        <w:t>小组在消除不可抗力因素后继续组织电子交易活动。</w:t>
      </w:r>
    </w:p>
    <w:p w14:paraId="302E5ED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⑵长时间内无法消除不可抗力因素的，采购代理机构或谈判小组将中止电子交易活动。中止电子交易活动的，采购人应当重新组织政府采购活动。</w:t>
      </w:r>
    </w:p>
    <w:p w14:paraId="1E00C6B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1" w:name="_Toc494455672"/>
      <w:r>
        <w:rPr>
          <w:rFonts w:hint="eastAsia" w:ascii="宋体" w:hAnsi="宋体" w:eastAsia="宋体" w:cs="宋体"/>
          <w:color w:val="auto"/>
          <w:sz w:val="21"/>
          <w:szCs w:val="21"/>
          <w:highlight w:val="none"/>
        </w:rPr>
        <w:t>18.2开标</w:t>
      </w:r>
      <w:bookmarkEnd w:id="71"/>
    </w:p>
    <w:p w14:paraId="41EEE37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18.2.1开标应当在招标文件确定的提交投标文件截止时间的同一时间公开进行。开标地点应当为招标文件中预先确定的地点。邀请投标人法定代表人或者被授权代表参加，参加开标会议的代表应签名报到。</w:t>
      </w:r>
    </w:p>
    <w:p w14:paraId="5AA81F6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法定代表人参加开标会议的，应出示法定代表人身份证明原件和本人身份证原件；被授权代表参加开标会议的，应出示授权委托书原件和本人身份证原件。</w:t>
      </w:r>
    </w:p>
    <w:p w14:paraId="43B6F58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收到投标文件后，应当如实记载投标文件的送达时间和密封情况，签收保存，并向投标人出具签收回执。逾期送达或者未按照招标文件要求密封的投标文件，采购人、采购代理机构应当拒收。</w:t>
      </w:r>
    </w:p>
    <w:p w14:paraId="1F02968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检查投标文件密封情况，由投标人法定代表人或者被授权代表互相检查各投标人投标文件的密封情况，采购人并请各投标人法定代表人或者被授权代表签字确认。投标人法定代表人或者被授权代表认为某个或者某些投标人的投标文件密封不符合规定的，应当面提出，采购代理机构现场记录，相关各方投标人法定代表人或者被授权代表签字确认无异议后，由采购代理机构工作人员当众拆封，开启符合密封规定的投标文件。</w:t>
      </w:r>
    </w:p>
    <w:p w14:paraId="0C7AB31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相关各方投标人法定代表人或者被授权代表签字确认有异议的，报现场监督人员和评标委员会处理，在处理决定未作出之前有异议各方的投标文件均不得开启；处理决定认为投标文件符合或者不符合规定的，各方均应签字确认，拒绝签字的不影响处理决定的执行；处理决定认为投标文件不符合规定的，按照投标无效处理。处理决定公布后，由采购代理机构工作人员当众拆封，开启符合密封规定的投标文件。</w:t>
      </w:r>
    </w:p>
    <w:p w14:paraId="3253845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按照上述规定开启投标文件后，投标人再对投标文件的密封情况提出异议的，采购人或者采购代理机构不予受理。</w:t>
      </w:r>
    </w:p>
    <w:p w14:paraId="506FE0E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18.2.3由采购代理机构工作人员唱标。</w:t>
      </w:r>
    </w:p>
    <w:p w14:paraId="3B957F1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14:paraId="3EF83B8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18.2.4开标和唱标由采购代理机构指定专人负责，开标记录由投标人法定代表人或者被授权代表、采购人代表、记录人等有关人员签字确认，采购代理机构负责存档备查。</w:t>
      </w:r>
    </w:p>
    <w:p w14:paraId="35330EC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18.2.5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3A0A677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18.2.6投标人不足3家的，不得开标。</w:t>
      </w:r>
    </w:p>
    <w:p w14:paraId="4E60BBB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2" w:name="_Toc494455673"/>
      <w:r>
        <w:rPr>
          <w:rFonts w:hint="eastAsia" w:ascii="宋体" w:hAnsi="宋体" w:eastAsia="宋体" w:cs="宋体"/>
          <w:color w:val="auto"/>
          <w:sz w:val="21"/>
          <w:szCs w:val="21"/>
          <w:highlight w:val="none"/>
        </w:rPr>
        <w:t>18.3评标委员会</w:t>
      </w:r>
      <w:bookmarkEnd w:id="72"/>
    </w:p>
    <w:p w14:paraId="07D1974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18.3.1评标委员会的组成</w:t>
      </w:r>
    </w:p>
    <w:p w14:paraId="724F70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采购人按照《中华人民共和国政府采购法》以及有关规定组建评标委员会。评标由依法组建的评标委员会负责。</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评标委员会由采购人代表和评标专家组成，成员人数为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技术、经济等方面的评审专家不得少于成员总数的三分之二。评审专家对本单位的采购项目只能作为采购人代表参与评标，采购人可以自行选定相应专业领域评审专家的规定情形除外。采购代理机构工作人员不得参加由本机构代理的政府采购项目的评标。</w:t>
      </w:r>
    </w:p>
    <w:p w14:paraId="7C395F2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18.3.2评审专家的抽取</w:t>
      </w:r>
    </w:p>
    <w:p w14:paraId="005F078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18.3.2.1采用随机抽取方式从地区以上财政部门设立的政府采购评审专家库中抽取评审专家。任何单位和个人都不得指定评审专家或干预评审专家的抽取工作。</w:t>
      </w:r>
    </w:p>
    <w:p w14:paraId="50F292F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18.3.2.2参加评审专家抽取的有关人员对被抽取的专家的姓名、单位和联系方式等内容负有保密的义务。评标委员会成员的名单在中标结果确定前必须严格保密。</w:t>
      </w:r>
    </w:p>
    <w:p w14:paraId="24180DB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18.3.3评标委员会成员不得参加与自己有利害关系的评审活动，与自己有利害关系的应当回避，已经进入的必须更换。</w:t>
      </w:r>
    </w:p>
    <w:p w14:paraId="4C99BD3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18.3.4评标委员会负责对各投标文件进行评审、比较、评定，并按本招标文件的规定确定中标候选人名单，以及根据采购人委托直接确定中标人。</w:t>
      </w:r>
    </w:p>
    <w:p w14:paraId="760D861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18.3.5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14:paraId="21486A7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18.3.6评标委员会的职责：</w:t>
      </w:r>
    </w:p>
    <w:p w14:paraId="7E160E7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18.3.6.1审查、评价投标文件是否符合招标文件的商务、技术等实质性要求；</w:t>
      </w:r>
    </w:p>
    <w:p w14:paraId="43BF508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18.3.6.2要求投标人对投标文件有关事项作出澄清或者说明；</w:t>
      </w:r>
    </w:p>
    <w:p w14:paraId="0F1C5ED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18.3.6.3对投标文件进行比较和评价；</w:t>
      </w:r>
    </w:p>
    <w:p w14:paraId="7F06FEA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18.3.6.4确定中标候选人名单，以及根据采购人委托直接确定中标人；</w:t>
      </w:r>
    </w:p>
    <w:p w14:paraId="6687D5B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18.3.6.5向采购人、采购代理机构或者有关部门报告评标中发现的违法行为。</w:t>
      </w:r>
    </w:p>
    <w:p w14:paraId="0FF4DB6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18.3.7评标委员会的义务：</w:t>
      </w:r>
    </w:p>
    <w:p w14:paraId="2EBF37F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18.3.7.1遵纪守法，客观、公正、廉洁地履行职责；</w:t>
      </w:r>
    </w:p>
    <w:p w14:paraId="19BEA4E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18.3.7.2提出真实、可靠的评审意见；</w:t>
      </w:r>
    </w:p>
    <w:p w14:paraId="6855E01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18.3.7.3严格遵守评标纪律，不得向外界泄露评标情况；</w:t>
      </w:r>
    </w:p>
    <w:p w14:paraId="34CCAE7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18.3.7.4发现投标人在招投标活动中有不正当竞争或者恶意串通等违规行为，应及时向监督部门报告并加以制止；</w:t>
      </w:r>
    </w:p>
    <w:p w14:paraId="7B6986A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18.3.7.5按照招标文件规定的评标方法和评标标准进行评标，对评标意见承担个人责任；</w:t>
      </w:r>
    </w:p>
    <w:p w14:paraId="5358FB3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18.3.7.6编写评标报告；</w:t>
      </w:r>
    </w:p>
    <w:p w14:paraId="527B57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18.3.7.7配合采购人或者采购代理机构答复投标人提出的质疑；</w:t>
      </w:r>
    </w:p>
    <w:p w14:paraId="12572C8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18.3.7.8对评标过程和结果，以及采购人、投标人的商业秘密保密；</w:t>
      </w:r>
    </w:p>
    <w:p w14:paraId="7F836E4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18.3.7.9配合监管部门处理投诉；</w:t>
      </w:r>
    </w:p>
    <w:p w14:paraId="225A69C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18.3.8评标委员会成员有下列情形之一的，应当回避：</w:t>
      </w:r>
    </w:p>
    <w:p w14:paraId="21A29A9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18.3.8.1投标人或者投标人主要负责人的近亲属；</w:t>
      </w:r>
    </w:p>
    <w:p w14:paraId="5413099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18.3.8.2项目主管部门或者行政监督部门的人员；</w:t>
      </w:r>
    </w:p>
    <w:p w14:paraId="494BB04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18.3.8.3与投标人有经济利益关系；</w:t>
      </w:r>
    </w:p>
    <w:p w14:paraId="540AEE9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18.3.8.4曾因在招标、评标以及其他与招标投标有关系活动中从事违法行为而受到行政处罚或者刑事处罚的；</w:t>
      </w:r>
    </w:p>
    <w:p w14:paraId="342BC33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18.3.8.5与投标人有其他利害关系。</w:t>
      </w:r>
    </w:p>
    <w:p w14:paraId="5968431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18.3.9评标中因评标委员会成员缺席、回避或者健康等特殊原因导致评标委员会组成不符合本办法规定的，采购人或者采购代理机构应当依法补足后继续评标。被更换的评标委员会成员所作出的评标意见无效。</w:t>
      </w:r>
    </w:p>
    <w:p w14:paraId="2D8D696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C9C1FE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采购人或者采购代理机构应当将变更、重新组建评标委员会的情况予以记录，并随采购文件一并存档。</w:t>
      </w:r>
    </w:p>
    <w:p w14:paraId="616A5D7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3" w:name="_Toc494455674"/>
      <w:r>
        <w:rPr>
          <w:rFonts w:hint="eastAsia" w:ascii="宋体" w:hAnsi="宋体" w:eastAsia="宋体" w:cs="宋体"/>
          <w:color w:val="auto"/>
          <w:sz w:val="21"/>
          <w:szCs w:val="21"/>
          <w:highlight w:val="none"/>
        </w:rPr>
        <w:t>18.4评标程序</w:t>
      </w:r>
      <w:bookmarkEnd w:id="73"/>
    </w:p>
    <w:p w14:paraId="521A07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18.4.1宣布评标纪律以及回避提示；</w:t>
      </w:r>
    </w:p>
    <w:p w14:paraId="01198F5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18.4.2组织推荐评标委员会组长；</w:t>
      </w:r>
    </w:p>
    <w:p w14:paraId="036C130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18.4.3资格性审查；</w:t>
      </w:r>
    </w:p>
    <w:p w14:paraId="69591DB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18.4.4符合性审查；</w:t>
      </w:r>
    </w:p>
    <w:p w14:paraId="1A38A27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18.4.5技术和商务评审；</w:t>
      </w:r>
    </w:p>
    <w:p w14:paraId="23153A2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18.4.6澄清有关问题；</w:t>
      </w:r>
    </w:p>
    <w:p w14:paraId="1368480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18.4.7比较与评价；</w:t>
      </w:r>
    </w:p>
    <w:p w14:paraId="0FB86BA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18.4.8确定中标人或者推荐中标候选人名单；</w:t>
      </w:r>
    </w:p>
    <w:p w14:paraId="5ABAF8C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18.4.9编写评标报告；</w:t>
      </w:r>
    </w:p>
    <w:p w14:paraId="7AFD35F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18.4.10宣布评标结果。</w:t>
      </w:r>
    </w:p>
    <w:p w14:paraId="59990BF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4" w:name="_Toc494455675"/>
      <w:r>
        <w:rPr>
          <w:rFonts w:hint="eastAsia" w:ascii="宋体" w:hAnsi="宋体" w:eastAsia="宋体" w:cs="宋体"/>
          <w:color w:val="auto"/>
          <w:sz w:val="21"/>
          <w:szCs w:val="21"/>
          <w:highlight w:val="none"/>
        </w:rPr>
        <w:t>18.5评标</w:t>
      </w:r>
      <w:bookmarkEnd w:id="74"/>
    </w:p>
    <w:p w14:paraId="43E85C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18.5.1采购人或者采购代理机构负责组织评标工作，并履行下列职责：</w:t>
      </w:r>
    </w:p>
    <w:p w14:paraId="136D813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18.5.1.1核对评审专家身份和采购人代表授权函，对评审专家在政府采购活动中的职责履行情况予以记录，并及时将有关违法违规行为向财政部门报告；</w:t>
      </w:r>
    </w:p>
    <w:p w14:paraId="4D0EE58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18.5.1.2宣布评标纪律；</w:t>
      </w:r>
    </w:p>
    <w:p w14:paraId="6B97CC8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18.5.1.3公布投标人名单，告知评审专家应当回避的情形；</w:t>
      </w:r>
    </w:p>
    <w:p w14:paraId="6FB891E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18.5.1.4组织评标委员会推选评标组长，采购人代表不得担任组长；</w:t>
      </w:r>
    </w:p>
    <w:p w14:paraId="6CAEE3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18.5.1.5在评标期间采取必要的通讯管理措施，保证评标活动不受外界干扰；</w:t>
      </w:r>
    </w:p>
    <w:p w14:paraId="4FAC303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18.5.1.6根据评标委员会的要求介绍政府采购相关政策法规、招标文件；</w:t>
      </w:r>
    </w:p>
    <w:p w14:paraId="42E5F1F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18.5.1.7维护评标秩序，监督评标委员会依照招标文件规定的评标程序、方法和标准进行独立评审，及时制止和纠正采购人代表、评审专家的倾向性言论或者违法违规行为；</w:t>
      </w:r>
    </w:p>
    <w:p w14:paraId="173D770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18.5.1.8核对评标结果，有以下情形的，要求评标委员会复核或者书面说明理由，评标委员会拒绝的，应予记录并向本级财政部门报告；</w:t>
      </w:r>
    </w:p>
    <w:p w14:paraId="42ED982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18.5.1.8.1分值汇总计算错误的；</w:t>
      </w:r>
    </w:p>
    <w:p w14:paraId="4DB6F4D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18.5.1.8.2分项评分超出评分标准范围的；</w:t>
      </w:r>
    </w:p>
    <w:p w14:paraId="7708A61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18.5.1.8.3评标委员会成员对客观评审因素评分不一致的；</w:t>
      </w:r>
    </w:p>
    <w:p w14:paraId="24413D2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18.5.1.8.4经评标委员会认定评分畸高、畸低的。</w:t>
      </w:r>
    </w:p>
    <w:p w14:paraId="578808D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18.5.1.9评审工作完成后，按照规定向评审专家支付劳务报酬和异地评审差旅费，不得向评审专家以外的其他人员支付评审劳务报酬；</w:t>
      </w:r>
    </w:p>
    <w:p w14:paraId="6BBBAE1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18.5.1.10处理与评标有关的其他事项。</w:t>
      </w:r>
    </w:p>
    <w:p w14:paraId="06D9421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采购人可以在评标前说明项目背景和采购需求，说明内容不得含有歧视性、倾向性意见，不得超出招标文件所述范围。说明应当提交书面材料，并随采购文件一并存档。</w:t>
      </w:r>
    </w:p>
    <w:p w14:paraId="2DC23A6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18.5.2资格性审查</w:t>
      </w:r>
    </w:p>
    <w:p w14:paraId="04E0CAC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18.5.2.1评标委员会依据法律法规和招标文件的规定，对投标文件中的资格证明、投标保证金等进行审查，以确定投标人是否具备投标资格。</w:t>
      </w:r>
    </w:p>
    <w:p w14:paraId="1393E61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18.5.2.2评标委员会通过“信用中国”网站（www.creditchina.gov.cn）、中国政府采购网（www.ccgp.gov.cn）查询投标人信用记录，查询时要将查询网页、内容进行截图或拍照，以作证据留存，截图或拍照内容要完整清晰，应包括网站网址、查询内容、电脑截屏时间。评标委员会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14:paraId="0AF1FE0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信用信息查询记录及相关证据应当与其他采购文件一并保存。</w:t>
      </w:r>
    </w:p>
    <w:p w14:paraId="11C10F2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18.5.3符合性审查</w:t>
      </w:r>
    </w:p>
    <w:p w14:paraId="10D55AB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评标委员会依据招标文件的规定，从投标文件的有效性、完整性和对招标文件的响应程度进行审查，以确定是否对招标文件的实质性要求作出响应。</w:t>
      </w:r>
    </w:p>
    <w:p w14:paraId="4B7890A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14:paraId="1262452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18.5.4技术和商务评审</w:t>
      </w:r>
    </w:p>
    <w:p w14:paraId="0A0DFAC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18.5.4.1按照招标文件要求，评标委员会审查投标人所投货物和服务的规格、质量、数量以及服务等技术要求和参数，进行技术部分的评审，并记录实质性响应等事项。</w:t>
      </w:r>
    </w:p>
    <w:p w14:paraId="3FF38D9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18.5.4.2按照招标文件要求，评标委员会审查投标人业绩、政策性加分、价格扣除等事项，进行商务部分评审，并记录相关事项。</w:t>
      </w:r>
    </w:p>
    <w:p w14:paraId="5DE4FA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14:paraId="0F65E87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18.5.4.4采用综合评分法的，商务部分由评标委员会审核认定评分结果</w:t>
      </w:r>
      <w:r>
        <w:rPr>
          <w:rFonts w:hint="eastAsia" w:ascii="宋体" w:hAnsi="宋体" w:eastAsia="宋体" w:cs="宋体"/>
          <w:color w:val="auto"/>
          <w:sz w:val="21"/>
          <w:szCs w:val="21"/>
          <w:highlight w:val="none"/>
          <w:lang w:eastAsia="zh-CN"/>
        </w:rPr>
        <w:t>。</w:t>
      </w:r>
    </w:p>
    <w:p w14:paraId="1A58A28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18.5.4.5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0383C04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18.5.4.6使用综合评分法的采购项目，提供相同品牌产品（非单一产品采购项目，系指采购人确定的核心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6B9923F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581D01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5" w:name="_Toc494455676"/>
      <w:r>
        <w:rPr>
          <w:rFonts w:hint="eastAsia" w:ascii="宋体" w:hAnsi="宋体" w:eastAsia="宋体" w:cs="宋体"/>
          <w:color w:val="auto"/>
          <w:sz w:val="21"/>
          <w:szCs w:val="21"/>
          <w:highlight w:val="none"/>
        </w:rPr>
        <w:t>18.6澄清有关问题</w:t>
      </w:r>
      <w:bookmarkEnd w:id="75"/>
    </w:p>
    <w:p w14:paraId="4FD6D4D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14:paraId="148AA4B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18.6.2评标委员会判断投标文件的响应性仅基于投标文件本身而不靠外部因素。未响应实质性条款的，评标委员会有权确定其投标无效，投标人不能通过修正、撤销或者澄清不符之处而使其投标成为实质性响应的投标。</w:t>
      </w:r>
    </w:p>
    <w:p w14:paraId="7BFE5AB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18.6.3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C91CB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76" w:name="_Toc494455677"/>
      <w:r>
        <w:rPr>
          <w:rFonts w:hint="eastAsia" w:ascii="宋体" w:hAnsi="宋体" w:eastAsia="宋体" w:cs="宋体"/>
          <w:color w:val="auto"/>
          <w:sz w:val="21"/>
          <w:szCs w:val="21"/>
          <w:highlight w:val="none"/>
        </w:rPr>
        <w:t>18.7定标</w:t>
      </w:r>
      <w:bookmarkEnd w:id="76"/>
    </w:p>
    <w:p w14:paraId="23C3602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18.7.1评标委员会根据投标人须知前附表的规定确定中标候选人或直接确定中标人。</w:t>
      </w:r>
    </w:p>
    <w:p w14:paraId="5B9B51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确定中标候选人的，中标候选人数见投标人须知前附表。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88D64D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18.7.2本次招标评标办法：见投标人须知前附表。</w:t>
      </w:r>
    </w:p>
    <w:p w14:paraId="5F743AE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E80D0D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18.7.4采用最低评标价法的，评标结果按投标报价由低到高顺序排列，投标报价相同的并列。投标文件满足招标文件全部实质性要求且投标报价最低的投标人为排名第一的中标候选人。</w:t>
      </w:r>
    </w:p>
    <w:p w14:paraId="747D2E2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14:paraId="7805A96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根据前项规定，导致各包参与综合得分排名的投标人不足3家时，评委会认为不足以构成竞争的有权对该包予以废标。</w:t>
      </w:r>
    </w:p>
    <w:p w14:paraId="694967E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18.7.6按照有关规定中标人因不可抗力或者自身原因不能履行政府采购合同的，报经同级财政部门同意后，可顺延排序第二的投标人中标；或者报同级财政部门同意后，做废标处理，由采购人依法重新组织招标。</w:t>
      </w:r>
    </w:p>
    <w:p w14:paraId="22CB9C6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18.7.7以入围方式确定多个中标人的，入围中标人数量应当根据招标需要并在招标活动开始前确定，由评标委员会按照招标文件规定的评标办法确定各投标人排列顺序，依照顺序确定入围中标人。</w:t>
      </w:r>
    </w:p>
    <w:p w14:paraId="7309BC6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18.7.8评标委员会成员对需要共同认定的事项存在争议的，应当按照少数服从多数的原则作出结论。持不同意见的评标委员会成员应当在评标报告上签署不同意见及理由，否则视为同意评标报告。</w:t>
      </w:r>
    </w:p>
    <w:p w14:paraId="755239B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18.7.9评标结果汇总完成后，除下列情形外，任何人不得修改评标结果：</w:t>
      </w:r>
    </w:p>
    <w:p w14:paraId="659571D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（一）分值汇总计算错误的；</w:t>
      </w:r>
    </w:p>
    <w:p w14:paraId="79FA064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（二）分项评分超出评分标准范围的；</w:t>
      </w:r>
    </w:p>
    <w:p w14:paraId="46910C0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（三）评标委员会成员对客观评审因素评分不一致的；</w:t>
      </w:r>
    </w:p>
    <w:p w14:paraId="220AD36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（四）经评标委员会认定评分畸高、畸低的。</w:t>
      </w:r>
    </w:p>
    <w:p w14:paraId="255D2B4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8907A1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bookmarkStart w:id="77" w:name="_Toc494455678"/>
      <w:r>
        <w:rPr>
          <w:rFonts w:hint="eastAsia" w:ascii="宋体" w:hAnsi="宋体" w:eastAsia="宋体" w:cs="宋体"/>
          <w:color w:val="auto"/>
          <w:kern w:val="0"/>
          <w:sz w:val="21"/>
          <w:szCs w:val="21"/>
          <w:highlight w:val="none"/>
        </w:rPr>
        <w:t>18.7.10评标委员会根据全体评标成员签字的原始评标记录和评标结果编写评标报告。</w:t>
      </w:r>
      <w:bookmarkEnd w:id="77"/>
    </w:p>
    <w:p w14:paraId="5E27578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bookmarkStart w:id="78" w:name="_Toc494455679"/>
      <w:r>
        <w:rPr>
          <w:rFonts w:hint="eastAsia" w:ascii="宋体" w:hAnsi="宋体" w:eastAsia="宋体" w:cs="宋体"/>
          <w:color w:val="auto"/>
          <w:kern w:val="0"/>
          <w:sz w:val="21"/>
          <w:szCs w:val="21"/>
          <w:highlight w:val="none"/>
        </w:rPr>
        <w:t>18.8中标公告以及中标通知书</w:t>
      </w:r>
      <w:bookmarkEnd w:id="78"/>
    </w:p>
    <w:p w14:paraId="05D805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18.8.1采购人或者采购代理机构应当自中标人确定之日起2个工作日内，发出中标通知书，并在相关媒介公告中标结果（公告期限为1个工作日），招标文件随中标结果同时公告；采用综合评分法评审的，还应当告知未中标人本人的评审得分与排序。</w:t>
      </w:r>
    </w:p>
    <w:p w14:paraId="03EBC27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18.8.2采购人或采购代理机构不按照规定发布中标公告或者发布中标公告后不签发中标通知书的，应当承担法律责任，给中标人造成经济损失的应承担赔偿责任。</w:t>
      </w:r>
    </w:p>
    <w:p w14:paraId="5D04DB0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18.8.3中标通知书对采购人和中标人都具有法律效力。中标通知书发出后，采购人改变中标结果的，或者中标人放弃中标，应当依法承担法律责任。</w:t>
      </w:r>
    </w:p>
    <w:p w14:paraId="22832BD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79" w:name="_Toc494455680"/>
      <w:r>
        <w:rPr>
          <w:rStyle w:val="24"/>
          <w:rFonts w:hint="eastAsia" w:ascii="宋体" w:hAnsi="宋体" w:eastAsia="宋体" w:cs="宋体"/>
          <w:color w:val="auto"/>
          <w:sz w:val="21"/>
          <w:szCs w:val="21"/>
          <w:highlight w:val="none"/>
        </w:rPr>
        <w:t>18.9投标无效</w:t>
      </w:r>
      <w:bookmarkEnd w:id="79"/>
    </w:p>
    <w:p w14:paraId="3247C3D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出现下列情形之一的，投标无效：</w:t>
      </w:r>
    </w:p>
    <w:p w14:paraId="1EB4FC1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18.9.1报价超过招标文件中规定的预算金额或者最高限价的；</w:t>
      </w:r>
    </w:p>
    <w:p w14:paraId="1083A10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18.9.2对招标文件要求的不可更改的参数未做出实质性响应的；</w:t>
      </w:r>
    </w:p>
    <w:p w14:paraId="151877D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18.9.3应提供而未提供标注的政府强制采购节能、环保产品的；</w:t>
      </w:r>
    </w:p>
    <w:p w14:paraId="4A9C5D6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18.9.4对于不允许偏离的实质性要求和条件发生偏离的；</w:t>
      </w:r>
    </w:p>
    <w:p w14:paraId="4C556A3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18.9.5不按照招标文件规定报价、没有分项报价、拒绝报价、有多个报价（招标文件另有规定的除外）、有选择性报价、附有条件的报价或者拒绝修正报价的；</w:t>
      </w:r>
    </w:p>
    <w:p w14:paraId="2C2E94C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18.9.6投标文件正副本未区分或者内容严重不一致的；</w:t>
      </w:r>
    </w:p>
    <w:p w14:paraId="250290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18.9.7未按照招标文件的规定提交投标保证金的；</w:t>
      </w:r>
    </w:p>
    <w:p w14:paraId="2043AE4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18.9.8投标有效期不满足招标文件要求的；</w:t>
      </w:r>
    </w:p>
    <w:p w14:paraId="01407CA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9</w:t>
      </w:r>
      <w:r>
        <w:rPr>
          <w:rStyle w:val="24"/>
          <w:rFonts w:hint="eastAsia" w:ascii="宋体" w:hAnsi="宋体" w:eastAsia="宋体" w:cs="宋体"/>
          <w:color w:val="auto"/>
          <w:sz w:val="21"/>
          <w:szCs w:val="21"/>
          <w:highlight w:val="none"/>
        </w:rPr>
        <w:t>评标委员会2/3及以上成员认定投标方案技术含量低、不符合招标文件要求的；</w:t>
      </w:r>
    </w:p>
    <w:p w14:paraId="146E5D3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18.9.1</w:t>
      </w:r>
      <w:r>
        <w:rPr>
          <w:rStyle w:val="24"/>
          <w:rFonts w:hint="eastAsia" w:ascii="宋体" w:hAnsi="宋体" w:cs="宋体"/>
          <w:color w:val="auto"/>
          <w:sz w:val="21"/>
          <w:szCs w:val="21"/>
          <w:highlight w:val="none"/>
          <w:lang w:val="en-US" w:eastAsia="zh-CN"/>
        </w:rPr>
        <w:t>0</w:t>
      </w:r>
      <w:r>
        <w:rPr>
          <w:rStyle w:val="24"/>
          <w:rFonts w:hint="eastAsia" w:ascii="宋体" w:hAnsi="宋体" w:eastAsia="宋体" w:cs="宋体"/>
          <w:color w:val="auto"/>
          <w:sz w:val="21"/>
          <w:szCs w:val="21"/>
          <w:highlight w:val="none"/>
        </w:rPr>
        <w:t>评标委员会判定投标人涂改证明材料或者提供虚假材料和承诺的；</w:t>
      </w:r>
    </w:p>
    <w:p w14:paraId="18AAB2B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11</w:t>
      </w:r>
      <w:r>
        <w:rPr>
          <w:rStyle w:val="24"/>
          <w:rFonts w:hint="eastAsia" w:ascii="宋体" w:hAnsi="宋体" w:eastAsia="宋体" w:cs="宋体"/>
          <w:color w:val="auto"/>
          <w:sz w:val="21"/>
          <w:szCs w:val="21"/>
          <w:highlight w:val="none"/>
        </w:rPr>
        <w:t>投标文件未按招标文件要求编制、签署、盖章、装订的；</w:t>
      </w:r>
    </w:p>
    <w:p w14:paraId="27550EB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12</w:t>
      </w:r>
      <w:r>
        <w:rPr>
          <w:rStyle w:val="24"/>
          <w:rFonts w:hint="eastAsia" w:ascii="宋体" w:hAnsi="宋体" w:eastAsia="宋体" w:cs="宋体"/>
          <w:color w:val="auto"/>
          <w:sz w:val="21"/>
          <w:szCs w:val="21"/>
          <w:highlight w:val="none"/>
        </w:rPr>
        <w:t>投标人</w:t>
      </w:r>
      <w:r>
        <w:rPr>
          <w:rStyle w:val="24"/>
          <w:rFonts w:hint="eastAsia" w:ascii="宋体" w:hAnsi="宋体" w:eastAsia="宋体" w:cs="宋体"/>
          <w:color w:val="auto"/>
          <w:sz w:val="21"/>
          <w:szCs w:val="21"/>
          <w:highlight w:val="none"/>
          <w:lang w:val="en-US" w:eastAsia="zh-CN"/>
        </w:rPr>
        <w:t>未按招标文件要求提交</w:t>
      </w:r>
      <w:r>
        <w:rPr>
          <w:rStyle w:val="24"/>
          <w:rFonts w:hint="eastAsia" w:ascii="宋体" w:hAnsi="宋体" w:eastAsia="宋体" w:cs="宋体"/>
          <w:color w:val="auto"/>
          <w:sz w:val="21"/>
          <w:szCs w:val="21"/>
          <w:highlight w:val="none"/>
        </w:rPr>
        <w:t>必须提交的资格证明、提交不齐全或者复印件未装订于投标文件中的；</w:t>
      </w:r>
    </w:p>
    <w:p w14:paraId="724D973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13</w:t>
      </w:r>
      <w:r>
        <w:rPr>
          <w:rStyle w:val="24"/>
          <w:rFonts w:hint="eastAsia" w:ascii="宋体" w:hAnsi="宋体" w:eastAsia="宋体" w:cs="宋体"/>
          <w:color w:val="auto"/>
          <w:sz w:val="21"/>
          <w:szCs w:val="21"/>
          <w:highlight w:val="none"/>
          <w:lang w:val="en-US" w:eastAsia="zh-CN"/>
        </w:rPr>
        <w:t>商务、技术</w:t>
      </w:r>
      <w:r>
        <w:rPr>
          <w:rStyle w:val="24"/>
          <w:rFonts w:hint="eastAsia" w:ascii="宋体" w:hAnsi="宋体" w:eastAsia="宋体" w:cs="宋体"/>
          <w:color w:val="auto"/>
          <w:sz w:val="21"/>
          <w:szCs w:val="21"/>
          <w:highlight w:val="none"/>
        </w:rPr>
        <w:t>等证明文件可以为复印件的，复印件未加盖单位公章的；</w:t>
      </w:r>
    </w:p>
    <w:p w14:paraId="48011D2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w:t>
      </w:r>
      <w:r>
        <w:rPr>
          <w:rStyle w:val="24"/>
          <w:rFonts w:hint="eastAsia" w:ascii="宋体" w:hAnsi="宋体" w:cs="宋体"/>
          <w:color w:val="auto"/>
          <w:sz w:val="21"/>
          <w:szCs w:val="21"/>
          <w:highlight w:val="none"/>
          <w:lang w:val="en-US" w:eastAsia="zh-CN"/>
        </w:rPr>
        <w:t>14</w:t>
      </w:r>
      <w:r>
        <w:rPr>
          <w:rStyle w:val="24"/>
          <w:rFonts w:hint="eastAsia" w:ascii="宋体" w:hAnsi="宋体" w:eastAsia="宋体" w:cs="宋体"/>
          <w:color w:val="auto"/>
          <w:sz w:val="21"/>
          <w:szCs w:val="21"/>
          <w:highlight w:val="none"/>
        </w:rPr>
        <w:t>投标文件含有采购人不能接受的附加条件的；</w:t>
      </w:r>
    </w:p>
    <w:p w14:paraId="4480CD8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18.9.1</w:t>
      </w:r>
      <w:r>
        <w:rPr>
          <w:rStyle w:val="24"/>
          <w:rFonts w:hint="eastAsia" w:ascii="宋体" w:hAnsi="宋体" w:cs="宋体"/>
          <w:color w:val="auto"/>
          <w:sz w:val="21"/>
          <w:szCs w:val="21"/>
          <w:highlight w:val="none"/>
          <w:lang w:val="en-US" w:eastAsia="zh-CN"/>
        </w:rPr>
        <w:t>5</w:t>
      </w:r>
      <w:r>
        <w:rPr>
          <w:rStyle w:val="24"/>
          <w:rFonts w:hint="eastAsia" w:ascii="宋体" w:hAnsi="宋体" w:eastAsia="宋体" w:cs="宋体"/>
          <w:color w:val="auto"/>
          <w:sz w:val="21"/>
          <w:szCs w:val="21"/>
          <w:highlight w:val="none"/>
        </w:rPr>
        <w:t>法律、法规和招标文件规定的其他无效情形。</w:t>
      </w:r>
    </w:p>
    <w:p w14:paraId="78F03D8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对投标无效的认定，必须经评标委员会集体做出决定并出具投标无效的事实依据，由投标人法定代表人或者被授权代表签字确认，拒绝签字的，不影响评标委员会做出的决定。</w:t>
      </w:r>
    </w:p>
    <w:p w14:paraId="6E36FC6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80" w:name="_Toc494455681"/>
      <w:r>
        <w:rPr>
          <w:rStyle w:val="24"/>
          <w:rFonts w:hint="eastAsia" w:ascii="宋体" w:hAnsi="宋体" w:eastAsia="宋体" w:cs="宋体"/>
          <w:color w:val="auto"/>
          <w:sz w:val="21"/>
          <w:szCs w:val="21"/>
          <w:highlight w:val="none"/>
        </w:rPr>
        <w:t>18.10废标</w:t>
      </w:r>
      <w:bookmarkEnd w:id="80"/>
    </w:p>
    <w:p w14:paraId="346984C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18.10.1出现下列情形之一的，应予废标：</w:t>
      </w:r>
    </w:p>
    <w:p w14:paraId="383ED19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18.10.1.1在投标截止时间后参加投标的投标人不足3家或者通过资格审查或符合性审查的投标人不足3家的；</w:t>
      </w:r>
    </w:p>
    <w:p w14:paraId="26C52CD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18.10.1.2出现影响采购公正的违法违规行为的；</w:t>
      </w:r>
    </w:p>
    <w:p w14:paraId="5725260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18.10.1.3投标人的报价均超过预算金额或者最高限价的；</w:t>
      </w:r>
    </w:p>
    <w:p w14:paraId="65DDB24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18.10.1.4因重大变故，采购任务取消的；</w:t>
      </w:r>
    </w:p>
    <w:p w14:paraId="0C6DAC6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18.10.1.5法律、法规以及招标文件规定的其他废标情形。</w:t>
      </w:r>
    </w:p>
    <w:p w14:paraId="65BC046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18.10.2废标后，采购人或者采购代理机构应当将废标理由通知所有投标人。</w:t>
      </w:r>
    </w:p>
    <w:p w14:paraId="0E2FA1C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81" w:name="_Toc494455682"/>
      <w:r>
        <w:rPr>
          <w:rStyle w:val="24"/>
          <w:rFonts w:hint="eastAsia" w:ascii="宋体" w:hAnsi="宋体" w:eastAsia="宋体" w:cs="宋体"/>
          <w:color w:val="auto"/>
          <w:sz w:val="21"/>
          <w:szCs w:val="21"/>
          <w:highlight w:val="none"/>
        </w:rPr>
        <w:t>18.11特殊情况处置程序</w:t>
      </w:r>
      <w:bookmarkEnd w:id="81"/>
    </w:p>
    <w:p w14:paraId="068E14F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18.11.1评标委员会成员的更换</w:t>
      </w:r>
    </w:p>
    <w:p w14:paraId="3A012D5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18.11.1.1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14:paraId="02DE6D8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18.11.1.2退出评标委员会的成员，其已完成的评审行为无效。由采购人向监督人员提出更换评标委员会成员意见并获准后，根据本招标文件规定的评标委员会成员产生方式另行确定替代者进行评标。</w:t>
      </w:r>
    </w:p>
    <w:p w14:paraId="0CDDF2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18.11.2记名投票</w:t>
      </w:r>
    </w:p>
    <w:p w14:paraId="6871573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在评标过程中，评标委员会发生分歧或者评审结论有异议需表决的，按照少数服从多数的原则，由评标委员会全体成员以记名投票方式表决。</w:t>
      </w:r>
    </w:p>
    <w:p w14:paraId="58592E7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18.11.3延期开标</w:t>
      </w:r>
    </w:p>
    <w:p w14:paraId="324A8CC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因特殊情况需要推迟开标时间的，采购人或者采购代理机构必须提前报监督部门审批，经批准后按规定提前告知所有参加投标的投标人，否则必须按时开标。</w:t>
      </w:r>
    </w:p>
    <w:p w14:paraId="172283D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82" w:name="_Toc494455683"/>
      <w:r>
        <w:rPr>
          <w:rStyle w:val="24"/>
          <w:rFonts w:hint="eastAsia" w:ascii="宋体" w:hAnsi="宋体" w:eastAsia="宋体" w:cs="宋体"/>
          <w:color w:val="auto"/>
          <w:sz w:val="21"/>
          <w:szCs w:val="21"/>
          <w:highlight w:val="none"/>
        </w:rPr>
        <w:t>18.12违法违规情形</w:t>
      </w:r>
      <w:bookmarkEnd w:id="82"/>
    </w:p>
    <w:p w14:paraId="1617D62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18.12.1有下列情形之一的，属于投标人相互串通投标：</w:t>
      </w:r>
    </w:p>
    <w:p w14:paraId="5B7513A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18.12.1.1投标人之间协商投标报价等投标文件的实质性内容；</w:t>
      </w:r>
    </w:p>
    <w:p w14:paraId="0ED4898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18.12.1.2投标人之间约定中标人；</w:t>
      </w:r>
    </w:p>
    <w:p w14:paraId="100DC6D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18.12.1.3投标人之间约定部分投标人放弃投标或者中标；</w:t>
      </w:r>
    </w:p>
    <w:p w14:paraId="0FA554E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18.12.1.4属于同一集团、协会、商会等组织成员的投标人按照该组织要求协同投标；</w:t>
      </w:r>
    </w:p>
    <w:p w14:paraId="5F1F138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18.12.1.5投标人之间为谋取中标或者排斥特定投标人而采取的其他联合行动。</w:t>
      </w:r>
    </w:p>
    <w:p w14:paraId="286FBCD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18.12.2有下列情形之一的，视为投标人相互串通投标，评标委员会应当出具违法违规认定意见并作投标无效处理：</w:t>
      </w:r>
    </w:p>
    <w:p w14:paraId="4F34AD7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18.12.2.1不同投标人的投标文件由同一单位或者个人编制；</w:t>
      </w:r>
    </w:p>
    <w:p w14:paraId="764ABE6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18.12.2.2不同投标人委托同一单位或者个人办理投标事宜；</w:t>
      </w:r>
    </w:p>
    <w:p w14:paraId="3C54766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18.12.2.3不同投标人的投标文件载明的项目管理成员或者联系人员为同一人；</w:t>
      </w:r>
    </w:p>
    <w:p w14:paraId="2DFB3BC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18.12.2.4不同投标人的投标文件异常一致或者投标报价呈规律性差异；</w:t>
      </w:r>
    </w:p>
    <w:p w14:paraId="52934A0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18.12.2.5不同投标人的投标文件相互混装；</w:t>
      </w:r>
    </w:p>
    <w:p w14:paraId="68F001B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18.12.2.6不同投标人的投标保证金从同一单位或者个人的账户转出。</w:t>
      </w:r>
    </w:p>
    <w:p w14:paraId="7956302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18.12.3有下列情形之一的，属于采购人与投标人串通投标：</w:t>
      </w:r>
    </w:p>
    <w:p w14:paraId="1BEA695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18.12.3.1采购人在开标前开启投标文件并将有关信息泄露给其他投标人；</w:t>
      </w:r>
    </w:p>
    <w:p w14:paraId="549AC53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18.12.3.2采购人直接或者间接向投标人泄露标底、评标委员会成员等信息；</w:t>
      </w:r>
    </w:p>
    <w:p w14:paraId="740AB77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18.12.3.3采购人明示或者暗示投标人压低或者抬高投标报价；</w:t>
      </w:r>
    </w:p>
    <w:p w14:paraId="20157F8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18.12.3.4采购人授意投标人撤换、修改投标文件；</w:t>
      </w:r>
    </w:p>
    <w:p w14:paraId="29047F8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18.12.3.5采购人明示或者暗示投标人为特定投标人中标提供方便；</w:t>
      </w:r>
    </w:p>
    <w:p w14:paraId="4D23D36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18.12.3.6采购人与投标人为谋求特定投标人中标而采取的其他串通行为。</w:t>
      </w:r>
    </w:p>
    <w:p w14:paraId="3860D4C2">
      <w:pPr>
        <w:pStyle w:val="9"/>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color w:val="auto"/>
          <w:sz w:val="21"/>
          <w:szCs w:val="21"/>
          <w:highlight w:val="none"/>
        </w:rPr>
      </w:pPr>
    </w:p>
    <w:p w14:paraId="0994D48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在评标过程中发现投标人有上述情形的，评标委员会应当认定其投标无效，并书面报告本级财政部门。</w:t>
      </w:r>
    </w:p>
    <w:p w14:paraId="3DC48C3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bookmarkStart w:id="83" w:name="_Toc494455684"/>
      <w:r>
        <w:rPr>
          <w:rStyle w:val="24"/>
          <w:rFonts w:hint="eastAsia" w:ascii="宋体" w:hAnsi="宋体" w:eastAsia="宋体" w:cs="宋体"/>
          <w:color w:val="auto"/>
          <w:sz w:val="21"/>
          <w:szCs w:val="21"/>
          <w:highlight w:val="none"/>
        </w:rPr>
        <w:t>18.13违规处理</w:t>
      </w:r>
      <w:bookmarkEnd w:id="83"/>
    </w:p>
    <w:p w14:paraId="697B3A6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投标人有下列情形之一的，列入不良行为记录名单，在一至三年内禁止参加政府采购活动：</w:t>
      </w:r>
    </w:p>
    <w:p w14:paraId="0AEC536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18.13.1提供虚假投标材料谋取中标、成交的；</w:t>
      </w:r>
    </w:p>
    <w:p w14:paraId="19D02D2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18.13.2采取不正当手段诋毁、排挤其他投标人的；</w:t>
      </w:r>
    </w:p>
    <w:p w14:paraId="13EF531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18.13.3与采购人、其他投标人或者采购代理机构恶意串通的；</w:t>
      </w:r>
    </w:p>
    <w:p w14:paraId="2DF63D4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18.13.4向采购人、采购代理机构行贿或者提供其他不正当利益的；</w:t>
      </w:r>
    </w:p>
    <w:p w14:paraId="5C45D72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18.13.5在招标采购过程中与采购人进行协商谈判的；</w:t>
      </w:r>
    </w:p>
    <w:p w14:paraId="68F05FA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18.13.6拒绝有关部门监督检查或者提供虚假情况的；</w:t>
      </w:r>
    </w:p>
    <w:p w14:paraId="0175C58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18.13.7一年内累计三次以上投诉均查无实据，并带有明显故意行为的；</w:t>
      </w:r>
    </w:p>
    <w:p w14:paraId="5C26157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18.13.8捏造事实或者提供虚假投诉材料的；</w:t>
      </w:r>
    </w:p>
    <w:p w14:paraId="303E631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18.13.9不按照规定程序以及正常途径质疑、投诉，采用匿名信、匿名电话、发短信息等手段，威胁、恫吓、辱骂、恶意中伤其他相关当事人的；</w:t>
      </w:r>
    </w:p>
    <w:p w14:paraId="1486F3C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18.13.10法律、法规和招标文件中规定的其他情形。</w:t>
      </w:r>
    </w:p>
    <w:p w14:paraId="2F8EF613">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default" w:ascii="宋体" w:hAnsi="宋体" w:eastAsia="宋体" w:cs="宋体"/>
          <w:color w:val="auto"/>
          <w:sz w:val="21"/>
          <w:szCs w:val="21"/>
          <w:highlight w:val="none"/>
          <w:lang w:val="en-US" w:eastAsia="zh-CN" w:bidi="ar-SA"/>
        </w:rPr>
      </w:pPr>
      <w:r>
        <w:rPr>
          <w:rStyle w:val="24"/>
          <w:rFonts w:hint="eastAsia" w:ascii="宋体" w:hAnsi="宋体" w:eastAsia="宋体" w:cs="宋体"/>
          <w:color w:val="auto"/>
          <w:sz w:val="21"/>
          <w:szCs w:val="21"/>
          <w:highlight w:val="none"/>
          <w:lang w:val="en-US" w:eastAsia="zh-CN" w:bidi="ar-SA"/>
        </w:rPr>
        <w:t>18.</w:t>
      </w:r>
      <w:r>
        <w:rPr>
          <w:rStyle w:val="24"/>
          <w:rFonts w:hint="eastAsia" w:hAnsi="宋体" w:cs="宋体"/>
          <w:color w:val="auto"/>
          <w:sz w:val="21"/>
          <w:szCs w:val="21"/>
          <w:highlight w:val="none"/>
          <w:lang w:val="en-US" w:eastAsia="zh-CN" w:bidi="ar-SA"/>
        </w:rPr>
        <w:t>1</w:t>
      </w:r>
      <w:r>
        <w:rPr>
          <w:rStyle w:val="24"/>
          <w:rFonts w:hint="eastAsia" w:ascii="宋体" w:hAnsi="宋体" w:eastAsia="宋体" w:cs="宋体"/>
          <w:color w:val="auto"/>
          <w:sz w:val="21"/>
          <w:szCs w:val="21"/>
          <w:highlight w:val="none"/>
          <w:lang w:val="en-US" w:eastAsia="zh-CN" w:bidi="ar-SA"/>
        </w:rPr>
        <w:t>4投标人不得存在下列情况</w:t>
      </w:r>
    </w:p>
    <w:p w14:paraId="7619E9AB">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4.1与招标人存在利害关系且可能影响招标公正性;</w:t>
      </w:r>
    </w:p>
    <w:p w14:paraId="2DF446B9">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4.2与本招标项目的其他投标人为同一个单位负责人:</w:t>
      </w:r>
    </w:p>
    <w:p w14:paraId="2A9FE927">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4.3与本招标项目的其他投标人存在控股、管理关系:</w:t>
      </w:r>
    </w:p>
    <w:p w14:paraId="7C8A2811">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4.4被依法暂停或者取消投标资格;</w:t>
      </w:r>
    </w:p>
    <w:p w14:paraId="170361AE">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4.5被责令停产停业、暂扣或者吊销许可证、暂扣或者吊销执照;</w:t>
      </w:r>
    </w:p>
    <w:p w14:paraId="5DBA11B4">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4.6进入清算程序，或被宣告破产，或其他丧失履约能力的情形;</w:t>
      </w:r>
    </w:p>
    <w:p w14:paraId="2658ACFF">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4.7被工商行政管理机关在全国企业信用信息公示系统中列入严重违法</w:t>
      </w:r>
    </w:p>
    <w:p w14:paraId="071AD2CF">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失信企业名单;</w:t>
      </w:r>
    </w:p>
    <w:p w14:paraId="03021D0F">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4.8被最高人民法院在“信用中国”网站(www.creditchina.gov.cn</w:t>
      </w:r>
    </w:p>
    <w:p w14:paraId="03A84228">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或各级信用信息共享平台中列入失信被执行人名单;</w:t>
      </w:r>
    </w:p>
    <w:p w14:paraId="4AC0252D">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4.9在近三年内投标人或其法定代表人、拟委任的项目负责人有行贿犯罪行为的;</w:t>
      </w:r>
    </w:p>
    <w:p w14:paraId="5B67BED6">
      <w:pPr>
        <w:pStyle w:val="9"/>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b w:val="0"/>
          <w:bCs w:val="0"/>
          <w:color w:val="auto"/>
          <w:sz w:val="21"/>
          <w:szCs w:val="21"/>
          <w:highlight w:val="none"/>
          <w:lang w:val="en-US" w:eastAsia="zh-CN" w:bidi="ar-SA"/>
        </w:rPr>
      </w:pPr>
      <w:r>
        <w:rPr>
          <w:rStyle w:val="24"/>
          <w:rFonts w:hint="eastAsia" w:ascii="宋体" w:hAnsi="宋体" w:eastAsia="宋体" w:cs="宋体"/>
          <w:b w:val="0"/>
          <w:bCs w:val="0"/>
          <w:color w:val="auto"/>
          <w:sz w:val="21"/>
          <w:szCs w:val="21"/>
          <w:highlight w:val="none"/>
          <w:lang w:val="en-US" w:eastAsia="zh-CN" w:bidi="ar-SA"/>
        </w:rPr>
        <w:t>18.</w:t>
      </w:r>
      <w:r>
        <w:rPr>
          <w:rStyle w:val="24"/>
          <w:rFonts w:hint="eastAsia" w:hAnsi="宋体" w:cs="宋体"/>
          <w:b w:val="0"/>
          <w:bCs w:val="0"/>
          <w:color w:val="auto"/>
          <w:sz w:val="21"/>
          <w:szCs w:val="21"/>
          <w:highlight w:val="none"/>
          <w:lang w:val="en-US" w:eastAsia="zh-CN" w:bidi="ar-SA"/>
        </w:rPr>
        <w:t>1</w:t>
      </w:r>
      <w:r>
        <w:rPr>
          <w:rStyle w:val="24"/>
          <w:rFonts w:hint="eastAsia" w:ascii="宋体" w:hAnsi="宋体" w:eastAsia="宋体" w:cs="宋体"/>
          <w:b w:val="0"/>
          <w:bCs w:val="0"/>
          <w:color w:val="auto"/>
          <w:sz w:val="21"/>
          <w:szCs w:val="21"/>
          <w:highlight w:val="none"/>
          <w:lang w:val="en-US" w:eastAsia="zh-CN" w:bidi="ar-SA"/>
        </w:rPr>
        <w:t>4.10法律法规或投标人须知前附表规定的其他情形。</w:t>
      </w:r>
    </w:p>
    <w:p w14:paraId="2408330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84" w:name="_Toc26581"/>
      <w:bookmarkStart w:id="85" w:name="_Toc32695"/>
      <w:r>
        <w:rPr>
          <w:rFonts w:hint="eastAsia" w:ascii="宋体" w:hAnsi="宋体" w:eastAsia="宋体" w:cs="宋体"/>
          <w:color w:val="auto"/>
          <w:sz w:val="21"/>
          <w:szCs w:val="21"/>
          <w:highlight w:val="none"/>
        </w:rPr>
        <w:t>19.纪律要求</w:t>
      </w:r>
      <w:bookmarkEnd w:id="84"/>
      <w:bookmarkEnd w:id="85"/>
    </w:p>
    <w:p w14:paraId="25877C5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86" w:name="_Toc494455686"/>
      <w:r>
        <w:rPr>
          <w:rFonts w:hint="eastAsia" w:ascii="宋体" w:hAnsi="宋体" w:eastAsia="宋体" w:cs="宋体"/>
          <w:color w:val="auto"/>
          <w:sz w:val="21"/>
          <w:szCs w:val="21"/>
          <w:highlight w:val="none"/>
        </w:rPr>
        <w:t>19.1对采购人的纪律要求</w:t>
      </w:r>
      <w:bookmarkEnd w:id="86"/>
    </w:p>
    <w:p w14:paraId="12ACD55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07A5D88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采购人不得向供应商索要或者接受其给予的赠品、回扣或者与采购无关的其他商品、服务。</w:t>
      </w:r>
    </w:p>
    <w:p w14:paraId="51CD3F4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87" w:name="_Toc494455687"/>
      <w:r>
        <w:rPr>
          <w:rFonts w:hint="eastAsia" w:ascii="宋体" w:hAnsi="宋体" w:eastAsia="宋体" w:cs="宋体"/>
          <w:color w:val="auto"/>
          <w:sz w:val="21"/>
          <w:szCs w:val="21"/>
          <w:highlight w:val="none"/>
        </w:rPr>
        <w:t>19.2对投标人的纪律要求</w:t>
      </w:r>
      <w:bookmarkEnd w:id="87"/>
    </w:p>
    <w:p w14:paraId="2DFCCFD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投标人应当遵循公平竞争的原则，不得恶意串通，不得妨碍其他投标人的竞争行为，不得损害采购人或者其他投标人的合法权益。</w:t>
      </w:r>
    </w:p>
    <w:p w14:paraId="69969D1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88" w:name="_Toc494455688"/>
      <w:r>
        <w:rPr>
          <w:rFonts w:hint="eastAsia" w:ascii="宋体" w:hAnsi="宋体" w:eastAsia="宋体" w:cs="宋体"/>
          <w:color w:val="auto"/>
          <w:sz w:val="21"/>
          <w:szCs w:val="21"/>
          <w:highlight w:val="none"/>
        </w:rPr>
        <w:t>19.3对评标委员会成员的纪律要求</w:t>
      </w:r>
      <w:bookmarkEnd w:id="88"/>
    </w:p>
    <w:p w14:paraId="25FAD5B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评标委员会及其成员不得有下列行为：</w:t>
      </w:r>
    </w:p>
    <w:p w14:paraId="1823C8B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（一）确定参与评标至评标结束前私自接触投标人；</w:t>
      </w:r>
    </w:p>
    <w:p w14:paraId="1262D36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（二）接受投标人提出的与投标文件不一致的澄清或者说明，法律规定允许澄清或说明的情形除外；</w:t>
      </w:r>
    </w:p>
    <w:p w14:paraId="56FBFE4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（三）违反评标纪律发表倾向性意见或者征询采购人的倾向性意见；</w:t>
      </w:r>
    </w:p>
    <w:p w14:paraId="76ECC7F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（四）对需要专业判断的主观评审因素协商评分；</w:t>
      </w:r>
    </w:p>
    <w:p w14:paraId="49192626">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（五）在评标过程中擅离职守，影响评标程序正常进行的；</w:t>
      </w:r>
    </w:p>
    <w:p w14:paraId="7018229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（六）记录、复制或者带走任何评标资料；</w:t>
      </w:r>
    </w:p>
    <w:p w14:paraId="200F94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（七）其他不遵守评标纪律的行为。</w:t>
      </w:r>
    </w:p>
    <w:p w14:paraId="0D627AA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评标委员会成员有前款第一至五项行为之一的，其评审意见无效，并不得获取评审劳务报酬和报销异地评审差旅费。</w:t>
      </w:r>
    </w:p>
    <w:p w14:paraId="137DAA4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89" w:name="_Toc494455689"/>
      <w:r>
        <w:rPr>
          <w:rFonts w:hint="eastAsia" w:ascii="宋体" w:hAnsi="宋体" w:eastAsia="宋体" w:cs="宋体"/>
          <w:color w:val="auto"/>
          <w:sz w:val="21"/>
          <w:szCs w:val="21"/>
          <w:highlight w:val="none"/>
        </w:rPr>
        <w:t>19.4对与评标活动有关的工作人员的纪律要求</w:t>
      </w:r>
      <w:bookmarkEnd w:id="89"/>
    </w:p>
    <w:p w14:paraId="7015DF5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Style w:val="24"/>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bookmarkEnd w:id="69"/>
    <w:p w14:paraId="363A58E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90" w:name="_Toc16617"/>
      <w:bookmarkStart w:id="91" w:name="_Toc28233"/>
      <w:r>
        <w:rPr>
          <w:rFonts w:hint="eastAsia" w:ascii="宋体" w:hAnsi="宋体" w:eastAsia="宋体" w:cs="宋体"/>
          <w:color w:val="auto"/>
          <w:sz w:val="21"/>
          <w:szCs w:val="21"/>
          <w:highlight w:val="none"/>
        </w:rPr>
        <w:t>20.质疑</w:t>
      </w:r>
      <w:bookmarkEnd w:id="90"/>
      <w:bookmarkEnd w:id="91"/>
    </w:p>
    <w:p w14:paraId="7E7E73D1">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20.1参加本次政府采购活动的投标人认为招标文件、招标过程和中标结果使自己的权益受到损害的，可以在知道或者应知道其权益受到损害之日起7个工作日内，以书面形式向采购人或者采购代理机构提出质疑。</w:t>
      </w:r>
    </w:p>
    <w:p w14:paraId="636C24B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20.2质疑书内容应包括以下主要内容：</w:t>
      </w:r>
    </w:p>
    <w:p w14:paraId="45C761C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20.2.1质疑人的名称、地址、电话等；</w:t>
      </w:r>
    </w:p>
    <w:p w14:paraId="384CBCE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20.2.2具体的质疑事项、证据以及法律、法规依据；</w:t>
      </w:r>
    </w:p>
    <w:p w14:paraId="7AEBA24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20.2.3提出质疑的日期。</w:t>
      </w:r>
    </w:p>
    <w:p w14:paraId="1C4946F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7AA18C8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20.4除书面形式外，其他任何方式的质疑，采购人或者采购代理机构均不予接受和回复。</w:t>
      </w:r>
    </w:p>
    <w:p w14:paraId="71B7C5A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20.5采购人或者采购代理机构在收到质疑书后7个工作日内做出书面答复，并以书面形式通知质疑人和其他有关投标人，但答复不得涉及商业秘密。</w:t>
      </w:r>
    </w:p>
    <w:p w14:paraId="120AFD6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20.6质疑人对采购人、采购代理机构的答复不满意或者采购人、采购代理机构未在规定的时间内做出答复的，可以在答复期满后15个工作日内向同级监管部门投诉。</w:t>
      </w:r>
    </w:p>
    <w:p w14:paraId="515D812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92" w:name="_Toc494455668"/>
      <w:bookmarkStart w:id="93" w:name="_Toc548"/>
      <w:bookmarkStart w:id="94" w:name="_Toc3444"/>
      <w:r>
        <w:rPr>
          <w:rFonts w:hint="eastAsia" w:ascii="宋体" w:hAnsi="宋体" w:eastAsia="宋体" w:cs="宋体"/>
          <w:color w:val="auto"/>
          <w:sz w:val="21"/>
          <w:szCs w:val="21"/>
          <w:highlight w:val="none"/>
        </w:rPr>
        <w:t>21.投诉</w:t>
      </w:r>
      <w:bookmarkEnd w:id="92"/>
      <w:bookmarkEnd w:id="93"/>
      <w:bookmarkEnd w:id="94"/>
    </w:p>
    <w:p w14:paraId="392F966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按照《中华人民共和国政府采购法》、财政部《政府采购供应商投诉处理办法》（第20号令）和财政部《关于加强政府采购供应商投诉受理审查工作的通知》（财库〔2007〕1号）文件以及相关的法律、法规及规定，质疑人对采购人、采购代理机构的答复不满意或者采购人、采购代理机构未在规定的时间内做出答复的，可以在答复期满后15个工作日内向同级监管部门投诉。</w:t>
      </w:r>
    </w:p>
    <w:p w14:paraId="65C9C9B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21.2投诉人提起投诉应符合下列条件：</w:t>
      </w:r>
    </w:p>
    <w:p w14:paraId="15923FDB">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21.2.1投诉人是参与所投诉政府采购活动的投标人；</w:t>
      </w:r>
    </w:p>
    <w:p w14:paraId="60F2F12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21.2.2提起投诉前已依法进行质疑；</w:t>
      </w:r>
    </w:p>
    <w:p w14:paraId="24FC899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21.2.3投诉书内容符合财政部《政府采购投标人投诉处理办法》（第20号令）规定；</w:t>
      </w:r>
    </w:p>
    <w:p w14:paraId="47E8B33C">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21.2.4在投诉有效期限内提起投诉；</w:t>
      </w:r>
    </w:p>
    <w:p w14:paraId="1420B47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21.2.5属于本财政部门管辖；</w:t>
      </w:r>
    </w:p>
    <w:p w14:paraId="1985CEB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21.2.6同一投诉事项未经财政部门投诉处理；</w:t>
      </w:r>
    </w:p>
    <w:p w14:paraId="76422FF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21.2.7法律法规规定的其他条件。</w:t>
      </w:r>
    </w:p>
    <w:p w14:paraId="11B20303">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21.3投诉人投诉时，应当提交投诉书，并按照被投诉采购人、采购代理机构和与投诉事项有关的投标人数量提供投诉书的副本。</w:t>
      </w:r>
    </w:p>
    <w:p w14:paraId="2837DB3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21.4投诉书应当包括以下主要内容：</w:t>
      </w:r>
    </w:p>
    <w:p w14:paraId="15A9F11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21.4.1投诉人和被投诉人的名称、地址、电话等；</w:t>
      </w:r>
    </w:p>
    <w:p w14:paraId="646EC57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21.4.2具体的投诉事宜以及事实依据；</w:t>
      </w:r>
    </w:p>
    <w:p w14:paraId="4B300CC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21.4.3质疑书和质疑答复情况以及相关证明材料；</w:t>
      </w:r>
    </w:p>
    <w:p w14:paraId="3EF6389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21.4.4提起投诉的日期。</w:t>
      </w:r>
    </w:p>
    <w:p w14:paraId="5C36FBF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21.5投诉书应当署名。投诉人为自然人的，应当由本人签字；投诉人为法人或者其他组织的，应当由法定代表人或者主要负责人签字盖章并加盖公章。</w:t>
      </w:r>
    </w:p>
    <w:p w14:paraId="6092D33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21.6投诉人可以委托代理人办理投诉事务。代理人办理投诉事务时，除提交投诉书外，还应当向同级监管部门提交投诉人的授权委托书，授权委托书应当载明委托代理的具体权限和事项。</w:t>
      </w:r>
    </w:p>
    <w:p w14:paraId="6580189D">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21.7投诉人不符合上述规定提起的投诉，监管部门不予受理。</w:t>
      </w:r>
    </w:p>
    <w:p w14:paraId="25FE026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95" w:name="_Toc8491"/>
      <w:bookmarkStart w:id="96" w:name="_Toc494455669"/>
      <w:bookmarkStart w:id="97" w:name="_Toc14605"/>
      <w:r>
        <w:rPr>
          <w:rFonts w:hint="eastAsia" w:ascii="宋体" w:hAnsi="宋体" w:eastAsia="宋体" w:cs="宋体"/>
          <w:color w:val="auto"/>
          <w:sz w:val="21"/>
          <w:szCs w:val="21"/>
          <w:highlight w:val="none"/>
        </w:rPr>
        <w:t>22.其他需补充的内容</w:t>
      </w:r>
      <w:bookmarkEnd w:id="95"/>
      <w:bookmarkEnd w:id="96"/>
      <w:bookmarkEnd w:id="97"/>
    </w:p>
    <w:p w14:paraId="1CBE9519">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rPr>
      </w:pPr>
      <w:bookmarkStart w:id="98" w:name="_Toc3714"/>
      <w:bookmarkStart w:id="99" w:name="_Toc18775"/>
      <w:bookmarkStart w:id="100" w:name="_Toc290746885"/>
      <w:bookmarkStart w:id="101" w:name="_Toc33510794"/>
      <w:bookmarkStart w:id="102" w:name="_Toc41103223"/>
      <w:bookmarkStart w:id="103" w:name="_Toc75410114"/>
      <w:bookmarkStart w:id="104" w:name="_Toc41287898"/>
      <w:bookmarkStart w:id="105" w:name="_Toc35662900"/>
      <w:bookmarkStart w:id="106" w:name="_Toc11833"/>
      <w:bookmarkStart w:id="107" w:name="_Toc41102981"/>
      <w:bookmarkStart w:id="108" w:name="_Toc34734808"/>
      <w:bookmarkStart w:id="109" w:name="_Toc34732915"/>
      <w:bookmarkStart w:id="110" w:name="_Toc33679405"/>
      <w:bookmarkStart w:id="111" w:name="_Toc34735250"/>
      <w:bookmarkStart w:id="112" w:name="_Toc34708564"/>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rPr>
        <w:t>投标人的商务文件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B0ED7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rPr>
        <w:t>1投标人的法人资格证明书。</w:t>
      </w:r>
    </w:p>
    <w:p w14:paraId="142825E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rPr>
        <w:t>2投标人的法人授权委托书，受委托人的身份证复印件。</w:t>
      </w:r>
    </w:p>
    <w:p w14:paraId="28855D07">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22.1.3</w:t>
      </w:r>
      <w:r>
        <w:rPr>
          <w:rFonts w:hint="eastAsia" w:ascii="宋体" w:hAnsi="宋体" w:eastAsia="宋体" w:cs="宋体"/>
          <w:color w:val="auto"/>
          <w:sz w:val="21"/>
          <w:szCs w:val="21"/>
          <w:highlight w:val="none"/>
        </w:rPr>
        <w:t>投标人各种证件复印件，包括营业执照复印件（加盖单位公章，并注明与原件一致）。</w:t>
      </w:r>
    </w:p>
    <w:p w14:paraId="11FEB785">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22.1.4</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质量保证</w:t>
      </w:r>
      <w:r>
        <w:rPr>
          <w:rFonts w:hint="eastAsia" w:ascii="宋体" w:hAnsi="宋体" w:eastAsia="宋体" w:cs="宋体"/>
          <w:color w:val="auto"/>
          <w:sz w:val="21"/>
          <w:szCs w:val="21"/>
          <w:highlight w:val="none"/>
        </w:rPr>
        <w:t>等承诺。</w:t>
      </w:r>
    </w:p>
    <w:p w14:paraId="4EDA51CF">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bookmarkStart w:id="113" w:name="_Toc35662901"/>
      <w:bookmarkStart w:id="114" w:name="_Toc33679406"/>
      <w:bookmarkStart w:id="115" w:name="_Toc34732916"/>
      <w:bookmarkStart w:id="116" w:name="_Toc33510795"/>
      <w:bookmarkStart w:id="117" w:name="_Toc34734809"/>
      <w:bookmarkStart w:id="118" w:name="_Toc34735251"/>
      <w:bookmarkStart w:id="119" w:name="_Toc34708565"/>
      <w:r>
        <w:rPr>
          <w:rFonts w:hint="eastAsia" w:ascii="宋体" w:hAnsi="宋体" w:eastAsia="宋体" w:cs="宋体"/>
          <w:color w:val="auto"/>
          <w:sz w:val="21"/>
          <w:szCs w:val="21"/>
          <w:highlight w:val="none"/>
          <w:lang w:val="en-US" w:eastAsia="zh-CN"/>
        </w:rPr>
        <w:t>22.1.5</w:t>
      </w:r>
      <w:r>
        <w:rPr>
          <w:rFonts w:hint="eastAsia" w:ascii="宋体" w:hAnsi="宋体" w:eastAsia="宋体" w:cs="宋体"/>
          <w:color w:val="auto"/>
          <w:sz w:val="21"/>
          <w:szCs w:val="21"/>
          <w:highlight w:val="none"/>
        </w:rPr>
        <w:t>商务差异情况。</w:t>
      </w:r>
    </w:p>
    <w:p w14:paraId="2278C00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22.1.6</w:t>
      </w:r>
      <w:r>
        <w:rPr>
          <w:rFonts w:hint="eastAsia" w:ascii="宋体" w:hAnsi="宋体" w:eastAsia="宋体" w:cs="宋体"/>
          <w:color w:val="auto"/>
          <w:sz w:val="21"/>
          <w:szCs w:val="21"/>
          <w:highlight w:val="none"/>
        </w:rPr>
        <w:t>对合同条款的响应情况。</w:t>
      </w:r>
    </w:p>
    <w:p w14:paraId="508ACF3E">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22.1.7</w:t>
      </w:r>
      <w:r>
        <w:rPr>
          <w:rFonts w:hint="eastAsia" w:ascii="宋体" w:hAnsi="宋体" w:eastAsia="宋体" w:cs="宋体"/>
          <w:color w:val="auto"/>
          <w:sz w:val="21"/>
          <w:szCs w:val="21"/>
          <w:highlight w:val="none"/>
        </w:rPr>
        <w:t>投标人提供的投标保证金。</w:t>
      </w:r>
    </w:p>
    <w:p w14:paraId="368D604A">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22.1.8</w:t>
      </w:r>
      <w:r>
        <w:rPr>
          <w:rFonts w:hint="eastAsia" w:ascii="宋体" w:hAnsi="宋体" w:eastAsia="宋体" w:cs="宋体"/>
          <w:color w:val="auto"/>
          <w:sz w:val="21"/>
          <w:szCs w:val="21"/>
          <w:highlight w:val="none"/>
        </w:rPr>
        <w:t>投标提供产品的有关资料：供货名称规格；产品种类、标号；数量（附明细表）。</w:t>
      </w:r>
    </w:p>
    <w:p w14:paraId="79CB0AE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outlineLvl w:val="2"/>
        <w:rPr>
          <w:rFonts w:hint="eastAsia" w:ascii="宋体" w:hAnsi="宋体" w:eastAsia="宋体" w:cs="宋体"/>
          <w:color w:val="auto"/>
          <w:sz w:val="21"/>
          <w:szCs w:val="21"/>
          <w:highlight w:val="none"/>
          <w:lang w:val="en-US" w:eastAsia="zh-CN"/>
        </w:rPr>
      </w:pPr>
      <w:bookmarkStart w:id="120" w:name="_Toc41103224"/>
      <w:bookmarkStart w:id="121" w:name="_Toc41287899"/>
      <w:bookmarkStart w:id="122" w:name="_Toc290746886"/>
      <w:bookmarkStart w:id="123" w:name="_Toc29111"/>
      <w:bookmarkStart w:id="124" w:name="_Toc75410115"/>
      <w:bookmarkStart w:id="125" w:name="_Toc10927"/>
      <w:bookmarkStart w:id="126" w:name="_Toc5142"/>
      <w:bookmarkStart w:id="127" w:name="_Toc41102982"/>
      <w:r>
        <w:rPr>
          <w:rFonts w:hint="eastAsia" w:ascii="宋体" w:hAnsi="宋体" w:eastAsia="宋体" w:cs="宋体"/>
          <w:color w:val="auto"/>
          <w:sz w:val="21"/>
          <w:szCs w:val="21"/>
          <w:highlight w:val="none"/>
          <w:lang w:val="en-US" w:eastAsia="zh-CN"/>
        </w:rPr>
        <w:t>22.2投标人的技术文件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3021C74">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22.2.1投标人须按招标文件中“技术规范”的要求提交证明其拟供货物和服务符合招标文件规定的技术响应性文件（可以是文字资料、图纸和数据等）。</w:t>
      </w:r>
    </w:p>
    <w:p w14:paraId="7905DB30">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22.2.2投标人须严格按 “技术规范”中所指出材料和设备的标准编制技术</w:t>
      </w:r>
    </w:p>
    <w:p w14:paraId="33FBEC32">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文件，可以提出替代标准，但该替代应相当于或优于招标文件“技术规范”中的规定。</w:t>
      </w:r>
    </w:p>
    <w:p w14:paraId="421F4CE8">
      <w:pPr>
        <w:keepNext w:val="0"/>
        <w:keepLines w:val="0"/>
        <w:pageBreakBefore w:val="0"/>
        <w:widowControl w:val="0"/>
        <w:kinsoku/>
        <w:wordWrap/>
        <w:overflowPunct/>
        <w:topLinePunct w:val="0"/>
        <w:autoSpaceDE/>
        <w:autoSpaceDN/>
        <w:bidi w:val="0"/>
        <w:adjustRightInd/>
        <w:snapToGrid/>
        <w:spacing w:line="460" w:lineRule="atLeas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22.2.3投标人应提交各种实验报告、鉴定报告复印件，产品的样本说明书等技术资料，获奖产品的证明复印件，作为其技术响应文件的附件。</w:t>
      </w:r>
      <w:bookmarkStart w:id="128" w:name="_Toc494455912"/>
    </w:p>
    <w:p w14:paraId="60E1C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color w:val="auto"/>
          <w:sz w:val="32"/>
          <w:szCs w:val="32"/>
          <w:highlight w:val="none"/>
        </w:rPr>
      </w:pPr>
    </w:p>
    <w:p w14:paraId="719573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5AADF0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1B27A0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7F3170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48116F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71D556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bCs/>
          <w:color w:val="auto"/>
          <w:sz w:val="32"/>
          <w:szCs w:val="32"/>
          <w:highlight w:val="none"/>
        </w:rPr>
      </w:pPr>
    </w:p>
    <w:p w14:paraId="29A0AD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color w:val="auto"/>
          <w:sz w:val="32"/>
          <w:szCs w:val="32"/>
          <w:highlight w:val="none"/>
        </w:rPr>
      </w:pPr>
    </w:p>
    <w:p w14:paraId="7270E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val="0"/>
          <w:bCs w:val="0"/>
          <w:color w:val="auto"/>
          <w:sz w:val="36"/>
          <w:szCs w:val="36"/>
          <w:highlight w:val="none"/>
        </w:rPr>
      </w:pPr>
      <w:r>
        <w:rPr>
          <w:rFonts w:hint="eastAsia" w:ascii="宋体" w:hAnsi="宋体" w:eastAsia="宋体" w:cs="宋体"/>
          <w:b/>
          <w:bCs/>
          <w:color w:val="auto"/>
          <w:sz w:val="32"/>
          <w:szCs w:val="32"/>
          <w:highlight w:val="none"/>
        </w:rPr>
        <w:t>第三章  采购需求</w:t>
      </w:r>
      <w:bookmarkEnd w:id="128"/>
      <w:bookmarkStart w:id="129" w:name="_Toc8637"/>
      <w:bookmarkStart w:id="130" w:name="_Toc24669"/>
      <w:bookmarkStart w:id="131" w:name="_Toc9977"/>
    </w:p>
    <w:bookmarkEnd w:id="129"/>
    <w:bookmarkEnd w:id="130"/>
    <w:bookmarkEnd w:id="131"/>
    <w:p w14:paraId="470B3C4A">
      <w:pPr>
        <w:spacing w:line="360" w:lineRule="auto"/>
        <w:jc w:val="center"/>
        <w:rPr>
          <w:rFonts w:hint="eastAsia" w:ascii="宋体" w:hAnsi="宋体" w:eastAsia="宋体" w:cs="宋体"/>
          <w:b/>
          <w:color w:val="auto"/>
          <w:sz w:val="24"/>
          <w:szCs w:val="24"/>
          <w:highlight w:val="none"/>
        </w:rPr>
      </w:pPr>
      <w:bookmarkStart w:id="132" w:name="_Toc494455690"/>
    </w:p>
    <w:p w14:paraId="21240A6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货物（产品）采购清单及技术要求</w:t>
      </w:r>
    </w:p>
    <w:p w14:paraId="140FE6C1">
      <w:pPr>
        <w:spacing w:line="480" w:lineRule="auto"/>
        <w:ind w:firstLine="482" w:firstLineChars="200"/>
        <w:rPr>
          <w:rFonts w:hint="eastAsia" w:ascii="宋体" w:hAnsi="宋体" w:eastAsia="宋体" w:cs="宋体"/>
          <w:b/>
          <w:bCs/>
          <w:color w:val="auto"/>
          <w:sz w:val="24"/>
          <w:szCs w:val="24"/>
          <w:highlight w:val="none"/>
        </w:rPr>
      </w:pPr>
      <w:bookmarkStart w:id="133" w:name="_Toc13656148"/>
      <w:bookmarkStart w:id="134" w:name="_Toc13682863"/>
      <w:bookmarkStart w:id="135" w:name="_Toc22200990"/>
      <w:bookmarkStart w:id="136" w:name="_Toc495414113"/>
      <w:bookmarkStart w:id="137" w:name="_Toc13676645"/>
      <w:bookmarkStart w:id="138" w:name="_Toc13678547"/>
      <w:bookmarkStart w:id="139" w:name="_Toc13758296"/>
      <w:r>
        <w:rPr>
          <w:rFonts w:hint="eastAsia" w:ascii="宋体" w:hAnsi="宋体" w:eastAsia="宋体" w:cs="宋体"/>
          <w:b/>
          <w:bCs/>
          <w:color w:val="auto"/>
          <w:sz w:val="24"/>
          <w:szCs w:val="24"/>
          <w:highlight w:val="none"/>
        </w:rPr>
        <w:t>投标人需注意：</w:t>
      </w:r>
      <w:bookmarkEnd w:id="133"/>
      <w:bookmarkEnd w:id="134"/>
      <w:bookmarkEnd w:id="135"/>
      <w:bookmarkEnd w:id="136"/>
      <w:bookmarkEnd w:id="137"/>
      <w:bookmarkEnd w:id="138"/>
      <w:bookmarkEnd w:id="139"/>
    </w:p>
    <w:p w14:paraId="78A7EF9B">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项目名称：乌什县2024年秸秆综合利用重点县建设项目</w:t>
      </w:r>
    </w:p>
    <w:p w14:paraId="622DEF35">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项目编号：WSX【2024】-178</w:t>
      </w:r>
    </w:p>
    <w:p w14:paraId="14331E48">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最高限价：</w:t>
      </w:r>
      <w:r>
        <w:rPr>
          <w:rFonts w:hint="eastAsia" w:ascii="宋体" w:hAnsi="宋体" w:cs="宋体"/>
          <w:b/>
          <w:bCs/>
          <w:color w:val="auto"/>
          <w:sz w:val="24"/>
          <w:szCs w:val="24"/>
          <w:highlight w:val="none"/>
          <w:lang w:val="en-US" w:eastAsia="zh-CN"/>
        </w:rPr>
        <w:t>5860000元</w:t>
      </w:r>
    </w:p>
    <w:p w14:paraId="6DD735AC">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采购范围：采购青贮玉米收割机7台，除尘柔丝打包一体机8台（详见清单及参数）。 </w:t>
      </w:r>
    </w:p>
    <w:p w14:paraId="30EA4CD6">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5.质保期：</w:t>
      </w:r>
      <w:r>
        <w:rPr>
          <w:rFonts w:hint="eastAsia" w:ascii="宋体" w:hAnsi="宋体" w:cs="宋体"/>
          <w:b/>
          <w:bCs/>
          <w:color w:val="auto"/>
          <w:sz w:val="24"/>
          <w:szCs w:val="24"/>
          <w:highlight w:val="none"/>
          <w:lang w:val="en-US" w:eastAsia="zh-CN"/>
        </w:rPr>
        <w:t>1年</w:t>
      </w:r>
    </w:p>
    <w:p w14:paraId="2B79610E">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6.质</w:t>
      </w:r>
      <w:r>
        <w:rPr>
          <w:rFonts w:hint="eastAsia" w:ascii="宋体" w:hAnsi="宋体" w:eastAsia="宋体" w:cs="宋体"/>
          <w:b/>
          <w:bCs/>
          <w:color w:val="auto"/>
          <w:sz w:val="24"/>
          <w:szCs w:val="24"/>
          <w:highlight w:val="none"/>
          <w:lang w:val="en-US" w:eastAsia="zh-CN"/>
        </w:rPr>
        <w:t>量要求：符合国家及行业质量验收合格标准</w:t>
      </w:r>
    </w:p>
    <w:p w14:paraId="76E4F409">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7.供货期：自合同签订之日起30日历天完成供货</w:t>
      </w:r>
    </w:p>
    <w:p w14:paraId="05F4562D">
      <w:pPr>
        <w:spacing w:line="48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8.*付款方式：以甲乙双方签订合同为准</w:t>
      </w:r>
    </w:p>
    <w:p w14:paraId="0D9F3CF2">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验收：</w:t>
      </w:r>
    </w:p>
    <w:p w14:paraId="0B39827F">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9.1</w:t>
      </w:r>
      <w:r>
        <w:rPr>
          <w:rFonts w:hint="eastAsia" w:ascii="宋体" w:hAnsi="宋体" w:eastAsia="宋体" w:cs="宋体"/>
          <w:b/>
          <w:bCs/>
          <w:color w:val="auto"/>
          <w:sz w:val="24"/>
          <w:szCs w:val="24"/>
          <w:highlight w:val="none"/>
          <w:lang w:val="en-US" w:eastAsia="zh-CN"/>
        </w:rPr>
        <w:t>货物运抵现场后，采购人将对货物数量、质量、规格等进行检验。</w:t>
      </w:r>
    </w:p>
    <w:p w14:paraId="1540F4C3">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如发现货物和规格或者两者都与招标文件、投标文件、合同不符，采购人有权限</w:t>
      </w:r>
    </w:p>
    <w:p w14:paraId="1AF52B68">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根据检验结果要求中标人立即更换或者提出索赔要求。</w:t>
      </w:r>
    </w:p>
    <w:p w14:paraId="0A238113">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.2 货物由中标人进行安装，完毕后，采购人应对货物的数量、质量、规</w:t>
      </w:r>
    </w:p>
    <w:p w14:paraId="65138EA7">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格、性能等进行详细而全面的检验。安装完毕后，证明货物以及安装质量无任何</w:t>
      </w:r>
    </w:p>
    <w:p w14:paraId="3181E03A">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问题，由采购人组成的验收小组签署验收报告，作为付款凭据之一。</w:t>
      </w:r>
    </w:p>
    <w:p w14:paraId="7FFFBB94">
      <w:pPr>
        <w:numPr>
          <w:ilvl w:val="0"/>
          <w:numId w:val="5"/>
        </w:numPr>
        <w:spacing w:line="48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清单</w:t>
      </w:r>
      <w:r>
        <w:rPr>
          <w:rFonts w:hint="eastAsia" w:ascii="宋体" w:hAnsi="宋体" w:cs="宋体"/>
          <w:b/>
          <w:bCs/>
          <w:color w:val="auto"/>
          <w:sz w:val="24"/>
          <w:szCs w:val="24"/>
          <w:highlight w:val="none"/>
          <w:lang w:val="en-US" w:eastAsia="zh-CN"/>
        </w:rPr>
        <w:t xml:space="preserve">及参数具体内容如下：  </w:t>
      </w:r>
    </w:p>
    <w:p w14:paraId="2E5634FE">
      <w:pPr>
        <w:widowControl w:val="0"/>
        <w:numPr>
          <w:ilvl w:val="0"/>
          <w:numId w:val="0"/>
        </w:numPr>
        <w:spacing w:line="480" w:lineRule="auto"/>
        <w:jc w:val="both"/>
        <w:rPr>
          <w:rFonts w:hint="eastAsia" w:ascii="宋体" w:hAnsi="宋体" w:cs="宋体"/>
          <w:b/>
          <w:bCs/>
          <w:color w:val="auto"/>
          <w:sz w:val="24"/>
          <w:szCs w:val="24"/>
          <w:highlight w:val="none"/>
          <w:lang w:val="en-US" w:eastAsia="zh-CN"/>
        </w:rPr>
      </w:pPr>
    </w:p>
    <w:p w14:paraId="0FE55601">
      <w:pPr>
        <w:widowControl w:val="0"/>
        <w:numPr>
          <w:ilvl w:val="0"/>
          <w:numId w:val="0"/>
        </w:numPr>
        <w:spacing w:line="480" w:lineRule="auto"/>
        <w:jc w:val="both"/>
        <w:rPr>
          <w:rFonts w:hint="eastAsia" w:ascii="宋体" w:hAnsi="宋体" w:cs="宋体"/>
          <w:b/>
          <w:bCs/>
          <w:color w:val="auto"/>
          <w:sz w:val="24"/>
          <w:szCs w:val="24"/>
          <w:highlight w:val="none"/>
          <w:lang w:val="en-US" w:eastAsia="zh-CN"/>
        </w:rPr>
      </w:pPr>
    </w:p>
    <w:p w14:paraId="1FB80F73">
      <w:pPr>
        <w:pStyle w:val="4"/>
        <w:rPr>
          <w:rFonts w:hint="default"/>
          <w:color w:val="auto"/>
          <w:lang w:val="en-US" w:eastAsia="zh-CN"/>
        </w:rPr>
      </w:pPr>
    </w:p>
    <w:tbl>
      <w:tblPr>
        <w:tblStyle w:val="18"/>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062"/>
        <w:gridCol w:w="1153"/>
        <w:gridCol w:w="675"/>
        <w:gridCol w:w="768"/>
        <w:gridCol w:w="1325"/>
        <w:gridCol w:w="3759"/>
      </w:tblGrid>
      <w:tr w14:paraId="7916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9360" w:type="dxa"/>
            <w:gridSpan w:val="7"/>
            <w:tcBorders>
              <w:top w:val="nil"/>
              <w:left w:val="nil"/>
              <w:bottom w:val="nil"/>
              <w:right w:val="nil"/>
            </w:tcBorders>
            <w:shd w:val="clear" w:color="auto" w:fill="auto"/>
            <w:noWrap/>
            <w:vAlign w:val="center"/>
          </w:tcPr>
          <w:p w14:paraId="284B4F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32"/>
                <w:szCs w:val="32"/>
                <w:u w:val="none"/>
              </w:rPr>
            </w:pPr>
            <w:r>
              <w:rPr>
                <w:rFonts w:hint="eastAsia" w:asciiTheme="majorEastAsia" w:hAnsiTheme="majorEastAsia" w:eastAsiaTheme="majorEastAsia" w:cstheme="majorEastAsia"/>
                <w:b/>
                <w:bCs/>
                <w:i w:val="0"/>
                <w:iCs w:val="0"/>
                <w:color w:val="auto"/>
                <w:kern w:val="0"/>
                <w:sz w:val="32"/>
                <w:szCs w:val="32"/>
                <w:u w:val="none"/>
                <w:lang w:val="en-US" w:eastAsia="zh-CN" w:bidi="ar"/>
              </w:rPr>
              <w:t>乌什县2024年秸秆综合利用重点县建设项目清单及参数</w:t>
            </w:r>
          </w:p>
        </w:tc>
      </w:tr>
      <w:tr w14:paraId="7465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67E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序号</w:t>
            </w:r>
          </w:p>
        </w:tc>
        <w:tc>
          <w:tcPr>
            <w:tcW w:w="1062" w:type="dxa"/>
            <w:tcBorders>
              <w:top w:val="single" w:color="000000" w:sz="4" w:space="0"/>
              <w:left w:val="single" w:color="000000" w:sz="4" w:space="0"/>
              <w:bottom w:val="single" w:color="000000" w:sz="4" w:space="0"/>
              <w:right w:val="nil"/>
            </w:tcBorders>
            <w:shd w:val="clear" w:color="auto" w:fill="auto"/>
            <w:vAlign w:val="center"/>
          </w:tcPr>
          <w:p w14:paraId="23E73AD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品目名称</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009298E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设备名称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B1B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数量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AC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计量单位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32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实施地点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8C0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技术参数要求</w:t>
            </w:r>
          </w:p>
        </w:tc>
      </w:tr>
      <w:tr w14:paraId="2100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346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1</w:t>
            </w:r>
          </w:p>
        </w:tc>
        <w:tc>
          <w:tcPr>
            <w:tcW w:w="1062" w:type="dxa"/>
            <w:tcBorders>
              <w:top w:val="single" w:color="000000" w:sz="4" w:space="0"/>
              <w:left w:val="single" w:color="000000" w:sz="4" w:space="0"/>
              <w:bottom w:val="single" w:color="auto" w:sz="4" w:space="0"/>
              <w:right w:val="single" w:color="000000" w:sz="4" w:space="0"/>
            </w:tcBorders>
            <w:shd w:val="clear" w:color="auto" w:fill="auto"/>
            <w:vAlign w:val="center"/>
          </w:tcPr>
          <w:p w14:paraId="239B14B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乌什县2024年秸秆综合利用重点县建设项目</w:t>
            </w:r>
          </w:p>
        </w:tc>
        <w:tc>
          <w:tcPr>
            <w:tcW w:w="1155" w:type="dxa"/>
            <w:tcBorders>
              <w:top w:val="single" w:color="000000" w:sz="4" w:space="0"/>
              <w:left w:val="single" w:color="000000" w:sz="4" w:space="0"/>
              <w:bottom w:val="single" w:color="auto" w:sz="4" w:space="0"/>
              <w:right w:val="single" w:color="000000" w:sz="4" w:space="0"/>
            </w:tcBorders>
            <w:shd w:val="clear" w:color="auto" w:fill="auto"/>
            <w:vAlign w:val="center"/>
          </w:tcPr>
          <w:p w14:paraId="23B4BAE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t>青贮玉米收割机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0E3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511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5C3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亚科瑞克乡、依麻木镇、英阿瓦提乡</w:t>
            </w:r>
          </w:p>
        </w:tc>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AAD9">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整机动力（马力）：≥350 </w:t>
            </w:r>
          </w:p>
          <w:p w14:paraId="5411569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作业方式:不对行收获 </w:t>
            </w:r>
          </w:p>
          <w:p w14:paraId="46EF6818">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工作幅度(毫米):（2600～3000） </w:t>
            </w:r>
          </w:p>
          <w:p w14:paraId="02240E0D">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纯生产率(吨/小时):40～80 </w:t>
            </w:r>
          </w:p>
          <w:p w14:paraId="1788AEA4">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lang w:val="en-US" w:eastAsia="zh-CN"/>
              </w:rPr>
            </w:pPr>
            <w:r>
              <w:rPr>
                <w:rFonts w:hint="eastAsia" w:asciiTheme="majorEastAsia" w:hAnsiTheme="majorEastAsia" w:eastAsiaTheme="majorEastAsia" w:cstheme="majorEastAsia"/>
                <w:b/>
                <w:bCs/>
                <w:i w:val="0"/>
                <w:iCs w:val="0"/>
                <w:color w:val="auto"/>
                <w:sz w:val="20"/>
                <w:szCs w:val="20"/>
                <w:u w:val="none"/>
                <w:lang w:val="en-US" w:eastAsia="zh-CN"/>
              </w:rPr>
              <w:t xml:space="preserve">切碎长度(毫米):7～50（可调） </w:t>
            </w:r>
          </w:p>
          <w:p w14:paraId="2C56E88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留茬高度(毫米):≤150 </w:t>
            </w:r>
          </w:p>
          <w:p w14:paraId="4829F87A">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外形尺寸长、宽、高（mm）：</w:t>
            </w:r>
          </w:p>
          <w:p w14:paraId="3EB1A57B">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工作状态≥7000×3000×5000mm，</w:t>
            </w:r>
          </w:p>
          <w:p w14:paraId="26DEEE8F">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运输状态≥7000</w:t>
            </w:r>
            <w:r>
              <w:rPr>
                <w:rFonts w:hint="eastAsia" w:asciiTheme="majorEastAsia" w:hAnsiTheme="majorEastAsia" w:eastAsiaTheme="majorEastAsia" w:cstheme="majorEastAsia"/>
                <w:b/>
                <w:bCs/>
                <w:i w:val="0"/>
                <w:iCs w:val="0"/>
                <w:color w:val="auto"/>
                <w:sz w:val="20"/>
                <w:szCs w:val="20"/>
                <w:u w:val="none"/>
              </w:rPr>
              <w:t>×30</w:t>
            </w:r>
            <w:r>
              <w:rPr>
                <w:rFonts w:hint="eastAsia" w:asciiTheme="majorEastAsia" w:hAnsiTheme="majorEastAsia" w:eastAsiaTheme="majorEastAsia" w:cstheme="majorEastAsia"/>
                <w:b/>
                <w:bCs/>
                <w:i w:val="0"/>
                <w:iCs w:val="0"/>
                <w:color w:val="auto"/>
                <w:sz w:val="20"/>
                <w:szCs w:val="20"/>
                <w:u w:val="none"/>
                <w:lang w:val="en-US" w:eastAsia="zh-CN"/>
              </w:rPr>
              <w:t>00</w:t>
            </w:r>
            <w:r>
              <w:rPr>
                <w:rFonts w:hint="eastAsia" w:asciiTheme="majorEastAsia" w:hAnsiTheme="majorEastAsia" w:eastAsiaTheme="majorEastAsia" w:cstheme="majorEastAsia"/>
                <w:b/>
                <w:bCs/>
                <w:i w:val="0"/>
                <w:iCs w:val="0"/>
                <w:color w:val="auto"/>
                <w:sz w:val="20"/>
                <w:szCs w:val="20"/>
                <w:u w:val="none"/>
              </w:rPr>
              <w:t>×</w:t>
            </w:r>
            <w:r>
              <w:rPr>
                <w:rFonts w:hint="eastAsia" w:asciiTheme="majorEastAsia" w:hAnsiTheme="majorEastAsia" w:eastAsiaTheme="majorEastAsia" w:cstheme="majorEastAsia"/>
                <w:b/>
                <w:bCs/>
                <w:i w:val="0"/>
                <w:iCs w:val="0"/>
                <w:color w:val="auto"/>
                <w:sz w:val="20"/>
                <w:szCs w:val="20"/>
                <w:u w:val="none"/>
                <w:lang w:val="en-US" w:eastAsia="zh-CN"/>
              </w:rPr>
              <w:t>3500mm，</w:t>
            </w:r>
          </w:p>
          <w:p w14:paraId="553E8DA2">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lang w:val="en-US" w:eastAsia="zh-CN"/>
              </w:rPr>
              <w:t xml:space="preserve">整机质量（千克）：≥8000 </w:t>
            </w:r>
          </w:p>
          <w:p w14:paraId="66DE17C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p>
        </w:tc>
      </w:tr>
      <w:tr w14:paraId="6CCC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5"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0EB0078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2</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04B054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乌什县2024年秸秆综合利用重点县建设项目</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64850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t>除尘揉丝打包一体机</w:t>
            </w:r>
          </w:p>
        </w:tc>
        <w:tc>
          <w:tcPr>
            <w:tcW w:w="6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375E17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21B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0"/>
                <w:szCs w:val="2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0"/>
                <w:szCs w:val="20"/>
                <w:u w:val="none"/>
                <w:lang w:val="en-US" w:eastAsia="zh-CN" w:bidi="ar"/>
                <w14:textFill>
                  <w14:solidFill>
                    <w14:schemeClr w14:val="tx1"/>
                  </w14:solidFill>
                </w14:textFill>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63F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kern w:val="0"/>
                <w:sz w:val="20"/>
                <w:szCs w:val="20"/>
                <w:u w:val="none"/>
                <w:lang w:val="en-US" w:eastAsia="zh-CN" w:bidi="ar"/>
              </w:rPr>
              <w:t>阿恰塔格乡、依麻木镇、阿克托海乡</w:t>
            </w:r>
          </w:p>
        </w:tc>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34F6">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锤爪数：≥24个锤爪</w:t>
            </w:r>
          </w:p>
          <w:p w14:paraId="6161974D">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外形尺寸（mm）：≥500</w:t>
            </w:r>
            <w:r>
              <w:rPr>
                <w:rFonts w:hint="eastAsia" w:asciiTheme="majorEastAsia" w:hAnsiTheme="majorEastAsia" w:eastAsiaTheme="majorEastAsia" w:cstheme="majorEastAsia"/>
                <w:b/>
                <w:bCs/>
                <w:i w:val="0"/>
                <w:iCs w:val="0"/>
                <w:color w:val="auto"/>
                <w:sz w:val="20"/>
                <w:szCs w:val="20"/>
                <w:u w:val="none"/>
                <w:lang w:val="en-US" w:eastAsia="zh-CN"/>
              </w:rPr>
              <w:t>0</w:t>
            </w:r>
            <w:r>
              <w:rPr>
                <w:rFonts w:hint="eastAsia" w:asciiTheme="majorEastAsia" w:hAnsiTheme="majorEastAsia" w:eastAsiaTheme="majorEastAsia" w:cstheme="majorEastAsia"/>
                <w:b/>
                <w:bCs/>
                <w:i w:val="0"/>
                <w:iCs w:val="0"/>
                <w:color w:val="auto"/>
                <w:sz w:val="20"/>
                <w:szCs w:val="20"/>
                <w:u w:val="none"/>
              </w:rPr>
              <w:t>x3000x3100mm</w:t>
            </w:r>
          </w:p>
          <w:p w14:paraId="4DD0B20E">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配套动力：≥147KW</w:t>
            </w:r>
          </w:p>
          <w:p w14:paraId="7FF4939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输入转速：540-760r/min(选配）</w:t>
            </w:r>
          </w:p>
          <w:p w14:paraId="2236B8F2">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捡拾幅宽：≥2400mm</w:t>
            </w:r>
          </w:p>
          <w:p w14:paraId="6682E05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草捆规格：≥800x450x350mm</w:t>
            </w:r>
          </w:p>
          <w:p w14:paraId="4D9E2041">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整机质量：≥5000kg</w:t>
            </w:r>
          </w:p>
          <w:p w14:paraId="3C36A790">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rPr>
            </w:pPr>
            <w:r>
              <w:rPr>
                <w:rFonts w:hint="eastAsia" w:asciiTheme="majorEastAsia" w:hAnsiTheme="majorEastAsia" w:eastAsiaTheme="majorEastAsia" w:cstheme="majorEastAsia"/>
                <w:b/>
                <w:bCs/>
                <w:i w:val="0"/>
                <w:iCs w:val="0"/>
                <w:color w:val="auto"/>
                <w:sz w:val="20"/>
                <w:szCs w:val="20"/>
                <w:u w:val="none"/>
              </w:rPr>
              <w:t>出厂选配：自动缠网</w:t>
            </w:r>
          </w:p>
          <w:p w14:paraId="16D7954E">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auto"/>
                <w:sz w:val="20"/>
                <w:szCs w:val="20"/>
                <w:u w:val="none"/>
                <w:lang w:eastAsia="zh-CN"/>
              </w:rPr>
            </w:pPr>
            <w:r>
              <w:rPr>
                <w:rFonts w:hint="eastAsia" w:asciiTheme="majorEastAsia" w:hAnsiTheme="majorEastAsia" w:eastAsiaTheme="majorEastAsia" w:cstheme="majorEastAsia"/>
                <w:b/>
                <w:bCs/>
                <w:i w:val="0"/>
                <w:iCs w:val="0"/>
                <w:color w:val="auto"/>
                <w:sz w:val="20"/>
                <w:szCs w:val="20"/>
                <w:u w:val="none"/>
              </w:rPr>
              <w:t>其他功能：具备揉丝粉碎、无网报警、可折叠料仓等功能</w:t>
            </w:r>
            <w:r>
              <w:rPr>
                <w:rFonts w:hint="eastAsia" w:asciiTheme="majorEastAsia" w:hAnsiTheme="majorEastAsia" w:eastAsiaTheme="majorEastAsia" w:cstheme="majorEastAsia"/>
                <w:b/>
                <w:bCs/>
                <w:i w:val="0"/>
                <w:iCs w:val="0"/>
                <w:color w:val="auto"/>
                <w:sz w:val="20"/>
                <w:szCs w:val="20"/>
                <w:u w:val="none"/>
                <w:lang w:eastAsia="zh-CN"/>
              </w:rPr>
              <w:t>。</w:t>
            </w:r>
          </w:p>
        </w:tc>
      </w:tr>
    </w:tbl>
    <w:p w14:paraId="5AA954A8">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p>
    <w:p w14:paraId="35FF3F1E">
      <w:pPr>
        <w:pStyle w:val="6"/>
        <w:ind w:left="0" w:leftChars="0" w:firstLine="422" w:firstLineChars="200"/>
        <w:rPr>
          <w:rFonts w:hint="eastAsia" w:ascii="宋体" w:hAnsi="宋体" w:cs="宋体"/>
          <w:b/>
          <w:bCs/>
          <w:color w:val="auto"/>
          <w:sz w:val="21"/>
          <w:szCs w:val="21"/>
          <w:highlight w:val="none"/>
          <w:shd w:val="clear" w:color="auto" w:fill="FFFFFF"/>
          <w:lang w:val="en-US" w:eastAsia="zh-CN"/>
        </w:rPr>
      </w:pPr>
    </w:p>
    <w:p w14:paraId="53C39EDB">
      <w:pPr>
        <w:pStyle w:val="6"/>
        <w:ind w:left="0" w:leftChars="0" w:firstLine="422" w:firstLineChars="200"/>
        <w:rPr>
          <w:rFonts w:hint="eastAsia" w:ascii="宋体" w:hAnsi="宋体" w:eastAsia="宋体" w:cs="宋体"/>
          <w:b/>
          <w:bCs/>
          <w:color w:val="auto"/>
          <w:sz w:val="36"/>
          <w:szCs w:val="36"/>
          <w:highlight w:val="none"/>
          <w:lang w:eastAsia="zh-CN"/>
        </w:rPr>
      </w:pPr>
      <w:r>
        <w:rPr>
          <w:rFonts w:hint="eastAsia" w:ascii="宋体" w:hAnsi="宋体" w:cs="宋体"/>
          <w:b/>
          <w:bCs/>
          <w:color w:val="auto"/>
          <w:sz w:val="21"/>
          <w:szCs w:val="21"/>
          <w:highlight w:val="none"/>
          <w:shd w:val="clear" w:color="auto" w:fill="FFFFFF"/>
          <w:lang w:val="en-US" w:eastAsia="zh-CN"/>
        </w:rPr>
        <w:t>注：若参数中出现品牌型号，仅供参考，采购人未指定任何品牌及型号。</w:t>
      </w:r>
    </w:p>
    <w:p w14:paraId="0315313D">
      <w:pP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br w:type="page"/>
      </w:r>
    </w:p>
    <w:p w14:paraId="6E3DAAD8">
      <w:pPr>
        <w:numPr>
          <w:ilvl w:val="0"/>
          <w:numId w:val="0"/>
        </w:numPr>
        <w:spacing w:afterLines="50" w:line="400" w:lineRule="exact"/>
        <w:jc w:val="center"/>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第四章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 xml:space="preserve"> </w:t>
      </w:r>
      <w:bookmarkStart w:id="140" w:name="_Toc29057"/>
      <w:r>
        <w:rPr>
          <w:rFonts w:hint="eastAsia" w:ascii="宋体" w:hAnsi="宋体" w:eastAsia="宋体" w:cs="宋体"/>
          <w:b/>
          <w:bCs/>
          <w:color w:val="auto"/>
          <w:sz w:val="36"/>
          <w:szCs w:val="36"/>
          <w:highlight w:val="none"/>
        </w:rPr>
        <w:t>评标办法</w:t>
      </w:r>
      <w:bookmarkEnd w:id="140"/>
    </w:p>
    <w:p w14:paraId="51A372D5">
      <w:pPr>
        <w:spacing w:afterLines="50" w:line="360" w:lineRule="auto"/>
        <w:ind w:firstLine="420" w:firstLineChars="200"/>
        <w:outlineLvl w:val="2"/>
        <w:rPr>
          <w:rFonts w:hint="eastAsia" w:ascii="宋体" w:hAnsi="宋体" w:eastAsia="宋体" w:cs="宋体"/>
          <w:color w:val="auto"/>
          <w:sz w:val="21"/>
          <w:szCs w:val="21"/>
          <w:highlight w:val="none"/>
        </w:rPr>
      </w:pPr>
      <w:bookmarkStart w:id="141" w:name="_Toc10813"/>
      <w:bookmarkStart w:id="142" w:name="_Toc22811"/>
      <w:bookmarkStart w:id="143" w:name="_Toc494455917"/>
      <w:bookmarkStart w:id="144" w:name="_Toc31066"/>
      <w:bookmarkStart w:id="145" w:name="_Toc15783"/>
      <w:bookmarkStart w:id="146" w:name="_Toc24667"/>
      <w:r>
        <w:rPr>
          <w:rFonts w:hint="eastAsia" w:ascii="宋体" w:hAnsi="宋体" w:eastAsia="宋体" w:cs="宋体"/>
          <w:color w:val="auto"/>
          <w:sz w:val="21"/>
          <w:szCs w:val="21"/>
          <w:highlight w:val="none"/>
        </w:rPr>
        <w:t>1.相关要求</w:t>
      </w:r>
      <w:bookmarkEnd w:id="141"/>
      <w:bookmarkEnd w:id="142"/>
      <w:bookmarkEnd w:id="143"/>
      <w:bookmarkEnd w:id="144"/>
      <w:bookmarkEnd w:id="145"/>
      <w:bookmarkEnd w:id="146"/>
    </w:p>
    <w:p w14:paraId="5E2ED02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1.1当投标人未提供符合招标文件规定的技术支持资料时，其技术部分得0分。</w:t>
      </w:r>
    </w:p>
    <w:p w14:paraId="35D324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1.2技术汇总得分的计算方法：评标委员会成员技术评分的算术平均值。</w:t>
      </w:r>
    </w:p>
    <w:p w14:paraId="34A806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1.3当投标人所投设备功能与招标文件要求相同，但其表述不同时不扣分。</w:t>
      </w:r>
    </w:p>
    <w:p w14:paraId="2B9300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1.4“同类项目”是指投标人已经完成的与本次采购要求相同或者类同的货物，并且签订合同一方必须是投标人，以相同或者类同部分的合同金额为准。</w:t>
      </w:r>
    </w:p>
    <w:p w14:paraId="203C47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1.5执行国家统一定价标准和采用固定价格采购的项目，其价格不列为评审因素。</w:t>
      </w:r>
    </w:p>
    <w:p w14:paraId="0BDA48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1.6中型、小型、微型企业应当同时符合以下条件：</w:t>
      </w:r>
    </w:p>
    <w:p w14:paraId="777122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1.6.1依据《关于印发&lt;统计上大中小微型企业划分办法(2017)&gt;的通知》规定，中型、小型和微型企业投标的须提供《中小企业声明函》原件并对声明函的真实性负责；</w:t>
      </w:r>
    </w:p>
    <w:p w14:paraId="4D2D09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14:paraId="4840B9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1.6.3提供本企业制造的货物、承担的工程或者服务，或者提供其他中小企业制造的货物。本项所称货物不包括使用大型企业注册商标的货物。</w:t>
      </w:r>
    </w:p>
    <w:p w14:paraId="729307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1.7小型、微型企业提供中型企业制造的货物的，视同为中型企业。</w:t>
      </w:r>
    </w:p>
    <w:p w14:paraId="6B8E98E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1.8小型和微型企业提供的货物中含有中型及以上企业的产品或者大中型企业提供货物中含有小型、微型企业产品的，均不给予价格扣除。</w:t>
      </w:r>
    </w:p>
    <w:p w14:paraId="1683EAF0">
      <w:pPr>
        <w:spacing w:line="360" w:lineRule="auto"/>
        <w:ind w:firstLine="420" w:firstLineChars="200"/>
        <w:rPr>
          <w:rFonts w:hint="eastAsia" w:ascii="宋体" w:hAnsi="宋体" w:eastAsia="宋体" w:cs="宋体"/>
          <w:color w:val="auto"/>
          <w:sz w:val="21"/>
          <w:szCs w:val="21"/>
          <w:highlight w:val="none"/>
        </w:rPr>
      </w:pPr>
      <w:bookmarkStart w:id="147" w:name="_Toc494455918"/>
      <w:bookmarkStart w:id="148" w:name="_Toc16161"/>
      <w:bookmarkStart w:id="149" w:name="_Toc7269"/>
      <w:bookmarkStart w:id="150" w:name="_Toc29326"/>
      <w:bookmarkStart w:id="151" w:name="_Toc3947"/>
      <w:bookmarkStart w:id="152" w:name="_Toc9251"/>
      <w:r>
        <w:rPr>
          <w:rFonts w:hint="eastAsia"/>
          <w:color w:val="auto"/>
          <w:sz w:val="21"/>
          <w:szCs w:val="21"/>
          <w:highlight w:val="none"/>
          <w:lang w:val="en-US" w:eastAsia="zh-CN"/>
        </w:rPr>
        <w:t>1.9</w:t>
      </w:r>
      <w:r>
        <w:rPr>
          <w:color w:val="auto"/>
          <w:sz w:val="21"/>
          <w:szCs w:val="21"/>
          <w:highlight w:val="none"/>
        </w:rPr>
        <w:t>评分得分非整数的保留小数点后两位（小数点后第三位数四舍五入）</w:t>
      </w:r>
    </w:p>
    <w:p w14:paraId="7367FD2D">
      <w:pPr>
        <w:spacing w:before="312" w:beforeLines="100" w:after="156" w:afterLines="50" w:line="40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w:t>
      </w:r>
      <w:bookmarkEnd w:id="147"/>
      <w:r>
        <w:rPr>
          <w:rFonts w:hint="eastAsia" w:ascii="宋体" w:hAnsi="宋体" w:eastAsia="宋体" w:cs="宋体"/>
          <w:color w:val="auto"/>
          <w:sz w:val="21"/>
          <w:szCs w:val="21"/>
          <w:highlight w:val="none"/>
        </w:rPr>
        <w:t>标附表</w:t>
      </w:r>
      <w:bookmarkEnd w:id="148"/>
      <w:bookmarkEnd w:id="149"/>
      <w:bookmarkEnd w:id="150"/>
      <w:bookmarkEnd w:id="151"/>
      <w:bookmarkEnd w:id="152"/>
    </w:p>
    <w:p w14:paraId="5898F535">
      <w:pPr>
        <w:spacing w:after="156" w:afterLines="5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2.1评分因素以及分值</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508"/>
        <w:gridCol w:w="2484"/>
        <w:gridCol w:w="2304"/>
      </w:tblGrid>
      <w:tr w14:paraId="2FA1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84" w:type="dxa"/>
            <w:noWrap w:val="0"/>
            <w:vAlign w:val="center"/>
          </w:tcPr>
          <w:p w14:paraId="53DC320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2508" w:type="dxa"/>
            <w:noWrap w:val="0"/>
            <w:vAlign w:val="center"/>
          </w:tcPr>
          <w:p w14:paraId="25A68DFF">
            <w:pPr>
              <w:spacing w:line="4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部分</w:t>
            </w:r>
          </w:p>
        </w:tc>
        <w:tc>
          <w:tcPr>
            <w:tcW w:w="2484" w:type="dxa"/>
            <w:noWrap w:val="0"/>
            <w:vAlign w:val="center"/>
          </w:tcPr>
          <w:p w14:paraId="531FB71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w:t>
            </w:r>
          </w:p>
        </w:tc>
        <w:tc>
          <w:tcPr>
            <w:tcW w:w="2304" w:type="dxa"/>
            <w:noWrap w:val="0"/>
            <w:vAlign w:val="center"/>
          </w:tcPr>
          <w:p w14:paraId="6C603D5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w:t>
            </w:r>
          </w:p>
        </w:tc>
      </w:tr>
      <w:tr w14:paraId="12A6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84" w:type="dxa"/>
            <w:noWrap w:val="0"/>
            <w:vAlign w:val="center"/>
          </w:tcPr>
          <w:p w14:paraId="1360056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分值比重</w:t>
            </w:r>
          </w:p>
        </w:tc>
        <w:tc>
          <w:tcPr>
            <w:tcW w:w="2508" w:type="dxa"/>
            <w:noWrap w:val="0"/>
            <w:vAlign w:val="center"/>
          </w:tcPr>
          <w:p w14:paraId="5D29807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2484" w:type="dxa"/>
            <w:noWrap w:val="0"/>
            <w:vAlign w:val="center"/>
          </w:tcPr>
          <w:p w14:paraId="6C63F8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70</w:t>
            </w:r>
            <w:r>
              <w:rPr>
                <w:rFonts w:hint="eastAsia" w:ascii="宋体" w:hAnsi="宋体" w:eastAsia="宋体" w:cs="宋体"/>
                <w:color w:val="auto"/>
                <w:szCs w:val="21"/>
                <w:highlight w:val="none"/>
              </w:rPr>
              <w:t>分</w:t>
            </w:r>
          </w:p>
        </w:tc>
        <w:tc>
          <w:tcPr>
            <w:tcW w:w="2304" w:type="dxa"/>
            <w:noWrap w:val="0"/>
            <w:vAlign w:val="center"/>
          </w:tcPr>
          <w:p w14:paraId="1B23BCD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100分</w:t>
            </w:r>
          </w:p>
        </w:tc>
      </w:tr>
    </w:tbl>
    <w:p w14:paraId="5F9B24B5">
      <w:pPr>
        <w:spacing w:after="156" w:afterLines="50" w:line="400" w:lineRule="exact"/>
        <w:ind w:firstLine="420" w:firstLineChars="200"/>
        <w:rPr>
          <w:rFonts w:hint="eastAsia" w:ascii="宋体" w:hAnsi="宋体" w:eastAsia="宋体" w:cs="宋体"/>
          <w:color w:val="auto"/>
          <w:szCs w:val="21"/>
          <w:highlight w:val="none"/>
        </w:rPr>
      </w:pPr>
      <w:bookmarkStart w:id="153" w:name="_Toc391306856"/>
      <w:bookmarkStart w:id="154" w:name="_Toc381951225"/>
      <w:r>
        <w:rPr>
          <w:rFonts w:hint="eastAsia" w:ascii="宋体" w:hAnsi="宋体" w:eastAsia="宋体" w:cs="宋体"/>
          <w:color w:val="auto"/>
          <w:szCs w:val="21"/>
          <w:highlight w:val="none"/>
        </w:rPr>
        <w:t>2.2初步评审表</w:t>
      </w:r>
      <w:bookmarkEnd w:id="153"/>
      <w:bookmarkEnd w:id="154"/>
    </w:p>
    <w:tbl>
      <w:tblPr>
        <w:tblStyle w:val="18"/>
        <w:tblW w:w="94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725"/>
        <w:gridCol w:w="6309"/>
      </w:tblGrid>
      <w:tr w14:paraId="57AC1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111" w:type="dxa"/>
            <w:gridSpan w:val="2"/>
            <w:tcBorders>
              <w:top w:val="single" w:color="auto" w:sz="4" w:space="0"/>
              <w:left w:val="single" w:color="auto" w:sz="4" w:space="0"/>
              <w:bottom w:val="single" w:color="auto" w:sz="4" w:space="0"/>
              <w:right w:val="single" w:color="auto" w:sz="4" w:space="0"/>
            </w:tcBorders>
            <w:noWrap w:val="0"/>
            <w:vAlign w:val="center"/>
          </w:tcPr>
          <w:p w14:paraId="09902338">
            <w:pPr>
              <w:spacing w:before="93" w:beforeLines="30"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15291808">
            <w:pPr>
              <w:spacing w:before="93" w:beforeLines="30" w:line="312"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14:paraId="59471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86" w:type="dxa"/>
            <w:vMerge w:val="restart"/>
            <w:tcBorders>
              <w:top w:val="single" w:color="auto" w:sz="4" w:space="0"/>
              <w:left w:val="single" w:color="auto" w:sz="4" w:space="0"/>
              <w:right w:val="single" w:color="auto" w:sz="4" w:space="0"/>
            </w:tcBorders>
            <w:noWrap w:val="0"/>
            <w:vAlign w:val="center"/>
          </w:tcPr>
          <w:p w14:paraId="0E0BF2CB">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725" w:type="dxa"/>
            <w:vMerge w:val="restart"/>
            <w:tcBorders>
              <w:top w:val="single" w:color="auto" w:sz="4" w:space="0"/>
              <w:left w:val="nil"/>
              <w:right w:val="single" w:color="auto" w:sz="4" w:space="0"/>
            </w:tcBorders>
            <w:noWrap w:val="0"/>
            <w:vAlign w:val="center"/>
          </w:tcPr>
          <w:p w14:paraId="765C98F6">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资格性审查</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1C06F5F7">
            <w:pPr>
              <w:spacing w:before="93" w:beforeLines="3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具备有效的经年检的三证合一的营业执照</w:t>
            </w:r>
            <w:r>
              <w:rPr>
                <w:rFonts w:hint="eastAsia" w:ascii="宋体" w:hAnsi="宋体" w:cs="宋体"/>
                <w:color w:val="auto"/>
                <w:szCs w:val="21"/>
                <w:highlight w:val="none"/>
                <w:lang w:val="en-US" w:eastAsia="zh-CN"/>
              </w:rPr>
              <w:t>；</w:t>
            </w:r>
          </w:p>
        </w:tc>
      </w:tr>
      <w:tr w14:paraId="51435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386" w:type="dxa"/>
            <w:vMerge w:val="continue"/>
            <w:tcBorders>
              <w:left w:val="single" w:color="auto" w:sz="4" w:space="0"/>
              <w:right w:val="single" w:color="auto" w:sz="4" w:space="0"/>
            </w:tcBorders>
            <w:noWrap w:val="0"/>
            <w:vAlign w:val="center"/>
          </w:tcPr>
          <w:p w14:paraId="74231539">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2B9FDA33">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52649CFA">
            <w:pPr>
              <w:spacing w:before="93" w:beforeLines="3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提供法定代表人及其委托代理人本人身份证原件扫描件，委托代理人还应具备《法定代表人身份证明》及《法人代表授权委托书》；</w:t>
            </w:r>
          </w:p>
        </w:tc>
      </w:tr>
      <w:tr w14:paraId="5CB25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18114CE0">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2C031EF3">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20E73731">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具有近三个月（连续）的社保证明（需有相关人员的社保缴纳明细，退休人员需提供退休证明）和完税证明</w:t>
            </w:r>
            <w:r>
              <w:rPr>
                <w:rFonts w:hint="eastAsia" w:ascii="宋体" w:hAnsi="宋体" w:cs="宋体"/>
                <w:color w:val="auto"/>
                <w:szCs w:val="21"/>
                <w:highlight w:val="none"/>
                <w:lang w:val="en-US" w:eastAsia="zh-CN"/>
              </w:rPr>
              <w:t>；</w:t>
            </w:r>
          </w:p>
        </w:tc>
      </w:tr>
      <w:tr w14:paraId="578FB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386" w:type="dxa"/>
            <w:vMerge w:val="continue"/>
            <w:tcBorders>
              <w:left w:val="single" w:color="auto" w:sz="4" w:space="0"/>
              <w:right w:val="single" w:color="auto" w:sz="4" w:space="0"/>
            </w:tcBorders>
            <w:noWrap w:val="0"/>
            <w:vAlign w:val="center"/>
          </w:tcPr>
          <w:p w14:paraId="5567B25E">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0BC746D1">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03C66302">
            <w:pPr>
              <w:spacing w:before="93" w:beforeLines="3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提供近三年的财务审计报告或财务报表〔成立不足一年提供成立至今财务报表）</w:t>
            </w:r>
            <w:r>
              <w:rPr>
                <w:rFonts w:hint="eastAsia" w:ascii="宋体" w:hAnsi="宋体" w:cs="宋体"/>
                <w:color w:val="auto"/>
                <w:szCs w:val="21"/>
                <w:highlight w:val="none"/>
                <w:lang w:val="en-US" w:eastAsia="zh-CN"/>
              </w:rPr>
              <w:t>；</w:t>
            </w:r>
          </w:p>
        </w:tc>
      </w:tr>
      <w:tr w14:paraId="19E91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4B315F69">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10ECBC85">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492A0505">
            <w:pPr>
              <w:spacing w:before="93" w:beforeLines="30"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凡拟参加本次招标项目的投标人，如在“信用中国”网站</w:t>
            </w:r>
          </w:p>
          <w:p w14:paraId="0E96EB62">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www.creditchina.gov.cn）、中国政府采购网（www.ccgp.gov.cn）被列入失信被执行人、重大税收违法案件当事人名单、政府采购严重违法失信行为记录名单的（尚在处罚期内的），将拒绝其参本次政府采购活动（由采购人或采购代理机构现场查询）；</w:t>
            </w:r>
          </w:p>
        </w:tc>
      </w:tr>
      <w:tr w14:paraId="4B09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54078170">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48DA8952">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6E8382C2">
            <w:pPr>
              <w:spacing w:before="93" w:beforeLines="30" w:line="312"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政府采购诚信承诺书</w:t>
            </w:r>
            <w:r>
              <w:rPr>
                <w:rFonts w:hint="eastAsia" w:ascii="宋体" w:hAnsi="宋体" w:cs="宋体"/>
                <w:color w:val="auto"/>
                <w:szCs w:val="21"/>
                <w:highlight w:val="none"/>
                <w:lang w:val="en-US" w:eastAsia="zh-CN"/>
              </w:rPr>
              <w:t>；</w:t>
            </w:r>
          </w:p>
        </w:tc>
      </w:tr>
      <w:tr w14:paraId="7A53E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09E58508">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3B092C20">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2C5037AE">
            <w:pPr>
              <w:spacing w:before="93" w:beforeLines="30" w:line="312"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提供参加政府采购活动前三年内，在经营活动中没有重大违法记录（承诺函原件</w:t>
            </w:r>
            <w:r>
              <w:rPr>
                <w:rFonts w:hint="eastAsia" w:ascii="宋体" w:hAnsi="宋体" w:cs="宋体"/>
                <w:color w:val="auto"/>
                <w:szCs w:val="21"/>
                <w:highlight w:val="none"/>
                <w:lang w:val="en-US" w:eastAsia="zh-CN"/>
              </w:rPr>
              <w:t>扫描件</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w:t>
            </w:r>
          </w:p>
        </w:tc>
      </w:tr>
      <w:tr w14:paraId="635FF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13CE7D86">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6D814025">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79A1C303">
            <w:pPr>
              <w:spacing w:before="93" w:beforeLines="30" w:line="312"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是否按要求交纳投标保证金；</w:t>
            </w:r>
          </w:p>
        </w:tc>
      </w:tr>
      <w:tr w14:paraId="557A9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3CB61FE6">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4F15F240">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7AB8DB1A">
            <w:pPr>
              <w:spacing w:before="93" w:beforeLines="30"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提供具有履行合同所必须的设备和专业技术能力的承诺函原件；</w:t>
            </w:r>
            <w:r>
              <w:rPr>
                <w:rFonts w:hint="eastAsia" w:ascii="宋体" w:hAnsi="宋体" w:cs="宋体"/>
                <w:color w:val="auto"/>
                <w:szCs w:val="21"/>
                <w:highlight w:val="none"/>
                <w:lang w:val="en-US" w:eastAsia="zh-CN"/>
              </w:rPr>
              <w:t>(格式自拟）；</w:t>
            </w:r>
          </w:p>
        </w:tc>
      </w:tr>
      <w:tr w14:paraId="534F5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restart"/>
            <w:tcBorders>
              <w:top w:val="single" w:color="auto" w:sz="4" w:space="0"/>
              <w:left w:val="single" w:color="auto" w:sz="4" w:space="0"/>
              <w:right w:val="single" w:color="auto" w:sz="4" w:space="0"/>
            </w:tcBorders>
            <w:noWrap w:val="0"/>
            <w:vAlign w:val="center"/>
          </w:tcPr>
          <w:p w14:paraId="76F4A20D">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725" w:type="dxa"/>
            <w:vMerge w:val="restart"/>
            <w:tcBorders>
              <w:top w:val="single" w:color="auto" w:sz="4" w:space="0"/>
              <w:left w:val="nil"/>
              <w:right w:val="single" w:color="auto" w:sz="4" w:space="0"/>
            </w:tcBorders>
            <w:noWrap w:val="0"/>
            <w:vAlign w:val="center"/>
          </w:tcPr>
          <w:p w14:paraId="0D5DE0A5">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w:t>
            </w:r>
          </w:p>
        </w:tc>
        <w:tc>
          <w:tcPr>
            <w:tcW w:w="6309" w:type="dxa"/>
            <w:tcBorders>
              <w:top w:val="single" w:color="auto" w:sz="4" w:space="0"/>
              <w:left w:val="single" w:color="auto" w:sz="4" w:space="0"/>
              <w:bottom w:val="single" w:color="auto" w:sz="4" w:space="0"/>
              <w:right w:val="single" w:color="auto" w:sz="4" w:space="0"/>
            </w:tcBorders>
            <w:noWrap w:val="0"/>
            <w:vAlign w:val="center"/>
          </w:tcPr>
          <w:p w14:paraId="62128EBF">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投标文件格式符合招标文件要求</w:t>
            </w:r>
          </w:p>
        </w:tc>
      </w:tr>
      <w:tr w14:paraId="15DA9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86" w:type="dxa"/>
            <w:vMerge w:val="continue"/>
            <w:tcBorders>
              <w:left w:val="single" w:color="auto" w:sz="4" w:space="0"/>
              <w:right w:val="single" w:color="auto" w:sz="4" w:space="0"/>
            </w:tcBorders>
            <w:noWrap w:val="0"/>
            <w:vAlign w:val="center"/>
          </w:tcPr>
          <w:p w14:paraId="614C76F0">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2E8EA499">
            <w:pPr>
              <w:spacing w:before="93" w:beforeLines="30" w:line="312" w:lineRule="auto"/>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6F3D827B">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投标文件的签名盖章符合招标文件要求</w:t>
            </w:r>
          </w:p>
        </w:tc>
      </w:tr>
      <w:tr w14:paraId="2BD43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1A5355D4">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7610C854">
            <w:pPr>
              <w:spacing w:before="93" w:beforeLines="30" w:line="312" w:lineRule="auto"/>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04E02BEF">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投标有效期符合招标文件要求</w:t>
            </w:r>
          </w:p>
        </w:tc>
      </w:tr>
      <w:tr w14:paraId="35DCA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2EB2AC4E">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4EB9262C">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39CE9AF3">
            <w:pPr>
              <w:spacing w:before="93" w:beforeLines="30" w:line="312"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w:t>
            </w:r>
            <w:r>
              <w:rPr>
                <w:rFonts w:hint="eastAsia" w:ascii="宋体" w:hAnsi="宋体" w:eastAsia="宋体" w:cs="宋体"/>
                <w:color w:val="auto"/>
                <w:szCs w:val="21"/>
                <w:highlight w:val="none"/>
              </w:rPr>
              <w:t>货期符合招标文件要求</w:t>
            </w:r>
          </w:p>
        </w:tc>
      </w:tr>
      <w:tr w14:paraId="459BC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0171F6F9">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5413EC77">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7A88A51C">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货物质量符合招标文件要求</w:t>
            </w:r>
          </w:p>
        </w:tc>
      </w:tr>
      <w:tr w14:paraId="02A29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3758565D">
            <w:pPr>
              <w:spacing w:before="93" w:beforeLines="30" w:line="312" w:lineRule="auto"/>
              <w:ind w:firstLine="420" w:firstLineChars="200"/>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3AC4CC79">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25697AD4">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货物质量保证期符合招标文件要求</w:t>
            </w:r>
          </w:p>
        </w:tc>
      </w:tr>
      <w:tr w14:paraId="3F6C3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38955B52">
            <w:pPr>
              <w:spacing w:before="93" w:beforeLines="30" w:line="312" w:lineRule="auto"/>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1B4ACDCF">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23BD7B19">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按照招标文件规定报价只有一个有效报价且没有漏项及超过采购预算</w:t>
            </w:r>
          </w:p>
        </w:tc>
      </w:tr>
      <w:tr w14:paraId="41A01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4AA809BB">
            <w:pPr>
              <w:spacing w:before="93" w:beforeLines="30" w:line="312" w:lineRule="auto"/>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3022616A">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54D0A4FC">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按招标文件要求编制了目录及页码</w:t>
            </w:r>
          </w:p>
        </w:tc>
      </w:tr>
      <w:tr w14:paraId="07350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noWrap w:val="0"/>
            <w:vAlign w:val="center"/>
          </w:tcPr>
          <w:p w14:paraId="3E637635">
            <w:pPr>
              <w:spacing w:before="93" w:beforeLines="30" w:line="312" w:lineRule="auto"/>
              <w:jc w:val="center"/>
              <w:rPr>
                <w:rFonts w:hint="eastAsia" w:ascii="宋体" w:hAnsi="宋体" w:eastAsia="宋体" w:cs="宋体"/>
                <w:color w:val="auto"/>
                <w:szCs w:val="21"/>
                <w:highlight w:val="none"/>
              </w:rPr>
            </w:pPr>
          </w:p>
        </w:tc>
        <w:tc>
          <w:tcPr>
            <w:tcW w:w="1725" w:type="dxa"/>
            <w:vMerge w:val="continue"/>
            <w:tcBorders>
              <w:left w:val="nil"/>
              <w:right w:val="single" w:color="auto" w:sz="4" w:space="0"/>
            </w:tcBorders>
            <w:noWrap w:val="0"/>
            <w:vAlign w:val="center"/>
          </w:tcPr>
          <w:p w14:paraId="6A1F8F05">
            <w:pPr>
              <w:spacing w:before="93" w:beforeLines="30" w:line="312" w:lineRule="auto"/>
              <w:ind w:firstLine="420" w:firstLineChars="200"/>
              <w:jc w:val="center"/>
              <w:rPr>
                <w:rFonts w:hint="eastAsia" w:ascii="宋体" w:hAnsi="宋体" w:eastAsia="宋体" w:cs="宋体"/>
                <w:color w:val="auto"/>
                <w:szCs w:val="21"/>
                <w:highlight w:val="none"/>
              </w:rPr>
            </w:pPr>
          </w:p>
        </w:tc>
        <w:tc>
          <w:tcPr>
            <w:tcW w:w="6309" w:type="dxa"/>
            <w:tcBorders>
              <w:top w:val="single" w:color="auto" w:sz="4" w:space="0"/>
              <w:left w:val="single" w:color="auto" w:sz="4" w:space="0"/>
              <w:bottom w:val="single" w:color="auto" w:sz="4" w:space="0"/>
              <w:right w:val="single" w:color="auto" w:sz="4" w:space="0"/>
            </w:tcBorders>
            <w:noWrap w:val="0"/>
            <w:vAlign w:val="center"/>
          </w:tcPr>
          <w:p w14:paraId="5F3C196E">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其他不符合招标文件的实质性要求</w:t>
            </w:r>
          </w:p>
        </w:tc>
      </w:tr>
      <w:tr w14:paraId="559CA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20" w:type="dxa"/>
            <w:gridSpan w:val="3"/>
            <w:tcBorders>
              <w:left w:val="single" w:color="auto" w:sz="4" w:space="0"/>
              <w:right w:val="single" w:color="auto" w:sz="4" w:space="0"/>
            </w:tcBorders>
            <w:noWrap w:val="0"/>
            <w:vAlign w:val="center"/>
          </w:tcPr>
          <w:p w14:paraId="5C05DC9A">
            <w:pPr>
              <w:spacing w:before="93" w:beforeLines="30" w:line="312" w:lineRule="auto"/>
              <w:jc w:val="center"/>
              <w:rPr>
                <w:rFonts w:hint="eastAsia" w:ascii="宋体" w:hAnsi="宋体" w:eastAsia="宋体" w:cs="宋体"/>
                <w:color w:val="auto"/>
                <w:szCs w:val="21"/>
                <w:highlight w:val="none"/>
              </w:rPr>
            </w:pPr>
            <w:bookmarkStart w:id="155" w:name="_Toc17295"/>
            <w:bookmarkStart w:id="156" w:name="_Toc494455919"/>
            <w:r>
              <w:rPr>
                <w:rFonts w:hint="eastAsia" w:ascii="宋体" w:hAnsi="宋体" w:cs="宋体"/>
                <w:b/>
                <w:bCs/>
                <w:color w:val="auto"/>
                <w:sz w:val="24"/>
                <w:highlight w:val="none"/>
              </w:rPr>
              <w:t>初步评审合格后方可进入详细评审阶段</w:t>
            </w:r>
          </w:p>
        </w:tc>
      </w:tr>
    </w:tbl>
    <w:p w14:paraId="24FC6C71">
      <w:pPr>
        <w:spacing w:before="312" w:beforeLines="100" w:after="156" w:afterLines="50" w:line="400" w:lineRule="exact"/>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2.3</w:t>
      </w:r>
      <w:r>
        <w:rPr>
          <w:rFonts w:hint="eastAsia" w:ascii="宋体" w:hAnsi="宋体" w:cs="宋体"/>
          <w:color w:val="auto"/>
          <w:szCs w:val="21"/>
          <w:highlight w:val="none"/>
          <w:lang w:val="en-US" w:eastAsia="zh-CN"/>
        </w:rPr>
        <w:t>评分标准</w:t>
      </w:r>
    </w:p>
    <w:p w14:paraId="1179ED33">
      <w:pPr>
        <w:spacing w:beforeLines="0" w:afterLines="0"/>
        <w:jc w:val="center"/>
        <w:rPr>
          <w:rFonts w:hint="eastAsia" w:ascii="宋体" w:hAnsi="宋体" w:eastAsia="宋体" w:cs="宋体"/>
          <w:b/>
          <w:color w:val="auto"/>
          <w:sz w:val="32"/>
          <w:szCs w:val="32"/>
          <w:highlight w:val="none"/>
        </w:rPr>
      </w:pPr>
    </w:p>
    <w:p w14:paraId="3885265D">
      <w:pPr>
        <w:spacing w:beforeLines="0" w:afterLine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评分标准</w:t>
      </w:r>
    </w:p>
    <w:p w14:paraId="655B6DCB">
      <w:pPr>
        <w:pStyle w:val="5"/>
        <w:spacing w:beforeLines="0" w:afterLines="0"/>
        <w:rPr>
          <w:rFonts w:hint="eastAsia" w:ascii="宋体" w:hAnsi="宋体" w:eastAsia="宋体" w:cs="宋体"/>
          <w:color w:val="auto"/>
          <w:sz w:val="24"/>
          <w:szCs w:val="24"/>
          <w:highlight w:val="none"/>
        </w:rPr>
      </w:pPr>
    </w:p>
    <w:tbl>
      <w:tblPr>
        <w:tblStyle w:val="1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34"/>
        <w:gridCol w:w="989"/>
        <w:gridCol w:w="6023"/>
        <w:gridCol w:w="773"/>
      </w:tblGrid>
      <w:tr w14:paraId="5E35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7E2A82">
            <w:pPr>
              <w:pStyle w:val="39"/>
              <w:spacing w:beforeLines="0" w:afterLines="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8AAF5">
            <w:pPr>
              <w:spacing w:beforeLines="0" w:afterLines="0"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3C3EA">
            <w:pPr>
              <w:spacing w:beforeLines="0" w:afterLines="0"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21FB5">
            <w:pPr>
              <w:numPr>
                <w:ilvl w:val="0"/>
                <w:numId w:val="0"/>
              </w:num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B497C">
            <w:pPr>
              <w:pStyle w:val="39"/>
              <w:spacing w:beforeLines="0" w:afterLines="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2BD4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7AFD7">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02629">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投标报价</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7C3C3">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43B3D">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14:paraId="71FD8C0D">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备注：投标报价超过采购预算价的按废标处理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6831C">
            <w:pPr>
              <w:spacing w:before="93" w:beforeLines="30" w:line="240" w:lineRule="auto"/>
              <w:rPr>
                <w:rFonts w:hint="eastAsia" w:ascii="宋体" w:hAnsi="宋体" w:eastAsia="宋体" w:cs="宋体"/>
                <w:color w:val="auto"/>
                <w:szCs w:val="21"/>
                <w:highlight w:val="none"/>
                <w:lang w:val="en-US" w:eastAsia="zh-CN"/>
              </w:rPr>
            </w:pPr>
          </w:p>
        </w:tc>
      </w:tr>
      <w:tr w14:paraId="3695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63B3E4">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EC7D4">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技术参数、配置及性能指标</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F74EE">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0-35</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908D2">
            <w:pPr>
              <w:widowControl/>
              <w:numPr>
                <w:ilvl w:val="0"/>
                <w:numId w:val="0"/>
              </w:numPr>
              <w:spacing w:beforeLines="0" w:afterLines="0"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根据所投产品的技术参数、配置及性能指标的响应程度打分：</w:t>
            </w:r>
          </w:p>
          <w:p w14:paraId="6DD56C9F">
            <w:pPr>
              <w:spacing w:before="93" w:beforeLines="30"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完全满足招标文件技术指标、参数要求的得</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lang w:val="en-US" w:eastAsia="zh-CN"/>
                <w14:textFill>
                  <w14:solidFill>
                    <w14:schemeClr w14:val="tx1"/>
                  </w14:solidFill>
                </w14:textFill>
              </w:rPr>
              <w:t>分（以此为基础，参数优于招标文件中的相应参数要求的，每有一项加1分，最多累计加10分。</w:t>
            </w:r>
            <w:r>
              <w:rPr>
                <w:rFonts w:hint="eastAsia"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需提供产品技术参数介绍页、使用说明书</w:t>
            </w:r>
            <w:r>
              <w:rPr>
                <w:rFonts w:hint="eastAsia"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配件说明</w:t>
            </w:r>
            <w:r>
              <w:rPr>
                <w:rFonts w:hint="eastAsia" w:ascii="宋体" w:hAnsi="宋体" w:cs="宋体"/>
                <w:b/>
                <w:bCs/>
                <w:color w:val="000000" w:themeColor="text1"/>
                <w:szCs w:val="21"/>
                <w:highlight w:val="none"/>
                <w:lang w:val="en-US" w:eastAsia="zh-CN"/>
                <w14:textFill>
                  <w14:solidFill>
                    <w14:schemeClr w14:val="tx1"/>
                  </w14:solidFill>
                </w14:textFill>
              </w:rPr>
              <w:t>、农业机械试验鉴定证书、推广鉴定报告、检验报告、出厂合格证</w:t>
            </w:r>
            <w:r>
              <w:rPr>
                <w:rFonts w:hint="eastAsia" w:ascii="宋体" w:hAnsi="宋体" w:eastAsia="宋体" w:cs="宋体"/>
                <w:b/>
                <w:bCs/>
                <w:color w:val="000000" w:themeColor="text1"/>
                <w:szCs w:val="21"/>
                <w:highlight w:val="none"/>
                <w:lang w:val="en-US" w:eastAsia="zh-CN"/>
                <w14:textFill>
                  <w14:solidFill>
                    <w14:schemeClr w14:val="tx1"/>
                  </w14:solidFill>
                </w14:textFill>
              </w:rPr>
              <w:t>等材料</w:t>
            </w:r>
            <w:r>
              <w:rPr>
                <w:rFonts w:hint="eastAsia" w:ascii="宋体" w:hAnsi="宋体" w:cs="宋体"/>
                <w:b/>
                <w:bCs/>
                <w:color w:val="000000" w:themeColor="text1"/>
                <w:szCs w:val="21"/>
                <w:highlight w:val="none"/>
                <w:lang w:val="en-US" w:eastAsia="zh-CN"/>
                <w14:textFill>
                  <w14:solidFill>
                    <w14:schemeClr w14:val="tx1"/>
                  </w14:solidFill>
                </w14:textFill>
              </w:rPr>
              <w:t>）</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B68E6">
            <w:pPr>
              <w:spacing w:before="93" w:beforeLines="30" w:line="240" w:lineRule="auto"/>
              <w:rPr>
                <w:rFonts w:hint="eastAsia" w:ascii="宋体" w:hAnsi="宋体" w:eastAsia="宋体" w:cs="宋体"/>
                <w:color w:val="auto"/>
                <w:szCs w:val="21"/>
                <w:highlight w:val="none"/>
                <w:lang w:val="en-US" w:eastAsia="zh-CN"/>
              </w:rPr>
            </w:pPr>
          </w:p>
        </w:tc>
      </w:tr>
      <w:tr w14:paraId="6333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B13302">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ECE88">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供货方案</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9D292">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0-7</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732EC">
            <w:pPr>
              <w:spacing w:before="93" w:beforeLines="30"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综合考虑供货方案、从产品出厂到采购人指定地点的运输计划、在运输过程中各种突发情况的应对方案、运输过程中保证货物不受损的安全措施、本项得0-</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13BF7">
            <w:pPr>
              <w:spacing w:before="93" w:beforeLines="30" w:line="240" w:lineRule="auto"/>
              <w:rPr>
                <w:rFonts w:hint="eastAsia" w:ascii="宋体" w:hAnsi="宋体" w:eastAsia="宋体" w:cs="宋体"/>
                <w:color w:val="auto"/>
                <w:szCs w:val="21"/>
                <w:highlight w:val="none"/>
                <w:lang w:val="en-US" w:eastAsia="zh-CN"/>
              </w:rPr>
            </w:pPr>
          </w:p>
        </w:tc>
      </w:tr>
      <w:tr w14:paraId="5D3C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D0A27">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0F259">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C357B">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0-15</w:t>
            </w:r>
            <w:r>
              <w:rPr>
                <w:rFonts w:hint="eastAsia" w:ascii="宋体" w:hAnsi="宋体" w:eastAsia="宋体" w:cs="宋体"/>
                <w:color w:val="auto"/>
                <w:szCs w:val="21"/>
                <w:highlight w:val="none"/>
                <w:lang w:val="en-US" w:eastAsia="zh-CN"/>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C1A206">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售后服务承诺细致、满足用户要求的得10-15分，售后服务体系完备售 后服务承诺周到，具有服务体系的得5-9分；售后服务体系不完备的得 0-4分。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BA4DB">
            <w:pPr>
              <w:spacing w:before="93" w:beforeLines="30" w:line="240" w:lineRule="auto"/>
              <w:rPr>
                <w:rFonts w:hint="eastAsia" w:ascii="宋体" w:hAnsi="宋体" w:eastAsia="宋体" w:cs="宋体"/>
                <w:color w:val="auto"/>
                <w:szCs w:val="21"/>
                <w:highlight w:val="none"/>
                <w:lang w:val="en-US" w:eastAsia="zh-CN"/>
              </w:rPr>
            </w:pPr>
          </w:p>
        </w:tc>
      </w:tr>
      <w:tr w14:paraId="125B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5A866">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FAADCD">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培训实施方案</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FB7B0">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val="en-US" w:eastAsia="zh-CN"/>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46AC8">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供应商应制定详实的培训计划，对设备操作人员和相关养护人员进行培训，直至熟练掌握使用方法及常规维护为止。包括培训计划、培训方案、培训过程中突发事件处置方案等。本项得0-5分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5306F">
            <w:pPr>
              <w:spacing w:before="93" w:beforeLines="30" w:line="240" w:lineRule="auto"/>
              <w:rPr>
                <w:rFonts w:hint="eastAsia" w:ascii="宋体" w:hAnsi="宋体" w:eastAsia="宋体" w:cs="宋体"/>
                <w:color w:val="auto"/>
                <w:szCs w:val="21"/>
                <w:highlight w:val="none"/>
                <w:lang w:val="en-US" w:eastAsia="zh-CN"/>
              </w:rPr>
            </w:pPr>
          </w:p>
        </w:tc>
      </w:tr>
      <w:tr w14:paraId="490A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CA75A">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A994A">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应急预案</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1682B">
            <w:pPr>
              <w:spacing w:before="93" w:beforeLines="30" w:line="24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0-5</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E2DA90">
            <w:pPr>
              <w:spacing w:before="93" w:beforeLines="30" w:line="24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投标人须提供应急预案（应急预案内容须包含维修人员的配备情况、维修备品备件的送达时间、设备短时间无法修复的具体预案等）所有预案均提供且可实施得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分，缺少预案或速度慢实施困难的得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分，未提预案或无法达到采购人24小时内解决设备维修正常要求的得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D3BC75">
            <w:pPr>
              <w:spacing w:before="93" w:beforeLines="30" w:line="240" w:lineRule="auto"/>
              <w:rPr>
                <w:rFonts w:hint="eastAsia" w:ascii="宋体" w:hAnsi="宋体" w:eastAsia="宋体" w:cs="宋体"/>
                <w:color w:val="auto"/>
                <w:szCs w:val="21"/>
                <w:highlight w:val="none"/>
                <w:lang w:val="en-US" w:eastAsia="zh-CN"/>
              </w:rPr>
            </w:pPr>
          </w:p>
        </w:tc>
      </w:tr>
      <w:tr w14:paraId="06DE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7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11438">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2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2329D">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业绩</w:t>
            </w:r>
          </w:p>
        </w:tc>
        <w:tc>
          <w:tcPr>
            <w:tcW w:w="9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A5B66">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c>
          <w:tcPr>
            <w:tcW w:w="6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4227B">
            <w:pPr>
              <w:spacing w:before="93" w:beforeLines="30"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投标供应商同类或类似产品的销售业绩，每提供一项得 1 分，不提供不得分，最高得 3 分。{评审时以标书中提供（中标通知书或成交通知书或合同）及（验收单或支付记录及发票）为准，复印件、扫描件等需要加盖公章认定}。</w:t>
            </w:r>
          </w:p>
        </w:tc>
        <w:tc>
          <w:tcPr>
            <w:tcW w:w="7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FBD39">
            <w:pPr>
              <w:spacing w:before="93" w:beforeLines="30" w:line="240" w:lineRule="auto"/>
              <w:rPr>
                <w:rFonts w:hint="eastAsia" w:ascii="宋体" w:hAnsi="宋体" w:eastAsia="宋体" w:cs="宋体"/>
                <w:color w:val="auto"/>
                <w:szCs w:val="21"/>
                <w:highlight w:val="none"/>
                <w:lang w:val="en-US" w:eastAsia="zh-CN"/>
              </w:rPr>
            </w:pPr>
          </w:p>
        </w:tc>
      </w:tr>
      <w:tr w14:paraId="2B32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294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ECD4161">
            <w:pPr>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w:t>
            </w:r>
          </w:p>
        </w:tc>
        <w:tc>
          <w:tcPr>
            <w:tcW w:w="67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D93CD3">
            <w:pPr>
              <w:tabs>
                <w:tab w:val="left" w:pos="4489"/>
              </w:tabs>
              <w:spacing w:before="93" w:beforeLines="30"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100分</w:t>
            </w:r>
          </w:p>
        </w:tc>
      </w:tr>
      <w:bookmarkEnd w:id="155"/>
      <w:bookmarkEnd w:id="156"/>
    </w:tbl>
    <w:p w14:paraId="148123F5">
      <w:pPr>
        <w:rPr>
          <w:rFonts w:hint="eastAsia" w:ascii="宋体" w:hAnsi="宋体" w:cs="宋体"/>
          <w:b w:val="0"/>
          <w:bCs w:val="0"/>
          <w:color w:val="auto"/>
          <w:sz w:val="24"/>
          <w:szCs w:val="24"/>
          <w:highlight w:val="none"/>
          <w:lang w:val="en-US" w:eastAsia="zh-CN"/>
        </w:rPr>
      </w:pPr>
      <w:bookmarkStart w:id="157" w:name="_Toc23460"/>
      <w:bookmarkStart w:id="158" w:name="_Toc9162"/>
      <w:bookmarkStart w:id="159" w:name="_Toc15307"/>
      <w:bookmarkStart w:id="160" w:name="_Toc16306"/>
      <w:bookmarkStart w:id="161" w:name="_Toc20468"/>
      <w:bookmarkStart w:id="162" w:name="_Toc11811"/>
      <w:bookmarkStart w:id="163" w:name="_Toc12697"/>
      <w:bookmarkStart w:id="164" w:name="_Toc32220"/>
      <w:bookmarkStart w:id="165" w:name="_Toc30543"/>
      <w:bookmarkStart w:id="166" w:name="_Toc19385"/>
      <w:r>
        <w:rPr>
          <w:rFonts w:hint="eastAsia" w:ascii="宋体" w:hAnsi="宋体" w:cs="宋体"/>
          <w:b w:val="0"/>
          <w:bCs w:val="0"/>
          <w:color w:val="auto"/>
          <w:sz w:val="24"/>
          <w:szCs w:val="24"/>
          <w:highlight w:val="none"/>
          <w:lang w:val="en-US" w:eastAsia="zh-CN"/>
        </w:rPr>
        <w:br w:type="page"/>
      </w:r>
    </w:p>
    <w:p w14:paraId="6C92D665">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政策加分以及计算方法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6134"/>
      </w:tblGrid>
      <w:tr w14:paraId="4AB5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200" w:type="dxa"/>
            <w:gridSpan w:val="2"/>
            <w:noWrap w:val="0"/>
            <w:vAlign w:val="top"/>
          </w:tcPr>
          <w:p w14:paraId="69E53894">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rFonts w:hint="eastAsia"/>
                <w:b/>
                <w:color w:val="auto"/>
                <w:sz w:val="24"/>
                <w:highlight w:val="none"/>
                <w:lang w:eastAsia="zh-CN"/>
              </w:rPr>
              <w:t>中</w:t>
            </w:r>
            <w:r>
              <w:rPr>
                <w:b/>
                <w:color w:val="auto"/>
                <w:sz w:val="24"/>
                <w:highlight w:val="none"/>
              </w:rPr>
              <w:t>小型、微型企业和监狱企业产品价格扣除的要求：</w:t>
            </w:r>
          </w:p>
        </w:tc>
      </w:tr>
      <w:tr w14:paraId="0315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066" w:type="dxa"/>
            <w:noWrap w:val="0"/>
            <w:vAlign w:val="top"/>
          </w:tcPr>
          <w:p w14:paraId="66083725">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color w:val="auto"/>
                <w:sz w:val="24"/>
                <w:highlight w:val="none"/>
              </w:rPr>
              <w:t>评审内容</w:t>
            </w:r>
          </w:p>
        </w:tc>
        <w:tc>
          <w:tcPr>
            <w:tcW w:w="6134" w:type="dxa"/>
            <w:noWrap w:val="0"/>
            <w:vAlign w:val="top"/>
          </w:tcPr>
          <w:p w14:paraId="5F2784C6">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color w:val="auto"/>
                <w:sz w:val="24"/>
                <w:highlight w:val="none"/>
              </w:rPr>
              <w:t>评分标准</w:t>
            </w:r>
          </w:p>
        </w:tc>
      </w:tr>
      <w:tr w14:paraId="4D06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3" w:hRule="atLeast"/>
        </w:trPr>
        <w:tc>
          <w:tcPr>
            <w:tcW w:w="3066" w:type="dxa"/>
            <w:noWrap w:val="0"/>
            <w:vAlign w:val="center"/>
          </w:tcPr>
          <w:p w14:paraId="52FF11B8">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color w:val="auto"/>
                <w:sz w:val="24"/>
                <w:highlight w:val="none"/>
              </w:rPr>
              <w:t>中小微型企业有关政策</w:t>
            </w:r>
          </w:p>
        </w:tc>
        <w:tc>
          <w:tcPr>
            <w:tcW w:w="6134" w:type="dxa"/>
            <w:noWrap w:val="0"/>
            <w:vAlign w:val="top"/>
          </w:tcPr>
          <w:p w14:paraId="2E1F4375">
            <w:pPr>
              <w:pStyle w:val="23"/>
              <w:spacing w:before="199"/>
              <w:ind w:left="106" w:right="-29"/>
              <w:rPr>
                <w:rFonts w:hint="eastAsia"/>
                <w:b/>
                <w:bCs/>
                <w:color w:val="auto"/>
                <w:sz w:val="21"/>
                <w:szCs w:val="21"/>
                <w:highlight w:val="none"/>
              </w:rPr>
            </w:pPr>
            <w:r>
              <w:rPr>
                <w:rFonts w:hint="eastAsia"/>
                <w:b/>
                <w:bCs/>
                <w:color w:val="auto"/>
                <w:sz w:val="21"/>
                <w:szCs w:val="21"/>
                <w:highlight w:val="none"/>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7562C1FD">
            <w:pPr>
              <w:pStyle w:val="23"/>
              <w:spacing w:before="199"/>
              <w:ind w:left="106" w:right="-29"/>
              <w:rPr>
                <w:rFonts w:hint="eastAsia"/>
                <w:color w:val="auto"/>
                <w:sz w:val="24"/>
                <w:highlight w:val="none"/>
              </w:rPr>
            </w:pPr>
            <w:r>
              <w:rPr>
                <w:rFonts w:hint="eastAsia"/>
                <w:b/>
                <w:bCs/>
                <w:color w:val="auto"/>
                <w:sz w:val="21"/>
                <w:szCs w:val="21"/>
                <w:highlight w:val="none"/>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bl>
    <w:p w14:paraId="0AF2C487">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p w14:paraId="7270E840">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14:paraId="5375CA95">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以上评标标准中要求投标人提交相关证明材料原件（或复印件）的，未装订在投标文件中的不得分。</w:t>
      </w:r>
    </w:p>
    <w:p w14:paraId="290C15DF">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投标单位以联合体的身份参与政府采购项目的，以商务部分加分最多的一家投标单位的加分为商务部分的加分。</w:t>
      </w:r>
    </w:p>
    <w:p w14:paraId="706B64D1">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资产负债率=年末负债合计÷年末资产总计。</w:t>
      </w:r>
    </w:p>
    <w:p w14:paraId="5F20AEE0">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给予小型和微型企业价格扣除</w:t>
      </w:r>
    </w:p>
    <w:p w14:paraId="30A075D3">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给予小型和微型企业（包括相互之间组成的联合体）产品的价格 </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%的扣除； 计算方法是：</w:t>
      </w:r>
    </w:p>
    <w:p w14:paraId="053AC62F">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最终价格＝投标报价×9</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%，按照最终价格计算其价格分得分。</w:t>
      </w:r>
    </w:p>
    <w:p w14:paraId="3850D0A7">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开标时，投标人须提供《中小企业声明函》原件并对声明函的真实性负责，否则不给予价格扣除。</w:t>
      </w:r>
    </w:p>
    <w:p w14:paraId="1568BDB7">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大中型企业和其他自然人、法人或者其他组织与小型、微型企业组成联合体投标，联合协议中约定，小型、微型企业的协议合同金额占到联合体协议合同金额 30% 以上的，可给予联合体 </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%的价格扣除。</w:t>
      </w:r>
    </w:p>
    <w:p w14:paraId="095CB592">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开标时，投标人须提供《中小企业声明函》原件并对声明函的真实性负责和联合体协议原件，否则不给予价格扣除。</w:t>
      </w:r>
    </w:p>
    <w:p w14:paraId="618CC56C">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在政府采购活动中，供应商提供的货物、工程 或者服务符合下列情形的，享受本办法规定的中小企业扶持 政策：</w:t>
      </w:r>
    </w:p>
    <w:p w14:paraId="061EDC5A">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（一）在货物采购项目中，货物由中小企业制造，即货 物由中小企业生产且使用该中小企业商号或者注册商标；</w:t>
      </w:r>
    </w:p>
    <w:p w14:paraId="234801B3">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（二）在工程采购项目中，工程由中小企业承建，即工 程施工单位为中小企业；</w:t>
      </w:r>
    </w:p>
    <w:p w14:paraId="4E878161">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（三）在服务采购项目中，服务由中小企业承接，即提供服务的人员为中小企业依照《中华人民共和国劳动合同法》 订立劳动合同的从业人员。</w:t>
      </w:r>
    </w:p>
    <w:p w14:paraId="15E3D8C2">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在货物采购项目中，供应商提供的货物既有中小企业制 造货物，也有大型企业制</w:t>
      </w:r>
    </w:p>
    <w:p w14:paraId="2543A789">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造货物的，不享受本办法规定的中 小企业扶持政策。</w:t>
      </w:r>
    </w:p>
    <w:p w14:paraId="37719B14">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以联合体形式参加政府采购活动，联合体各方均为中小 企业的，联合体视同中小企业。其中，联合体各方均为小微 企业的，联合体视同小微企业。</w:t>
      </w:r>
    </w:p>
    <w:p w14:paraId="0F3AE85A">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4.评标方法</w:t>
      </w:r>
      <w:bookmarkEnd w:id="157"/>
      <w:bookmarkEnd w:id="158"/>
      <w:bookmarkEnd w:id="159"/>
      <w:bookmarkEnd w:id="160"/>
      <w:bookmarkEnd w:id="161"/>
    </w:p>
    <w:p w14:paraId="20A60602">
      <w:pPr>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14:paraId="3A53AC9F">
      <w:pPr>
        <w:spacing w:beforeLines="100" w:afterLines="50" w:line="400" w:lineRule="exact"/>
        <w:ind w:firstLine="420" w:firstLineChars="200"/>
        <w:outlineLvl w:val="2"/>
        <w:rPr>
          <w:rFonts w:hint="eastAsia" w:ascii="宋体" w:hAnsi="宋体" w:eastAsia="宋体" w:cs="宋体"/>
          <w:b w:val="0"/>
          <w:bCs w:val="0"/>
          <w:color w:val="auto"/>
          <w:sz w:val="21"/>
          <w:szCs w:val="21"/>
          <w:highlight w:val="none"/>
        </w:rPr>
      </w:pPr>
      <w:bookmarkStart w:id="167" w:name="_Toc4664"/>
      <w:bookmarkStart w:id="168" w:name="_Toc7399"/>
      <w:bookmarkStart w:id="169" w:name="_Toc16439"/>
      <w:bookmarkStart w:id="170" w:name="_Toc22832"/>
      <w:r>
        <w:rPr>
          <w:rFonts w:hint="eastAsia" w:ascii="宋体" w:hAnsi="宋体" w:eastAsia="宋体" w:cs="宋体"/>
          <w:b w:val="0"/>
          <w:bCs w:val="0"/>
          <w:color w:val="auto"/>
          <w:sz w:val="21"/>
          <w:szCs w:val="21"/>
          <w:highlight w:val="none"/>
        </w:rPr>
        <w:t>5.评审标准</w:t>
      </w:r>
      <w:bookmarkEnd w:id="167"/>
      <w:bookmarkEnd w:id="168"/>
      <w:bookmarkEnd w:id="169"/>
      <w:bookmarkEnd w:id="170"/>
    </w:p>
    <w:p w14:paraId="583A86F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5.1初步评审标准</w:t>
      </w:r>
    </w:p>
    <w:p w14:paraId="046938B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5.1.1资格性审查：详见评标办法前附表；</w:t>
      </w:r>
    </w:p>
    <w:p w14:paraId="424B6D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5.1.2符合性审查：详见评标办法前附表。</w:t>
      </w:r>
    </w:p>
    <w:p w14:paraId="7A45687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5.2分值构成与评分标准</w:t>
      </w:r>
    </w:p>
    <w:p w14:paraId="0D1B354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5.2.1分值构成：详见评标办法前附表。</w:t>
      </w:r>
    </w:p>
    <w:p w14:paraId="24677C8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5.2.2评标基准价的确定：满足招标要求且投标价格最低的投标报价为评标基准价。</w:t>
      </w:r>
    </w:p>
    <w:p w14:paraId="6D2EB64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有效报价：未超过最高限价的所以投标报价均为有效报价。</w:t>
      </w:r>
    </w:p>
    <w:p w14:paraId="2F25C06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5.2.3投标报价的得分计算</w:t>
      </w:r>
    </w:p>
    <w:p w14:paraId="7CE9BF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投标商务得分：投标报价得分=(评标基准价／投标报价)×价格权值×100</w:t>
      </w:r>
    </w:p>
    <w:p w14:paraId="12192FE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5.2.4发包人有权接受或拒绝投标人在投标文件中提出偏离、保留。发包人不接受投标人在开标后提出的优惠条件。</w:t>
      </w:r>
    </w:p>
    <w:p w14:paraId="403DF8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5.2.5评分标准：详见评标附表。</w:t>
      </w:r>
    </w:p>
    <w:p w14:paraId="123A138F">
      <w:pPr>
        <w:spacing w:beforeLines="100" w:afterLines="50" w:line="40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6.评标程序</w:t>
      </w:r>
      <w:bookmarkEnd w:id="162"/>
      <w:bookmarkEnd w:id="163"/>
      <w:bookmarkEnd w:id="164"/>
      <w:bookmarkEnd w:id="165"/>
      <w:bookmarkEnd w:id="166"/>
    </w:p>
    <w:p w14:paraId="754886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6.1初步评审</w:t>
      </w:r>
    </w:p>
    <w:p w14:paraId="54E8389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6.1.1评标委员会可以要求投标人提交第二章“投标人须知”</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rPr>
        <w:t>规定的有关证明和证件的原件，以便核验。评标委员会依据本章第2.1款规定的标准对投标文件进行初步评审。有一项不符合评审标准的，作废标处理。</w:t>
      </w:r>
    </w:p>
    <w:p w14:paraId="7FCCF9B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6.1.2投标人有以下情形之一的，其投标作废标处理：</w:t>
      </w:r>
    </w:p>
    <w:p w14:paraId="39A30B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（1）串通投标或弄虚作假或有其他违法行为的；</w:t>
      </w:r>
    </w:p>
    <w:p w14:paraId="3ACFDC7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（2）不按评标委员会要求澄清、说明或补正的。</w:t>
      </w:r>
    </w:p>
    <w:p w14:paraId="38A11CE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（3）投标函中投标报价与采购清单汇总价不一致时投标文件作废标处理。</w:t>
      </w:r>
    </w:p>
    <w:p w14:paraId="3F3360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（4）提供虚假资料的其投标文件作废标处理。</w:t>
      </w:r>
    </w:p>
    <w:p w14:paraId="540E774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（5）投标人在开标时资格审查时递交的法人授权委托书公证件原件，其内容应与资格预审、投标文件的内容一致，其中委托代理人均为同一人，不一致作废标处理。</w:t>
      </w:r>
    </w:p>
    <w:p w14:paraId="4913FD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（6）评标委员会认定投标人以低于成本报价竞标的。</w:t>
      </w:r>
    </w:p>
    <w:p w14:paraId="1D609E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（7）投标人附有招标人不能接受的条件。</w:t>
      </w:r>
    </w:p>
    <w:p w14:paraId="6742B4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（8）投标文件偏离招标文件实质性要求和条件的。</w:t>
      </w:r>
    </w:p>
    <w:p w14:paraId="72868DD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（9）一个投标人递交两份或多分内容不同的投标文件，或在一份投标文件中对同一招标项目有两个或多个报价，且未声明哪一个报价有效的。</w:t>
      </w:r>
    </w:p>
    <w:p w14:paraId="7F2B186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6.1.3投标报价有算术错误的，评标委员会按以下原则对投标报价进行修正，修正的价格经投标人书面确认后具有约束力。投标人不接受修正价格的，其投标作废标处理。</w:t>
      </w:r>
    </w:p>
    <w:p w14:paraId="559040C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（1）投标文件中的大写金额与小写金额不一致的，以大写金额为准；</w:t>
      </w:r>
    </w:p>
    <w:p w14:paraId="392F9E2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（2）总价金额与依据单价计算出的结果不一致的，以单价金额为准修正总价，但单价金额小数点有明显错误的除外。</w:t>
      </w:r>
    </w:p>
    <w:p w14:paraId="71A91C6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6.2详细评审</w:t>
      </w:r>
    </w:p>
    <w:p w14:paraId="4B14976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评标委员会分别进行技术评审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商务评审，在技术组评委技术评分表提交后，在进行商务评分汇总。</w:t>
      </w:r>
    </w:p>
    <w:p w14:paraId="52BF712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6.2.1评标委员会按照本章第2</w:t>
      </w:r>
      <w:r>
        <w:rPr>
          <w:rFonts w:hint="eastAsia" w:ascii="宋体" w:hAnsi="宋体" w:eastAsia="宋体" w:cs="宋体"/>
          <w:color w:val="auto"/>
          <w:sz w:val="21"/>
          <w:szCs w:val="21"/>
          <w:highlight w:val="none"/>
          <w:lang w:val="en-US" w:eastAsia="zh-CN"/>
        </w:rPr>
        <w:t>.3及2.4</w:t>
      </w:r>
      <w:r>
        <w:rPr>
          <w:rFonts w:hint="eastAsia" w:ascii="宋体" w:hAnsi="宋体" w:eastAsia="宋体" w:cs="宋体"/>
          <w:color w:val="auto"/>
          <w:sz w:val="21"/>
          <w:szCs w:val="21"/>
          <w:highlight w:val="none"/>
        </w:rPr>
        <w:t>款规定的量化因素和分值进行打分,计算出综合评分得分,投标人的总得分等于评委评分的算术和的平均值。</w:t>
      </w:r>
    </w:p>
    <w:p w14:paraId="321F769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（1）按本章规定的评审项目及内容对技术因素部分计算出得分∑1；</w:t>
      </w:r>
    </w:p>
    <w:p w14:paraId="52C9951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（2）按本章规定的评审项目及内容对</w:t>
      </w:r>
      <w:r>
        <w:rPr>
          <w:rFonts w:hint="eastAsia" w:ascii="宋体" w:hAnsi="宋体" w:eastAsia="宋体" w:cs="宋体"/>
          <w:color w:val="auto"/>
          <w:sz w:val="21"/>
          <w:szCs w:val="21"/>
          <w:highlight w:val="none"/>
          <w:lang w:val="en-US" w:eastAsia="zh-CN"/>
        </w:rPr>
        <w:t>商务因素</w:t>
      </w:r>
      <w:r>
        <w:rPr>
          <w:rFonts w:hint="eastAsia" w:ascii="宋体" w:hAnsi="宋体" w:eastAsia="宋体" w:cs="宋体"/>
          <w:color w:val="auto"/>
          <w:sz w:val="21"/>
          <w:szCs w:val="21"/>
          <w:highlight w:val="none"/>
        </w:rPr>
        <w:t>部分计算出∑2；</w:t>
      </w:r>
    </w:p>
    <w:p w14:paraId="6195941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6.2.2评分分值计算保留小数点后两位，小数点后第三位按“四舍五入”;</w:t>
      </w:r>
    </w:p>
    <w:p w14:paraId="6F75CB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6.2.3投标人得分：∑1+∑2</w:t>
      </w:r>
    </w:p>
    <w:p w14:paraId="7B2FFB0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6.3投标文件的澄清和补正</w:t>
      </w:r>
    </w:p>
    <w:p w14:paraId="6D3F74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6.3.1在评标过程中，评标委员会可以书面形式要求投标人对所提交投标文件中不明确的内容进行书面澄清或说明，或者对细微偏差进行补正。评标委员会不接受投标人主动提出的澄清、说明或补正。</w:t>
      </w:r>
    </w:p>
    <w:p w14:paraId="49DBD7D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6.3.2澄清、说明和补正不得改变投标文件的实质性内容（算术性错误修正的除外）。投标人的书面澄清、说明和补正属于投标文件的组成部分。</w:t>
      </w:r>
    </w:p>
    <w:p w14:paraId="7C25C44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.3.3评标委员会对投标人提交的澄清、说明或补正有疑问的，可以要求投标人进一步澄清、说明或补正，直至满足评标委员会的要求。</w:t>
      </w:r>
    </w:p>
    <w:p w14:paraId="12FF201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6.4评标结果</w:t>
      </w:r>
    </w:p>
    <w:p w14:paraId="5E5A2BE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6.4.1评标委员会依据本章第评分标准进行评分，按评标办法前附表的约定计算投标人最终得分，根据得分由高到低的顺序推荐3名中标候选人，并标明推荐顺序。</w:t>
      </w:r>
    </w:p>
    <w:p w14:paraId="2DE33C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6.4.2评标委员会完成评标后，应当向招标人提交书面评标报告。</w:t>
      </w:r>
      <w:bookmarkStart w:id="171" w:name="_Toc15961"/>
    </w:p>
    <w:p w14:paraId="2BB08BE3">
      <w:pPr>
        <w:spacing w:afterLines="50" w:line="440" w:lineRule="exact"/>
        <w:jc w:val="both"/>
        <w:outlineLvl w:val="1"/>
        <w:rPr>
          <w:rFonts w:hint="eastAsia" w:ascii="宋体" w:hAnsi="宋体" w:eastAsia="宋体" w:cs="宋体"/>
          <w:b/>
          <w:bCs/>
          <w:color w:val="auto"/>
          <w:sz w:val="32"/>
          <w:szCs w:val="32"/>
          <w:highlight w:val="none"/>
        </w:rPr>
      </w:pPr>
    </w:p>
    <w:p w14:paraId="569019FB">
      <w:pPr>
        <w:spacing w:afterLines="50" w:line="440" w:lineRule="exact"/>
        <w:jc w:val="center"/>
        <w:outlineLvl w:val="1"/>
        <w:rPr>
          <w:rFonts w:hint="eastAsia" w:ascii="宋体" w:hAnsi="宋体" w:eastAsia="宋体" w:cs="宋体"/>
          <w:b/>
          <w:bCs/>
          <w:color w:val="auto"/>
          <w:sz w:val="32"/>
          <w:szCs w:val="32"/>
          <w:highlight w:val="none"/>
        </w:rPr>
      </w:pPr>
    </w:p>
    <w:p w14:paraId="5003017C">
      <w:pPr>
        <w:spacing w:afterLines="50" w:line="440" w:lineRule="exact"/>
        <w:jc w:val="center"/>
        <w:outlineLvl w:val="1"/>
        <w:rPr>
          <w:rFonts w:hint="eastAsia" w:ascii="宋体" w:hAnsi="宋体" w:eastAsia="宋体" w:cs="宋体"/>
          <w:b/>
          <w:bCs/>
          <w:color w:val="auto"/>
          <w:sz w:val="32"/>
          <w:szCs w:val="32"/>
          <w:highlight w:val="none"/>
        </w:rPr>
      </w:pPr>
    </w:p>
    <w:p w14:paraId="40F53A10">
      <w:pPr>
        <w:spacing w:afterLines="50" w:line="440" w:lineRule="exact"/>
        <w:jc w:val="center"/>
        <w:outlineLvl w:val="1"/>
        <w:rPr>
          <w:rFonts w:hint="eastAsia" w:ascii="宋体" w:hAnsi="宋体" w:eastAsia="宋体" w:cs="宋体"/>
          <w:b/>
          <w:bCs/>
          <w:color w:val="auto"/>
          <w:sz w:val="32"/>
          <w:szCs w:val="32"/>
          <w:highlight w:val="none"/>
        </w:rPr>
      </w:pPr>
    </w:p>
    <w:p w14:paraId="44A3C369">
      <w:pPr>
        <w:spacing w:afterLines="50" w:line="440" w:lineRule="exact"/>
        <w:jc w:val="center"/>
        <w:outlineLvl w:val="1"/>
        <w:rPr>
          <w:rFonts w:hint="eastAsia" w:ascii="宋体" w:hAnsi="宋体" w:eastAsia="宋体" w:cs="宋体"/>
          <w:b/>
          <w:bCs/>
          <w:color w:val="auto"/>
          <w:sz w:val="32"/>
          <w:szCs w:val="32"/>
          <w:highlight w:val="none"/>
        </w:rPr>
      </w:pPr>
    </w:p>
    <w:p w14:paraId="4A121E7F">
      <w:pPr>
        <w:spacing w:afterLines="50" w:line="440" w:lineRule="exact"/>
        <w:jc w:val="center"/>
        <w:outlineLvl w:val="1"/>
        <w:rPr>
          <w:rFonts w:hint="eastAsia" w:ascii="宋体" w:hAnsi="宋体" w:eastAsia="宋体" w:cs="宋体"/>
          <w:b/>
          <w:bCs/>
          <w:color w:val="auto"/>
          <w:sz w:val="32"/>
          <w:szCs w:val="32"/>
          <w:highlight w:val="none"/>
        </w:rPr>
      </w:pPr>
    </w:p>
    <w:p w14:paraId="222363F3">
      <w:pPr>
        <w:spacing w:afterLines="50" w:line="440" w:lineRule="exact"/>
        <w:jc w:val="center"/>
        <w:outlineLvl w:val="1"/>
        <w:rPr>
          <w:rFonts w:hint="eastAsia" w:ascii="宋体" w:hAnsi="宋体" w:eastAsia="宋体" w:cs="宋体"/>
          <w:b/>
          <w:bCs/>
          <w:color w:val="auto"/>
          <w:sz w:val="32"/>
          <w:szCs w:val="32"/>
          <w:highlight w:val="none"/>
        </w:rPr>
      </w:pPr>
    </w:p>
    <w:p w14:paraId="7E9782C3">
      <w:pPr>
        <w:spacing w:afterLines="50" w:line="440" w:lineRule="exact"/>
        <w:jc w:val="center"/>
        <w:outlineLvl w:val="1"/>
        <w:rPr>
          <w:rFonts w:hint="eastAsia" w:ascii="宋体" w:hAnsi="宋体" w:eastAsia="宋体" w:cs="宋体"/>
          <w:b/>
          <w:bCs/>
          <w:color w:val="auto"/>
          <w:sz w:val="32"/>
          <w:szCs w:val="32"/>
          <w:highlight w:val="none"/>
        </w:rPr>
      </w:pPr>
    </w:p>
    <w:p w14:paraId="5D6E1514">
      <w:pPr>
        <w:spacing w:afterLines="50" w:line="440" w:lineRule="exact"/>
        <w:jc w:val="center"/>
        <w:outlineLvl w:val="1"/>
        <w:rPr>
          <w:rFonts w:hint="eastAsia" w:ascii="宋体" w:hAnsi="宋体" w:eastAsia="宋体" w:cs="宋体"/>
          <w:b/>
          <w:bCs/>
          <w:color w:val="auto"/>
          <w:sz w:val="32"/>
          <w:szCs w:val="32"/>
          <w:highlight w:val="none"/>
        </w:rPr>
      </w:pPr>
    </w:p>
    <w:p w14:paraId="3A92B4B6">
      <w:pPr>
        <w:spacing w:afterLines="50" w:line="440" w:lineRule="exact"/>
        <w:jc w:val="center"/>
        <w:outlineLvl w:val="1"/>
        <w:rPr>
          <w:rFonts w:hint="eastAsia" w:ascii="宋体" w:hAnsi="宋体" w:eastAsia="宋体" w:cs="宋体"/>
          <w:b/>
          <w:bCs/>
          <w:color w:val="auto"/>
          <w:sz w:val="32"/>
          <w:szCs w:val="32"/>
          <w:highlight w:val="none"/>
        </w:rPr>
      </w:pPr>
    </w:p>
    <w:p w14:paraId="783E8EC4">
      <w:pPr>
        <w:spacing w:afterLines="50" w:line="440" w:lineRule="exact"/>
        <w:jc w:val="center"/>
        <w:outlineLvl w:val="1"/>
        <w:rPr>
          <w:rFonts w:hint="eastAsia" w:ascii="宋体" w:hAnsi="宋体" w:eastAsia="宋体" w:cs="宋体"/>
          <w:b/>
          <w:bCs/>
          <w:color w:val="auto"/>
          <w:sz w:val="32"/>
          <w:szCs w:val="32"/>
          <w:highlight w:val="none"/>
        </w:rPr>
      </w:pPr>
    </w:p>
    <w:p w14:paraId="537D938A">
      <w:pPr>
        <w:spacing w:afterLines="50" w:line="440" w:lineRule="exact"/>
        <w:jc w:val="center"/>
        <w:outlineLvl w:val="1"/>
        <w:rPr>
          <w:rFonts w:hint="eastAsia" w:ascii="宋体" w:hAnsi="宋体" w:eastAsia="宋体" w:cs="宋体"/>
          <w:b/>
          <w:bCs/>
          <w:color w:val="auto"/>
          <w:sz w:val="32"/>
          <w:szCs w:val="32"/>
          <w:highlight w:val="none"/>
        </w:rPr>
      </w:pPr>
    </w:p>
    <w:p w14:paraId="477C6C76">
      <w:pPr>
        <w:spacing w:afterLines="50" w:line="440" w:lineRule="exact"/>
        <w:jc w:val="center"/>
        <w:outlineLvl w:val="1"/>
        <w:rPr>
          <w:rFonts w:hint="eastAsia" w:ascii="宋体" w:hAnsi="宋体" w:eastAsia="宋体" w:cs="宋体"/>
          <w:b/>
          <w:bCs/>
          <w:color w:val="auto"/>
          <w:sz w:val="32"/>
          <w:szCs w:val="32"/>
          <w:highlight w:val="none"/>
        </w:rPr>
      </w:pPr>
    </w:p>
    <w:p w14:paraId="76A07796">
      <w:pPr>
        <w:spacing w:afterLines="50" w:line="440" w:lineRule="exact"/>
        <w:jc w:val="center"/>
        <w:outlineLvl w:val="1"/>
        <w:rPr>
          <w:rFonts w:hint="eastAsia" w:ascii="宋体" w:hAnsi="宋体" w:eastAsia="宋体" w:cs="宋体"/>
          <w:b/>
          <w:bCs/>
          <w:color w:val="auto"/>
          <w:sz w:val="32"/>
          <w:szCs w:val="32"/>
          <w:highlight w:val="none"/>
        </w:rPr>
      </w:pPr>
    </w:p>
    <w:p w14:paraId="60F83C75">
      <w:pPr>
        <w:spacing w:afterLines="50" w:line="440" w:lineRule="exact"/>
        <w:jc w:val="center"/>
        <w:outlineLvl w:val="1"/>
        <w:rPr>
          <w:rFonts w:hint="eastAsia" w:ascii="宋体" w:hAnsi="宋体" w:eastAsia="宋体" w:cs="宋体"/>
          <w:b/>
          <w:bCs/>
          <w:color w:val="auto"/>
          <w:sz w:val="32"/>
          <w:szCs w:val="32"/>
          <w:highlight w:val="none"/>
        </w:rPr>
      </w:pPr>
    </w:p>
    <w:p w14:paraId="223D52D0">
      <w:pPr>
        <w:spacing w:afterLines="50" w:line="440" w:lineRule="exact"/>
        <w:jc w:val="center"/>
        <w:outlineLvl w:val="1"/>
        <w:rPr>
          <w:rFonts w:hint="eastAsia" w:ascii="宋体" w:hAnsi="宋体" w:eastAsia="宋体" w:cs="宋体"/>
          <w:b/>
          <w:bCs/>
          <w:color w:val="auto"/>
          <w:sz w:val="32"/>
          <w:szCs w:val="32"/>
          <w:highlight w:val="none"/>
        </w:rPr>
      </w:pPr>
    </w:p>
    <w:p w14:paraId="0648F3F9">
      <w:pPr>
        <w:spacing w:afterLines="50" w:line="44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第五章  签订合同、合同主要条款</w:t>
      </w:r>
      <w:bookmarkEnd w:id="132"/>
      <w:bookmarkEnd w:id="171"/>
    </w:p>
    <w:p w14:paraId="34C87F9B">
      <w:pPr>
        <w:spacing w:line="440" w:lineRule="exact"/>
        <w:ind w:firstLine="420" w:firstLineChars="200"/>
        <w:outlineLvl w:val="2"/>
        <w:rPr>
          <w:rFonts w:hint="eastAsia" w:ascii="宋体" w:hAnsi="宋体" w:eastAsia="宋体" w:cs="宋体"/>
          <w:color w:val="auto"/>
          <w:sz w:val="21"/>
          <w:szCs w:val="21"/>
          <w:highlight w:val="none"/>
        </w:rPr>
      </w:pPr>
      <w:bookmarkStart w:id="172" w:name="_Toc23348"/>
      <w:bookmarkStart w:id="173" w:name="_Toc31442"/>
      <w:bookmarkStart w:id="174" w:name="_Toc494455691"/>
      <w:r>
        <w:rPr>
          <w:rFonts w:hint="eastAsia" w:ascii="宋体" w:hAnsi="宋体" w:eastAsia="宋体" w:cs="宋体"/>
          <w:color w:val="auto"/>
          <w:sz w:val="21"/>
          <w:szCs w:val="21"/>
          <w:highlight w:val="none"/>
        </w:rPr>
        <w:t>1.签订合同</w:t>
      </w:r>
      <w:bookmarkEnd w:id="172"/>
      <w:bookmarkEnd w:id="173"/>
      <w:bookmarkEnd w:id="174"/>
    </w:p>
    <w:p w14:paraId="44F714CE">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1.1采购人应当自中标通知书发出之日起三十日内，按照招标文件和中标人投标文件的约定，与中标人签订书面合同。所签订合同不得对招标文件和中标人投标文件作实质性修改。</w:t>
      </w:r>
    </w:p>
    <w:p w14:paraId="67F086A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43A3749D">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1.3招标文件、投标文件、书面承诺和中标通知书均作为经济合同的一部分，且具有法律效力。中标人应严格履行经济合同所规定的各项义务和责任，否则将依法处理。</w:t>
      </w:r>
    </w:p>
    <w:p w14:paraId="2FBDD984">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1.4有关法规或者招标文件明确不允许分包方式履行合同的，中标人不得分包履行合同，否则将依法承担法律责任。招标文件明确允许分包方式履行合同的，按照招标文件相关规定执行。</w:t>
      </w:r>
    </w:p>
    <w:p w14:paraId="7530C4F4">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当中标人放弃中标结果或者因被质疑、投诉，经查属实或者因不可抗力而不能履行合同的，采购人可从推荐中标候选人名单中按顺序重新确定中标人，但应符合相关规定；否则采购人应重新组织招标。</w:t>
      </w:r>
    </w:p>
    <w:p w14:paraId="3A23AB4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1.5采购人应当自采购合同签订之日起7个工作日内，将采购合同副本报同级财政部门和有关部门备案。</w:t>
      </w:r>
    </w:p>
    <w:p w14:paraId="21F4229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1.6法律、行政法规规定应当办理批准、登记等手续后生效的合同，依照其规定。</w:t>
      </w:r>
    </w:p>
    <w:p w14:paraId="31E6AD6A">
      <w:pPr>
        <w:spacing w:line="440" w:lineRule="exact"/>
        <w:ind w:firstLine="420" w:firstLineChars="200"/>
        <w:outlineLvl w:val="2"/>
        <w:rPr>
          <w:rFonts w:hint="eastAsia" w:ascii="宋体" w:hAnsi="宋体" w:eastAsia="宋体" w:cs="宋体"/>
          <w:color w:val="auto"/>
          <w:sz w:val="21"/>
          <w:szCs w:val="21"/>
          <w:highlight w:val="none"/>
        </w:rPr>
      </w:pPr>
      <w:bookmarkStart w:id="175" w:name="_Toc19018"/>
      <w:bookmarkStart w:id="176" w:name="_Toc494455692"/>
      <w:bookmarkStart w:id="177" w:name="_Toc6368"/>
      <w:r>
        <w:rPr>
          <w:rFonts w:hint="eastAsia" w:ascii="宋体" w:hAnsi="宋体" w:eastAsia="宋体" w:cs="宋体"/>
          <w:color w:val="auto"/>
          <w:sz w:val="21"/>
          <w:szCs w:val="21"/>
          <w:highlight w:val="none"/>
        </w:rPr>
        <w:t>2.追加合同金额</w:t>
      </w:r>
      <w:bookmarkEnd w:id="175"/>
      <w:bookmarkEnd w:id="176"/>
      <w:bookmarkEnd w:id="177"/>
    </w:p>
    <w:p w14:paraId="39B8B25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履行中，采购人需要追加与合同标的相同的货物的，在不改变合同其他条款的前提下并且在签订合同后1年内，经采购人报同级财政部门批准后，可以与中标人协商签订补充合同，但所有补充合同的采购金额不得超过原合同采购金额的10%，否则采购人应重新组织招标。</w:t>
      </w:r>
    </w:p>
    <w:p w14:paraId="68DA4D07">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369BA422">
      <w:pPr>
        <w:spacing w:line="440" w:lineRule="exact"/>
        <w:ind w:firstLine="420" w:firstLineChars="200"/>
        <w:outlineLvl w:val="2"/>
        <w:rPr>
          <w:rFonts w:hint="eastAsia" w:ascii="宋体" w:hAnsi="宋体" w:eastAsia="宋体" w:cs="宋体"/>
          <w:color w:val="auto"/>
          <w:sz w:val="21"/>
          <w:szCs w:val="21"/>
          <w:highlight w:val="none"/>
        </w:rPr>
      </w:pPr>
      <w:bookmarkStart w:id="178" w:name="_Toc494455693"/>
      <w:bookmarkStart w:id="179" w:name="_Toc27523"/>
      <w:bookmarkStart w:id="180" w:name="_Toc6083"/>
      <w:r>
        <w:rPr>
          <w:rFonts w:hint="eastAsia" w:ascii="宋体" w:hAnsi="宋体" w:eastAsia="宋体" w:cs="宋体"/>
          <w:color w:val="auto"/>
          <w:sz w:val="21"/>
          <w:szCs w:val="21"/>
          <w:highlight w:val="none"/>
        </w:rPr>
        <w:t>3.货物质量与验收</w:t>
      </w:r>
      <w:bookmarkEnd w:id="178"/>
      <w:bookmarkEnd w:id="179"/>
      <w:bookmarkEnd w:id="180"/>
    </w:p>
    <w:p w14:paraId="53EDC733">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7741202A">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3.2货物制造完毕经出厂检验合格后方能发货，并提供货物合格证书。</w:t>
      </w:r>
    </w:p>
    <w:p w14:paraId="06C36C8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3.3货物的表面涂漆颜色：由采购人和中标人商定。</w:t>
      </w:r>
    </w:p>
    <w:p w14:paraId="7306ECC4">
      <w:pPr>
        <w:spacing w:line="440" w:lineRule="exac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3.4货物包装按照国标、部标以及有关标准执行。</w:t>
      </w:r>
    </w:p>
    <w:p w14:paraId="62131447">
      <w:pPr>
        <w:spacing w:line="440" w:lineRule="exact"/>
        <w:ind w:firstLine="420" w:firstLineChars="200"/>
        <w:outlineLvl w:val="2"/>
        <w:rPr>
          <w:rFonts w:hint="eastAsia" w:ascii="宋体" w:hAnsi="宋体" w:eastAsia="宋体" w:cs="宋体"/>
          <w:color w:val="auto"/>
          <w:sz w:val="21"/>
          <w:szCs w:val="21"/>
          <w:highlight w:val="none"/>
        </w:rPr>
      </w:pPr>
      <w:bookmarkStart w:id="181" w:name="_Toc23578"/>
      <w:bookmarkStart w:id="182" w:name="_Toc2791"/>
      <w:bookmarkStart w:id="183" w:name="_Toc494455695"/>
      <w:bookmarkStart w:id="184" w:name="_Toc494455694"/>
      <w:r>
        <w:rPr>
          <w:rFonts w:hint="eastAsia" w:ascii="宋体" w:hAnsi="宋体" w:eastAsia="宋体" w:cs="宋体"/>
          <w:color w:val="auto"/>
          <w:sz w:val="21"/>
          <w:szCs w:val="21"/>
          <w:highlight w:val="none"/>
        </w:rPr>
        <w:t>4.合同主要条款</w:t>
      </w:r>
      <w:bookmarkEnd w:id="181"/>
      <w:bookmarkEnd w:id="182"/>
    </w:p>
    <w:p w14:paraId="54E8240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合同编号：</w:t>
      </w:r>
      <w:r>
        <w:rPr>
          <w:rFonts w:hint="eastAsia" w:ascii="宋体" w:hAnsi="宋体" w:eastAsia="宋体" w:cs="宋体"/>
          <w:color w:val="auto"/>
          <w:sz w:val="21"/>
          <w:szCs w:val="21"/>
          <w:highlight w:val="none"/>
          <w:u w:val="single"/>
          <w:lang w:val="zh-CN"/>
        </w:rPr>
        <w:t xml:space="preserve">                         </w:t>
      </w:r>
    </w:p>
    <w:p w14:paraId="7FF72F9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签 订 地： </w:t>
      </w:r>
      <w:r>
        <w:rPr>
          <w:rFonts w:hint="eastAsia" w:ascii="宋体" w:hAnsi="宋体" w:eastAsia="宋体" w:cs="宋体"/>
          <w:color w:val="auto"/>
          <w:sz w:val="21"/>
          <w:szCs w:val="21"/>
          <w:highlight w:val="none"/>
          <w:u w:val="single"/>
          <w:lang w:val="zh-CN"/>
        </w:rPr>
        <w:t xml:space="preserve">                        </w:t>
      </w:r>
    </w:p>
    <w:p w14:paraId="57563B8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甲方（采购人）：</w:t>
      </w:r>
      <w:r>
        <w:rPr>
          <w:rFonts w:hint="eastAsia" w:ascii="宋体" w:hAnsi="宋体" w:eastAsia="宋体" w:cs="宋体"/>
          <w:color w:val="auto"/>
          <w:sz w:val="21"/>
          <w:szCs w:val="21"/>
          <w:highlight w:val="none"/>
          <w:u w:val="single"/>
          <w:lang w:val="zh-CN"/>
        </w:rPr>
        <w:t xml:space="preserve">                    </w:t>
      </w:r>
    </w:p>
    <w:p w14:paraId="591BFDB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住所地：</w:t>
      </w:r>
      <w:r>
        <w:rPr>
          <w:rFonts w:hint="eastAsia" w:ascii="宋体" w:hAnsi="宋体" w:eastAsia="宋体" w:cs="宋体"/>
          <w:color w:val="auto"/>
          <w:sz w:val="21"/>
          <w:szCs w:val="21"/>
          <w:highlight w:val="none"/>
          <w:u w:val="single"/>
          <w:lang w:val="zh-CN"/>
        </w:rPr>
        <w:t xml:space="preserve">                           </w:t>
      </w:r>
    </w:p>
    <w:p w14:paraId="35667F7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乙方（中标人）：</w:t>
      </w:r>
      <w:r>
        <w:rPr>
          <w:rFonts w:hint="eastAsia" w:ascii="宋体" w:hAnsi="宋体" w:eastAsia="宋体" w:cs="宋体"/>
          <w:color w:val="auto"/>
          <w:sz w:val="21"/>
          <w:szCs w:val="21"/>
          <w:highlight w:val="none"/>
          <w:u w:val="single"/>
          <w:lang w:val="zh-CN"/>
        </w:rPr>
        <w:t xml:space="preserve">                    </w:t>
      </w:r>
    </w:p>
    <w:p w14:paraId="6BBD57C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 所 地：</w:t>
      </w:r>
      <w:r>
        <w:rPr>
          <w:rFonts w:hint="eastAsia" w:ascii="宋体" w:hAnsi="宋体" w:eastAsia="宋体" w:cs="宋体"/>
          <w:color w:val="auto"/>
          <w:sz w:val="21"/>
          <w:szCs w:val="21"/>
          <w:highlight w:val="none"/>
          <w:u w:val="single"/>
          <w:lang w:val="zh-CN"/>
        </w:rPr>
        <w:t xml:space="preserve">                         </w:t>
      </w:r>
    </w:p>
    <w:p w14:paraId="005E0B83">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日参加了</w:t>
      </w:r>
      <w:r>
        <w:rPr>
          <w:rFonts w:hint="eastAsia" w:ascii="宋体" w:hAnsi="宋体" w:eastAsia="宋体" w:cs="宋体"/>
          <w:color w:val="auto"/>
          <w:sz w:val="21"/>
          <w:szCs w:val="21"/>
          <w:highlight w:val="none"/>
          <w:u w:val="single"/>
          <w:lang w:val="zh-CN"/>
        </w:rPr>
        <w:t xml:space="preserve"> （采购人）</w:t>
      </w:r>
      <w:r>
        <w:rPr>
          <w:rFonts w:hint="eastAsia" w:ascii="宋体" w:hAnsi="宋体" w:eastAsia="宋体" w:cs="宋体"/>
          <w:color w:val="auto"/>
          <w:sz w:val="21"/>
          <w:szCs w:val="21"/>
          <w:highlight w:val="none"/>
          <w:lang w:val="zh-CN"/>
        </w:rPr>
        <w:t xml:space="preserve"> 组织的“</w:t>
      </w:r>
      <w:r>
        <w:rPr>
          <w:rFonts w:hint="eastAsia" w:ascii="宋体" w:hAnsi="宋体" w:eastAsia="宋体" w:cs="宋体"/>
          <w:color w:val="auto"/>
          <w:sz w:val="21"/>
          <w:szCs w:val="21"/>
          <w:highlight w:val="none"/>
          <w:u w:val="single"/>
          <w:lang w:val="zh-CN"/>
        </w:rPr>
        <w:t xml:space="preserve"> （项目名称及项目编号） </w:t>
      </w:r>
      <w:r>
        <w:rPr>
          <w:rFonts w:hint="eastAsia" w:ascii="宋体" w:hAnsi="宋体" w:eastAsia="宋体" w:cs="宋体"/>
          <w:color w:val="auto"/>
          <w:sz w:val="21"/>
          <w:szCs w:val="21"/>
          <w:highlight w:val="none"/>
          <w:lang w:val="zh-CN"/>
        </w:rPr>
        <w:t>”政府采购活动，经评标委员会评审确定乙方为</w:t>
      </w:r>
      <w:r>
        <w:rPr>
          <w:rFonts w:hint="eastAsia" w:ascii="宋体" w:hAnsi="宋体" w:eastAsia="宋体" w:cs="宋体"/>
          <w:color w:val="auto"/>
          <w:sz w:val="21"/>
          <w:szCs w:val="21"/>
          <w:highlight w:val="none"/>
          <w:u w:val="single"/>
          <w:lang w:val="zh-CN"/>
        </w:rPr>
        <w:t xml:space="preserve"> （包及包名称） </w:t>
      </w:r>
      <w:r>
        <w:rPr>
          <w:rFonts w:hint="eastAsia" w:ascii="宋体" w:hAnsi="宋体" w:eastAsia="宋体" w:cs="宋体"/>
          <w:color w:val="auto"/>
          <w:sz w:val="21"/>
          <w:szCs w:val="21"/>
          <w:highlight w:val="none"/>
          <w:lang w:val="zh-CN"/>
        </w:rPr>
        <w:t>中标人，按照《中华人民共和国合同法》、《中华人民共和国政府采购法》和相关的法律法规规定，以及招标文件规定，经甲乙双方协商一致，签订本政府采购合同。</w:t>
      </w:r>
    </w:p>
    <w:p w14:paraId="3A754DA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第一条  货物条款</w:t>
      </w:r>
    </w:p>
    <w:p w14:paraId="69F3DA4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乙方向甲方提供以下货物</w:t>
      </w:r>
    </w:p>
    <w:tbl>
      <w:tblPr>
        <w:tblStyle w:val="1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1351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14:paraId="28058BD7">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货物名称</w:t>
            </w:r>
          </w:p>
        </w:tc>
        <w:tc>
          <w:tcPr>
            <w:tcW w:w="5013" w:type="dxa"/>
            <w:noWrap w:val="0"/>
            <w:vAlign w:val="center"/>
          </w:tcPr>
          <w:p w14:paraId="57C1298B">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品牌、规格型号（技术参数）</w:t>
            </w:r>
          </w:p>
        </w:tc>
        <w:tc>
          <w:tcPr>
            <w:tcW w:w="884" w:type="dxa"/>
            <w:noWrap w:val="0"/>
            <w:vAlign w:val="center"/>
          </w:tcPr>
          <w:p w14:paraId="45DE2AF3">
            <w:pPr>
              <w:spacing w:line="440" w:lineRule="exact"/>
              <w:ind w:firstLine="10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单价</w:t>
            </w:r>
          </w:p>
        </w:tc>
        <w:tc>
          <w:tcPr>
            <w:tcW w:w="884" w:type="dxa"/>
            <w:noWrap w:val="0"/>
            <w:vAlign w:val="center"/>
          </w:tcPr>
          <w:p w14:paraId="569FB7A6">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数量</w:t>
            </w:r>
          </w:p>
        </w:tc>
        <w:tc>
          <w:tcPr>
            <w:tcW w:w="1179" w:type="dxa"/>
            <w:noWrap w:val="0"/>
            <w:vAlign w:val="center"/>
          </w:tcPr>
          <w:p w14:paraId="6292C801">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 计</w:t>
            </w:r>
          </w:p>
        </w:tc>
      </w:tr>
      <w:tr w14:paraId="4A5E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14:paraId="6A0FB670">
            <w:pPr>
              <w:spacing w:line="440" w:lineRule="exact"/>
              <w:jc w:val="center"/>
              <w:rPr>
                <w:rFonts w:hint="eastAsia" w:ascii="宋体" w:hAnsi="宋体" w:eastAsia="宋体" w:cs="宋体"/>
                <w:color w:val="auto"/>
                <w:sz w:val="21"/>
                <w:szCs w:val="21"/>
                <w:highlight w:val="none"/>
                <w:lang w:val="zh-CN"/>
              </w:rPr>
            </w:pPr>
          </w:p>
        </w:tc>
        <w:tc>
          <w:tcPr>
            <w:tcW w:w="5013" w:type="dxa"/>
            <w:noWrap w:val="0"/>
            <w:vAlign w:val="center"/>
          </w:tcPr>
          <w:p w14:paraId="7FA47BB7">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6EB66550">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300EBB02">
            <w:pPr>
              <w:spacing w:line="440" w:lineRule="exact"/>
              <w:jc w:val="center"/>
              <w:rPr>
                <w:rFonts w:hint="eastAsia" w:ascii="宋体" w:hAnsi="宋体" w:eastAsia="宋体" w:cs="宋体"/>
                <w:color w:val="auto"/>
                <w:sz w:val="21"/>
                <w:szCs w:val="21"/>
                <w:highlight w:val="none"/>
                <w:lang w:val="zh-CN"/>
              </w:rPr>
            </w:pPr>
          </w:p>
        </w:tc>
        <w:tc>
          <w:tcPr>
            <w:tcW w:w="1179" w:type="dxa"/>
            <w:noWrap w:val="0"/>
            <w:vAlign w:val="center"/>
          </w:tcPr>
          <w:p w14:paraId="0F7632D0">
            <w:pPr>
              <w:spacing w:line="440" w:lineRule="exact"/>
              <w:jc w:val="center"/>
              <w:rPr>
                <w:rFonts w:hint="eastAsia" w:ascii="宋体" w:hAnsi="宋体" w:eastAsia="宋体" w:cs="宋体"/>
                <w:color w:val="auto"/>
                <w:sz w:val="21"/>
                <w:szCs w:val="21"/>
                <w:highlight w:val="none"/>
                <w:lang w:val="zh-CN"/>
              </w:rPr>
            </w:pPr>
          </w:p>
        </w:tc>
      </w:tr>
      <w:tr w14:paraId="0E43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14:paraId="0F272E1D">
            <w:pPr>
              <w:spacing w:line="440" w:lineRule="exact"/>
              <w:jc w:val="center"/>
              <w:rPr>
                <w:rFonts w:hint="eastAsia" w:ascii="宋体" w:hAnsi="宋体" w:eastAsia="宋体" w:cs="宋体"/>
                <w:color w:val="auto"/>
                <w:sz w:val="21"/>
                <w:szCs w:val="21"/>
                <w:highlight w:val="none"/>
                <w:lang w:val="zh-CN"/>
              </w:rPr>
            </w:pPr>
          </w:p>
        </w:tc>
        <w:tc>
          <w:tcPr>
            <w:tcW w:w="5013" w:type="dxa"/>
            <w:noWrap w:val="0"/>
            <w:vAlign w:val="center"/>
          </w:tcPr>
          <w:p w14:paraId="610A0236">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48AD6001">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46B97F43">
            <w:pPr>
              <w:spacing w:line="440" w:lineRule="exact"/>
              <w:jc w:val="center"/>
              <w:rPr>
                <w:rFonts w:hint="eastAsia" w:ascii="宋体" w:hAnsi="宋体" w:eastAsia="宋体" w:cs="宋体"/>
                <w:color w:val="auto"/>
                <w:sz w:val="21"/>
                <w:szCs w:val="21"/>
                <w:highlight w:val="none"/>
                <w:lang w:val="zh-CN"/>
              </w:rPr>
            </w:pPr>
          </w:p>
        </w:tc>
        <w:tc>
          <w:tcPr>
            <w:tcW w:w="1179" w:type="dxa"/>
            <w:noWrap w:val="0"/>
            <w:vAlign w:val="center"/>
          </w:tcPr>
          <w:p w14:paraId="29BF34B9">
            <w:pPr>
              <w:spacing w:line="440" w:lineRule="exact"/>
              <w:jc w:val="center"/>
              <w:rPr>
                <w:rFonts w:hint="eastAsia" w:ascii="宋体" w:hAnsi="宋体" w:eastAsia="宋体" w:cs="宋体"/>
                <w:color w:val="auto"/>
                <w:sz w:val="21"/>
                <w:szCs w:val="21"/>
                <w:highlight w:val="none"/>
                <w:lang w:val="zh-CN"/>
              </w:rPr>
            </w:pPr>
          </w:p>
        </w:tc>
      </w:tr>
      <w:tr w14:paraId="030B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14:paraId="59164471">
            <w:pPr>
              <w:spacing w:line="440" w:lineRule="exact"/>
              <w:jc w:val="center"/>
              <w:rPr>
                <w:rFonts w:hint="eastAsia" w:ascii="宋体" w:hAnsi="宋体" w:eastAsia="宋体" w:cs="宋体"/>
                <w:color w:val="auto"/>
                <w:sz w:val="21"/>
                <w:szCs w:val="21"/>
                <w:highlight w:val="none"/>
                <w:lang w:val="zh-CN"/>
              </w:rPr>
            </w:pPr>
          </w:p>
        </w:tc>
        <w:tc>
          <w:tcPr>
            <w:tcW w:w="5013" w:type="dxa"/>
            <w:noWrap w:val="0"/>
            <w:vAlign w:val="center"/>
          </w:tcPr>
          <w:p w14:paraId="61341574">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4E9154CA">
            <w:pPr>
              <w:spacing w:line="440" w:lineRule="exact"/>
              <w:jc w:val="center"/>
              <w:rPr>
                <w:rFonts w:hint="eastAsia" w:ascii="宋体" w:hAnsi="宋体" w:eastAsia="宋体" w:cs="宋体"/>
                <w:color w:val="auto"/>
                <w:sz w:val="21"/>
                <w:szCs w:val="21"/>
                <w:highlight w:val="none"/>
                <w:lang w:val="zh-CN"/>
              </w:rPr>
            </w:pPr>
          </w:p>
        </w:tc>
        <w:tc>
          <w:tcPr>
            <w:tcW w:w="884" w:type="dxa"/>
            <w:noWrap w:val="0"/>
            <w:vAlign w:val="center"/>
          </w:tcPr>
          <w:p w14:paraId="45BB1BDD">
            <w:pPr>
              <w:spacing w:line="440" w:lineRule="exact"/>
              <w:jc w:val="center"/>
              <w:rPr>
                <w:rFonts w:hint="eastAsia" w:ascii="宋体" w:hAnsi="宋体" w:eastAsia="宋体" w:cs="宋体"/>
                <w:color w:val="auto"/>
                <w:sz w:val="21"/>
                <w:szCs w:val="21"/>
                <w:highlight w:val="none"/>
                <w:lang w:val="zh-CN"/>
              </w:rPr>
            </w:pPr>
          </w:p>
        </w:tc>
        <w:tc>
          <w:tcPr>
            <w:tcW w:w="1179" w:type="dxa"/>
            <w:noWrap w:val="0"/>
            <w:vAlign w:val="center"/>
          </w:tcPr>
          <w:p w14:paraId="587D2F29">
            <w:pPr>
              <w:spacing w:line="440" w:lineRule="exact"/>
              <w:jc w:val="center"/>
              <w:rPr>
                <w:rFonts w:hint="eastAsia" w:ascii="宋体" w:hAnsi="宋体" w:eastAsia="宋体" w:cs="宋体"/>
                <w:color w:val="auto"/>
                <w:sz w:val="21"/>
                <w:szCs w:val="21"/>
                <w:highlight w:val="none"/>
                <w:lang w:val="zh-CN"/>
              </w:rPr>
            </w:pPr>
          </w:p>
        </w:tc>
      </w:tr>
      <w:tr w14:paraId="7F10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0"/>
            <w:vAlign w:val="center"/>
          </w:tcPr>
          <w:p w14:paraId="646B72A8">
            <w:pPr>
              <w:spacing w:line="44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     计</w:t>
            </w:r>
          </w:p>
        </w:tc>
        <w:tc>
          <w:tcPr>
            <w:tcW w:w="2947" w:type="dxa"/>
            <w:gridSpan w:val="3"/>
            <w:noWrap w:val="0"/>
            <w:vAlign w:val="center"/>
          </w:tcPr>
          <w:p w14:paraId="069CDE57">
            <w:pPr>
              <w:spacing w:line="440" w:lineRule="exact"/>
              <w:jc w:val="center"/>
              <w:rPr>
                <w:rFonts w:hint="eastAsia" w:ascii="宋体" w:hAnsi="宋体" w:eastAsia="宋体" w:cs="宋体"/>
                <w:color w:val="auto"/>
                <w:sz w:val="21"/>
                <w:szCs w:val="21"/>
                <w:highlight w:val="none"/>
                <w:lang w:val="zh-CN"/>
              </w:rPr>
            </w:pPr>
          </w:p>
        </w:tc>
      </w:tr>
    </w:tbl>
    <w:p w14:paraId="6C5F161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注：如上述表格不适用相关货物的，具体品牌、数量、规格型号（技术参数）及质保期等可用附件形式列明，作为本合同组成部分。</w:t>
      </w:r>
    </w:p>
    <w:p w14:paraId="47BD2E5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6A743A6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第二条  合同总金额</w:t>
      </w:r>
    </w:p>
    <w:p w14:paraId="7E4D7635">
      <w:pPr>
        <w:spacing w:line="440" w:lineRule="exact"/>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合同总金额为人民币（大写）：</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 xml:space="preserve">） </w:t>
      </w:r>
    </w:p>
    <w:p w14:paraId="6641064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14:paraId="3866A77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18F0D9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第三条   质量要求及技术标准</w:t>
      </w:r>
    </w:p>
    <w:p w14:paraId="300ABE8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1.货物原产地：         </w:t>
      </w:r>
    </w:p>
    <w:p w14:paraId="2D669ED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2.货物的质量要求：</w:t>
      </w:r>
    </w:p>
    <w:p w14:paraId="32A6F7E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2BC0D25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3.货物的技术标准：</w:t>
      </w:r>
    </w:p>
    <w:p w14:paraId="67C5474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D4307B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第四条  交货</w:t>
      </w:r>
    </w:p>
    <w:p w14:paraId="5EDC2B7F">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1.交货日期： </w:t>
      </w:r>
    </w:p>
    <w:p w14:paraId="02F051D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2.交货地点：</w:t>
      </w:r>
    </w:p>
    <w:p w14:paraId="65D639BF">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8B183B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第五条  包装、装运及运输</w:t>
      </w:r>
    </w:p>
    <w:p w14:paraId="17D3015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1.乙方负责包装、装运和运输，由于不适当的包装、装运和运输造成货物有任何损坏均由乙方负责。</w:t>
      </w:r>
    </w:p>
    <w:p w14:paraId="42553F4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2.包装费、运费及相关费用已包含在合同总金额内。</w:t>
      </w:r>
    </w:p>
    <w:p w14:paraId="5441849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6FDE825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第六条  货款支付</w:t>
      </w:r>
    </w:p>
    <w:p w14:paraId="3B2CB820">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1.货物运到交货地点，经甲乙双方共同验收合格后由甲方负责办理货款支付手续。</w:t>
      </w:r>
    </w:p>
    <w:p w14:paraId="00BC0132">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2.属国库集中支付资金，甲方应按照双方约定的付款期限，及时向同级财政部门报送资金支付申请，同级财政部门对支付申请审核无误后，将货款直接支付至乙方账户。</w:t>
      </w:r>
    </w:p>
    <w:p w14:paraId="52C742A6">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3.付款方式 </w:t>
      </w:r>
    </w:p>
    <w:p w14:paraId="2CEBCC62">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可采用一次性付款方式，也可以采用分期付款方式，具体由甲乙双方协商约定。采用一次性付款方式的，应约定支付的时间；采用分期付款方式的，应约定首付、分期支付的时间、条件及支付资金的比例；甲方根据采购货物的具体情况确定是否预留质保金。</w:t>
      </w:r>
    </w:p>
    <w:p w14:paraId="1BB01B0C">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330C492D">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第七条  履约保证金</w:t>
      </w:r>
    </w:p>
    <w:p w14:paraId="3F3907FF">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1.乙方须向甲方交纳人民币(大写)</w:t>
      </w:r>
      <w:r>
        <w:rPr>
          <w:rFonts w:hint="eastAsia" w:ascii="宋体" w:hAnsi="宋体" w:eastAsia="宋体" w:cs="宋体"/>
          <w:color w:val="auto"/>
          <w:sz w:val="21"/>
          <w:szCs w:val="21"/>
          <w:highlight w:val="none"/>
          <w:u w:val="single"/>
          <w:lang w:val="zh-CN"/>
        </w:rPr>
        <w:t xml:space="preserve">          （￥        </w:t>
      </w:r>
      <w:r>
        <w:rPr>
          <w:rFonts w:hint="eastAsia" w:ascii="宋体" w:hAnsi="宋体" w:eastAsia="宋体" w:cs="宋体"/>
          <w:color w:val="auto"/>
          <w:sz w:val="21"/>
          <w:szCs w:val="21"/>
          <w:highlight w:val="none"/>
          <w:lang w:val="zh-CN"/>
        </w:rPr>
        <w:t xml:space="preserve">） 作为本合同的履约保证金。 </w:t>
      </w:r>
    </w:p>
    <w:p w14:paraId="6DBCF3B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2.履约保证金用于补偿甲方因乙方不能履行或不能完全履行合同义务而蒙受的损失。</w:t>
      </w:r>
    </w:p>
    <w:p w14:paraId="0E1E1B47">
      <w:pPr>
        <w:spacing w:line="440" w:lineRule="exac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kern w:val="1"/>
          <w:sz w:val="21"/>
          <w:szCs w:val="21"/>
          <w:highlight w:val="none"/>
        </w:rPr>
        <w:t>履约保证金在货物交付验收合格</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月无质量问题后，填写《阿克苏市政府采购项目履约保证金退付表》、《阿克苏市政府采购项目验收单》和资金往来收款收据交监督部门审核后20个工作日内退还。</w:t>
      </w:r>
    </w:p>
    <w:p w14:paraId="1298AA96">
      <w:pPr>
        <w:tabs>
          <w:tab w:val="left" w:pos="840"/>
        </w:tabs>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2328046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第八条  售后服务及承诺</w:t>
      </w:r>
    </w:p>
    <w:p w14:paraId="3F881D6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1.乙方有完善的服务体系，有能力提供持续的、本地化售后服务。</w:t>
      </w:r>
    </w:p>
    <w:p w14:paraId="2FFE094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3B43AAA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3.供货及服务范围：乙方负责货物的供应、运输、安装调试、免费培训、售后服务。</w:t>
      </w:r>
    </w:p>
    <w:p w14:paraId="3627030F">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3129FB7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第九条  </w:t>
      </w:r>
      <w:r>
        <w:rPr>
          <w:rStyle w:val="24"/>
          <w:rFonts w:hint="eastAsia" w:ascii="宋体" w:hAnsi="宋体" w:eastAsia="宋体" w:cs="宋体"/>
          <w:color w:val="auto"/>
          <w:sz w:val="21"/>
          <w:szCs w:val="21"/>
          <w:highlight w:val="none"/>
        </w:rPr>
        <w:t>验收</w:t>
      </w:r>
    </w:p>
    <w:p w14:paraId="6E9422C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1.货物运抵现场后，采购人将对货物数量、质量、规格等进行检验。如发现货物和规格或者两者都与合同不符，采购人有权限根据检验结果要求中标人立即更换或者提出索赔要求。</w:t>
      </w:r>
    </w:p>
    <w:p w14:paraId="3889633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2.开箱检查设备外观，如有损伤或质量缺陷，乙方应及时更换。</w:t>
      </w:r>
    </w:p>
    <w:p w14:paraId="458F7BA3">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3.依据合同设备清单，对设备品牌、规格型号（技术参数）、数量、质保书等必备附件进行检查。</w:t>
      </w:r>
    </w:p>
    <w:p w14:paraId="2B0A2AC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4.货物由中标人进行安装，完毕后，采购人应对货物的数量、质量、规格、性能等进行详细而全面的检验。安装调试完毕</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日内，证明货物以及安装质量无任何问题，甲乙双方共同确认设备正常运行后，由采购人组成的验收小组签署验收报告，作为付款凭据之一。</w:t>
      </w:r>
    </w:p>
    <w:p w14:paraId="2B8FDA8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5D6E6A3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第十条  知识产权</w:t>
      </w:r>
    </w:p>
    <w:p w14:paraId="3109F9F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55464F2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2.乙方为执行本合同而提供的技术资料或者其他相关资料、软件等由甲方永久免费使用。</w:t>
      </w:r>
    </w:p>
    <w:p w14:paraId="72A35F3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FB344F7">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第十一条  甲方责任</w:t>
      </w:r>
    </w:p>
    <w:p w14:paraId="36C13DD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1.及时办理付款手续。</w:t>
      </w:r>
    </w:p>
    <w:p w14:paraId="0BC99F1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2.负责提供工作场地，协助乙方办理有关事宜。</w:t>
      </w:r>
    </w:p>
    <w:p w14:paraId="3AB9DDDC">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3.对合同条款及所知悉的乙方商业秘密负有保密义务。</w:t>
      </w:r>
    </w:p>
    <w:p w14:paraId="205873B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15AA223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第十二条  乙方责任</w:t>
      </w:r>
    </w:p>
    <w:p w14:paraId="0D6177F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0F3FE23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2.保证货物的售后服务，严格依据投标文件及相关承诺，对货物及系统进行保修、维护等服务。</w:t>
      </w:r>
    </w:p>
    <w:p w14:paraId="4220146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3.保证其所供货物不存在侵犯第三方知识产权的行为，否则由此产生的损失由乙方承担。</w:t>
      </w:r>
    </w:p>
    <w:p w14:paraId="39E1903C">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2E28E89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第十三条  违约责任</w:t>
      </w:r>
    </w:p>
    <w:p w14:paraId="2C0A05B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1.甲乙双方任意一方无故终止合同的，违约方应当按照合同总金额的20%向守约方支付违约金。</w:t>
      </w:r>
    </w:p>
    <w:p w14:paraId="30DB8601">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2.乙方逾期交付货物时，每逾1日乙方向甲方支付合同总金额0.5‰的滞纳金。逾期交货超过30日的，甲方有权决定是否继续履行合同，如甲方决定终止履行合同的，乙方应按照第1款的规定赔偿甲方违约金。</w:t>
      </w:r>
    </w:p>
    <w:p w14:paraId="75C3E08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所供货物品牌、规格型号、质量等不符合合同约定标准，甲方有权拒收，以及甲方收货后，发现产品出现质量问题不能使用的，甲方有权终止合同，同时，乙方向甲方支付合同总金额20%的违约金，如果违约金不足以支付甲方所受损失的，甲方有权要求其赔偿。</w:t>
      </w:r>
    </w:p>
    <w:p w14:paraId="6614C26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4.在质保期内产品出现质量问题，乙方必须在接到甲方通知后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小时内到达现场解决，否则甲方有权另请单位解决，由此产生的费用由乙方承担，甲方有权从质保金中扣除相关费用，产生的损失由乙方赔偿。</w:t>
      </w:r>
    </w:p>
    <w:p w14:paraId="5238FAE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5.甲乙双方违背其他合同条款，违约方赔偿对方损失。</w:t>
      </w:r>
    </w:p>
    <w:p w14:paraId="5B05CC1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03217CF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第十四条  不可抗力</w:t>
      </w:r>
    </w:p>
    <w:p w14:paraId="10D9D92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33B0B03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44BFC4D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第十五条  保密</w:t>
      </w:r>
    </w:p>
    <w:p w14:paraId="15E9668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4930C6B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乙方违反本合同所规定的保密义务，应按照本合同总金额的10%支付违约金。</w:t>
      </w:r>
    </w:p>
    <w:p w14:paraId="6613F30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0D68B22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第十六条  争议解决</w:t>
      </w:r>
    </w:p>
    <w:p w14:paraId="7C73287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甲乙双方在合同履行中发生争议，应通过协商解决。如协商不成，可以向合同签订地法院提起诉讼。</w:t>
      </w:r>
    </w:p>
    <w:p w14:paraId="422AFED0">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57969EDE">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第十七条  合同生效及其它</w:t>
      </w:r>
    </w:p>
    <w:p w14:paraId="69BCD6C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1.除招标文件规定且甲方事先书面同意外，乙方不得部分或者全部转让、分包履行其应履行的合同项下的义务。</w:t>
      </w:r>
    </w:p>
    <w:p w14:paraId="72BB6D4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2.合同由甲、乙双方法定代表人（或者被授权代表）签字并加盖单位公章，以最后一方签字日期为合同生效日期。</w:t>
      </w:r>
    </w:p>
    <w:p w14:paraId="27AF927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3.本合同一式六份，甲方一份，乙方一份，采购代理机构二份，市财政局一份，市公共资源交易管理办公室一份。</w:t>
      </w:r>
    </w:p>
    <w:p w14:paraId="0D187716">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20335FE8">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第十八条  本合同附件</w:t>
      </w:r>
    </w:p>
    <w:p w14:paraId="2BF046D3">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1.中标通知书；</w:t>
      </w:r>
    </w:p>
    <w:p w14:paraId="1C1970B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2.政府采购招标文件（含招标文件的澄清、修改等）；</w:t>
      </w:r>
    </w:p>
    <w:p w14:paraId="66EFE399">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3.乙方投标文件；</w:t>
      </w:r>
    </w:p>
    <w:p w14:paraId="1C44A062">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4.中标人在评标过程中做出的有关澄清、说明、承诺或者补正文件（材料）；</w:t>
      </w:r>
    </w:p>
    <w:p w14:paraId="67536D7B">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p w14:paraId="05B10BBD">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甲    方：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乙    方：</w:t>
      </w:r>
    </w:p>
    <w:p w14:paraId="3B8D7AD5">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单位名称(公章)：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单位名称(公章)：</w:t>
      </w:r>
    </w:p>
    <w:p w14:paraId="2B90383C">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法定代表人（授权代表）签字：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 xml:space="preserve"> 法定代表人（授权代表）签字：</w:t>
      </w:r>
    </w:p>
    <w:p w14:paraId="602D3274">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电   话：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 xml:space="preserve">     电    话：</w:t>
      </w:r>
    </w:p>
    <w:p w14:paraId="678F33CA">
      <w:pPr>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年  月  日</w:t>
      </w:r>
    </w:p>
    <w:p w14:paraId="1ADEA451">
      <w:pPr>
        <w:widowControl/>
        <w:autoSpaceDE w:val="0"/>
        <w:autoSpaceDN w:val="0"/>
        <w:adjustRightInd w:val="0"/>
        <w:spacing w:line="440" w:lineRule="exact"/>
        <w:rPr>
          <w:rStyle w:val="24"/>
          <w:rFonts w:hint="eastAsia" w:ascii="宋体" w:hAnsi="宋体" w:eastAsia="宋体" w:cs="宋体"/>
          <w:color w:val="auto"/>
          <w:sz w:val="28"/>
          <w:szCs w:val="28"/>
          <w:highlight w:val="none"/>
          <w:lang w:val="en-GB"/>
        </w:rPr>
      </w:pPr>
    </w:p>
    <w:p w14:paraId="1D9995C9">
      <w:pPr>
        <w:spacing w:afterLines="50" w:line="440" w:lineRule="exact"/>
        <w:jc w:val="center"/>
        <w:outlineLvl w:val="1"/>
        <w:rPr>
          <w:rFonts w:hint="eastAsia" w:ascii="宋体" w:hAnsi="宋体" w:eastAsia="宋体" w:cs="宋体"/>
          <w:b/>
          <w:bCs/>
          <w:color w:val="auto"/>
          <w:sz w:val="32"/>
          <w:szCs w:val="32"/>
          <w:highlight w:val="none"/>
        </w:rPr>
      </w:pPr>
      <w:bookmarkStart w:id="185" w:name="_Toc20993"/>
    </w:p>
    <w:p w14:paraId="5CFB901C">
      <w:pPr>
        <w:spacing w:afterLines="50" w:line="440" w:lineRule="exact"/>
        <w:jc w:val="center"/>
        <w:outlineLvl w:val="1"/>
        <w:rPr>
          <w:rFonts w:hint="eastAsia" w:ascii="宋体" w:hAnsi="宋体" w:eastAsia="宋体" w:cs="宋体"/>
          <w:b/>
          <w:bCs/>
          <w:color w:val="auto"/>
          <w:sz w:val="32"/>
          <w:szCs w:val="32"/>
          <w:highlight w:val="none"/>
        </w:rPr>
      </w:pPr>
    </w:p>
    <w:p w14:paraId="4257E2AC">
      <w:pPr>
        <w:spacing w:afterLines="50" w:line="440" w:lineRule="exact"/>
        <w:jc w:val="center"/>
        <w:outlineLvl w:val="1"/>
        <w:rPr>
          <w:rFonts w:hint="eastAsia" w:ascii="宋体" w:hAnsi="宋体" w:eastAsia="宋体" w:cs="宋体"/>
          <w:b/>
          <w:bCs/>
          <w:color w:val="auto"/>
          <w:sz w:val="32"/>
          <w:szCs w:val="32"/>
          <w:highlight w:val="none"/>
        </w:rPr>
      </w:pPr>
    </w:p>
    <w:p w14:paraId="16EB4689">
      <w:pPr>
        <w:spacing w:afterLines="50" w:line="440" w:lineRule="exact"/>
        <w:jc w:val="center"/>
        <w:outlineLvl w:val="1"/>
        <w:rPr>
          <w:rFonts w:hint="eastAsia" w:ascii="宋体" w:hAnsi="宋体" w:eastAsia="宋体" w:cs="宋体"/>
          <w:b/>
          <w:bCs/>
          <w:color w:val="auto"/>
          <w:sz w:val="32"/>
          <w:szCs w:val="32"/>
          <w:highlight w:val="none"/>
        </w:rPr>
      </w:pPr>
    </w:p>
    <w:p w14:paraId="418E6241">
      <w:pPr>
        <w:spacing w:afterLines="50" w:line="440" w:lineRule="exact"/>
        <w:jc w:val="center"/>
        <w:outlineLvl w:val="1"/>
        <w:rPr>
          <w:rFonts w:hint="eastAsia" w:ascii="宋体" w:hAnsi="宋体" w:eastAsia="宋体" w:cs="宋体"/>
          <w:b/>
          <w:bCs/>
          <w:color w:val="auto"/>
          <w:sz w:val="32"/>
          <w:szCs w:val="32"/>
          <w:highlight w:val="none"/>
        </w:rPr>
      </w:pPr>
    </w:p>
    <w:p w14:paraId="40BCBEB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E2899D2">
      <w:pPr>
        <w:spacing w:afterLines="50" w:line="440" w:lineRule="exact"/>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  投标文件</w:t>
      </w:r>
      <w:bookmarkEnd w:id="183"/>
      <w:r>
        <w:rPr>
          <w:rFonts w:hint="eastAsia" w:ascii="宋体" w:hAnsi="宋体" w:eastAsia="宋体" w:cs="宋体"/>
          <w:b/>
          <w:bCs/>
          <w:color w:val="auto"/>
          <w:sz w:val="32"/>
          <w:szCs w:val="32"/>
          <w:highlight w:val="none"/>
        </w:rPr>
        <w:t>格式</w:t>
      </w:r>
      <w:bookmarkEnd w:id="185"/>
    </w:p>
    <w:p w14:paraId="39DA4165">
      <w:pPr>
        <w:spacing w:line="360" w:lineRule="auto"/>
        <w:jc w:val="both"/>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（投标文件标书封皮）</w:t>
      </w:r>
    </w:p>
    <w:p w14:paraId="1A20706D">
      <w:pPr>
        <w:spacing w:line="360" w:lineRule="auto"/>
        <w:jc w:val="right"/>
        <w:rPr>
          <w:rFonts w:hint="eastAsia" w:ascii="宋体" w:hAnsi="宋体" w:eastAsia="宋体" w:cs="宋体"/>
          <w:color w:val="auto"/>
          <w:highlight w:val="none"/>
        </w:rPr>
      </w:pPr>
      <w:r>
        <w:rPr>
          <w:rFonts w:hint="eastAsia" w:ascii="宋体" w:hAnsi="宋体" w:eastAsia="宋体" w:cs="宋体"/>
          <w:b/>
          <w:bCs/>
          <w:color w:val="auto"/>
          <w:kern w:val="1"/>
          <w:sz w:val="36"/>
          <w:szCs w:val="36"/>
          <w:highlight w:val="none"/>
        </w:rPr>
        <w:t>正（副）本</w:t>
      </w:r>
    </w:p>
    <w:p w14:paraId="29B053F3">
      <w:pPr>
        <w:spacing w:line="360" w:lineRule="auto"/>
        <w:rPr>
          <w:rFonts w:hint="eastAsia" w:ascii="宋体" w:hAnsi="宋体" w:eastAsia="宋体" w:cs="宋体"/>
          <w:color w:val="auto"/>
          <w:highlight w:val="none"/>
        </w:rPr>
      </w:pPr>
    </w:p>
    <w:p w14:paraId="1074613B">
      <w:pPr>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52"/>
          <w:szCs w:val="52"/>
          <w:highlight w:val="none"/>
          <w:u w:val="single"/>
        </w:rPr>
        <w:t xml:space="preserve">****          </w:t>
      </w:r>
      <w:r>
        <w:rPr>
          <w:rFonts w:hint="eastAsia" w:ascii="宋体" w:hAnsi="宋体" w:eastAsia="宋体" w:cs="宋体"/>
          <w:b/>
          <w:bCs/>
          <w:color w:val="auto"/>
          <w:sz w:val="52"/>
          <w:szCs w:val="52"/>
          <w:highlight w:val="none"/>
        </w:rPr>
        <w:t>项目</w:t>
      </w:r>
    </w:p>
    <w:p w14:paraId="1E751631">
      <w:pPr>
        <w:spacing w:line="360" w:lineRule="auto"/>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项目编号：</w:t>
      </w:r>
    </w:p>
    <w:p w14:paraId="5CD33FA1">
      <w:pPr>
        <w:spacing w:line="360" w:lineRule="auto"/>
        <w:rPr>
          <w:rFonts w:hint="eastAsia" w:ascii="宋体" w:hAnsi="宋体" w:eastAsia="宋体" w:cs="宋体"/>
          <w:color w:val="auto"/>
          <w:highlight w:val="none"/>
        </w:rPr>
      </w:pPr>
    </w:p>
    <w:p w14:paraId="6E88AEC4">
      <w:pPr>
        <w:spacing w:line="360" w:lineRule="auto"/>
        <w:rPr>
          <w:rFonts w:hint="eastAsia" w:ascii="宋体" w:hAnsi="宋体" w:eastAsia="宋体" w:cs="宋体"/>
          <w:color w:val="auto"/>
          <w:highlight w:val="none"/>
        </w:rPr>
      </w:pPr>
    </w:p>
    <w:p w14:paraId="66110331">
      <w:pPr>
        <w:spacing w:line="360" w:lineRule="auto"/>
        <w:rPr>
          <w:rFonts w:hint="eastAsia" w:ascii="宋体" w:hAnsi="宋体" w:eastAsia="宋体" w:cs="宋体"/>
          <w:color w:val="auto"/>
          <w:highlight w:val="none"/>
        </w:rPr>
      </w:pPr>
    </w:p>
    <w:p w14:paraId="34FAF3AB">
      <w:pPr>
        <w:spacing w:line="360" w:lineRule="auto"/>
        <w:rPr>
          <w:rFonts w:hint="eastAsia" w:ascii="宋体" w:hAnsi="宋体" w:eastAsia="宋体" w:cs="宋体"/>
          <w:color w:val="auto"/>
          <w:highlight w:val="none"/>
        </w:rPr>
      </w:pPr>
    </w:p>
    <w:p w14:paraId="7B80E911">
      <w:pPr>
        <w:spacing w:line="360" w:lineRule="auto"/>
        <w:rPr>
          <w:rFonts w:hint="eastAsia" w:ascii="宋体" w:hAnsi="宋体" w:eastAsia="宋体" w:cs="宋体"/>
          <w:color w:val="auto"/>
          <w:highlight w:val="none"/>
        </w:rPr>
      </w:pPr>
    </w:p>
    <w:p w14:paraId="2A0EDA0C">
      <w:pPr>
        <w:spacing w:line="360" w:lineRule="auto"/>
        <w:rPr>
          <w:rFonts w:hint="eastAsia" w:ascii="宋体" w:hAnsi="宋体" w:eastAsia="宋体" w:cs="宋体"/>
          <w:color w:val="auto"/>
          <w:highlight w:val="none"/>
        </w:rPr>
      </w:pPr>
    </w:p>
    <w:p w14:paraId="09C060E5">
      <w:pPr>
        <w:spacing w:line="360" w:lineRule="auto"/>
        <w:rPr>
          <w:rFonts w:hint="eastAsia" w:ascii="宋体" w:hAnsi="宋体" w:eastAsia="宋体" w:cs="宋体"/>
          <w:color w:val="auto"/>
          <w:highlight w:val="none"/>
        </w:rPr>
      </w:pPr>
    </w:p>
    <w:p w14:paraId="579C9D8C">
      <w:pPr>
        <w:spacing w:line="360" w:lineRule="auto"/>
        <w:jc w:val="center"/>
        <w:rPr>
          <w:rFonts w:hint="eastAsia" w:ascii="宋体" w:hAnsi="宋体" w:eastAsia="宋体" w:cs="宋体"/>
          <w:color w:val="auto"/>
          <w:sz w:val="28"/>
          <w:szCs w:val="28"/>
          <w:highlight w:val="none"/>
        </w:rPr>
      </w:pPr>
      <w:r>
        <w:rPr>
          <w:rFonts w:hint="eastAsia" w:ascii="宋体" w:hAnsi="宋体" w:cs="宋体"/>
          <w:b/>
          <w:bCs/>
          <w:color w:val="auto"/>
          <w:sz w:val="72"/>
          <w:szCs w:val="144"/>
          <w:highlight w:val="none"/>
          <w:lang w:val="en-US" w:eastAsia="zh-CN"/>
        </w:rPr>
        <w:t>投 标</w:t>
      </w:r>
      <w:r>
        <w:rPr>
          <w:rFonts w:hint="eastAsia" w:ascii="宋体" w:hAnsi="宋体" w:eastAsia="宋体" w:cs="宋体"/>
          <w:b/>
          <w:bCs/>
          <w:color w:val="auto"/>
          <w:sz w:val="72"/>
          <w:szCs w:val="144"/>
          <w:highlight w:val="none"/>
        </w:rPr>
        <w:t xml:space="preserve"> 文 件</w:t>
      </w:r>
    </w:p>
    <w:p w14:paraId="7C26DC4F">
      <w:pPr>
        <w:spacing w:line="360" w:lineRule="auto"/>
        <w:rPr>
          <w:rFonts w:hint="eastAsia" w:ascii="宋体" w:hAnsi="宋体" w:eastAsia="宋体" w:cs="宋体"/>
          <w:color w:val="auto"/>
          <w:sz w:val="28"/>
          <w:szCs w:val="28"/>
          <w:highlight w:val="none"/>
        </w:rPr>
      </w:pPr>
    </w:p>
    <w:p w14:paraId="4C005FA4">
      <w:pPr>
        <w:spacing w:line="360" w:lineRule="auto"/>
        <w:rPr>
          <w:rFonts w:hint="eastAsia" w:ascii="宋体" w:hAnsi="宋体" w:eastAsia="宋体" w:cs="宋体"/>
          <w:color w:val="auto"/>
          <w:sz w:val="28"/>
          <w:szCs w:val="28"/>
          <w:highlight w:val="none"/>
        </w:rPr>
      </w:pPr>
    </w:p>
    <w:p w14:paraId="4E52D54E">
      <w:pPr>
        <w:spacing w:line="360" w:lineRule="auto"/>
        <w:rPr>
          <w:rFonts w:hint="eastAsia" w:ascii="宋体" w:hAnsi="宋体" w:eastAsia="宋体" w:cs="宋体"/>
          <w:color w:val="auto"/>
          <w:sz w:val="28"/>
          <w:szCs w:val="28"/>
          <w:highlight w:val="none"/>
        </w:rPr>
      </w:pPr>
    </w:p>
    <w:p w14:paraId="1141B375">
      <w:pPr>
        <w:spacing w:line="360" w:lineRule="auto"/>
        <w:rPr>
          <w:rFonts w:hint="eastAsia" w:ascii="宋体" w:hAnsi="宋体" w:eastAsia="宋体" w:cs="宋体"/>
          <w:color w:val="auto"/>
          <w:sz w:val="28"/>
          <w:szCs w:val="28"/>
          <w:highlight w:val="none"/>
        </w:rPr>
      </w:pPr>
    </w:p>
    <w:p w14:paraId="4CB7FAFE">
      <w:pPr>
        <w:spacing w:line="360" w:lineRule="auto"/>
        <w:rPr>
          <w:rFonts w:hint="eastAsia" w:ascii="宋体" w:hAnsi="宋体" w:eastAsia="宋体" w:cs="宋体"/>
          <w:color w:val="auto"/>
          <w:sz w:val="28"/>
          <w:szCs w:val="28"/>
          <w:highlight w:val="none"/>
        </w:rPr>
      </w:pPr>
    </w:p>
    <w:p w14:paraId="4136AC2A">
      <w:pPr>
        <w:spacing w:line="360" w:lineRule="auto"/>
        <w:rPr>
          <w:rFonts w:hint="eastAsia" w:ascii="宋体" w:hAnsi="宋体" w:eastAsia="宋体" w:cs="宋体"/>
          <w:color w:val="auto"/>
          <w:sz w:val="28"/>
          <w:szCs w:val="28"/>
          <w:highlight w:val="none"/>
        </w:rPr>
      </w:pPr>
      <w:bookmarkStart w:id="186" w:name="_Toc17052"/>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bookmarkEnd w:id="186"/>
    </w:p>
    <w:p w14:paraId="4638E17D">
      <w:pPr>
        <w:spacing w:line="360" w:lineRule="auto"/>
        <w:rPr>
          <w:rFonts w:hint="eastAsia" w:ascii="宋体" w:hAnsi="宋体" w:eastAsia="宋体" w:cs="宋体"/>
          <w:color w:val="auto"/>
          <w:sz w:val="28"/>
          <w:szCs w:val="28"/>
          <w:highlight w:val="none"/>
        </w:rPr>
      </w:pPr>
      <w:bookmarkStart w:id="187" w:name="_Toc21270"/>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w:t>
      </w:r>
      <w:r>
        <w:rPr>
          <w:rFonts w:hint="eastAsia" w:ascii="宋体" w:hAnsi="宋体" w:eastAsia="宋体" w:cs="宋体"/>
          <w:color w:val="auto"/>
          <w:sz w:val="28"/>
          <w:szCs w:val="28"/>
          <w:highlight w:val="none"/>
          <w:lang w:eastAsia="zh-CN"/>
        </w:rPr>
        <w:t>并</w:t>
      </w:r>
      <w:r>
        <w:rPr>
          <w:rFonts w:hint="eastAsia" w:ascii="宋体" w:hAnsi="宋体" w:eastAsia="宋体" w:cs="宋体"/>
          <w:color w:val="auto"/>
          <w:sz w:val="28"/>
          <w:szCs w:val="28"/>
          <w:highlight w:val="none"/>
        </w:rPr>
        <w:t>盖章）</w:t>
      </w:r>
      <w:bookmarkEnd w:id="187"/>
    </w:p>
    <w:p w14:paraId="684A761A">
      <w:pPr>
        <w:widowControl/>
        <w:autoSpaceDE w:val="0"/>
        <w:autoSpaceDN w:val="0"/>
        <w:adjustRightInd w:val="0"/>
        <w:spacing w:line="360" w:lineRule="auto"/>
        <w:ind w:firstLine="1120" w:firstLineChars="400"/>
        <w:jc w:val="center"/>
        <w:rPr>
          <w:rFonts w:hint="eastAsia" w:ascii="宋体" w:hAnsi="宋体" w:eastAsia="宋体" w:cs="宋体"/>
          <w:color w:val="auto"/>
          <w:kern w:val="1"/>
          <w:sz w:val="32"/>
          <w:szCs w:val="32"/>
          <w:highlight w:val="none"/>
        </w:rPr>
      </w:pPr>
      <w:bookmarkStart w:id="188" w:name="_Toc26551"/>
      <w:r>
        <w:rPr>
          <w:rFonts w:hint="eastAsia" w:ascii="宋体" w:hAnsi="宋体" w:eastAsia="宋体" w:cs="宋体"/>
          <w:color w:val="auto"/>
          <w:sz w:val="28"/>
          <w:szCs w:val="28"/>
          <w:highlight w:val="none"/>
        </w:rPr>
        <w:t>年     月     日</w:t>
      </w:r>
      <w:bookmarkEnd w:id="188"/>
    </w:p>
    <w:p w14:paraId="038C5954">
      <w:pPr>
        <w:rPr>
          <w:rFonts w:hint="eastAsia" w:ascii="宋体" w:hAnsi="宋体" w:eastAsia="宋体" w:cs="宋体"/>
          <w:color w:val="auto"/>
          <w:kern w:val="1"/>
          <w:sz w:val="30"/>
          <w:szCs w:val="30"/>
          <w:highlight w:val="none"/>
        </w:rPr>
      </w:pPr>
      <w:r>
        <w:rPr>
          <w:rFonts w:hint="eastAsia" w:ascii="宋体" w:hAnsi="宋体" w:eastAsia="宋体" w:cs="宋体"/>
          <w:color w:val="auto"/>
          <w:kern w:val="1"/>
          <w:sz w:val="30"/>
          <w:szCs w:val="30"/>
          <w:highlight w:val="none"/>
        </w:rPr>
        <w:br w:type="page"/>
      </w:r>
    </w:p>
    <w:p w14:paraId="049C11B8">
      <w:pPr>
        <w:rPr>
          <w:rFonts w:hint="eastAsia" w:ascii="宋体" w:hAnsi="宋体" w:eastAsia="宋体" w:cs="宋体"/>
          <w:color w:val="auto"/>
          <w:kern w:val="1"/>
          <w:sz w:val="30"/>
          <w:szCs w:val="30"/>
          <w:highlight w:val="none"/>
        </w:rPr>
      </w:pPr>
    </w:p>
    <w:p w14:paraId="29767E82">
      <w:pPr>
        <w:rPr>
          <w:rFonts w:hint="eastAsia" w:ascii="宋体" w:hAnsi="宋体" w:eastAsia="宋体" w:cs="宋体"/>
          <w:color w:val="auto"/>
          <w:kern w:val="1"/>
          <w:sz w:val="30"/>
          <w:szCs w:val="30"/>
          <w:highlight w:val="none"/>
        </w:rPr>
      </w:pPr>
    </w:p>
    <w:p w14:paraId="1B876496">
      <w:pPr>
        <w:rPr>
          <w:rFonts w:hint="eastAsia" w:ascii="宋体" w:hAnsi="宋体" w:eastAsia="宋体" w:cs="宋体"/>
          <w:color w:val="auto"/>
          <w:kern w:val="1"/>
          <w:sz w:val="30"/>
          <w:szCs w:val="30"/>
          <w:highlight w:val="none"/>
        </w:rPr>
      </w:pPr>
    </w:p>
    <w:p w14:paraId="60237313">
      <w:pPr>
        <w:rPr>
          <w:rFonts w:hint="eastAsia" w:ascii="宋体" w:hAnsi="宋体" w:eastAsia="宋体" w:cs="宋体"/>
          <w:color w:val="auto"/>
          <w:kern w:val="1"/>
          <w:sz w:val="30"/>
          <w:szCs w:val="30"/>
          <w:highlight w:val="none"/>
        </w:rPr>
      </w:pPr>
    </w:p>
    <w:p w14:paraId="35A0BAAE">
      <w:pPr>
        <w:rPr>
          <w:rFonts w:hint="eastAsia" w:ascii="宋体" w:hAnsi="宋体" w:eastAsia="宋体" w:cs="宋体"/>
          <w:color w:val="auto"/>
          <w:kern w:val="1"/>
          <w:sz w:val="30"/>
          <w:szCs w:val="30"/>
          <w:highlight w:val="none"/>
        </w:rPr>
      </w:pPr>
    </w:p>
    <w:p w14:paraId="40D1221A">
      <w:pPr>
        <w:rPr>
          <w:rFonts w:hint="eastAsia" w:ascii="宋体" w:hAnsi="宋体" w:eastAsia="宋体" w:cs="宋体"/>
          <w:color w:val="auto"/>
          <w:kern w:val="1"/>
          <w:sz w:val="30"/>
          <w:szCs w:val="30"/>
          <w:highlight w:val="none"/>
        </w:rPr>
      </w:pPr>
    </w:p>
    <w:p w14:paraId="1D47854E">
      <w:pPr>
        <w:rPr>
          <w:rFonts w:hint="eastAsia" w:ascii="宋体" w:hAnsi="宋体" w:eastAsia="宋体" w:cs="宋体"/>
          <w:color w:val="auto"/>
          <w:kern w:val="1"/>
          <w:sz w:val="30"/>
          <w:szCs w:val="30"/>
          <w:highlight w:val="none"/>
        </w:rPr>
      </w:pPr>
    </w:p>
    <w:p w14:paraId="42E8F005">
      <w:pPr>
        <w:rPr>
          <w:rFonts w:hint="eastAsia" w:ascii="宋体" w:hAnsi="宋体" w:eastAsia="宋体" w:cs="宋体"/>
          <w:color w:val="auto"/>
          <w:kern w:val="1"/>
          <w:sz w:val="30"/>
          <w:szCs w:val="30"/>
          <w:highlight w:val="none"/>
        </w:rPr>
      </w:pPr>
    </w:p>
    <w:p w14:paraId="533E7939">
      <w:pPr>
        <w:rPr>
          <w:rFonts w:hint="eastAsia" w:ascii="宋体" w:hAnsi="宋体" w:eastAsia="宋体" w:cs="宋体"/>
          <w:color w:val="auto"/>
          <w:kern w:val="1"/>
          <w:sz w:val="30"/>
          <w:szCs w:val="30"/>
          <w:highlight w:val="none"/>
        </w:rPr>
      </w:pPr>
    </w:p>
    <w:p w14:paraId="75640C37">
      <w:pPr>
        <w:jc w:val="center"/>
        <w:rPr>
          <w:rFonts w:hint="default" w:ascii="宋体" w:hAnsi="宋体" w:eastAsia="宋体" w:cs="宋体"/>
          <w:color w:val="auto"/>
          <w:kern w:val="1"/>
          <w:sz w:val="30"/>
          <w:szCs w:val="30"/>
          <w:highlight w:val="none"/>
          <w:lang w:val="en-US" w:eastAsia="zh-CN"/>
        </w:rPr>
      </w:pPr>
      <w:r>
        <w:rPr>
          <w:rFonts w:hint="eastAsia" w:ascii="宋体" w:hAnsi="宋体" w:cs="宋体"/>
          <w:b/>
          <w:bCs/>
          <w:color w:val="auto"/>
          <w:kern w:val="1"/>
          <w:sz w:val="52"/>
          <w:szCs w:val="52"/>
          <w:highlight w:val="none"/>
          <w:lang w:val="en-US" w:eastAsia="zh-CN"/>
        </w:rPr>
        <w:t>商务文件</w:t>
      </w:r>
    </w:p>
    <w:p w14:paraId="5061CFE7">
      <w:pPr>
        <w:rPr>
          <w:rFonts w:hint="eastAsia" w:ascii="宋体" w:hAnsi="宋体" w:eastAsia="宋体" w:cs="宋体"/>
          <w:color w:val="auto"/>
          <w:kern w:val="1"/>
          <w:sz w:val="30"/>
          <w:szCs w:val="30"/>
          <w:highlight w:val="none"/>
        </w:rPr>
      </w:pPr>
      <w:r>
        <w:rPr>
          <w:rFonts w:hint="eastAsia" w:ascii="宋体" w:hAnsi="宋体" w:eastAsia="宋体" w:cs="宋体"/>
          <w:color w:val="auto"/>
          <w:kern w:val="1"/>
          <w:sz w:val="30"/>
          <w:szCs w:val="30"/>
          <w:highlight w:val="none"/>
        </w:rPr>
        <w:br w:type="page"/>
      </w:r>
    </w:p>
    <w:p w14:paraId="43E1BB1D">
      <w:pPr>
        <w:widowControl/>
        <w:autoSpaceDE w:val="0"/>
        <w:autoSpaceDN w:val="0"/>
        <w:adjustRightInd w:val="0"/>
        <w:spacing w:before="260" w:after="260"/>
        <w:ind w:right="-482"/>
        <w:jc w:val="center"/>
        <w:rPr>
          <w:rFonts w:hint="eastAsia" w:ascii="宋体" w:hAnsi="宋体" w:eastAsia="宋体" w:cs="宋体"/>
          <w:color w:val="auto"/>
          <w:kern w:val="1"/>
          <w:sz w:val="30"/>
          <w:szCs w:val="30"/>
          <w:highlight w:val="none"/>
        </w:rPr>
      </w:pPr>
      <w:r>
        <w:rPr>
          <w:rFonts w:hint="eastAsia" w:ascii="宋体" w:hAnsi="宋体" w:eastAsia="宋体" w:cs="宋体"/>
          <w:color w:val="auto"/>
          <w:kern w:val="1"/>
          <w:sz w:val="30"/>
          <w:szCs w:val="30"/>
          <w:highlight w:val="none"/>
        </w:rPr>
        <w:t>目 录</w:t>
      </w:r>
    </w:p>
    <w:p w14:paraId="63E10583">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rPr>
      </w:pPr>
    </w:p>
    <w:p w14:paraId="5F1FCE84">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一、投标函；</w:t>
      </w:r>
    </w:p>
    <w:p w14:paraId="44FF78A8">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二、投标报价一览表；</w:t>
      </w:r>
    </w:p>
    <w:p w14:paraId="26A222BD">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三、</w:t>
      </w:r>
      <w:r>
        <w:rPr>
          <w:rStyle w:val="24"/>
          <w:rFonts w:hint="eastAsia" w:ascii="宋体" w:hAnsi="宋体" w:eastAsia="宋体" w:cs="宋体"/>
          <w:color w:val="auto"/>
          <w:sz w:val="24"/>
          <w:szCs w:val="24"/>
          <w:highlight w:val="none"/>
        </w:rPr>
        <w:t>分项报价明细表</w:t>
      </w:r>
      <w:r>
        <w:rPr>
          <w:rFonts w:hint="eastAsia" w:ascii="宋体" w:hAnsi="宋体" w:eastAsia="宋体" w:cs="宋体"/>
          <w:color w:val="auto"/>
          <w:kern w:val="1"/>
          <w:sz w:val="24"/>
          <w:szCs w:val="24"/>
          <w:highlight w:val="none"/>
        </w:rPr>
        <w:t>；</w:t>
      </w:r>
    </w:p>
    <w:p w14:paraId="290B02AF">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四、法定代表人身份证明；</w:t>
      </w:r>
    </w:p>
    <w:p w14:paraId="297AEF56">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五、法定代表人授权委托书；</w:t>
      </w:r>
    </w:p>
    <w:p w14:paraId="1A0D2DA3">
      <w:pPr>
        <w:pStyle w:val="28"/>
        <w:spacing w:line="440" w:lineRule="exact"/>
        <w:ind w:firstLine="480" w:firstLineChars="200"/>
        <w:jc w:val="both"/>
        <w:rPr>
          <w:rStyle w:val="24"/>
          <w:rFonts w:hint="eastAsia" w:ascii="宋体" w:hAnsi="宋体" w:eastAsia="宋体" w:cs="宋体"/>
          <w:color w:val="C00000"/>
          <w:sz w:val="24"/>
          <w:szCs w:val="24"/>
          <w:highlight w:val="none"/>
        </w:rPr>
      </w:pPr>
      <w:r>
        <w:rPr>
          <w:rStyle w:val="24"/>
          <w:rFonts w:hint="eastAsia" w:ascii="宋体" w:hAnsi="宋体" w:eastAsia="宋体" w:cs="宋体"/>
          <w:color w:val="auto"/>
          <w:sz w:val="24"/>
          <w:szCs w:val="24"/>
          <w:highlight w:val="none"/>
        </w:rPr>
        <w:t>六、投标保证金；</w:t>
      </w:r>
    </w:p>
    <w:p w14:paraId="76D19B71">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cs="宋体"/>
          <w:color w:val="auto"/>
          <w:sz w:val="24"/>
          <w:szCs w:val="24"/>
          <w:highlight w:val="none"/>
          <w:lang w:val="en-US" w:eastAsia="zh-CN"/>
        </w:rPr>
        <w:t>七</w:t>
      </w:r>
      <w:r>
        <w:rPr>
          <w:rStyle w:val="24"/>
          <w:rFonts w:hint="eastAsia" w:ascii="宋体" w:hAnsi="宋体" w:eastAsia="宋体" w:cs="宋体"/>
          <w:color w:val="auto"/>
          <w:sz w:val="24"/>
          <w:szCs w:val="24"/>
          <w:highlight w:val="none"/>
        </w:rPr>
        <w:t>、投标人基本情况表；</w:t>
      </w:r>
    </w:p>
    <w:p w14:paraId="360DB65E">
      <w:pPr>
        <w:widowControl/>
        <w:autoSpaceDE w:val="0"/>
        <w:autoSpaceDN w:val="0"/>
        <w:adjustRightInd w:val="0"/>
        <w:spacing w:line="440" w:lineRule="exact"/>
        <w:ind w:right="-482" w:firstLine="480" w:firstLineChars="200"/>
        <w:rPr>
          <w:rStyle w:val="24"/>
          <w:rFonts w:hint="eastAsia" w:ascii="宋体" w:hAnsi="宋体" w:eastAsia="宋体" w:cs="宋体"/>
          <w:color w:val="auto"/>
          <w:sz w:val="24"/>
          <w:szCs w:val="24"/>
          <w:highlight w:val="none"/>
          <w:lang w:eastAsia="zh-CN"/>
        </w:rPr>
      </w:pPr>
      <w:r>
        <w:rPr>
          <w:rStyle w:val="24"/>
          <w:rFonts w:hint="eastAsia" w:ascii="宋体" w:hAnsi="宋体" w:cs="宋体"/>
          <w:color w:val="auto"/>
          <w:sz w:val="24"/>
          <w:szCs w:val="24"/>
          <w:highlight w:val="none"/>
          <w:lang w:val="en-US" w:eastAsia="zh-CN"/>
        </w:rPr>
        <w:t>八</w:t>
      </w:r>
      <w:r>
        <w:rPr>
          <w:rStyle w:val="24"/>
          <w:rFonts w:hint="eastAsia" w:ascii="宋体" w:hAnsi="宋体" w:eastAsia="宋体" w:cs="宋体"/>
          <w:color w:val="auto"/>
          <w:sz w:val="24"/>
          <w:szCs w:val="24"/>
          <w:highlight w:val="none"/>
        </w:rPr>
        <w:t>、企业财务状况</w:t>
      </w:r>
      <w:r>
        <w:rPr>
          <w:rStyle w:val="24"/>
          <w:rFonts w:hint="eastAsia" w:ascii="宋体" w:hAnsi="宋体" w:cs="宋体"/>
          <w:color w:val="auto"/>
          <w:sz w:val="24"/>
          <w:szCs w:val="24"/>
          <w:highlight w:val="none"/>
          <w:lang w:eastAsia="zh-CN"/>
        </w:rPr>
        <w:t>；</w:t>
      </w:r>
    </w:p>
    <w:p w14:paraId="30161074">
      <w:pPr>
        <w:widowControl/>
        <w:autoSpaceDE w:val="0"/>
        <w:autoSpaceDN w:val="0"/>
        <w:adjustRightInd w:val="0"/>
        <w:spacing w:line="440" w:lineRule="exact"/>
        <w:ind w:right="-482" w:firstLine="480" w:firstLineChars="200"/>
        <w:rPr>
          <w:rStyle w:val="24"/>
          <w:rFonts w:hint="eastAsia" w:ascii="宋体" w:hAnsi="宋体" w:eastAsia="宋体" w:cs="宋体"/>
          <w:color w:val="auto"/>
          <w:sz w:val="24"/>
          <w:szCs w:val="24"/>
          <w:highlight w:val="none"/>
          <w:lang w:eastAsia="zh-CN"/>
        </w:rPr>
      </w:pPr>
      <w:r>
        <w:rPr>
          <w:rStyle w:val="24"/>
          <w:rFonts w:hint="eastAsia" w:ascii="宋体" w:hAnsi="宋体" w:cs="宋体"/>
          <w:color w:val="auto"/>
          <w:sz w:val="24"/>
          <w:szCs w:val="24"/>
          <w:highlight w:val="none"/>
          <w:lang w:val="en-US" w:eastAsia="zh-CN"/>
        </w:rPr>
        <w:t>九</w:t>
      </w:r>
      <w:r>
        <w:rPr>
          <w:rStyle w:val="24"/>
          <w:rFonts w:hint="eastAsia" w:ascii="宋体" w:hAnsi="宋体" w:eastAsia="宋体" w:cs="宋体"/>
          <w:color w:val="auto"/>
          <w:sz w:val="24"/>
          <w:szCs w:val="24"/>
          <w:highlight w:val="none"/>
        </w:rPr>
        <w:t>、近年业绩；</w:t>
      </w:r>
    </w:p>
    <w:p w14:paraId="53D02512">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十、在经营活动中没有重大违法记录的书面声明；</w:t>
      </w:r>
    </w:p>
    <w:p w14:paraId="5D27C5C4">
      <w:pPr>
        <w:widowControl/>
        <w:autoSpaceDE w:val="0"/>
        <w:autoSpaceDN w:val="0"/>
        <w:adjustRightInd w:val="0"/>
        <w:spacing w:line="440" w:lineRule="exact"/>
        <w:ind w:right="-482"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十</w:t>
      </w:r>
      <w:r>
        <w:rPr>
          <w:rStyle w:val="24"/>
          <w:rFonts w:hint="eastAsia" w:ascii="宋体" w:hAnsi="宋体" w:cs="宋体"/>
          <w:color w:val="auto"/>
          <w:sz w:val="24"/>
          <w:szCs w:val="24"/>
          <w:highlight w:val="none"/>
          <w:lang w:val="en-US" w:eastAsia="zh-CN"/>
        </w:rPr>
        <w:t>一</w:t>
      </w:r>
      <w:r>
        <w:rPr>
          <w:rStyle w:val="24"/>
          <w:rFonts w:hint="eastAsia" w:ascii="宋体" w:hAnsi="宋体" w:eastAsia="宋体" w:cs="宋体"/>
          <w:color w:val="auto"/>
          <w:sz w:val="24"/>
          <w:szCs w:val="24"/>
          <w:highlight w:val="none"/>
        </w:rPr>
        <w:t>、政府采购诚信承诺书；</w:t>
      </w:r>
    </w:p>
    <w:p w14:paraId="3A6835AD">
      <w:pPr>
        <w:widowControl/>
        <w:autoSpaceDE w:val="0"/>
        <w:autoSpaceDN w:val="0"/>
        <w:adjustRightInd w:val="0"/>
        <w:spacing w:line="440" w:lineRule="exact"/>
        <w:ind w:right="-482" w:firstLine="480" w:firstLineChars="200"/>
        <w:rPr>
          <w:rStyle w:val="24"/>
          <w:rFonts w:hint="eastAsia" w:ascii="宋体" w:hAnsi="宋体" w:eastAsia="宋体" w:cs="宋体"/>
          <w:color w:val="auto"/>
          <w:sz w:val="24"/>
          <w:szCs w:val="24"/>
          <w:highlight w:val="none"/>
          <w:lang w:eastAsia="zh-CN"/>
        </w:rPr>
      </w:pPr>
      <w:r>
        <w:rPr>
          <w:rStyle w:val="24"/>
          <w:rFonts w:hint="eastAsia" w:ascii="宋体" w:hAnsi="宋体" w:eastAsia="宋体" w:cs="宋体"/>
          <w:color w:val="auto"/>
          <w:sz w:val="24"/>
          <w:szCs w:val="24"/>
          <w:highlight w:val="none"/>
        </w:rPr>
        <w:t>十</w:t>
      </w:r>
      <w:r>
        <w:rPr>
          <w:rStyle w:val="24"/>
          <w:rFonts w:hint="eastAsia" w:ascii="宋体" w:hAnsi="宋体" w:cs="宋体"/>
          <w:color w:val="auto"/>
          <w:sz w:val="24"/>
          <w:szCs w:val="24"/>
          <w:highlight w:val="none"/>
          <w:lang w:val="en-US" w:eastAsia="zh-CN"/>
        </w:rPr>
        <w:t>二</w:t>
      </w:r>
      <w:r>
        <w:rPr>
          <w:rStyle w:val="24"/>
          <w:rFonts w:hint="eastAsia" w:ascii="宋体" w:hAnsi="宋体" w:eastAsia="宋体" w:cs="宋体"/>
          <w:color w:val="auto"/>
          <w:sz w:val="24"/>
          <w:szCs w:val="24"/>
          <w:highlight w:val="none"/>
        </w:rPr>
        <w:t>、其他资料</w:t>
      </w:r>
      <w:r>
        <w:rPr>
          <w:rStyle w:val="24"/>
          <w:rFonts w:hint="eastAsia" w:ascii="宋体" w:hAnsi="宋体" w:eastAsia="宋体" w:cs="宋体"/>
          <w:color w:val="auto"/>
          <w:sz w:val="24"/>
          <w:szCs w:val="24"/>
          <w:highlight w:val="none"/>
          <w:lang w:eastAsia="zh-CN"/>
        </w:rPr>
        <w:t>。</w:t>
      </w:r>
    </w:p>
    <w:p w14:paraId="0B43FA35">
      <w:pPr>
        <w:widowControl/>
        <w:autoSpaceDE w:val="0"/>
        <w:autoSpaceDN w:val="0"/>
        <w:adjustRightInd w:val="0"/>
        <w:spacing w:line="440" w:lineRule="exact"/>
        <w:ind w:right="-482" w:firstLine="470"/>
        <w:jc w:val="left"/>
        <w:rPr>
          <w:rFonts w:hint="eastAsia" w:ascii="宋体" w:hAnsi="宋体" w:eastAsia="宋体" w:cs="宋体"/>
          <w:color w:val="auto"/>
          <w:kern w:val="1"/>
          <w:sz w:val="24"/>
          <w:szCs w:val="24"/>
          <w:highlight w:val="none"/>
        </w:rPr>
      </w:pPr>
    </w:p>
    <w:p w14:paraId="6434ECC2">
      <w:pPr>
        <w:widowControl/>
        <w:autoSpaceDE w:val="0"/>
        <w:autoSpaceDN w:val="0"/>
        <w:adjustRightInd w:val="0"/>
        <w:spacing w:line="440" w:lineRule="exact"/>
        <w:ind w:right="-481"/>
        <w:jc w:val="left"/>
        <w:rPr>
          <w:rFonts w:hint="eastAsia" w:ascii="宋体" w:hAnsi="宋体" w:eastAsia="宋体" w:cs="宋体"/>
          <w:color w:val="auto"/>
          <w:kern w:val="1"/>
          <w:sz w:val="24"/>
          <w:szCs w:val="24"/>
          <w:highlight w:val="none"/>
        </w:rPr>
      </w:pPr>
    </w:p>
    <w:p w14:paraId="3A66D8E8">
      <w:pPr>
        <w:widowControl/>
        <w:autoSpaceDE w:val="0"/>
        <w:autoSpaceDN w:val="0"/>
        <w:adjustRightInd w:val="0"/>
        <w:spacing w:line="440" w:lineRule="exact"/>
        <w:ind w:right="-481"/>
        <w:jc w:val="center"/>
        <w:rPr>
          <w:rFonts w:hint="eastAsia" w:ascii="宋体" w:hAnsi="宋体" w:eastAsia="宋体" w:cs="宋体"/>
          <w:color w:val="auto"/>
          <w:kern w:val="1"/>
          <w:sz w:val="32"/>
          <w:szCs w:val="32"/>
          <w:highlight w:val="none"/>
        </w:rPr>
      </w:pPr>
    </w:p>
    <w:p w14:paraId="7DCB57DD">
      <w:pPr>
        <w:widowControl/>
        <w:autoSpaceDE w:val="0"/>
        <w:autoSpaceDN w:val="0"/>
        <w:adjustRightInd w:val="0"/>
        <w:spacing w:line="440" w:lineRule="exact"/>
        <w:ind w:right="-481"/>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highlight w:val="none"/>
        </w:rPr>
        <w:br w:type="page"/>
      </w:r>
      <w:r>
        <w:rPr>
          <w:rFonts w:hint="eastAsia" w:ascii="宋体" w:hAnsi="宋体" w:eastAsia="宋体" w:cs="宋体"/>
          <w:color w:val="auto"/>
          <w:kern w:val="1"/>
          <w:sz w:val="28"/>
          <w:szCs w:val="28"/>
          <w:highlight w:val="none"/>
        </w:rPr>
        <w:t>一、投标函</w:t>
      </w:r>
    </w:p>
    <w:p w14:paraId="17B5F70B">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u w:val="single"/>
        </w:rPr>
      </w:pPr>
    </w:p>
    <w:p w14:paraId="59DAFA2D">
      <w:pPr>
        <w:widowControl/>
        <w:autoSpaceDE w:val="0"/>
        <w:autoSpaceDN w:val="0"/>
        <w:adjustRightInd w:val="0"/>
        <w:spacing w:line="44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u w:val="single"/>
        </w:rPr>
        <w:t>（采购人）</w:t>
      </w:r>
      <w:r>
        <w:rPr>
          <w:rStyle w:val="24"/>
          <w:rFonts w:hint="eastAsia" w:ascii="宋体" w:hAnsi="宋体" w:eastAsia="宋体" w:cs="宋体"/>
          <w:color w:val="auto"/>
          <w:sz w:val="24"/>
          <w:szCs w:val="24"/>
          <w:highlight w:val="none"/>
        </w:rPr>
        <w:t>：</w:t>
      </w:r>
    </w:p>
    <w:p w14:paraId="4FD89B04">
      <w:pPr>
        <w:widowControl/>
        <w:autoSpaceDE w:val="0"/>
        <w:autoSpaceDN w:val="0"/>
        <w:adjustRightInd w:val="0"/>
        <w:spacing w:line="440" w:lineRule="exact"/>
        <w:rPr>
          <w:rFonts w:hint="eastAsia" w:ascii="宋体" w:hAnsi="宋体" w:eastAsia="宋体" w:cs="宋体"/>
          <w:color w:val="auto"/>
          <w:kern w:val="1"/>
          <w:sz w:val="24"/>
          <w:szCs w:val="24"/>
          <w:highlight w:val="none"/>
        </w:rPr>
      </w:pPr>
    </w:p>
    <w:p w14:paraId="5E18B1FD">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u w:val="single"/>
        </w:rPr>
        <w:t>（投标人名称）</w:t>
      </w:r>
      <w:r>
        <w:rPr>
          <w:rStyle w:val="24"/>
          <w:rFonts w:hint="eastAsia" w:ascii="宋体" w:hAnsi="宋体" w:eastAsia="宋体" w:cs="宋体"/>
          <w:color w:val="auto"/>
          <w:sz w:val="24"/>
          <w:szCs w:val="24"/>
          <w:highlight w:val="none"/>
        </w:rPr>
        <w:t>系中华人民共和国合法企业，经营地址</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w:t>
      </w:r>
    </w:p>
    <w:p w14:paraId="3E28D1F0">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我</w:t>
      </w:r>
      <w:r>
        <w:rPr>
          <w:rFonts w:hint="eastAsia" w:ascii="宋体" w:hAnsi="宋体" w:eastAsia="宋体" w:cs="宋体"/>
          <w:color w:val="auto"/>
          <w:kern w:val="1"/>
          <w:sz w:val="24"/>
          <w:szCs w:val="24"/>
          <w:highlight w:val="none"/>
          <w:u w:val="single"/>
        </w:rPr>
        <w:t>（姓名）</w:t>
      </w:r>
      <w:r>
        <w:rPr>
          <w:rStyle w:val="24"/>
          <w:rFonts w:hint="eastAsia" w:ascii="宋体" w:hAnsi="宋体" w:eastAsia="宋体" w:cs="宋体"/>
          <w:color w:val="auto"/>
          <w:sz w:val="24"/>
          <w:szCs w:val="24"/>
          <w:highlight w:val="none"/>
        </w:rPr>
        <w:t>系</w:t>
      </w:r>
      <w:r>
        <w:rPr>
          <w:rFonts w:hint="eastAsia" w:ascii="宋体" w:hAnsi="宋体" w:eastAsia="宋体" w:cs="宋体"/>
          <w:color w:val="auto"/>
          <w:kern w:val="1"/>
          <w:sz w:val="24"/>
          <w:szCs w:val="24"/>
          <w:highlight w:val="none"/>
          <w:u w:val="single"/>
        </w:rPr>
        <w:t>（投标人名称）</w:t>
      </w:r>
      <w:r>
        <w:rPr>
          <w:rStyle w:val="24"/>
          <w:rFonts w:hint="eastAsia" w:ascii="宋体" w:hAnsi="宋体" w:eastAsia="宋体" w:cs="宋体"/>
          <w:color w:val="auto"/>
          <w:sz w:val="24"/>
          <w:szCs w:val="24"/>
          <w:highlight w:val="none"/>
        </w:rPr>
        <w:t>的法定代表人，我方愿意参加贵方组织的</w:t>
      </w:r>
      <w:r>
        <w:rPr>
          <w:rFonts w:hint="eastAsia" w:ascii="宋体" w:hAnsi="宋体" w:eastAsia="宋体" w:cs="宋体"/>
          <w:color w:val="auto"/>
          <w:kern w:val="1"/>
          <w:sz w:val="24"/>
          <w:szCs w:val="24"/>
          <w:highlight w:val="none"/>
          <w:u w:val="single"/>
        </w:rPr>
        <w:t>（招标项目名称）（编号为              ）</w:t>
      </w:r>
      <w:r>
        <w:rPr>
          <w:rStyle w:val="24"/>
          <w:rFonts w:hint="eastAsia" w:ascii="宋体" w:hAnsi="宋体" w:eastAsia="宋体" w:cs="宋体"/>
          <w:color w:val="auto"/>
          <w:sz w:val="24"/>
          <w:szCs w:val="24"/>
          <w:highlight w:val="none"/>
        </w:rPr>
        <w:t>的投标，为此，我方就本次投标有关事项郑重声明如下：</w:t>
      </w:r>
    </w:p>
    <w:p w14:paraId="06EACA56">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1、我方已详细审查全部招标文件，同意招标文件的各项要求。</w:t>
      </w:r>
    </w:p>
    <w:p w14:paraId="32AD2CF8">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2、我方向贵方提交的所有投标文件、资料都是准确的和真实的。</w:t>
      </w:r>
    </w:p>
    <w:p w14:paraId="1F0EA0A6">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3、若中标，我方将按照招标文件规定履行合同责任和义务。</w:t>
      </w:r>
    </w:p>
    <w:p w14:paraId="3753E452">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4、我方不是采购人的附属机构；在获知本项目采购信息后，与采购人聘请的为此项目提供咨询服务的公司以及其附属机构没有任何联系。</w:t>
      </w:r>
    </w:p>
    <w:p w14:paraId="56E0E1CA">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5、投标文件自开标日起有效期为</w:t>
      </w:r>
      <w:r>
        <w:rPr>
          <w:rFonts w:hint="eastAsia" w:ascii="宋体" w:hAnsi="宋体" w:cs="宋体"/>
          <w:color w:val="auto"/>
          <w:kern w:val="1"/>
          <w:sz w:val="24"/>
          <w:szCs w:val="24"/>
          <w:highlight w:val="none"/>
          <w:u w:val="single"/>
          <w:lang w:val="en-US" w:eastAsia="zh-CN"/>
        </w:rPr>
        <w:t>6</w:t>
      </w:r>
      <w:r>
        <w:rPr>
          <w:rFonts w:hint="eastAsia" w:ascii="宋体" w:hAnsi="宋体" w:eastAsia="宋体" w:cs="宋体"/>
          <w:color w:val="auto"/>
          <w:kern w:val="1"/>
          <w:sz w:val="24"/>
          <w:szCs w:val="24"/>
          <w:highlight w:val="none"/>
          <w:u w:val="single"/>
        </w:rPr>
        <w:t>0</w:t>
      </w:r>
      <w:r>
        <w:rPr>
          <w:rStyle w:val="24"/>
          <w:rFonts w:hint="eastAsia" w:ascii="宋体" w:hAnsi="宋体" w:eastAsia="宋体" w:cs="宋体"/>
          <w:color w:val="auto"/>
          <w:sz w:val="24"/>
          <w:szCs w:val="24"/>
          <w:highlight w:val="none"/>
        </w:rPr>
        <w:t>日历日。</w:t>
      </w:r>
    </w:p>
    <w:p w14:paraId="3E552636">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6.以上事项如有虚假或者隐瞒，我方愿意承担一切后果。</w:t>
      </w:r>
    </w:p>
    <w:p w14:paraId="569B64BB">
      <w:pPr>
        <w:widowControl/>
        <w:tabs>
          <w:tab w:val="left" w:pos="939"/>
        </w:tabs>
        <w:autoSpaceDE w:val="0"/>
        <w:autoSpaceDN w:val="0"/>
        <w:adjustRightInd w:val="0"/>
        <w:spacing w:line="440" w:lineRule="exact"/>
        <w:ind w:left="773" w:right="-481" w:hanging="458"/>
        <w:rPr>
          <w:rFonts w:hint="eastAsia" w:ascii="宋体" w:hAnsi="宋体" w:eastAsia="宋体" w:cs="宋体"/>
          <w:color w:val="auto"/>
          <w:kern w:val="1"/>
          <w:sz w:val="24"/>
          <w:szCs w:val="24"/>
          <w:highlight w:val="none"/>
        </w:rPr>
      </w:pPr>
    </w:p>
    <w:p w14:paraId="220ECE9F">
      <w:pPr>
        <w:widowControl/>
        <w:tabs>
          <w:tab w:val="left" w:pos="939"/>
        </w:tabs>
        <w:autoSpaceDE w:val="0"/>
        <w:autoSpaceDN w:val="0"/>
        <w:adjustRightInd w:val="0"/>
        <w:spacing w:line="440" w:lineRule="exact"/>
        <w:ind w:left="773" w:right="-481" w:hanging="458"/>
        <w:rPr>
          <w:rFonts w:hint="eastAsia" w:ascii="宋体" w:hAnsi="宋体" w:eastAsia="宋体" w:cs="宋体"/>
          <w:color w:val="auto"/>
          <w:kern w:val="1"/>
          <w:sz w:val="24"/>
          <w:szCs w:val="24"/>
          <w:highlight w:val="none"/>
        </w:rPr>
      </w:pPr>
    </w:p>
    <w:p w14:paraId="3182D2AB">
      <w:pPr>
        <w:widowControl/>
        <w:tabs>
          <w:tab w:val="left" w:pos="939"/>
        </w:tabs>
        <w:autoSpaceDE w:val="0"/>
        <w:autoSpaceDN w:val="0"/>
        <w:adjustRightInd w:val="0"/>
        <w:spacing w:line="440" w:lineRule="exact"/>
        <w:ind w:left="773" w:right="-481" w:hanging="458"/>
        <w:rPr>
          <w:rFonts w:hint="eastAsia" w:ascii="宋体" w:hAnsi="宋体" w:eastAsia="宋体" w:cs="宋体"/>
          <w:color w:val="auto"/>
          <w:kern w:val="1"/>
          <w:sz w:val="24"/>
          <w:szCs w:val="24"/>
          <w:highlight w:val="none"/>
        </w:rPr>
      </w:pPr>
    </w:p>
    <w:p w14:paraId="2421A5C3">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6CCBC59D">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3699F200">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836DA29">
      <w:pPr>
        <w:spacing w:before="100" w:beforeAutospacing="1" w:after="100" w:afterAutospacing="1" w:line="440" w:lineRule="exact"/>
        <w:jc w:val="center"/>
        <w:rPr>
          <w:rFonts w:hint="eastAsia" w:ascii="宋体" w:hAnsi="宋体" w:eastAsia="宋体" w:cs="宋体"/>
          <w:color w:val="auto"/>
          <w:kern w:val="1"/>
          <w:sz w:val="24"/>
          <w:szCs w:val="24"/>
          <w:highlight w:val="none"/>
          <w:u w:val="single"/>
        </w:rPr>
      </w:pPr>
      <w:r>
        <w:rPr>
          <w:rFonts w:hint="eastAsia" w:ascii="宋体" w:hAnsi="宋体" w:eastAsia="宋体" w:cs="宋体"/>
          <w:color w:val="auto"/>
          <w:kern w:val="1"/>
          <w:sz w:val="24"/>
          <w:szCs w:val="24"/>
          <w:highlight w:val="none"/>
          <w:u w:val="single"/>
        </w:rPr>
        <w:br w:type="page"/>
      </w:r>
      <w:r>
        <w:rPr>
          <w:rFonts w:hint="eastAsia" w:ascii="宋体" w:hAnsi="宋体" w:eastAsia="宋体" w:cs="宋体"/>
          <w:color w:val="auto"/>
          <w:kern w:val="1"/>
          <w:sz w:val="28"/>
          <w:szCs w:val="28"/>
          <w:highlight w:val="none"/>
        </w:rPr>
        <w:t>二、投标报价一览表</w:t>
      </w:r>
    </w:p>
    <w:tbl>
      <w:tblPr>
        <w:tblStyle w:val="1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1724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632BD4C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600" w:type="dxa"/>
            <w:noWrap w:val="0"/>
            <w:vAlign w:val="center"/>
          </w:tcPr>
          <w:p w14:paraId="4E67EBA3">
            <w:pPr>
              <w:spacing w:line="440" w:lineRule="exact"/>
              <w:jc w:val="center"/>
              <w:rPr>
                <w:rFonts w:hint="eastAsia" w:ascii="宋体" w:hAnsi="宋体" w:eastAsia="宋体" w:cs="宋体"/>
                <w:color w:val="auto"/>
                <w:sz w:val="24"/>
                <w:szCs w:val="24"/>
                <w:highlight w:val="none"/>
              </w:rPr>
            </w:pPr>
          </w:p>
        </w:tc>
      </w:tr>
      <w:tr w14:paraId="6C4F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730DF2F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600" w:type="dxa"/>
            <w:noWrap w:val="0"/>
            <w:vAlign w:val="top"/>
          </w:tcPr>
          <w:p w14:paraId="536BEB43">
            <w:pPr>
              <w:spacing w:line="440" w:lineRule="exact"/>
              <w:jc w:val="center"/>
              <w:rPr>
                <w:rFonts w:hint="eastAsia" w:ascii="宋体" w:hAnsi="宋体" w:eastAsia="宋体" w:cs="宋体"/>
                <w:color w:val="auto"/>
                <w:sz w:val="24"/>
                <w:szCs w:val="24"/>
                <w:highlight w:val="none"/>
              </w:rPr>
            </w:pPr>
          </w:p>
        </w:tc>
      </w:tr>
      <w:tr w14:paraId="159B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3BD7565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600" w:type="dxa"/>
            <w:noWrap w:val="0"/>
            <w:vAlign w:val="top"/>
          </w:tcPr>
          <w:p w14:paraId="669142D2">
            <w:pPr>
              <w:spacing w:line="440" w:lineRule="exact"/>
              <w:jc w:val="center"/>
              <w:rPr>
                <w:rFonts w:hint="eastAsia" w:ascii="宋体" w:hAnsi="宋体" w:eastAsia="宋体" w:cs="宋体"/>
                <w:color w:val="auto"/>
                <w:sz w:val="24"/>
                <w:szCs w:val="24"/>
                <w:highlight w:val="none"/>
              </w:rPr>
            </w:pPr>
          </w:p>
        </w:tc>
      </w:tr>
      <w:tr w14:paraId="3EBA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14:paraId="53B62839">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rPr>
              <w:t>期</w:t>
            </w:r>
          </w:p>
        </w:tc>
        <w:tc>
          <w:tcPr>
            <w:tcW w:w="7600" w:type="dxa"/>
            <w:noWrap w:val="0"/>
            <w:vAlign w:val="center"/>
          </w:tcPr>
          <w:p w14:paraId="2C1F2915">
            <w:pPr>
              <w:spacing w:line="440" w:lineRule="exact"/>
              <w:rPr>
                <w:rFonts w:hint="eastAsia" w:ascii="宋体" w:hAnsi="宋体" w:eastAsia="宋体" w:cs="宋体"/>
                <w:color w:val="auto"/>
                <w:sz w:val="24"/>
                <w:szCs w:val="24"/>
                <w:highlight w:val="none"/>
                <w:u w:val="single"/>
              </w:rPr>
            </w:pPr>
          </w:p>
        </w:tc>
      </w:tr>
      <w:tr w14:paraId="01FB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900" w:type="dxa"/>
            <w:noWrap w:val="0"/>
            <w:vAlign w:val="center"/>
          </w:tcPr>
          <w:p w14:paraId="76C91694">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eastAsia="zh-CN"/>
              </w:rPr>
              <w:t>地点</w:t>
            </w:r>
          </w:p>
        </w:tc>
        <w:tc>
          <w:tcPr>
            <w:tcW w:w="7600" w:type="dxa"/>
            <w:noWrap w:val="0"/>
            <w:vAlign w:val="center"/>
          </w:tcPr>
          <w:p w14:paraId="12A941AC">
            <w:pPr>
              <w:spacing w:line="440" w:lineRule="exact"/>
              <w:rPr>
                <w:rFonts w:hint="eastAsia" w:ascii="宋体" w:hAnsi="宋体" w:eastAsia="宋体" w:cs="宋体"/>
                <w:color w:val="auto"/>
                <w:sz w:val="24"/>
                <w:szCs w:val="24"/>
                <w:highlight w:val="none"/>
                <w:u w:val="single"/>
              </w:rPr>
            </w:pPr>
          </w:p>
        </w:tc>
      </w:tr>
      <w:tr w14:paraId="0008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04F08D60">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质量</w:t>
            </w:r>
            <w:r>
              <w:rPr>
                <w:rFonts w:hint="eastAsia" w:ascii="宋体" w:hAnsi="宋体" w:cs="宋体"/>
                <w:color w:val="auto"/>
                <w:sz w:val="24"/>
                <w:szCs w:val="24"/>
                <w:highlight w:val="none"/>
                <w:lang w:val="en-US" w:eastAsia="zh-CN"/>
              </w:rPr>
              <w:t>要求</w:t>
            </w:r>
          </w:p>
        </w:tc>
        <w:tc>
          <w:tcPr>
            <w:tcW w:w="7600" w:type="dxa"/>
            <w:noWrap w:val="0"/>
            <w:vAlign w:val="center"/>
          </w:tcPr>
          <w:p w14:paraId="65C0D262">
            <w:pPr>
              <w:spacing w:line="440" w:lineRule="exact"/>
              <w:rPr>
                <w:rFonts w:hint="eastAsia" w:ascii="宋体" w:hAnsi="宋体" w:eastAsia="宋体" w:cs="宋体"/>
                <w:color w:val="auto"/>
                <w:sz w:val="24"/>
                <w:szCs w:val="24"/>
                <w:highlight w:val="none"/>
              </w:rPr>
            </w:pPr>
          </w:p>
        </w:tc>
      </w:tr>
      <w:tr w14:paraId="6116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900" w:type="dxa"/>
            <w:noWrap w:val="0"/>
            <w:vAlign w:val="center"/>
          </w:tcPr>
          <w:p w14:paraId="23B5D97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7600" w:type="dxa"/>
            <w:noWrap w:val="0"/>
            <w:vAlign w:val="center"/>
          </w:tcPr>
          <w:p w14:paraId="7C971A2C">
            <w:pPr>
              <w:spacing w:line="440" w:lineRule="exact"/>
              <w:rPr>
                <w:rFonts w:hint="eastAsia" w:ascii="宋体" w:hAnsi="宋体" w:eastAsia="宋体" w:cs="宋体"/>
                <w:b/>
                <w:bCs/>
                <w:color w:val="auto"/>
                <w:sz w:val="24"/>
                <w:szCs w:val="24"/>
                <w:highlight w:val="none"/>
                <w:u w:val="single"/>
              </w:rPr>
            </w:pPr>
          </w:p>
        </w:tc>
      </w:tr>
      <w:tr w14:paraId="1ABC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353CCC1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600" w:type="dxa"/>
            <w:noWrap w:val="0"/>
            <w:vAlign w:val="center"/>
          </w:tcPr>
          <w:p w14:paraId="516F499B">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0B596440">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p w14:paraId="39A68347">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（注：该报价含货物采购、运输、调试及税费）</w:t>
            </w:r>
          </w:p>
        </w:tc>
      </w:tr>
      <w:tr w14:paraId="1D90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119C020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00" w:type="dxa"/>
            <w:noWrap w:val="0"/>
            <w:vAlign w:val="top"/>
          </w:tcPr>
          <w:p w14:paraId="4ACCE02B">
            <w:pPr>
              <w:spacing w:line="440" w:lineRule="exact"/>
              <w:jc w:val="center"/>
              <w:rPr>
                <w:rFonts w:hint="eastAsia" w:ascii="宋体" w:hAnsi="宋体" w:eastAsia="宋体" w:cs="宋体"/>
                <w:color w:val="auto"/>
                <w:sz w:val="24"/>
                <w:szCs w:val="24"/>
                <w:highlight w:val="none"/>
              </w:rPr>
            </w:pPr>
          </w:p>
        </w:tc>
      </w:tr>
    </w:tbl>
    <w:p w14:paraId="45633F19">
      <w:pPr>
        <w:spacing w:line="360" w:lineRule="auto"/>
        <w:rPr>
          <w:rFonts w:hint="eastAsia" w:ascii="宋体" w:hAnsi="宋体" w:eastAsia="宋体" w:cs="宋体"/>
          <w:color w:val="auto"/>
          <w:sz w:val="24"/>
          <w:szCs w:val="24"/>
          <w:highlight w:val="none"/>
        </w:rPr>
      </w:pPr>
    </w:p>
    <w:p w14:paraId="75565352">
      <w:pPr>
        <w:spacing w:line="360" w:lineRule="auto"/>
        <w:rPr>
          <w:rFonts w:hint="eastAsia" w:ascii="宋体" w:hAnsi="宋体" w:eastAsia="宋体" w:cs="宋体"/>
          <w:color w:val="auto"/>
          <w:sz w:val="24"/>
          <w:szCs w:val="24"/>
          <w:highlight w:val="none"/>
        </w:rPr>
      </w:pPr>
    </w:p>
    <w:p w14:paraId="4731A94C">
      <w:pPr>
        <w:spacing w:line="360" w:lineRule="auto"/>
        <w:rPr>
          <w:rFonts w:hint="eastAsia" w:ascii="宋体" w:hAnsi="宋体" w:eastAsia="宋体" w:cs="宋体"/>
          <w:color w:val="auto"/>
          <w:sz w:val="24"/>
          <w:szCs w:val="24"/>
          <w:highlight w:val="none"/>
        </w:rPr>
      </w:pPr>
    </w:p>
    <w:p w14:paraId="2DEC9EEC">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3442B4B9">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50F258CF">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A32F79F">
      <w:pPr>
        <w:numPr>
          <w:ilvl w:val="0"/>
          <w:numId w:val="6"/>
        </w:numPr>
        <w:spacing w:before="100" w:beforeAutospacing="1" w:after="100" w:afterAutospacing="1" w:line="440" w:lineRule="exact"/>
        <w:jc w:val="center"/>
        <w:rPr>
          <w:rFonts w:hint="eastAsia" w:ascii="宋体" w:hAnsi="宋体" w:eastAsia="宋体" w:cs="宋体"/>
          <w:color w:val="auto"/>
          <w:kern w:val="1"/>
          <w:sz w:val="24"/>
          <w:szCs w:val="24"/>
          <w:highlight w:val="none"/>
          <w:u w:val="single"/>
        </w:rPr>
      </w:pPr>
      <w:r>
        <w:rPr>
          <w:rFonts w:hint="eastAsia" w:ascii="宋体" w:hAnsi="宋体" w:eastAsia="宋体" w:cs="宋体"/>
          <w:color w:val="auto"/>
          <w:kern w:val="1"/>
          <w:sz w:val="24"/>
          <w:szCs w:val="24"/>
          <w:highlight w:val="none"/>
          <w:u w:val="single"/>
        </w:rPr>
        <w:br w:type="page"/>
      </w:r>
    </w:p>
    <w:p w14:paraId="6D0AF6F1">
      <w:pPr>
        <w:pStyle w:val="28"/>
        <w:numPr>
          <w:ilvl w:val="0"/>
          <w:numId w:val="7"/>
        </w:numPr>
        <w:spacing w:afterLines="100" w:line="44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分项报价明细表</w:t>
      </w:r>
    </w:p>
    <w:p w14:paraId="0D203579">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highlight w:val="none"/>
          <w:lang w:val="zh-CN"/>
        </w:rPr>
      </w:pPr>
    </w:p>
    <w:p w14:paraId="4D847AE5">
      <w:pPr>
        <w:widowControl/>
        <w:autoSpaceDE w:val="0"/>
        <w:autoSpaceDN w:val="0"/>
        <w:adjustRightInd w:val="0"/>
        <w:spacing w:before="120" w:after="120" w:line="440" w:lineRule="exact"/>
        <w:ind w:right="-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kern w:val="1"/>
          <w:sz w:val="24"/>
          <w:szCs w:val="24"/>
          <w:highlight w:val="none"/>
          <w:lang w:val="en-US" w:eastAsia="zh-CN"/>
        </w:rPr>
        <w:t>按照采购需求表</w:t>
      </w:r>
      <w:r>
        <w:rPr>
          <w:rFonts w:hint="eastAsia" w:ascii="宋体" w:hAnsi="宋体" w:eastAsia="宋体" w:cs="宋体"/>
          <w:color w:val="auto"/>
          <w:kern w:val="1"/>
          <w:sz w:val="24"/>
          <w:szCs w:val="24"/>
          <w:highlight w:val="none"/>
        </w:rPr>
        <w:t>填</w:t>
      </w:r>
      <w:r>
        <w:rPr>
          <w:rFonts w:hint="eastAsia" w:ascii="宋体" w:hAnsi="宋体" w:eastAsia="宋体" w:cs="宋体"/>
          <w:color w:val="auto"/>
          <w:kern w:val="1"/>
          <w:sz w:val="24"/>
          <w:szCs w:val="24"/>
          <w:highlight w:val="none"/>
          <w:lang w:val="en-US" w:eastAsia="zh-CN"/>
        </w:rPr>
        <w:t>报相应单价、合价</w:t>
      </w:r>
      <w:r>
        <w:rPr>
          <w:rFonts w:hint="eastAsia" w:ascii="宋体" w:hAnsi="宋体" w:eastAsia="宋体" w:cs="宋体"/>
          <w:color w:val="auto"/>
          <w:sz w:val="24"/>
          <w:szCs w:val="24"/>
          <w:highlight w:val="none"/>
        </w:rPr>
        <w:t>）</w:t>
      </w:r>
    </w:p>
    <w:p w14:paraId="791FB291">
      <w:pPr>
        <w:pStyle w:val="6"/>
        <w:ind w:left="0"/>
        <w:rPr>
          <w:color w:val="auto"/>
          <w:sz w:val="20"/>
          <w:highlight w:val="none"/>
        </w:rPr>
      </w:pPr>
    </w:p>
    <w:p w14:paraId="19D3A9E7">
      <w:pPr>
        <w:pStyle w:val="6"/>
        <w:spacing w:before="1"/>
        <w:ind w:left="0"/>
        <w:rPr>
          <w:color w:val="auto"/>
          <w:sz w:val="14"/>
          <w:highlight w:val="none"/>
        </w:rPr>
      </w:pPr>
    </w:p>
    <w:tbl>
      <w:tblPr>
        <w:tblStyle w:val="18"/>
        <w:tblpPr w:leftFromText="180" w:rightFromText="180" w:vertAnchor="text" w:horzAnchor="page" w:tblpX="1346" w:tblpY="36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875"/>
        <w:gridCol w:w="785"/>
        <w:gridCol w:w="738"/>
        <w:gridCol w:w="727"/>
        <w:gridCol w:w="970"/>
        <w:gridCol w:w="1338"/>
        <w:gridCol w:w="1299"/>
        <w:gridCol w:w="614"/>
      </w:tblGrid>
      <w:tr w14:paraId="34DD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568" w:type="dxa"/>
            <w:noWrap w:val="0"/>
            <w:vAlign w:val="center"/>
          </w:tcPr>
          <w:p w14:paraId="0FF3BE2F">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75" w:type="dxa"/>
            <w:noWrap w:val="0"/>
            <w:vAlign w:val="center"/>
          </w:tcPr>
          <w:p w14:paraId="427C5338">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785" w:type="dxa"/>
            <w:noWrap w:val="0"/>
            <w:vAlign w:val="center"/>
          </w:tcPr>
          <w:p w14:paraId="73F2B1B9">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38" w:type="dxa"/>
            <w:noWrap w:val="0"/>
            <w:vAlign w:val="center"/>
          </w:tcPr>
          <w:p w14:paraId="3E54659F">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27" w:type="dxa"/>
            <w:noWrap w:val="0"/>
            <w:vAlign w:val="center"/>
          </w:tcPr>
          <w:p w14:paraId="6B0E1B9D">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970" w:type="dxa"/>
            <w:noWrap w:val="0"/>
            <w:vAlign w:val="center"/>
          </w:tcPr>
          <w:p w14:paraId="78C8BD6D">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338" w:type="dxa"/>
            <w:noWrap w:val="0"/>
            <w:vAlign w:val="center"/>
          </w:tcPr>
          <w:p w14:paraId="6396C979">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299" w:type="dxa"/>
            <w:noWrap w:val="0"/>
            <w:vAlign w:val="center"/>
          </w:tcPr>
          <w:p w14:paraId="16EAC08D">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小计（元）</w:t>
            </w:r>
          </w:p>
        </w:tc>
        <w:tc>
          <w:tcPr>
            <w:tcW w:w="614" w:type="dxa"/>
            <w:noWrap w:val="0"/>
            <w:vAlign w:val="center"/>
          </w:tcPr>
          <w:p w14:paraId="29DC9AE9">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77E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568" w:type="dxa"/>
            <w:noWrap w:val="0"/>
            <w:vAlign w:val="center"/>
          </w:tcPr>
          <w:p w14:paraId="1F8A82FC">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1</w:t>
            </w:r>
          </w:p>
        </w:tc>
        <w:tc>
          <w:tcPr>
            <w:tcW w:w="1875" w:type="dxa"/>
            <w:noWrap w:val="0"/>
            <w:vAlign w:val="center"/>
          </w:tcPr>
          <w:p w14:paraId="00E8FCB7">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85" w:type="dxa"/>
            <w:noWrap w:val="0"/>
            <w:vAlign w:val="center"/>
          </w:tcPr>
          <w:p w14:paraId="719D365E">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38" w:type="dxa"/>
            <w:noWrap w:val="0"/>
            <w:vAlign w:val="center"/>
          </w:tcPr>
          <w:p w14:paraId="55B750FA">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27" w:type="dxa"/>
            <w:noWrap w:val="0"/>
            <w:vAlign w:val="center"/>
          </w:tcPr>
          <w:p w14:paraId="3E70B147">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970" w:type="dxa"/>
            <w:noWrap w:val="0"/>
            <w:vAlign w:val="center"/>
          </w:tcPr>
          <w:p w14:paraId="7189D6FE">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1338" w:type="dxa"/>
            <w:noWrap w:val="0"/>
            <w:vAlign w:val="center"/>
          </w:tcPr>
          <w:p w14:paraId="127DBF1C">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1299" w:type="dxa"/>
            <w:noWrap w:val="0"/>
            <w:vAlign w:val="center"/>
          </w:tcPr>
          <w:p w14:paraId="06A7D284">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614" w:type="dxa"/>
            <w:noWrap w:val="0"/>
            <w:vAlign w:val="center"/>
          </w:tcPr>
          <w:p w14:paraId="5E9E1299">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r>
      <w:tr w14:paraId="46659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2" w:hRule="atLeast"/>
        </w:trPr>
        <w:tc>
          <w:tcPr>
            <w:tcW w:w="568" w:type="dxa"/>
            <w:noWrap w:val="0"/>
            <w:vAlign w:val="center"/>
          </w:tcPr>
          <w:p w14:paraId="44CC7B37">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43FD0C1F">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5716B5E4">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13E369F6">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470D2301">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p w14:paraId="2CCCF4A1">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75" w:type="dxa"/>
            <w:noWrap w:val="0"/>
            <w:vAlign w:val="center"/>
          </w:tcPr>
          <w:p w14:paraId="186ABB81">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85" w:type="dxa"/>
            <w:noWrap w:val="0"/>
            <w:vAlign w:val="center"/>
          </w:tcPr>
          <w:p w14:paraId="104B166D">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38" w:type="dxa"/>
            <w:noWrap w:val="0"/>
            <w:vAlign w:val="center"/>
          </w:tcPr>
          <w:p w14:paraId="7136B334">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727" w:type="dxa"/>
            <w:noWrap w:val="0"/>
            <w:vAlign w:val="center"/>
          </w:tcPr>
          <w:p w14:paraId="03B9E73F">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970" w:type="dxa"/>
            <w:noWrap w:val="0"/>
            <w:vAlign w:val="center"/>
          </w:tcPr>
          <w:p w14:paraId="5CA74D93">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1338" w:type="dxa"/>
            <w:noWrap w:val="0"/>
            <w:vAlign w:val="center"/>
          </w:tcPr>
          <w:p w14:paraId="7997CE0C">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1299" w:type="dxa"/>
            <w:noWrap w:val="0"/>
            <w:vAlign w:val="center"/>
          </w:tcPr>
          <w:p w14:paraId="2258F761">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c>
          <w:tcPr>
            <w:tcW w:w="614" w:type="dxa"/>
            <w:noWrap w:val="0"/>
            <w:vAlign w:val="center"/>
          </w:tcPr>
          <w:p w14:paraId="287663CB">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p>
        </w:tc>
      </w:tr>
      <w:tr w14:paraId="66B04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3228" w:type="dxa"/>
            <w:gridSpan w:val="3"/>
            <w:noWrap w:val="0"/>
            <w:vAlign w:val="center"/>
          </w:tcPr>
          <w:p w14:paraId="37DEAAC6">
            <w:pPr>
              <w:pStyle w:val="23"/>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5686" w:type="dxa"/>
            <w:gridSpan w:val="6"/>
            <w:noWrap w:val="0"/>
            <w:vAlign w:val="center"/>
          </w:tcPr>
          <w:p w14:paraId="2A73C737">
            <w:pPr>
              <w:pStyle w:val="23"/>
              <w:keepNext w:val="0"/>
              <w:keepLines w:val="0"/>
              <w:pageBreakBefore w:val="0"/>
              <w:widowControl w:val="0"/>
              <w:kinsoku/>
              <w:wordWrap/>
              <w:overflowPunct/>
              <w:topLinePunct w:val="0"/>
              <w:autoSpaceDE/>
              <w:autoSpaceDN/>
              <w:bidi w:val="0"/>
              <w:adjustRightInd/>
              <w:snapToGrid/>
              <w:spacing w:line="283"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 小写：</w:t>
            </w:r>
          </w:p>
        </w:tc>
      </w:tr>
    </w:tbl>
    <w:p w14:paraId="4571736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注：上述报价含货物、运输、调试、培训、税费等一切费用。</w:t>
      </w:r>
    </w:p>
    <w:p w14:paraId="28457D73">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highlight w:val="none"/>
          <w:lang w:val="zh-CN"/>
        </w:rPr>
      </w:pPr>
    </w:p>
    <w:p w14:paraId="6DFD62C0">
      <w:pPr>
        <w:pStyle w:val="28"/>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highlight w:val="none"/>
          <w:lang w:val="zh-CN"/>
        </w:rPr>
      </w:pPr>
    </w:p>
    <w:p w14:paraId="24C8C993">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4BF59577">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17037747">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A233B05">
      <w:pPr>
        <w:spacing w:before="100" w:beforeAutospacing="1" w:after="100" w:afterAutospacing="1" w:line="440" w:lineRule="exact"/>
        <w:jc w:val="center"/>
        <w:rPr>
          <w:rFonts w:hint="eastAsia" w:ascii="宋体" w:hAnsi="宋体" w:eastAsia="宋体" w:cs="宋体"/>
          <w:color w:val="auto"/>
          <w:sz w:val="28"/>
          <w:szCs w:val="20"/>
          <w:highlight w:val="none"/>
          <w:lang w:val="zh-CN"/>
        </w:rPr>
      </w:pPr>
      <w:r>
        <w:rPr>
          <w:rFonts w:hint="eastAsia" w:ascii="宋体" w:hAnsi="宋体" w:eastAsia="宋体" w:cs="宋体"/>
          <w:color w:val="auto"/>
          <w:kern w:val="1"/>
          <w:sz w:val="24"/>
          <w:szCs w:val="24"/>
          <w:highlight w:val="none"/>
          <w:u w:val="single"/>
        </w:rPr>
        <w:br w:type="page"/>
      </w:r>
      <w:r>
        <w:rPr>
          <w:rFonts w:hint="eastAsia" w:ascii="宋体" w:hAnsi="宋体" w:cs="宋体"/>
          <w:color w:val="auto"/>
          <w:sz w:val="28"/>
          <w:szCs w:val="20"/>
          <w:highlight w:val="none"/>
          <w:lang w:val="en-US" w:eastAsia="zh-CN"/>
        </w:rPr>
        <w:t>四</w:t>
      </w:r>
      <w:r>
        <w:rPr>
          <w:rFonts w:hint="eastAsia" w:ascii="宋体" w:hAnsi="宋体" w:eastAsia="宋体" w:cs="宋体"/>
          <w:color w:val="auto"/>
          <w:sz w:val="28"/>
          <w:szCs w:val="20"/>
          <w:highlight w:val="none"/>
          <w:lang w:val="zh-CN"/>
        </w:rPr>
        <w:t>、法定代表人身份证明</w:t>
      </w:r>
    </w:p>
    <w:p w14:paraId="3DFA47C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91200D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7D063C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2F2A19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5A0F13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22BE8FF">
      <w:pPr>
        <w:spacing w:line="440" w:lineRule="exact"/>
        <w:rPr>
          <w:rFonts w:hint="eastAsia" w:ascii="宋体" w:hAnsi="宋体" w:eastAsia="宋体" w:cs="宋体"/>
          <w:color w:val="auto"/>
          <w:sz w:val="24"/>
          <w:szCs w:val="24"/>
          <w:highlight w:val="none"/>
        </w:rPr>
      </w:pPr>
    </w:p>
    <w:p w14:paraId="67BF37D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399ED4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（投标人名称）的法定代表人。</w:t>
      </w:r>
    </w:p>
    <w:p w14:paraId="04B566D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CF08AAD">
      <w:pPr>
        <w:spacing w:line="440" w:lineRule="exact"/>
        <w:rPr>
          <w:rFonts w:hint="eastAsia" w:ascii="宋体" w:hAnsi="宋体" w:eastAsia="宋体" w:cs="宋体"/>
          <w:color w:val="auto"/>
          <w:sz w:val="24"/>
          <w:szCs w:val="24"/>
          <w:highlight w:val="none"/>
        </w:rPr>
      </w:pPr>
    </w:p>
    <w:p w14:paraId="73F0ADE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3FC3F353">
      <w:pPr>
        <w:pStyle w:val="6"/>
        <w:spacing w:before="7"/>
        <w:ind w:left="0"/>
        <w:rPr>
          <w:color w:val="auto"/>
          <w:sz w:val="35"/>
          <w:highlight w:val="none"/>
        </w:rPr>
      </w:pPr>
    </w:p>
    <w:p w14:paraId="0CCF893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4D805D93">
      <w:pPr>
        <w:spacing w:before="0" w:line="424" w:lineRule="auto"/>
        <w:ind w:left="920" w:right="2505" w:hanging="420"/>
        <w:jc w:val="left"/>
        <w:rPr>
          <w:rFonts w:hint="eastAsia" w:ascii="宋体" w:eastAsia="宋体"/>
          <w:b/>
          <w:color w:val="auto"/>
          <w:sz w:val="21"/>
          <w:highlight w:val="none"/>
        </w:rPr>
      </w:pPr>
    </w:p>
    <w:p w14:paraId="268C834B">
      <w:pPr>
        <w:widowControl/>
        <w:autoSpaceDE w:val="0"/>
        <w:autoSpaceDN w:val="0"/>
        <w:adjustRightInd w:val="0"/>
        <w:spacing w:line="440" w:lineRule="exact"/>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1506B1D8">
      <w:pPr>
        <w:spacing w:before="0" w:line="424" w:lineRule="auto"/>
        <w:ind w:left="920" w:right="2505" w:hanging="420"/>
        <w:jc w:val="left"/>
        <w:rPr>
          <w:rFonts w:hint="eastAsia" w:ascii="宋体" w:eastAsia="宋体"/>
          <w:b/>
          <w:color w:val="auto"/>
          <w:sz w:val="21"/>
          <w:highlight w:val="none"/>
        </w:rPr>
      </w:pPr>
    </w:p>
    <w:p w14:paraId="74AE702E">
      <w:pPr>
        <w:spacing w:before="0" w:line="424" w:lineRule="auto"/>
        <w:ind w:left="920" w:right="2505" w:hanging="420"/>
        <w:jc w:val="left"/>
        <w:rPr>
          <w:rFonts w:hint="eastAsia" w:ascii="宋体" w:eastAsia="宋体"/>
          <w:b/>
          <w:color w:val="auto"/>
          <w:sz w:val="21"/>
          <w:highlight w:val="none"/>
        </w:rPr>
      </w:pPr>
    </w:p>
    <w:p w14:paraId="3B0871A4">
      <w:pPr>
        <w:keepNext w:val="0"/>
        <w:keepLines w:val="0"/>
        <w:pageBreakBefore w:val="0"/>
        <w:widowControl w:val="0"/>
        <w:tabs>
          <w:tab w:val="left" w:pos="7560"/>
          <w:tab w:val="left" w:pos="8180"/>
        </w:tabs>
        <w:kinsoku/>
        <w:wordWrap/>
        <w:overflowPunct/>
        <w:topLinePunct w:val="0"/>
        <w:autoSpaceDE/>
        <w:autoSpaceDN/>
        <w:bidi w:val="0"/>
        <w:adjustRightInd/>
        <w:snapToGrid/>
        <w:spacing w:before="0" w:line="425" w:lineRule="auto"/>
        <w:ind w:left="0" w:right="0" w:firstLine="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注：1、法定代表人参加本次投标的应签署本文件并附本人身份证复印件；</w:t>
      </w:r>
    </w:p>
    <w:p w14:paraId="0B5C2328">
      <w:pPr>
        <w:keepNext w:val="0"/>
        <w:keepLines w:val="0"/>
        <w:pageBreakBefore w:val="0"/>
        <w:widowControl w:val="0"/>
        <w:kinsoku/>
        <w:wordWrap/>
        <w:overflowPunct/>
        <w:topLinePunct w:val="0"/>
        <w:autoSpaceDE/>
        <w:autoSpaceDN/>
        <w:bidi w:val="0"/>
        <w:adjustRightInd/>
        <w:snapToGrid/>
        <w:spacing w:before="0" w:line="425" w:lineRule="auto"/>
        <w:ind w:left="0" w:right="0" w:firstLine="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 xml:space="preserve"> </w:t>
      </w:r>
      <w:r>
        <w:rPr>
          <w:rFonts w:hint="eastAsia" w:ascii="宋体" w:hAnsi="宋体" w:eastAsia="宋体" w:cs="宋体"/>
          <w:b/>
          <w:bCs w:val="0"/>
          <w:color w:val="auto"/>
          <w:highlight w:val="none"/>
        </w:rPr>
        <w:t xml:space="preserve"> 2、如法定代表人不参加本次投标，应签署《法定代表人授权委托书》。</w:t>
      </w:r>
    </w:p>
    <w:p w14:paraId="6DACD26D">
      <w:pPr>
        <w:pStyle w:val="3"/>
        <w:rPr>
          <w:rFonts w:hint="eastAsia"/>
          <w:color w:val="auto"/>
          <w:highlight w:val="none"/>
        </w:rPr>
      </w:pPr>
    </w:p>
    <w:p w14:paraId="2629F424">
      <w:pPr>
        <w:spacing w:line="440" w:lineRule="exact"/>
        <w:rPr>
          <w:rFonts w:hint="eastAsia" w:ascii="宋体" w:hAnsi="宋体" w:eastAsia="宋体" w:cs="宋体"/>
          <w:color w:val="auto"/>
          <w:sz w:val="24"/>
          <w:szCs w:val="24"/>
          <w:highlight w:val="none"/>
        </w:rPr>
      </w:pPr>
    </w:p>
    <w:p w14:paraId="5BDBC7FD">
      <w:pPr>
        <w:spacing w:line="440" w:lineRule="exact"/>
        <w:rPr>
          <w:rFonts w:hint="eastAsia" w:ascii="宋体" w:hAnsi="宋体" w:eastAsia="宋体" w:cs="宋体"/>
          <w:color w:val="auto"/>
          <w:sz w:val="24"/>
          <w:szCs w:val="24"/>
          <w:highlight w:val="none"/>
        </w:rPr>
      </w:pPr>
    </w:p>
    <w:p w14:paraId="5CFE26E5">
      <w:pPr>
        <w:spacing w:line="440" w:lineRule="exact"/>
        <w:rPr>
          <w:rFonts w:hint="eastAsia" w:ascii="宋体" w:hAnsi="宋体" w:eastAsia="宋体" w:cs="宋体"/>
          <w:color w:val="auto"/>
          <w:sz w:val="24"/>
          <w:szCs w:val="24"/>
          <w:highlight w:val="none"/>
        </w:rPr>
      </w:pPr>
    </w:p>
    <w:p w14:paraId="7BF149C5">
      <w:pP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0FF5E0AA">
      <w:pPr>
        <w:widowControl/>
        <w:autoSpaceDE w:val="0"/>
        <w:autoSpaceDN w:val="0"/>
        <w:adjustRightInd w:val="0"/>
        <w:spacing w:line="440" w:lineRule="exact"/>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五</w:t>
      </w:r>
      <w:r>
        <w:rPr>
          <w:rFonts w:hint="eastAsia" w:ascii="宋体" w:hAnsi="宋体" w:eastAsia="宋体" w:cs="宋体"/>
          <w:color w:val="auto"/>
          <w:kern w:val="1"/>
          <w:sz w:val="24"/>
          <w:szCs w:val="24"/>
          <w:highlight w:val="none"/>
        </w:rPr>
        <w:t>、</w:t>
      </w:r>
      <w:r>
        <w:rPr>
          <w:rFonts w:hint="eastAsia" w:ascii="宋体" w:hAnsi="宋体" w:eastAsia="宋体" w:cs="宋体"/>
          <w:color w:val="auto"/>
          <w:kern w:val="1"/>
          <w:sz w:val="28"/>
          <w:szCs w:val="28"/>
          <w:highlight w:val="none"/>
        </w:rPr>
        <w:t>法定代表人授权委托书</w:t>
      </w:r>
    </w:p>
    <w:p w14:paraId="79415476">
      <w:pPr>
        <w:widowControl/>
        <w:autoSpaceDE w:val="0"/>
        <w:autoSpaceDN w:val="0"/>
        <w:adjustRightInd w:val="0"/>
        <w:spacing w:line="440" w:lineRule="exact"/>
        <w:rPr>
          <w:rFonts w:hint="eastAsia" w:ascii="宋体" w:hAnsi="宋体" w:eastAsia="宋体" w:cs="宋体"/>
          <w:color w:val="auto"/>
          <w:kern w:val="1"/>
          <w:sz w:val="24"/>
          <w:szCs w:val="24"/>
          <w:highlight w:val="none"/>
        </w:rPr>
      </w:pPr>
    </w:p>
    <w:p w14:paraId="5A76E6AE">
      <w:pPr>
        <w:widowControl/>
        <w:autoSpaceDE w:val="0"/>
        <w:autoSpaceDN w:val="0"/>
        <w:adjustRightInd w:val="0"/>
        <w:spacing w:line="44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u w:val="single"/>
        </w:rPr>
        <w:t xml:space="preserve">   （采购人）  </w:t>
      </w:r>
      <w:r>
        <w:rPr>
          <w:rStyle w:val="24"/>
          <w:rFonts w:hint="eastAsia" w:ascii="宋体" w:hAnsi="宋体" w:eastAsia="宋体" w:cs="宋体"/>
          <w:color w:val="auto"/>
          <w:sz w:val="24"/>
          <w:szCs w:val="24"/>
          <w:highlight w:val="none"/>
        </w:rPr>
        <w:t>：</w:t>
      </w:r>
    </w:p>
    <w:p w14:paraId="26AB87AB">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我</w:t>
      </w:r>
      <w:r>
        <w:rPr>
          <w:rFonts w:hint="eastAsia" w:ascii="宋体" w:hAnsi="宋体" w:eastAsia="宋体" w:cs="宋体"/>
          <w:color w:val="auto"/>
          <w:kern w:val="1"/>
          <w:sz w:val="24"/>
          <w:szCs w:val="24"/>
          <w:highlight w:val="none"/>
          <w:u w:val="single"/>
        </w:rPr>
        <w:t xml:space="preserve">   （姓名） </w:t>
      </w:r>
      <w:r>
        <w:rPr>
          <w:rStyle w:val="24"/>
          <w:rFonts w:hint="eastAsia" w:ascii="宋体" w:hAnsi="宋体" w:eastAsia="宋体" w:cs="宋体"/>
          <w:color w:val="auto"/>
          <w:sz w:val="24"/>
          <w:szCs w:val="24"/>
          <w:highlight w:val="none"/>
        </w:rPr>
        <w:t>系</w:t>
      </w:r>
      <w:r>
        <w:rPr>
          <w:rFonts w:hint="eastAsia" w:ascii="宋体" w:hAnsi="宋体" w:eastAsia="宋体" w:cs="宋体"/>
          <w:color w:val="auto"/>
          <w:kern w:val="1"/>
          <w:sz w:val="24"/>
          <w:szCs w:val="24"/>
          <w:highlight w:val="none"/>
          <w:u w:val="single"/>
        </w:rPr>
        <w:t xml:space="preserve">    （投标人名称）</w:t>
      </w:r>
      <w:r>
        <w:rPr>
          <w:rStyle w:val="24"/>
          <w:rFonts w:hint="eastAsia" w:ascii="宋体" w:hAnsi="宋体" w:eastAsia="宋体" w:cs="宋体"/>
          <w:color w:val="auto"/>
          <w:sz w:val="24"/>
          <w:szCs w:val="24"/>
          <w:highlight w:val="none"/>
        </w:rPr>
        <w:t>法定代表人，现授权委托我公司的</w:t>
      </w:r>
      <w:r>
        <w:rPr>
          <w:rFonts w:hint="eastAsia" w:ascii="宋体" w:hAnsi="宋体" w:eastAsia="宋体" w:cs="宋体"/>
          <w:color w:val="auto"/>
          <w:kern w:val="1"/>
          <w:sz w:val="24"/>
          <w:szCs w:val="24"/>
          <w:highlight w:val="none"/>
          <w:u w:val="single"/>
        </w:rPr>
        <w:t xml:space="preserve">  （姓名、职务或者职称）</w:t>
      </w:r>
      <w:r>
        <w:rPr>
          <w:rStyle w:val="24"/>
          <w:rFonts w:hint="eastAsia" w:ascii="宋体" w:hAnsi="宋体" w:eastAsia="宋体" w:cs="宋体"/>
          <w:color w:val="auto"/>
          <w:sz w:val="24"/>
          <w:szCs w:val="24"/>
          <w:highlight w:val="none"/>
        </w:rPr>
        <w:t>为我公司本次</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项目的授权代表，代表我方办理本次投标、签约等相关事宜，签署全部有关的文件、协议、合同并具有法律效力。</w:t>
      </w:r>
    </w:p>
    <w:p w14:paraId="7B3FA2AB">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在我方未发出撤销授权委托书的书面通知以前，本授权委托书一直有效。被授权人签署的所有文件（在授权书有效期内签署的）不因授权撤销而失效。</w:t>
      </w:r>
    </w:p>
    <w:p w14:paraId="6F3DC5B6">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被授权代表无权转让委托权。特此授权。</w:t>
      </w:r>
    </w:p>
    <w:p w14:paraId="4C0327DD">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本授权委托书于</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年</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月</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日签字生效,特此声明。</w:t>
      </w:r>
    </w:p>
    <w:p w14:paraId="3A5736CA">
      <w:pPr>
        <w:widowControl/>
        <w:autoSpaceDE w:val="0"/>
        <w:autoSpaceDN w:val="0"/>
        <w:adjustRightInd w:val="0"/>
        <w:spacing w:line="440" w:lineRule="exact"/>
        <w:rPr>
          <w:rFonts w:hint="eastAsia" w:ascii="宋体" w:hAnsi="宋体" w:eastAsia="宋体" w:cs="宋体"/>
          <w:color w:val="auto"/>
          <w:kern w:val="1"/>
          <w:sz w:val="24"/>
          <w:szCs w:val="24"/>
          <w:highlight w:val="none"/>
        </w:rPr>
      </w:pPr>
    </w:p>
    <w:p w14:paraId="2B11C363">
      <w:pPr>
        <w:widowControl/>
        <w:autoSpaceDE w:val="0"/>
        <w:autoSpaceDN w:val="0"/>
        <w:adjustRightInd w:val="0"/>
        <w:spacing w:line="440" w:lineRule="exact"/>
        <w:ind w:right="-481"/>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(附法人代表身份证以及被授权代表身份证复印件)</w:t>
      </w:r>
    </w:p>
    <w:p w14:paraId="18560665">
      <w:pPr>
        <w:widowControl/>
        <w:autoSpaceDE w:val="0"/>
        <w:autoSpaceDN w:val="0"/>
        <w:adjustRightInd w:val="0"/>
        <w:spacing w:line="440" w:lineRule="exact"/>
        <w:ind w:right="-481"/>
        <w:jc w:val="center"/>
        <w:rPr>
          <w:rFonts w:hint="eastAsia" w:ascii="宋体" w:hAnsi="宋体" w:eastAsia="宋体" w:cs="宋体"/>
          <w:color w:val="auto"/>
          <w:kern w:val="1"/>
          <w:sz w:val="24"/>
          <w:szCs w:val="24"/>
          <w:highlight w:val="none"/>
        </w:rPr>
      </w:pPr>
    </w:p>
    <w:p w14:paraId="71B992EE">
      <w:pPr>
        <w:widowControl/>
        <w:autoSpaceDE w:val="0"/>
        <w:autoSpaceDN w:val="0"/>
        <w:adjustRightInd w:val="0"/>
        <w:spacing w:line="440" w:lineRule="exact"/>
        <w:ind w:right="-481"/>
        <w:jc w:val="center"/>
        <w:rPr>
          <w:rFonts w:hint="eastAsia" w:ascii="宋体" w:hAnsi="宋体" w:eastAsia="宋体" w:cs="宋体"/>
          <w:color w:val="auto"/>
          <w:kern w:val="1"/>
          <w:sz w:val="24"/>
          <w:szCs w:val="24"/>
          <w:highlight w:val="none"/>
        </w:rPr>
      </w:pPr>
    </w:p>
    <w:p w14:paraId="354D6EEB">
      <w:pPr>
        <w:widowControl/>
        <w:autoSpaceDE w:val="0"/>
        <w:autoSpaceDN w:val="0"/>
        <w:adjustRightInd w:val="0"/>
        <w:spacing w:line="440" w:lineRule="exact"/>
        <w:ind w:right="-481"/>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被授权代表姓名：             性 别：              年 龄：</w:t>
      </w:r>
    </w:p>
    <w:p w14:paraId="604676C4">
      <w:pPr>
        <w:widowControl/>
        <w:autoSpaceDE w:val="0"/>
        <w:autoSpaceDN w:val="0"/>
        <w:adjustRightInd w:val="0"/>
        <w:spacing w:line="440" w:lineRule="exact"/>
        <w:ind w:right="-481"/>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单  位：                     部 门：              职 务：</w:t>
      </w:r>
    </w:p>
    <w:p w14:paraId="2EC1948B">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rPr>
      </w:pPr>
    </w:p>
    <w:p w14:paraId="33D8157C">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615723CC">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4BB28E64">
      <w:pPr>
        <w:spacing w:before="100" w:beforeAutospacing="1" w:after="100" w:afterAutospacing="1" w:line="44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42B25BC">
      <w:pPr>
        <w:spacing w:before="100" w:beforeAutospacing="1" w:after="100" w:afterAutospacing="1" w:line="440" w:lineRule="exact"/>
        <w:ind w:firstLine="4080" w:firstLineChars="1700"/>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br w:type="page"/>
      </w:r>
    </w:p>
    <w:p w14:paraId="7D61B390">
      <w:pPr>
        <w:spacing w:before="100" w:beforeAutospacing="1" w:after="100" w:afterAutospacing="1" w:line="440" w:lineRule="exact"/>
        <w:jc w:val="center"/>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8"/>
          <w:szCs w:val="28"/>
          <w:highlight w:val="none"/>
        </w:rPr>
        <w:t>六、投标保证金</w:t>
      </w:r>
    </w:p>
    <w:p w14:paraId="6B3FC0BE">
      <w:pPr>
        <w:spacing w:before="100" w:beforeAutospacing="1" w:after="100" w:afterAutospacing="1" w:line="440" w:lineRule="exact"/>
        <w:jc w:val="left"/>
        <w:rPr>
          <w:rFonts w:hint="eastAsia" w:ascii="宋体" w:hAnsi="宋体" w:eastAsia="宋体" w:cs="宋体"/>
          <w:color w:val="auto"/>
          <w:kern w:val="1"/>
          <w:sz w:val="24"/>
          <w:szCs w:val="24"/>
          <w:highlight w:val="none"/>
        </w:rPr>
      </w:pPr>
    </w:p>
    <w:p w14:paraId="3AFED83D">
      <w:pPr>
        <w:spacing w:before="100" w:beforeAutospacing="1" w:after="100" w:afterAutospacing="1"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（附</w:t>
      </w:r>
      <w:r>
        <w:rPr>
          <w:rFonts w:hint="eastAsia" w:ascii="宋体" w:hAnsi="宋体" w:eastAsia="宋体" w:cs="宋体"/>
          <w:color w:val="auto"/>
          <w:sz w:val="24"/>
          <w:highlight w:val="none"/>
        </w:rPr>
        <w:t>投标保证金</w:t>
      </w:r>
      <w:r>
        <w:rPr>
          <w:rFonts w:hint="eastAsia" w:ascii="宋体" w:hAnsi="宋体" w:cs="宋体"/>
          <w:color w:val="auto"/>
          <w:sz w:val="24"/>
          <w:highlight w:val="none"/>
          <w:lang w:eastAsia="zh-CN"/>
        </w:rPr>
        <w:t>缴纳</w:t>
      </w:r>
      <w:r>
        <w:rPr>
          <w:rFonts w:hint="eastAsia" w:ascii="宋体" w:hAnsi="宋体" w:eastAsia="宋体" w:cs="宋体"/>
          <w:color w:val="auto"/>
          <w:sz w:val="24"/>
          <w:highlight w:val="none"/>
          <w:lang w:val="en-US" w:eastAsia="zh-CN"/>
        </w:rPr>
        <w:t>凭证</w:t>
      </w:r>
      <w:r>
        <w:rPr>
          <w:rFonts w:hint="eastAsia" w:ascii="宋体" w:hAnsi="宋体" w:eastAsia="宋体" w:cs="宋体"/>
          <w:color w:val="auto"/>
          <w:kern w:val="1"/>
          <w:sz w:val="24"/>
          <w:szCs w:val="24"/>
          <w:highlight w:val="none"/>
        </w:rPr>
        <w:t>）</w:t>
      </w:r>
    </w:p>
    <w:p w14:paraId="003A6C48">
      <w:pPr>
        <w:spacing w:before="100" w:beforeAutospacing="1" w:after="100" w:afterAutospacing="1" w:line="440" w:lineRule="exact"/>
        <w:jc w:val="center"/>
        <w:rPr>
          <w:rFonts w:hint="eastAsia" w:ascii="宋体" w:hAnsi="宋体" w:eastAsia="宋体" w:cs="宋体"/>
          <w:color w:val="auto"/>
          <w:kern w:val="1"/>
          <w:sz w:val="24"/>
          <w:szCs w:val="24"/>
          <w:highlight w:val="none"/>
        </w:rPr>
      </w:pPr>
    </w:p>
    <w:p w14:paraId="6C74CF2F">
      <w:pPr>
        <w:spacing w:before="100" w:beforeAutospacing="1" w:after="100" w:afterAutospacing="1"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br w:type="page"/>
      </w:r>
    </w:p>
    <w:p w14:paraId="57BFB1C7">
      <w:pPr>
        <w:spacing w:afterLines="100" w:line="360" w:lineRule="auto"/>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 xml:space="preserve"> </w:t>
      </w:r>
    </w:p>
    <w:p w14:paraId="7C1A2326">
      <w:pPr>
        <w:spacing w:afterLines="100" w:line="360" w:lineRule="auto"/>
        <w:jc w:val="center"/>
        <w:rPr>
          <w:rFonts w:hint="eastAsia" w:ascii="宋体" w:hAnsi="宋体" w:eastAsia="宋体" w:cs="宋体"/>
          <w:color w:val="auto"/>
          <w:sz w:val="24"/>
          <w:szCs w:val="24"/>
          <w:highlight w:val="none"/>
        </w:rPr>
      </w:pPr>
      <w:r>
        <w:rPr>
          <w:rFonts w:hint="eastAsia" w:ascii="宋体" w:hAnsi="宋体" w:cs="宋体"/>
          <w:color w:val="auto"/>
          <w:kern w:val="1"/>
          <w:sz w:val="28"/>
          <w:szCs w:val="28"/>
          <w:highlight w:val="none"/>
          <w:lang w:val="en-US" w:eastAsia="zh-CN"/>
        </w:rPr>
        <w:t>七</w:t>
      </w:r>
      <w:r>
        <w:rPr>
          <w:rFonts w:hint="eastAsia" w:ascii="宋体" w:hAnsi="宋体" w:eastAsia="宋体" w:cs="宋体"/>
          <w:color w:val="auto"/>
          <w:kern w:val="1"/>
          <w:sz w:val="28"/>
          <w:szCs w:val="28"/>
          <w:highlight w:val="none"/>
        </w:rPr>
        <w:t>、</w:t>
      </w:r>
      <w:r>
        <w:rPr>
          <w:rFonts w:hint="eastAsia" w:ascii="宋体" w:hAnsi="宋体" w:eastAsia="宋体" w:cs="宋体"/>
          <w:color w:val="auto"/>
          <w:sz w:val="28"/>
          <w:szCs w:val="28"/>
          <w:highlight w:val="none"/>
        </w:rPr>
        <w:t>投标人基本情况表（附营业执照等）</w:t>
      </w:r>
    </w:p>
    <w:tbl>
      <w:tblPr>
        <w:tblStyle w:val="1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AE2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68D69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947" w:type="dxa"/>
            <w:gridSpan w:val="6"/>
            <w:noWrap w:val="0"/>
            <w:vAlign w:val="center"/>
          </w:tcPr>
          <w:p w14:paraId="186860D0">
            <w:pPr>
              <w:jc w:val="center"/>
              <w:rPr>
                <w:rFonts w:hint="eastAsia" w:ascii="宋体" w:hAnsi="宋体" w:eastAsia="宋体" w:cs="宋体"/>
                <w:color w:val="auto"/>
                <w:sz w:val="24"/>
                <w:szCs w:val="24"/>
                <w:highlight w:val="none"/>
              </w:rPr>
            </w:pPr>
          </w:p>
        </w:tc>
      </w:tr>
      <w:tr w14:paraId="219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E14D2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894" w:type="dxa"/>
            <w:gridSpan w:val="3"/>
            <w:noWrap w:val="0"/>
            <w:vAlign w:val="center"/>
          </w:tcPr>
          <w:p w14:paraId="1EFBCEB8">
            <w:pPr>
              <w:jc w:val="center"/>
              <w:rPr>
                <w:rFonts w:hint="eastAsia" w:ascii="宋体" w:hAnsi="宋体" w:eastAsia="宋体" w:cs="宋体"/>
                <w:color w:val="auto"/>
                <w:sz w:val="24"/>
                <w:szCs w:val="24"/>
                <w:highlight w:val="none"/>
              </w:rPr>
            </w:pPr>
          </w:p>
        </w:tc>
        <w:tc>
          <w:tcPr>
            <w:tcW w:w="1426" w:type="dxa"/>
            <w:noWrap w:val="0"/>
            <w:vAlign w:val="center"/>
          </w:tcPr>
          <w:p w14:paraId="0FFF85A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627" w:type="dxa"/>
            <w:gridSpan w:val="2"/>
            <w:noWrap w:val="0"/>
            <w:vAlign w:val="center"/>
          </w:tcPr>
          <w:p w14:paraId="21BA9498">
            <w:pPr>
              <w:jc w:val="center"/>
              <w:rPr>
                <w:rFonts w:hint="eastAsia" w:ascii="宋体" w:hAnsi="宋体" w:eastAsia="宋体" w:cs="宋体"/>
                <w:color w:val="auto"/>
                <w:sz w:val="24"/>
                <w:szCs w:val="24"/>
                <w:highlight w:val="none"/>
              </w:rPr>
            </w:pPr>
          </w:p>
        </w:tc>
      </w:tr>
      <w:tr w14:paraId="3A9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32C37E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350" w:type="dxa"/>
            <w:noWrap w:val="0"/>
            <w:vAlign w:val="center"/>
          </w:tcPr>
          <w:p w14:paraId="230C1E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544" w:type="dxa"/>
            <w:gridSpan w:val="2"/>
            <w:noWrap w:val="0"/>
            <w:vAlign w:val="center"/>
          </w:tcPr>
          <w:p w14:paraId="5B610A69">
            <w:pPr>
              <w:jc w:val="center"/>
              <w:rPr>
                <w:rFonts w:hint="eastAsia" w:ascii="宋体" w:hAnsi="宋体" w:eastAsia="宋体" w:cs="宋体"/>
                <w:color w:val="auto"/>
                <w:sz w:val="24"/>
                <w:szCs w:val="24"/>
                <w:highlight w:val="none"/>
              </w:rPr>
            </w:pPr>
          </w:p>
        </w:tc>
        <w:tc>
          <w:tcPr>
            <w:tcW w:w="1426" w:type="dxa"/>
            <w:noWrap w:val="0"/>
            <w:vAlign w:val="center"/>
          </w:tcPr>
          <w:p w14:paraId="246D57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627" w:type="dxa"/>
            <w:gridSpan w:val="2"/>
            <w:noWrap w:val="0"/>
            <w:vAlign w:val="center"/>
          </w:tcPr>
          <w:p w14:paraId="560F4EDA">
            <w:pPr>
              <w:jc w:val="center"/>
              <w:rPr>
                <w:rFonts w:hint="eastAsia" w:ascii="宋体" w:hAnsi="宋体" w:eastAsia="宋体" w:cs="宋体"/>
                <w:color w:val="auto"/>
                <w:sz w:val="24"/>
                <w:szCs w:val="24"/>
                <w:highlight w:val="none"/>
              </w:rPr>
            </w:pPr>
          </w:p>
        </w:tc>
      </w:tr>
      <w:tr w14:paraId="2D32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191609F6">
            <w:pPr>
              <w:jc w:val="center"/>
              <w:rPr>
                <w:rFonts w:hint="eastAsia" w:ascii="宋体" w:hAnsi="宋体" w:eastAsia="宋体" w:cs="宋体"/>
                <w:color w:val="auto"/>
                <w:sz w:val="24"/>
                <w:szCs w:val="24"/>
                <w:highlight w:val="none"/>
              </w:rPr>
            </w:pPr>
          </w:p>
        </w:tc>
        <w:tc>
          <w:tcPr>
            <w:tcW w:w="1350" w:type="dxa"/>
            <w:noWrap w:val="0"/>
            <w:vAlign w:val="center"/>
          </w:tcPr>
          <w:p w14:paraId="67E757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544" w:type="dxa"/>
            <w:gridSpan w:val="2"/>
            <w:noWrap w:val="0"/>
            <w:vAlign w:val="center"/>
          </w:tcPr>
          <w:p w14:paraId="3BDC4036">
            <w:pPr>
              <w:jc w:val="center"/>
              <w:rPr>
                <w:rFonts w:hint="eastAsia" w:ascii="宋体" w:hAnsi="宋体" w:eastAsia="宋体" w:cs="宋体"/>
                <w:color w:val="auto"/>
                <w:sz w:val="24"/>
                <w:szCs w:val="24"/>
                <w:highlight w:val="none"/>
              </w:rPr>
            </w:pPr>
          </w:p>
        </w:tc>
        <w:tc>
          <w:tcPr>
            <w:tcW w:w="1426" w:type="dxa"/>
            <w:noWrap w:val="0"/>
            <w:vAlign w:val="center"/>
          </w:tcPr>
          <w:p w14:paraId="2F7C30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627" w:type="dxa"/>
            <w:gridSpan w:val="2"/>
            <w:noWrap w:val="0"/>
            <w:vAlign w:val="center"/>
          </w:tcPr>
          <w:p w14:paraId="1EE8AF3E">
            <w:pPr>
              <w:jc w:val="center"/>
              <w:rPr>
                <w:rFonts w:hint="eastAsia" w:ascii="宋体" w:hAnsi="宋体" w:eastAsia="宋体" w:cs="宋体"/>
                <w:color w:val="auto"/>
                <w:sz w:val="24"/>
                <w:szCs w:val="24"/>
                <w:highlight w:val="none"/>
              </w:rPr>
            </w:pPr>
          </w:p>
        </w:tc>
      </w:tr>
      <w:tr w14:paraId="6081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7663C9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350" w:type="dxa"/>
            <w:noWrap w:val="0"/>
            <w:vAlign w:val="center"/>
          </w:tcPr>
          <w:p w14:paraId="308A0C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38" w:type="dxa"/>
            <w:noWrap w:val="0"/>
            <w:vAlign w:val="center"/>
          </w:tcPr>
          <w:p w14:paraId="6D268FB6">
            <w:pPr>
              <w:jc w:val="center"/>
              <w:rPr>
                <w:rFonts w:hint="eastAsia" w:ascii="宋体" w:hAnsi="宋体" w:eastAsia="宋体" w:cs="宋体"/>
                <w:color w:val="auto"/>
                <w:sz w:val="24"/>
                <w:szCs w:val="24"/>
                <w:highlight w:val="none"/>
              </w:rPr>
            </w:pPr>
          </w:p>
        </w:tc>
        <w:tc>
          <w:tcPr>
            <w:tcW w:w="1406" w:type="dxa"/>
            <w:noWrap w:val="0"/>
            <w:vAlign w:val="center"/>
          </w:tcPr>
          <w:p w14:paraId="487F38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426" w:type="dxa"/>
            <w:noWrap w:val="0"/>
            <w:vAlign w:val="center"/>
          </w:tcPr>
          <w:p w14:paraId="4CE7C099">
            <w:pPr>
              <w:jc w:val="center"/>
              <w:rPr>
                <w:rFonts w:hint="eastAsia" w:ascii="宋体" w:hAnsi="宋体" w:eastAsia="宋体" w:cs="宋体"/>
                <w:color w:val="auto"/>
                <w:sz w:val="24"/>
                <w:szCs w:val="24"/>
                <w:highlight w:val="none"/>
              </w:rPr>
            </w:pPr>
          </w:p>
        </w:tc>
        <w:tc>
          <w:tcPr>
            <w:tcW w:w="1059" w:type="dxa"/>
            <w:noWrap w:val="0"/>
            <w:vAlign w:val="center"/>
          </w:tcPr>
          <w:p w14:paraId="7FA4C9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568" w:type="dxa"/>
            <w:noWrap w:val="0"/>
            <w:vAlign w:val="center"/>
          </w:tcPr>
          <w:p w14:paraId="26575F30">
            <w:pPr>
              <w:jc w:val="center"/>
              <w:rPr>
                <w:rFonts w:hint="eastAsia" w:ascii="宋体" w:hAnsi="宋体" w:eastAsia="宋体" w:cs="宋体"/>
                <w:color w:val="auto"/>
                <w:sz w:val="24"/>
                <w:szCs w:val="24"/>
                <w:highlight w:val="none"/>
              </w:rPr>
            </w:pPr>
          </w:p>
        </w:tc>
      </w:tr>
      <w:tr w14:paraId="2DB5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4F1E9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7947" w:type="dxa"/>
            <w:gridSpan w:val="6"/>
            <w:noWrap w:val="0"/>
            <w:vAlign w:val="center"/>
          </w:tcPr>
          <w:p w14:paraId="380CC263">
            <w:pPr>
              <w:jc w:val="center"/>
              <w:rPr>
                <w:rFonts w:hint="eastAsia" w:ascii="宋体" w:hAnsi="宋体" w:eastAsia="宋体" w:cs="宋体"/>
                <w:color w:val="auto"/>
                <w:sz w:val="24"/>
                <w:szCs w:val="24"/>
                <w:highlight w:val="none"/>
              </w:rPr>
            </w:pPr>
          </w:p>
        </w:tc>
      </w:tr>
      <w:tr w14:paraId="37C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A40919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488" w:type="dxa"/>
            <w:gridSpan w:val="2"/>
            <w:noWrap w:val="0"/>
            <w:vAlign w:val="center"/>
          </w:tcPr>
          <w:p w14:paraId="34E81751">
            <w:pPr>
              <w:jc w:val="center"/>
              <w:rPr>
                <w:rFonts w:hint="eastAsia" w:ascii="宋体" w:hAnsi="宋体" w:eastAsia="宋体" w:cs="宋体"/>
                <w:color w:val="auto"/>
                <w:sz w:val="24"/>
                <w:szCs w:val="24"/>
                <w:highlight w:val="none"/>
              </w:rPr>
            </w:pPr>
          </w:p>
        </w:tc>
        <w:tc>
          <w:tcPr>
            <w:tcW w:w="1406" w:type="dxa"/>
            <w:vMerge w:val="restart"/>
            <w:noWrap w:val="0"/>
            <w:vAlign w:val="center"/>
          </w:tcPr>
          <w:p w14:paraId="1FE3D8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企业人员</w:t>
            </w:r>
          </w:p>
        </w:tc>
        <w:tc>
          <w:tcPr>
            <w:tcW w:w="1426" w:type="dxa"/>
            <w:noWrap w:val="0"/>
            <w:vAlign w:val="center"/>
          </w:tcPr>
          <w:p w14:paraId="7205D13E">
            <w:pPr>
              <w:jc w:val="center"/>
              <w:rPr>
                <w:rFonts w:hint="eastAsia" w:ascii="宋体" w:hAnsi="宋体" w:eastAsia="宋体" w:cs="宋体"/>
                <w:color w:val="auto"/>
                <w:sz w:val="24"/>
                <w:szCs w:val="24"/>
                <w:highlight w:val="none"/>
              </w:rPr>
            </w:pPr>
          </w:p>
        </w:tc>
        <w:tc>
          <w:tcPr>
            <w:tcW w:w="2627" w:type="dxa"/>
            <w:gridSpan w:val="2"/>
            <w:noWrap w:val="0"/>
            <w:vAlign w:val="center"/>
          </w:tcPr>
          <w:p w14:paraId="684CF052">
            <w:pPr>
              <w:jc w:val="center"/>
              <w:rPr>
                <w:rFonts w:hint="eastAsia" w:ascii="宋体" w:hAnsi="宋体" w:eastAsia="宋体" w:cs="宋体"/>
                <w:color w:val="auto"/>
                <w:sz w:val="24"/>
                <w:szCs w:val="24"/>
                <w:highlight w:val="none"/>
              </w:rPr>
            </w:pPr>
          </w:p>
        </w:tc>
      </w:tr>
      <w:tr w14:paraId="1E94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D8CCC5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488" w:type="dxa"/>
            <w:gridSpan w:val="2"/>
            <w:noWrap w:val="0"/>
            <w:vAlign w:val="center"/>
          </w:tcPr>
          <w:p w14:paraId="056FF0AF">
            <w:pPr>
              <w:jc w:val="center"/>
              <w:rPr>
                <w:rFonts w:hint="eastAsia" w:ascii="宋体" w:hAnsi="宋体" w:eastAsia="宋体" w:cs="宋体"/>
                <w:color w:val="auto"/>
                <w:sz w:val="24"/>
                <w:szCs w:val="24"/>
                <w:highlight w:val="none"/>
              </w:rPr>
            </w:pPr>
          </w:p>
        </w:tc>
        <w:tc>
          <w:tcPr>
            <w:tcW w:w="1406" w:type="dxa"/>
            <w:vMerge w:val="continue"/>
            <w:noWrap w:val="0"/>
            <w:vAlign w:val="center"/>
          </w:tcPr>
          <w:p w14:paraId="340B1F37">
            <w:pPr>
              <w:jc w:val="center"/>
              <w:rPr>
                <w:rFonts w:hint="eastAsia" w:ascii="宋体" w:hAnsi="宋体" w:eastAsia="宋体" w:cs="宋体"/>
                <w:color w:val="auto"/>
                <w:sz w:val="24"/>
                <w:szCs w:val="24"/>
                <w:highlight w:val="none"/>
              </w:rPr>
            </w:pPr>
          </w:p>
        </w:tc>
        <w:tc>
          <w:tcPr>
            <w:tcW w:w="1426" w:type="dxa"/>
            <w:noWrap w:val="0"/>
            <w:vAlign w:val="center"/>
          </w:tcPr>
          <w:p w14:paraId="47AD30A2">
            <w:pPr>
              <w:jc w:val="center"/>
              <w:rPr>
                <w:rFonts w:hint="eastAsia" w:ascii="宋体" w:hAnsi="宋体" w:eastAsia="宋体" w:cs="宋体"/>
                <w:color w:val="auto"/>
                <w:sz w:val="24"/>
                <w:szCs w:val="24"/>
                <w:highlight w:val="none"/>
              </w:rPr>
            </w:pPr>
          </w:p>
        </w:tc>
        <w:tc>
          <w:tcPr>
            <w:tcW w:w="2627" w:type="dxa"/>
            <w:gridSpan w:val="2"/>
            <w:noWrap w:val="0"/>
            <w:vAlign w:val="center"/>
          </w:tcPr>
          <w:p w14:paraId="58689BBE">
            <w:pPr>
              <w:jc w:val="center"/>
              <w:rPr>
                <w:rFonts w:hint="eastAsia" w:ascii="宋体" w:hAnsi="宋体" w:eastAsia="宋体" w:cs="宋体"/>
                <w:color w:val="auto"/>
                <w:sz w:val="24"/>
                <w:szCs w:val="24"/>
                <w:highlight w:val="none"/>
              </w:rPr>
            </w:pPr>
          </w:p>
        </w:tc>
      </w:tr>
      <w:tr w14:paraId="1BCC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17D9F1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488" w:type="dxa"/>
            <w:gridSpan w:val="2"/>
            <w:noWrap w:val="0"/>
            <w:vAlign w:val="center"/>
          </w:tcPr>
          <w:p w14:paraId="03C73642">
            <w:pPr>
              <w:jc w:val="center"/>
              <w:rPr>
                <w:rFonts w:hint="eastAsia" w:ascii="宋体" w:hAnsi="宋体" w:eastAsia="宋体" w:cs="宋体"/>
                <w:color w:val="auto"/>
                <w:sz w:val="24"/>
                <w:szCs w:val="24"/>
                <w:highlight w:val="none"/>
              </w:rPr>
            </w:pPr>
          </w:p>
        </w:tc>
        <w:tc>
          <w:tcPr>
            <w:tcW w:w="1406" w:type="dxa"/>
            <w:vMerge w:val="continue"/>
            <w:noWrap w:val="0"/>
            <w:vAlign w:val="center"/>
          </w:tcPr>
          <w:p w14:paraId="4CC2B250">
            <w:pPr>
              <w:jc w:val="center"/>
              <w:rPr>
                <w:rFonts w:hint="eastAsia" w:ascii="宋体" w:hAnsi="宋体" w:eastAsia="宋体" w:cs="宋体"/>
                <w:color w:val="auto"/>
                <w:sz w:val="24"/>
                <w:szCs w:val="24"/>
                <w:highlight w:val="none"/>
              </w:rPr>
            </w:pPr>
          </w:p>
        </w:tc>
        <w:tc>
          <w:tcPr>
            <w:tcW w:w="1426" w:type="dxa"/>
            <w:noWrap w:val="0"/>
            <w:vAlign w:val="center"/>
          </w:tcPr>
          <w:p w14:paraId="5F586A0E">
            <w:pPr>
              <w:jc w:val="center"/>
              <w:rPr>
                <w:rFonts w:hint="eastAsia" w:ascii="宋体" w:hAnsi="宋体" w:eastAsia="宋体" w:cs="宋体"/>
                <w:color w:val="auto"/>
                <w:sz w:val="24"/>
                <w:szCs w:val="24"/>
                <w:highlight w:val="none"/>
              </w:rPr>
            </w:pPr>
          </w:p>
        </w:tc>
        <w:tc>
          <w:tcPr>
            <w:tcW w:w="2627" w:type="dxa"/>
            <w:gridSpan w:val="2"/>
            <w:noWrap w:val="0"/>
            <w:vAlign w:val="center"/>
          </w:tcPr>
          <w:p w14:paraId="02892CF5">
            <w:pPr>
              <w:jc w:val="center"/>
              <w:rPr>
                <w:rFonts w:hint="eastAsia" w:ascii="宋体" w:hAnsi="宋体" w:eastAsia="宋体" w:cs="宋体"/>
                <w:color w:val="auto"/>
                <w:sz w:val="24"/>
                <w:szCs w:val="24"/>
                <w:highlight w:val="none"/>
              </w:rPr>
            </w:pPr>
          </w:p>
        </w:tc>
      </w:tr>
      <w:tr w14:paraId="27F4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19C627D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2488" w:type="dxa"/>
            <w:gridSpan w:val="2"/>
            <w:noWrap w:val="0"/>
            <w:vAlign w:val="center"/>
          </w:tcPr>
          <w:p w14:paraId="2B9B4064">
            <w:pPr>
              <w:jc w:val="center"/>
              <w:rPr>
                <w:rFonts w:hint="eastAsia" w:ascii="宋体" w:hAnsi="宋体" w:eastAsia="宋体" w:cs="宋体"/>
                <w:color w:val="auto"/>
                <w:sz w:val="24"/>
                <w:szCs w:val="24"/>
                <w:highlight w:val="none"/>
              </w:rPr>
            </w:pPr>
          </w:p>
        </w:tc>
        <w:tc>
          <w:tcPr>
            <w:tcW w:w="1406" w:type="dxa"/>
            <w:vMerge w:val="continue"/>
            <w:noWrap w:val="0"/>
            <w:vAlign w:val="center"/>
          </w:tcPr>
          <w:p w14:paraId="59EB8F6A">
            <w:pPr>
              <w:jc w:val="center"/>
              <w:rPr>
                <w:rFonts w:hint="eastAsia" w:ascii="宋体" w:hAnsi="宋体" w:eastAsia="宋体" w:cs="宋体"/>
                <w:color w:val="auto"/>
                <w:sz w:val="24"/>
                <w:szCs w:val="24"/>
                <w:highlight w:val="none"/>
              </w:rPr>
            </w:pPr>
          </w:p>
        </w:tc>
        <w:tc>
          <w:tcPr>
            <w:tcW w:w="1426" w:type="dxa"/>
            <w:noWrap w:val="0"/>
            <w:vAlign w:val="center"/>
          </w:tcPr>
          <w:p w14:paraId="450F6375">
            <w:pPr>
              <w:jc w:val="center"/>
              <w:rPr>
                <w:rFonts w:hint="eastAsia" w:ascii="宋体" w:hAnsi="宋体" w:eastAsia="宋体" w:cs="宋体"/>
                <w:color w:val="auto"/>
                <w:sz w:val="24"/>
                <w:szCs w:val="24"/>
                <w:highlight w:val="none"/>
              </w:rPr>
            </w:pPr>
          </w:p>
        </w:tc>
        <w:tc>
          <w:tcPr>
            <w:tcW w:w="2627" w:type="dxa"/>
            <w:gridSpan w:val="2"/>
            <w:noWrap w:val="0"/>
            <w:vAlign w:val="center"/>
          </w:tcPr>
          <w:p w14:paraId="2CBFD701">
            <w:pPr>
              <w:jc w:val="center"/>
              <w:rPr>
                <w:rFonts w:hint="eastAsia" w:ascii="宋体" w:hAnsi="宋体" w:eastAsia="宋体" w:cs="宋体"/>
                <w:color w:val="auto"/>
                <w:sz w:val="24"/>
                <w:szCs w:val="24"/>
                <w:highlight w:val="none"/>
              </w:rPr>
            </w:pPr>
          </w:p>
        </w:tc>
      </w:tr>
      <w:tr w14:paraId="3CA3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75E185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947" w:type="dxa"/>
            <w:gridSpan w:val="6"/>
            <w:noWrap w:val="0"/>
            <w:vAlign w:val="center"/>
          </w:tcPr>
          <w:p w14:paraId="38CDFE05">
            <w:pPr>
              <w:rPr>
                <w:rFonts w:hint="eastAsia" w:ascii="宋体" w:hAnsi="宋体" w:eastAsia="宋体" w:cs="宋体"/>
                <w:color w:val="auto"/>
                <w:sz w:val="24"/>
                <w:szCs w:val="24"/>
                <w:highlight w:val="none"/>
              </w:rPr>
            </w:pPr>
          </w:p>
        </w:tc>
      </w:tr>
      <w:tr w14:paraId="20B6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70AFA17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947" w:type="dxa"/>
            <w:gridSpan w:val="6"/>
            <w:noWrap w:val="0"/>
            <w:vAlign w:val="center"/>
          </w:tcPr>
          <w:p w14:paraId="7D2178FB">
            <w:pPr>
              <w:rPr>
                <w:rFonts w:hint="eastAsia" w:ascii="宋体" w:hAnsi="宋体" w:eastAsia="宋体" w:cs="宋体"/>
                <w:color w:val="auto"/>
                <w:sz w:val="24"/>
                <w:szCs w:val="24"/>
                <w:highlight w:val="none"/>
              </w:rPr>
            </w:pPr>
          </w:p>
        </w:tc>
      </w:tr>
    </w:tbl>
    <w:p w14:paraId="19BE208A">
      <w:pPr>
        <w:spacing w:beforeLines="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注：本表后应附企业法人营业执照副本</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开户许可证</w:t>
      </w:r>
      <w:r>
        <w:rPr>
          <w:rFonts w:hint="eastAsia" w:ascii="宋体" w:hAnsi="宋体" w:eastAsia="宋体" w:cs="宋体"/>
          <w:b/>
          <w:bCs/>
          <w:color w:val="000000" w:themeColor="text1"/>
          <w:sz w:val="24"/>
          <w:szCs w:val="24"/>
          <w:highlight w:val="none"/>
          <w:lang w:eastAsia="zh-CN"/>
          <w14:textFill>
            <w14:solidFill>
              <w14:schemeClr w14:val="tx1"/>
            </w14:solidFill>
          </w14:textFill>
        </w:rPr>
        <w:t>、提供</w:t>
      </w:r>
      <w:r>
        <w:rPr>
          <w:rFonts w:hint="eastAsia" w:ascii="宋体" w:hAnsi="宋体" w:cs="宋体"/>
          <w:b/>
          <w:bCs/>
          <w:color w:val="000000" w:themeColor="text1"/>
          <w:sz w:val="24"/>
          <w:szCs w:val="24"/>
          <w:highlight w:val="none"/>
          <w:lang w:eastAsia="zh-CN"/>
          <w14:textFill>
            <w14:solidFill>
              <w14:schemeClr w14:val="tx1"/>
            </w14:solidFill>
          </w14:textFill>
        </w:rPr>
        <w:t>近三</w:t>
      </w:r>
      <w:r>
        <w:rPr>
          <w:rFonts w:hint="eastAsia" w:ascii="宋体" w:hAnsi="宋体" w:eastAsia="宋体" w:cs="宋体"/>
          <w:b/>
          <w:bCs/>
          <w:color w:val="000000" w:themeColor="text1"/>
          <w:sz w:val="24"/>
          <w:szCs w:val="24"/>
          <w:highlight w:val="none"/>
          <w:lang w:eastAsia="zh-CN"/>
          <w14:textFill>
            <w14:solidFill>
              <w14:schemeClr w14:val="tx1"/>
            </w14:solidFill>
          </w14:textFill>
        </w:rPr>
        <w:t>年财务审计报告</w:t>
      </w:r>
      <w:r>
        <w:rPr>
          <w:rFonts w:hint="eastAsia" w:ascii="宋体" w:hAnsi="宋体" w:cs="宋体"/>
          <w:b/>
          <w:bCs/>
          <w:color w:val="000000" w:themeColor="text1"/>
          <w:sz w:val="24"/>
          <w:szCs w:val="24"/>
          <w:highlight w:val="none"/>
          <w:lang w:eastAsia="zh-CN"/>
          <w14:textFill>
            <w14:solidFill>
              <w14:schemeClr w14:val="tx1"/>
            </w14:solidFill>
          </w14:textFill>
        </w:rPr>
        <w:t>或财务报表</w:t>
      </w:r>
      <w:r>
        <w:rPr>
          <w:rFonts w:hint="eastAsia" w:ascii="宋体" w:hAnsi="宋体" w:eastAsia="宋体" w:cs="宋体"/>
          <w:b/>
          <w:bCs/>
          <w:color w:val="000000" w:themeColor="text1"/>
          <w:sz w:val="24"/>
          <w:szCs w:val="24"/>
          <w:highlight w:val="none"/>
          <w:lang w:eastAsia="zh-CN"/>
          <w14:textFill>
            <w14:solidFill>
              <w14:schemeClr w14:val="tx1"/>
            </w14:solidFill>
          </w14:textFill>
        </w:rPr>
        <w:t>（企业成立不足一年的，提供企业成立以来的财务报表）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、完税证明、</w:t>
      </w:r>
      <w:r>
        <w:rPr>
          <w:rFonts w:hint="eastAsia" w:ascii="宋体" w:hAnsi="宋体" w:cs="宋体"/>
          <w:b/>
          <w:bCs/>
          <w:color w:val="000000" w:themeColor="text1"/>
          <w:sz w:val="24"/>
          <w:szCs w:val="24"/>
          <w:highlight w:val="none"/>
          <w:lang w:val="en-US" w:eastAsia="zh-CN"/>
          <w14:textFill>
            <w14:solidFill>
              <w14:schemeClr w14:val="tx1"/>
            </w14:solidFill>
          </w14:textFill>
        </w:rPr>
        <w:t>社保证明、</w:t>
      </w:r>
      <w:r>
        <w:rPr>
          <w:rFonts w:hint="eastAsia" w:ascii="宋体" w:hAnsi="宋体" w:eastAsia="宋体" w:cs="宋体"/>
          <w:b/>
          <w:bCs/>
          <w:color w:val="000000" w:themeColor="text1"/>
          <w:sz w:val="24"/>
          <w:szCs w:val="24"/>
          <w:highlight w:val="none"/>
          <w14:textFill>
            <w14:solidFill>
              <w14:schemeClr w14:val="tx1"/>
            </w14:solidFill>
          </w14:textFill>
        </w:rPr>
        <w:t>等相关材料的复印件</w:t>
      </w:r>
      <w:r>
        <w:rPr>
          <w:rFonts w:hint="eastAsia" w:ascii="宋体" w:hAnsi="宋体" w:eastAsia="宋体" w:cs="宋体"/>
          <w:b/>
          <w:bCs/>
          <w:color w:val="000000" w:themeColor="text1"/>
          <w:sz w:val="24"/>
          <w:szCs w:val="24"/>
          <w:highlight w:val="none"/>
          <w:lang w:eastAsia="zh-CN"/>
          <w14:textFill>
            <w14:solidFill>
              <w14:schemeClr w14:val="tx1"/>
            </w14:solidFill>
          </w14:textFill>
        </w:rPr>
        <w:t>（须清晰可辩）</w:t>
      </w:r>
      <w:r>
        <w:rPr>
          <w:rFonts w:hint="eastAsia" w:ascii="宋体" w:hAnsi="宋体" w:eastAsia="宋体" w:cs="宋体"/>
          <w:b/>
          <w:bCs/>
          <w:color w:val="000000" w:themeColor="text1"/>
          <w:sz w:val="24"/>
          <w:szCs w:val="24"/>
          <w:highlight w:val="none"/>
          <w14:textFill>
            <w14:solidFill>
              <w14:schemeClr w14:val="tx1"/>
            </w14:solidFill>
          </w14:textFill>
        </w:rPr>
        <w:t>。（投标人可根据本表自行编制）</w:t>
      </w:r>
    </w:p>
    <w:p w14:paraId="7F1D1FE7">
      <w:pPr>
        <w:spacing w:before="100" w:beforeAutospacing="1" w:after="100" w:afterAutospacing="1" w:line="440" w:lineRule="exact"/>
        <w:jc w:val="both"/>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br w:type="page"/>
      </w:r>
    </w:p>
    <w:p w14:paraId="0ACA99D0">
      <w:pPr>
        <w:spacing w:before="100" w:beforeAutospacing="1" w:after="100" w:afterAutospacing="1" w:line="440" w:lineRule="exact"/>
        <w:jc w:val="center"/>
        <w:rPr>
          <w:rFonts w:hint="eastAsia" w:ascii="宋体" w:hAnsi="宋体" w:eastAsia="宋体" w:cs="宋体"/>
          <w:color w:val="auto"/>
          <w:kern w:val="1"/>
          <w:sz w:val="24"/>
          <w:szCs w:val="24"/>
          <w:highlight w:val="none"/>
        </w:rPr>
      </w:pPr>
      <w:r>
        <w:rPr>
          <w:rFonts w:hint="eastAsia" w:ascii="宋体" w:hAnsi="宋体" w:cs="宋体"/>
          <w:color w:val="auto"/>
          <w:kern w:val="1"/>
          <w:sz w:val="28"/>
          <w:szCs w:val="28"/>
          <w:highlight w:val="none"/>
          <w:lang w:val="en-US" w:eastAsia="zh-CN"/>
        </w:rPr>
        <w:t>八</w:t>
      </w:r>
      <w:r>
        <w:rPr>
          <w:rFonts w:hint="eastAsia" w:ascii="宋体" w:hAnsi="宋体" w:eastAsia="宋体" w:cs="宋体"/>
          <w:color w:val="auto"/>
          <w:kern w:val="1"/>
          <w:sz w:val="28"/>
          <w:szCs w:val="28"/>
          <w:highlight w:val="none"/>
        </w:rPr>
        <w:t>、企业财务状况</w:t>
      </w:r>
    </w:p>
    <w:p w14:paraId="510C95FF">
      <w:pPr>
        <w:spacing w:before="100" w:beforeAutospacing="1" w:after="100" w:afterAutospacing="1" w:line="440" w:lineRule="exact"/>
        <w:jc w:val="center"/>
        <w:rPr>
          <w:rFonts w:hint="eastAsia" w:ascii="宋体" w:hAnsi="宋体" w:eastAsia="宋体" w:cs="宋体"/>
          <w:color w:val="auto"/>
          <w:kern w:val="1"/>
          <w:sz w:val="28"/>
          <w:szCs w:val="28"/>
          <w:highlight w:val="none"/>
        </w:rPr>
      </w:pPr>
    </w:p>
    <w:p w14:paraId="0B5AD33D">
      <w:pPr>
        <w:pStyle w:val="3"/>
        <w:rPr>
          <w:rFonts w:hint="eastAsia" w:ascii="宋体" w:hAnsi="宋体" w:eastAsia="宋体" w:cs="宋体"/>
          <w:color w:val="auto"/>
          <w:kern w:val="1"/>
          <w:sz w:val="28"/>
          <w:szCs w:val="28"/>
          <w:highlight w:val="none"/>
        </w:rPr>
      </w:pPr>
    </w:p>
    <w:p w14:paraId="3E768253">
      <w:pPr>
        <w:rPr>
          <w:rFonts w:hint="eastAsia" w:ascii="宋体" w:hAnsi="宋体" w:eastAsia="宋体" w:cs="宋体"/>
          <w:color w:val="auto"/>
          <w:kern w:val="1"/>
          <w:sz w:val="28"/>
          <w:szCs w:val="28"/>
          <w:highlight w:val="none"/>
        </w:rPr>
      </w:pPr>
    </w:p>
    <w:p w14:paraId="5D6E89D6">
      <w:pPr>
        <w:pStyle w:val="3"/>
        <w:rPr>
          <w:rFonts w:hint="eastAsia" w:ascii="宋体" w:hAnsi="宋体" w:eastAsia="宋体" w:cs="宋体"/>
          <w:color w:val="auto"/>
          <w:kern w:val="1"/>
          <w:sz w:val="28"/>
          <w:szCs w:val="28"/>
          <w:highlight w:val="none"/>
        </w:rPr>
      </w:pPr>
    </w:p>
    <w:p w14:paraId="499C32F8">
      <w:pPr>
        <w:rPr>
          <w:rFonts w:hint="eastAsia" w:ascii="宋体" w:hAnsi="宋体" w:eastAsia="宋体" w:cs="宋体"/>
          <w:color w:val="auto"/>
          <w:kern w:val="1"/>
          <w:sz w:val="28"/>
          <w:szCs w:val="28"/>
          <w:highlight w:val="none"/>
        </w:rPr>
      </w:pPr>
    </w:p>
    <w:p w14:paraId="76616645">
      <w:pPr>
        <w:pStyle w:val="3"/>
        <w:rPr>
          <w:rFonts w:hint="eastAsia" w:ascii="宋体" w:hAnsi="宋体" w:eastAsia="宋体" w:cs="宋体"/>
          <w:color w:val="auto"/>
          <w:kern w:val="1"/>
          <w:sz w:val="28"/>
          <w:szCs w:val="28"/>
          <w:highlight w:val="none"/>
        </w:rPr>
      </w:pPr>
    </w:p>
    <w:p w14:paraId="2E98ECF8">
      <w:pPr>
        <w:rPr>
          <w:rFonts w:hint="eastAsia" w:ascii="宋体" w:hAnsi="宋体" w:eastAsia="宋体" w:cs="宋体"/>
          <w:color w:val="auto"/>
          <w:kern w:val="1"/>
          <w:sz w:val="28"/>
          <w:szCs w:val="28"/>
          <w:highlight w:val="none"/>
        </w:rPr>
      </w:pPr>
    </w:p>
    <w:p w14:paraId="2956B237">
      <w:pPr>
        <w:pStyle w:val="3"/>
        <w:rPr>
          <w:rFonts w:hint="eastAsia" w:ascii="宋体" w:hAnsi="宋体" w:eastAsia="宋体" w:cs="宋体"/>
          <w:color w:val="auto"/>
          <w:kern w:val="1"/>
          <w:sz w:val="28"/>
          <w:szCs w:val="28"/>
          <w:highlight w:val="none"/>
        </w:rPr>
      </w:pPr>
    </w:p>
    <w:p w14:paraId="5E6CF0AF">
      <w:pPr>
        <w:rPr>
          <w:rFonts w:hint="eastAsia" w:ascii="宋体" w:hAnsi="宋体" w:eastAsia="宋体" w:cs="宋体"/>
          <w:color w:val="auto"/>
          <w:kern w:val="1"/>
          <w:sz w:val="28"/>
          <w:szCs w:val="28"/>
          <w:highlight w:val="none"/>
        </w:rPr>
      </w:pPr>
    </w:p>
    <w:p w14:paraId="445ECD1A">
      <w:pPr>
        <w:pStyle w:val="3"/>
        <w:rPr>
          <w:rFonts w:hint="eastAsia" w:ascii="宋体" w:hAnsi="宋体" w:eastAsia="宋体" w:cs="宋体"/>
          <w:color w:val="auto"/>
          <w:kern w:val="1"/>
          <w:sz w:val="28"/>
          <w:szCs w:val="28"/>
          <w:highlight w:val="none"/>
        </w:rPr>
      </w:pPr>
    </w:p>
    <w:p w14:paraId="1817EE94">
      <w:pPr>
        <w:rPr>
          <w:rFonts w:hint="eastAsia" w:ascii="宋体" w:hAnsi="宋体" w:eastAsia="宋体" w:cs="宋体"/>
          <w:color w:val="auto"/>
          <w:kern w:val="1"/>
          <w:sz w:val="28"/>
          <w:szCs w:val="28"/>
          <w:highlight w:val="none"/>
        </w:rPr>
      </w:pPr>
    </w:p>
    <w:p w14:paraId="67F5A49A">
      <w:pPr>
        <w:pStyle w:val="3"/>
        <w:rPr>
          <w:rFonts w:hint="eastAsia" w:ascii="宋体" w:hAnsi="宋体" w:eastAsia="宋体" w:cs="宋体"/>
          <w:color w:val="auto"/>
          <w:kern w:val="1"/>
          <w:sz w:val="28"/>
          <w:szCs w:val="28"/>
          <w:highlight w:val="none"/>
        </w:rPr>
      </w:pPr>
    </w:p>
    <w:p w14:paraId="2DB04F55">
      <w:pPr>
        <w:rPr>
          <w:rFonts w:hint="eastAsia" w:ascii="宋体" w:hAnsi="宋体" w:eastAsia="宋体" w:cs="宋体"/>
          <w:color w:val="auto"/>
          <w:kern w:val="1"/>
          <w:sz w:val="28"/>
          <w:szCs w:val="28"/>
          <w:highlight w:val="none"/>
        </w:rPr>
      </w:pPr>
    </w:p>
    <w:p w14:paraId="13DFD818">
      <w:pPr>
        <w:spacing w:before="100" w:beforeAutospacing="1" w:after="100" w:afterAutospacing="1" w:line="440" w:lineRule="exact"/>
        <w:jc w:val="center"/>
        <w:rPr>
          <w:rFonts w:hint="eastAsia" w:ascii="宋体" w:hAnsi="宋体" w:eastAsia="宋体" w:cs="宋体"/>
          <w:color w:val="auto"/>
          <w:kern w:val="1"/>
          <w:sz w:val="28"/>
          <w:szCs w:val="28"/>
          <w:highlight w:val="none"/>
        </w:rPr>
      </w:pPr>
    </w:p>
    <w:p w14:paraId="70715E2F">
      <w:pP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2BD4873A">
      <w:pPr>
        <w:spacing w:before="100" w:beforeAutospacing="1" w:after="100" w:afterAutospacing="1" w:line="440" w:lineRule="exact"/>
        <w:jc w:val="center"/>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8"/>
          <w:szCs w:val="28"/>
          <w:highlight w:val="none"/>
          <w:lang w:val="en-US" w:eastAsia="zh-CN"/>
        </w:rPr>
        <w:t>九</w:t>
      </w:r>
      <w:r>
        <w:rPr>
          <w:rFonts w:hint="eastAsia" w:ascii="宋体" w:hAnsi="宋体" w:eastAsia="宋体" w:cs="宋体"/>
          <w:color w:val="auto"/>
          <w:kern w:val="1"/>
          <w:sz w:val="28"/>
          <w:szCs w:val="28"/>
          <w:highlight w:val="none"/>
        </w:rPr>
        <w:t>、近年业绩</w:t>
      </w:r>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007"/>
        <w:gridCol w:w="1950"/>
        <w:gridCol w:w="1250"/>
        <w:gridCol w:w="1167"/>
        <w:gridCol w:w="983"/>
        <w:gridCol w:w="856"/>
      </w:tblGrid>
      <w:tr w14:paraId="1EFC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297C7E12">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序号</w:t>
            </w:r>
          </w:p>
        </w:tc>
        <w:tc>
          <w:tcPr>
            <w:tcW w:w="2007" w:type="dxa"/>
            <w:noWrap w:val="0"/>
            <w:tcMar>
              <w:top w:w="100" w:type="dxa"/>
              <w:right w:w="100" w:type="dxa"/>
            </w:tcMar>
            <w:vAlign w:val="center"/>
          </w:tcPr>
          <w:p w14:paraId="75ED67C1">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采购单位名称</w:t>
            </w:r>
          </w:p>
        </w:tc>
        <w:tc>
          <w:tcPr>
            <w:tcW w:w="1950" w:type="dxa"/>
            <w:noWrap w:val="0"/>
            <w:tcMar>
              <w:top w:w="100" w:type="dxa"/>
              <w:right w:w="100" w:type="dxa"/>
            </w:tcMar>
            <w:vAlign w:val="center"/>
          </w:tcPr>
          <w:p w14:paraId="6B27ADC3">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设备或项目名称</w:t>
            </w:r>
          </w:p>
        </w:tc>
        <w:tc>
          <w:tcPr>
            <w:tcW w:w="1250" w:type="dxa"/>
            <w:noWrap w:val="0"/>
            <w:tcMar>
              <w:top w:w="100" w:type="dxa"/>
              <w:right w:w="100" w:type="dxa"/>
            </w:tcMar>
            <w:vAlign w:val="center"/>
          </w:tcPr>
          <w:p w14:paraId="675A37F9">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采购数量</w:t>
            </w:r>
          </w:p>
        </w:tc>
        <w:tc>
          <w:tcPr>
            <w:tcW w:w="1167" w:type="dxa"/>
            <w:noWrap w:val="0"/>
            <w:tcMar>
              <w:top w:w="100" w:type="dxa"/>
              <w:right w:w="100" w:type="dxa"/>
            </w:tcMar>
            <w:vAlign w:val="center"/>
          </w:tcPr>
          <w:p w14:paraId="65E98531">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合同</w:t>
            </w:r>
          </w:p>
          <w:p w14:paraId="33D76F46">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金额</w:t>
            </w:r>
          </w:p>
          <w:p w14:paraId="26D6D911">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（万元）</w:t>
            </w:r>
          </w:p>
        </w:tc>
        <w:tc>
          <w:tcPr>
            <w:tcW w:w="983" w:type="dxa"/>
            <w:noWrap w:val="0"/>
            <w:tcMar>
              <w:top w:w="100" w:type="dxa"/>
              <w:right w:w="100" w:type="dxa"/>
            </w:tcMar>
            <w:vAlign w:val="center"/>
          </w:tcPr>
          <w:p w14:paraId="03D2CBAB">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证明材料页码</w:t>
            </w:r>
          </w:p>
        </w:tc>
        <w:tc>
          <w:tcPr>
            <w:tcW w:w="856" w:type="dxa"/>
            <w:noWrap w:val="0"/>
            <w:tcMar>
              <w:top w:w="100" w:type="dxa"/>
              <w:right w:w="100" w:type="dxa"/>
            </w:tcMar>
            <w:vAlign w:val="center"/>
          </w:tcPr>
          <w:p w14:paraId="33080324">
            <w:pPr>
              <w:widowControl/>
              <w:autoSpaceDE w:val="0"/>
              <w:autoSpaceDN w:val="0"/>
              <w:adjustRightInd w:val="0"/>
              <w:spacing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备注</w:t>
            </w:r>
          </w:p>
        </w:tc>
      </w:tr>
      <w:tr w14:paraId="30E1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4711F24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1</w:t>
            </w:r>
          </w:p>
        </w:tc>
        <w:tc>
          <w:tcPr>
            <w:tcW w:w="2007" w:type="dxa"/>
            <w:noWrap w:val="0"/>
            <w:tcMar>
              <w:top w:w="100" w:type="dxa"/>
              <w:right w:w="100" w:type="dxa"/>
            </w:tcMar>
            <w:vAlign w:val="center"/>
          </w:tcPr>
          <w:p w14:paraId="0BFF818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79CBB63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690423E5">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334E83E1">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4EBF296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7707E54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3789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7BB64244">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2</w:t>
            </w:r>
          </w:p>
        </w:tc>
        <w:tc>
          <w:tcPr>
            <w:tcW w:w="2007" w:type="dxa"/>
            <w:noWrap w:val="0"/>
            <w:tcMar>
              <w:top w:w="100" w:type="dxa"/>
              <w:right w:w="100" w:type="dxa"/>
            </w:tcMar>
            <w:vAlign w:val="center"/>
          </w:tcPr>
          <w:p w14:paraId="20AC8DD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496A1B9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466F2721">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6111AD36">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05258DDA">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7548A594">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4C91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4A6E938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w:t>
            </w:r>
          </w:p>
        </w:tc>
        <w:tc>
          <w:tcPr>
            <w:tcW w:w="2007" w:type="dxa"/>
            <w:noWrap w:val="0"/>
            <w:tcMar>
              <w:top w:w="100" w:type="dxa"/>
              <w:right w:w="100" w:type="dxa"/>
            </w:tcMar>
            <w:vAlign w:val="center"/>
          </w:tcPr>
          <w:p w14:paraId="7FE18BBF">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7F2A0FE5">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3615BD0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57294E0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3DAFA7E6">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20AA24B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1CEC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60303311">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w:t>
            </w:r>
          </w:p>
        </w:tc>
        <w:tc>
          <w:tcPr>
            <w:tcW w:w="2007" w:type="dxa"/>
            <w:noWrap w:val="0"/>
            <w:tcMar>
              <w:top w:w="100" w:type="dxa"/>
              <w:right w:w="100" w:type="dxa"/>
            </w:tcMar>
            <w:vAlign w:val="center"/>
          </w:tcPr>
          <w:p w14:paraId="497AB42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467D1B9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517F3CDC">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21364C0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76EBECB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2734D350">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2103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3329230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3EF60FA2">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6C656584">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2C8454D5">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7035B4E0">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6FB1F1EF">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137FB02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56F8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273E18C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0BACA68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726D91F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461C87C9">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63B617E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192C41F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37E21EE7">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5E95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067F6C00">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64C35A5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5C528247">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33B87A3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3F531C7F">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53CCF838">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6F904988">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34BE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7A30DBA6">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381234A6">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0093702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446636A8">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529BC28E">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699A893C">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627897CD">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r w14:paraId="3D7E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83" w:type="dxa"/>
            <w:noWrap w:val="0"/>
            <w:tcMar>
              <w:top w:w="100" w:type="dxa"/>
              <w:right w:w="100" w:type="dxa"/>
            </w:tcMar>
            <w:vAlign w:val="center"/>
          </w:tcPr>
          <w:p w14:paraId="05D94B2F">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2007" w:type="dxa"/>
            <w:noWrap w:val="0"/>
            <w:tcMar>
              <w:top w:w="100" w:type="dxa"/>
              <w:right w:w="100" w:type="dxa"/>
            </w:tcMar>
            <w:vAlign w:val="center"/>
          </w:tcPr>
          <w:p w14:paraId="236F477D">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950" w:type="dxa"/>
            <w:noWrap w:val="0"/>
            <w:tcMar>
              <w:top w:w="100" w:type="dxa"/>
              <w:right w:w="100" w:type="dxa"/>
            </w:tcMar>
            <w:vAlign w:val="center"/>
          </w:tcPr>
          <w:p w14:paraId="3737FC8D">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250" w:type="dxa"/>
            <w:noWrap w:val="0"/>
            <w:tcMar>
              <w:top w:w="100" w:type="dxa"/>
              <w:right w:w="100" w:type="dxa"/>
            </w:tcMar>
            <w:vAlign w:val="center"/>
          </w:tcPr>
          <w:p w14:paraId="269C5145">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1167" w:type="dxa"/>
            <w:noWrap w:val="0"/>
            <w:tcMar>
              <w:top w:w="100" w:type="dxa"/>
              <w:right w:w="100" w:type="dxa"/>
            </w:tcMar>
            <w:vAlign w:val="center"/>
          </w:tcPr>
          <w:p w14:paraId="2C76081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983" w:type="dxa"/>
            <w:noWrap w:val="0"/>
            <w:tcMar>
              <w:top w:w="100" w:type="dxa"/>
              <w:right w:w="100" w:type="dxa"/>
            </w:tcMar>
            <w:vAlign w:val="center"/>
          </w:tcPr>
          <w:p w14:paraId="3C13FBCB">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c>
          <w:tcPr>
            <w:tcW w:w="856" w:type="dxa"/>
            <w:noWrap w:val="0"/>
            <w:tcMar>
              <w:top w:w="100" w:type="dxa"/>
              <w:right w:w="100" w:type="dxa"/>
            </w:tcMar>
            <w:vAlign w:val="center"/>
          </w:tcPr>
          <w:p w14:paraId="56D7C0C3">
            <w:pPr>
              <w:widowControl/>
              <w:autoSpaceDE w:val="0"/>
              <w:autoSpaceDN w:val="0"/>
              <w:adjustRightInd w:val="0"/>
              <w:spacing w:line="440" w:lineRule="exact"/>
              <w:jc w:val="center"/>
              <w:rPr>
                <w:rFonts w:hint="eastAsia" w:ascii="宋体" w:hAnsi="宋体" w:eastAsia="宋体" w:cs="宋体"/>
                <w:color w:val="auto"/>
                <w:kern w:val="1"/>
                <w:sz w:val="24"/>
                <w:szCs w:val="24"/>
                <w:highlight w:val="none"/>
              </w:rPr>
            </w:pPr>
          </w:p>
        </w:tc>
      </w:tr>
    </w:tbl>
    <w:p w14:paraId="69577DDB">
      <w:pPr>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附中标通知书或合同协议书的复印件，否则视为无效</w:t>
      </w:r>
      <w:r>
        <w:rPr>
          <w:rFonts w:hint="eastAsia" w:ascii="宋体" w:hAnsi="宋体" w:cs="宋体"/>
          <w:b/>
          <w:bCs/>
          <w:color w:val="auto"/>
          <w:sz w:val="24"/>
          <w:szCs w:val="24"/>
          <w:highlight w:val="none"/>
          <w:lang w:eastAsia="zh-CN"/>
        </w:rPr>
        <w:t>。</w:t>
      </w:r>
    </w:p>
    <w:p w14:paraId="4415724F">
      <w:pPr>
        <w:spacing w:line="440" w:lineRule="exact"/>
        <w:ind w:firstLine="4108" w:firstLineChars="1712"/>
        <w:rPr>
          <w:rFonts w:hint="eastAsia" w:ascii="宋体" w:hAnsi="宋体" w:eastAsia="宋体" w:cs="宋体"/>
          <w:color w:val="auto"/>
          <w:sz w:val="24"/>
          <w:szCs w:val="24"/>
          <w:highlight w:val="none"/>
        </w:rPr>
      </w:pPr>
    </w:p>
    <w:p w14:paraId="16C600D4">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4B609722">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1893ABD1">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F3CEF6">
      <w:pPr>
        <w:spacing w:before="100" w:beforeAutospacing="1" w:after="100" w:afterAutospacing="1"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51E609E">
      <w:pPr>
        <w:spacing w:before="100" w:beforeAutospacing="1" w:after="100" w:afterAutospacing="1"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十、在经营活动中没有重大违法记录的书面声明</w:t>
      </w:r>
    </w:p>
    <w:p w14:paraId="060D3E4D">
      <w:pPr>
        <w:spacing w:line="440" w:lineRule="exact"/>
        <w:jc w:val="center"/>
        <w:rPr>
          <w:rFonts w:hint="eastAsia" w:ascii="宋体" w:hAnsi="宋体" w:eastAsia="宋体" w:cs="宋体"/>
          <w:color w:val="auto"/>
          <w:sz w:val="24"/>
          <w:szCs w:val="24"/>
          <w:highlight w:val="none"/>
        </w:rPr>
      </w:pPr>
    </w:p>
    <w:p w14:paraId="6BA1416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（项目名称）政府采购活动前3年内，我方被公开披露或查处的违法违规行为有：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，但在经营活动中没有重大违法记录（重大违法记录指</w:t>
      </w:r>
      <w:r>
        <w:rPr>
          <w:rFonts w:hint="eastAsia" w:ascii="宋体" w:hAnsi="宋体" w:eastAsia="宋体" w:cs="宋体"/>
          <w:color w:val="auto"/>
          <w:kern w:val="0"/>
          <w:sz w:val="24"/>
          <w:szCs w:val="24"/>
          <w:highlight w:val="none"/>
        </w:rPr>
        <w:t>投标人因违法经营受到刑事处罚或者责令停产停业、吊销许可证或者执照、较大数额罚款等行政处罚）</w:t>
      </w:r>
      <w:r>
        <w:rPr>
          <w:rFonts w:hint="eastAsia" w:ascii="宋体" w:hAnsi="宋体" w:eastAsia="宋体" w:cs="宋体"/>
          <w:color w:val="auto"/>
          <w:sz w:val="24"/>
          <w:szCs w:val="24"/>
          <w:highlight w:val="none"/>
        </w:rPr>
        <w:t>。</w:t>
      </w:r>
    </w:p>
    <w:p w14:paraId="1366DB3D">
      <w:pPr>
        <w:spacing w:line="440" w:lineRule="exact"/>
        <w:ind w:firstLine="480" w:firstLineChars="200"/>
        <w:rPr>
          <w:rFonts w:hint="eastAsia" w:ascii="宋体" w:hAnsi="宋体" w:eastAsia="宋体" w:cs="宋体"/>
          <w:color w:val="auto"/>
          <w:sz w:val="24"/>
          <w:szCs w:val="24"/>
          <w:highlight w:val="none"/>
        </w:rPr>
      </w:pPr>
    </w:p>
    <w:p w14:paraId="3A65CA8F">
      <w:pPr>
        <w:spacing w:line="440" w:lineRule="exact"/>
        <w:ind w:firstLine="480" w:firstLineChars="200"/>
        <w:rPr>
          <w:rFonts w:hint="eastAsia" w:ascii="宋体" w:hAnsi="宋体" w:eastAsia="宋体" w:cs="宋体"/>
          <w:color w:val="auto"/>
          <w:sz w:val="24"/>
          <w:szCs w:val="24"/>
          <w:highlight w:val="none"/>
        </w:rPr>
      </w:pPr>
    </w:p>
    <w:p w14:paraId="7E34AFCC">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5B998339">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盖章）</w:t>
      </w:r>
    </w:p>
    <w:p w14:paraId="6BAE6A0E">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08866B9">
      <w:pPr>
        <w:spacing w:line="440" w:lineRule="exact"/>
        <w:ind w:firstLine="480" w:firstLineChars="200"/>
        <w:rPr>
          <w:rFonts w:hint="eastAsia" w:ascii="宋体" w:hAnsi="宋体" w:eastAsia="宋体" w:cs="宋体"/>
          <w:color w:val="auto"/>
          <w:sz w:val="24"/>
          <w:szCs w:val="24"/>
          <w:highlight w:val="none"/>
        </w:rPr>
      </w:pPr>
    </w:p>
    <w:p w14:paraId="52BB1D18">
      <w:pPr>
        <w:spacing w:line="440" w:lineRule="exact"/>
        <w:ind w:firstLine="480" w:firstLineChars="200"/>
        <w:rPr>
          <w:rFonts w:hint="eastAsia" w:ascii="宋体" w:hAnsi="宋体" w:eastAsia="宋体" w:cs="宋体"/>
          <w:color w:val="auto"/>
          <w:sz w:val="24"/>
          <w:szCs w:val="24"/>
          <w:highlight w:val="none"/>
        </w:rPr>
      </w:pPr>
    </w:p>
    <w:p w14:paraId="19ED02B3">
      <w:pPr>
        <w:spacing w:line="440" w:lineRule="exact"/>
        <w:ind w:firstLine="480" w:firstLineChars="200"/>
        <w:rPr>
          <w:rFonts w:hint="eastAsia" w:ascii="宋体" w:hAnsi="宋体" w:eastAsia="宋体" w:cs="宋体"/>
          <w:color w:val="auto"/>
          <w:sz w:val="24"/>
          <w:szCs w:val="24"/>
          <w:highlight w:val="none"/>
        </w:rPr>
      </w:pPr>
    </w:p>
    <w:p w14:paraId="68A89CF6">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备注：投标人没有被公开披露或查处违法违规行为的，注明“无”即可。</w:t>
      </w:r>
    </w:p>
    <w:p w14:paraId="754B8510">
      <w:pPr>
        <w:widowControl/>
        <w:autoSpaceDE w:val="0"/>
        <w:autoSpaceDN w:val="0"/>
        <w:adjustRightInd w:val="0"/>
        <w:spacing w:line="440" w:lineRule="exact"/>
        <w:ind w:right="-481"/>
        <w:jc w:val="left"/>
        <w:rPr>
          <w:rStyle w:val="24"/>
          <w:rFonts w:hint="eastAsia" w:ascii="宋体" w:hAnsi="宋体" w:eastAsia="宋体" w:cs="宋体"/>
          <w:color w:val="auto"/>
          <w:sz w:val="24"/>
          <w:szCs w:val="24"/>
          <w:highlight w:val="none"/>
        </w:rPr>
      </w:pPr>
    </w:p>
    <w:p w14:paraId="6A304A72">
      <w:pPr>
        <w:widowControl/>
        <w:autoSpaceDE w:val="0"/>
        <w:autoSpaceDN w:val="0"/>
        <w:adjustRightInd w:val="0"/>
        <w:spacing w:line="440" w:lineRule="exact"/>
        <w:rPr>
          <w:rStyle w:val="24"/>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br w:type="page"/>
      </w:r>
    </w:p>
    <w:p w14:paraId="67BF6C82">
      <w:pPr>
        <w:widowControl/>
        <w:autoSpaceDE w:val="0"/>
        <w:autoSpaceDN w:val="0"/>
        <w:adjustRightInd w:val="0"/>
        <w:spacing w:line="440" w:lineRule="exact"/>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十</w:t>
      </w:r>
      <w:r>
        <w:rPr>
          <w:rFonts w:hint="eastAsia" w:ascii="宋体" w:hAnsi="宋体" w:cs="宋体"/>
          <w:color w:val="auto"/>
          <w:kern w:val="1"/>
          <w:sz w:val="28"/>
          <w:szCs w:val="28"/>
          <w:highlight w:val="none"/>
          <w:lang w:val="en-US" w:eastAsia="zh-CN"/>
        </w:rPr>
        <w:t>一</w:t>
      </w:r>
      <w:r>
        <w:rPr>
          <w:rFonts w:hint="eastAsia" w:ascii="宋体" w:hAnsi="宋体" w:eastAsia="宋体" w:cs="宋体"/>
          <w:color w:val="auto"/>
          <w:kern w:val="1"/>
          <w:sz w:val="28"/>
          <w:szCs w:val="28"/>
          <w:highlight w:val="none"/>
        </w:rPr>
        <w:t>、政府采购诚信承诺书</w:t>
      </w:r>
    </w:p>
    <w:p w14:paraId="6E889049">
      <w:pPr>
        <w:widowControl/>
        <w:autoSpaceDE w:val="0"/>
        <w:autoSpaceDN w:val="0"/>
        <w:adjustRightInd w:val="0"/>
        <w:spacing w:line="440" w:lineRule="exact"/>
        <w:rPr>
          <w:rFonts w:hint="eastAsia" w:ascii="宋体" w:hAnsi="宋体" w:eastAsia="宋体" w:cs="宋体"/>
          <w:b/>
          <w:bCs/>
          <w:color w:val="auto"/>
          <w:kern w:val="1"/>
          <w:sz w:val="24"/>
          <w:szCs w:val="24"/>
          <w:highlight w:val="none"/>
        </w:rPr>
      </w:pPr>
    </w:p>
    <w:p w14:paraId="5E3DB2DD">
      <w:pPr>
        <w:widowControl/>
        <w:autoSpaceDE w:val="0"/>
        <w:autoSpaceDN w:val="0"/>
        <w:adjustRightInd w:val="0"/>
        <w:spacing w:line="44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u w:val="single"/>
        </w:rPr>
        <w:t xml:space="preserve"> （采购人） </w:t>
      </w:r>
      <w:r>
        <w:rPr>
          <w:rFonts w:hint="eastAsia" w:ascii="宋体" w:hAnsi="宋体" w:eastAsia="宋体" w:cs="宋体"/>
          <w:color w:val="auto"/>
          <w:kern w:val="1"/>
          <w:sz w:val="24"/>
          <w:szCs w:val="24"/>
          <w:highlight w:val="none"/>
        </w:rPr>
        <w:t>：</w:t>
      </w:r>
    </w:p>
    <w:p w14:paraId="782E8766">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我公司</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（投标人名称）已详细阅读了</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项目（项目编号：</w:t>
      </w:r>
      <w:r>
        <w:rPr>
          <w:rFonts w:hint="eastAsia" w:ascii="宋体" w:hAnsi="宋体" w:eastAsia="宋体" w:cs="宋体"/>
          <w:color w:val="auto"/>
          <w:kern w:val="1"/>
          <w:sz w:val="24"/>
          <w:szCs w:val="24"/>
          <w:highlight w:val="none"/>
          <w:u w:val="single"/>
        </w:rPr>
        <w:t xml:space="preserve">          </w:t>
      </w:r>
      <w:r>
        <w:rPr>
          <w:rStyle w:val="24"/>
          <w:rFonts w:hint="eastAsia" w:ascii="宋体" w:hAnsi="宋体" w:eastAsia="宋体" w:cs="宋体"/>
          <w:color w:val="auto"/>
          <w:sz w:val="24"/>
          <w:szCs w:val="24"/>
          <w:highlight w:val="none"/>
        </w:rPr>
        <w:t>）招标文件，自愿参加本次投标，现就有关事项做出郑重承诺如下：</w:t>
      </w:r>
    </w:p>
    <w:p w14:paraId="6BDDEED3">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一、诚信投标，材料真实。我公司保证所提供的全部材料、投标内容均真实、合法、有效，保证不出借或者借用其他企业资质，不以他人名义投标，不弄虚作假；</w:t>
      </w:r>
    </w:p>
    <w:p w14:paraId="79348286">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Style w:val="24"/>
          <w:rFonts w:hint="eastAsia" w:ascii="宋体" w:hAnsi="宋体" w:eastAsia="宋体" w:cs="宋体"/>
          <w:color w:val="auto"/>
          <w:sz w:val="24"/>
          <w:szCs w:val="24"/>
          <w:highlight w:val="none"/>
        </w:rPr>
        <w:t>二、遵纪守法，公平竞争。不与其他投标人相互串通、</w:t>
      </w:r>
      <w:r>
        <w:rPr>
          <w:rFonts w:hint="eastAsia" w:ascii="宋体" w:hAnsi="宋体" w:eastAsia="宋体" w:cs="宋体"/>
          <w:color w:val="auto"/>
          <w:kern w:val="0"/>
          <w:sz w:val="24"/>
          <w:szCs w:val="24"/>
          <w:highlight w:val="none"/>
        </w:rPr>
        <w:t>哄抬价格，</w:t>
      </w:r>
      <w:r>
        <w:rPr>
          <w:rStyle w:val="24"/>
          <w:rFonts w:hint="eastAsia" w:ascii="宋体" w:hAnsi="宋体" w:eastAsia="宋体" w:cs="宋体"/>
          <w:color w:val="auto"/>
          <w:sz w:val="24"/>
          <w:szCs w:val="24"/>
          <w:highlight w:val="none"/>
        </w:rPr>
        <w:t>不排挤其他投标人，不损害采购人的合法权益；不向评标委员会、采购人提供利益以牟取中标。</w:t>
      </w:r>
    </w:p>
    <w:p w14:paraId="7698C83C">
      <w:pPr>
        <w:widowControl/>
        <w:autoSpaceDE w:val="0"/>
        <w:autoSpaceDN w:val="0"/>
        <w:adjustRightInd w:val="0"/>
        <w:spacing w:line="440" w:lineRule="exact"/>
        <w:ind w:firstLine="480"/>
        <w:rPr>
          <w:rFonts w:hint="eastAsia" w:ascii="宋体" w:hAnsi="宋体" w:eastAsia="宋体" w:cs="宋体"/>
          <w:color w:val="auto"/>
          <w:kern w:val="1"/>
          <w:sz w:val="24"/>
          <w:szCs w:val="24"/>
          <w:highlight w:val="none"/>
        </w:rPr>
      </w:pPr>
      <w:r>
        <w:rPr>
          <w:rFonts w:hint="eastAsia" w:ascii="宋体" w:hAnsi="宋体" w:eastAsia="宋体" w:cs="宋体"/>
          <w:color w:val="auto"/>
          <w:kern w:val="0"/>
          <w:sz w:val="24"/>
          <w:szCs w:val="24"/>
          <w:highlight w:val="none"/>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26C8A772">
      <w:pPr>
        <w:widowControl/>
        <w:autoSpaceDE w:val="0"/>
        <w:autoSpaceDN w:val="0"/>
        <w:adjustRightInd w:val="0"/>
        <w:spacing w:line="440" w:lineRule="exact"/>
        <w:ind w:firstLine="480"/>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14:paraId="235D72AA">
      <w:pPr>
        <w:widowControl/>
        <w:autoSpaceDE w:val="0"/>
        <w:autoSpaceDN w:val="0"/>
        <w:adjustRightInd w:val="0"/>
        <w:spacing w:line="440" w:lineRule="exact"/>
        <w:ind w:right="-481" w:firstLine="420"/>
        <w:rPr>
          <w:rFonts w:hint="eastAsia" w:ascii="宋体" w:hAnsi="宋体" w:eastAsia="宋体" w:cs="宋体"/>
          <w:color w:val="auto"/>
          <w:kern w:val="1"/>
          <w:sz w:val="24"/>
          <w:szCs w:val="24"/>
          <w:highlight w:val="none"/>
        </w:rPr>
      </w:pPr>
    </w:p>
    <w:p w14:paraId="617B1A55">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rPr>
      </w:pPr>
    </w:p>
    <w:p w14:paraId="5653C739">
      <w:pPr>
        <w:widowControl/>
        <w:autoSpaceDE w:val="0"/>
        <w:autoSpaceDN w:val="0"/>
        <w:adjustRightInd w:val="0"/>
        <w:spacing w:line="440" w:lineRule="exact"/>
        <w:ind w:right="-481"/>
        <w:rPr>
          <w:rFonts w:hint="eastAsia" w:ascii="宋体" w:hAnsi="宋体" w:eastAsia="宋体" w:cs="宋体"/>
          <w:color w:val="auto"/>
          <w:kern w:val="1"/>
          <w:sz w:val="24"/>
          <w:szCs w:val="24"/>
          <w:highlight w:val="none"/>
        </w:rPr>
      </w:pPr>
    </w:p>
    <w:p w14:paraId="5C687866">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504C1FE2">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14:paraId="10EF658E">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0CEDCC">
      <w:pPr>
        <w:widowControl/>
        <w:autoSpaceDE w:val="0"/>
        <w:autoSpaceDN w:val="0"/>
        <w:adjustRightInd w:val="0"/>
        <w:spacing w:line="440" w:lineRule="exact"/>
        <w:rPr>
          <w:rStyle w:val="24"/>
          <w:rFonts w:hint="eastAsia" w:ascii="宋体" w:hAnsi="宋体" w:eastAsia="宋体" w:cs="宋体"/>
          <w:color w:val="auto"/>
          <w:sz w:val="24"/>
          <w:szCs w:val="24"/>
          <w:highlight w:val="none"/>
        </w:rPr>
      </w:pPr>
    </w:p>
    <w:p w14:paraId="73FD22A5">
      <w:pPr>
        <w:widowControl/>
        <w:autoSpaceDE w:val="0"/>
        <w:autoSpaceDN w:val="0"/>
        <w:adjustRightInd w:val="0"/>
        <w:spacing w:line="360" w:lineRule="auto"/>
        <w:jc w:val="center"/>
        <w:rPr>
          <w:rStyle w:val="24"/>
          <w:rFonts w:hint="eastAsia" w:ascii="宋体" w:hAnsi="宋体" w:eastAsia="宋体" w:cs="宋体"/>
          <w:color w:val="auto"/>
          <w:sz w:val="24"/>
          <w:szCs w:val="24"/>
          <w:highlight w:val="none"/>
        </w:rPr>
      </w:pPr>
      <w:r>
        <w:rPr>
          <w:rFonts w:hint="eastAsia" w:ascii="宋体" w:hAnsi="宋体" w:eastAsia="宋体" w:cs="宋体"/>
          <w:color w:val="auto"/>
          <w:kern w:val="1"/>
          <w:sz w:val="28"/>
          <w:szCs w:val="28"/>
          <w:highlight w:val="none"/>
        </w:rPr>
        <w:br w:type="page"/>
      </w:r>
      <w:r>
        <w:rPr>
          <w:rFonts w:hint="eastAsia" w:ascii="宋体" w:hAnsi="宋体" w:eastAsia="宋体" w:cs="宋体"/>
          <w:color w:val="auto"/>
          <w:kern w:val="1"/>
          <w:sz w:val="28"/>
          <w:szCs w:val="28"/>
          <w:highlight w:val="none"/>
          <w:lang w:val="en-US" w:eastAsia="zh-CN"/>
        </w:rPr>
        <w:t>十</w:t>
      </w:r>
      <w:r>
        <w:rPr>
          <w:rFonts w:hint="eastAsia" w:ascii="宋体" w:hAnsi="宋体" w:cs="宋体"/>
          <w:color w:val="auto"/>
          <w:kern w:val="1"/>
          <w:sz w:val="28"/>
          <w:szCs w:val="28"/>
          <w:highlight w:val="none"/>
          <w:lang w:val="en-US" w:eastAsia="zh-CN"/>
        </w:rPr>
        <w:t>二</w:t>
      </w:r>
      <w:r>
        <w:rPr>
          <w:rFonts w:hint="eastAsia" w:ascii="宋体" w:hAnsi="宋体" w:eastAsia="宋体" w:cs="宋体"/>
          <w:color w:val="auto"/>
          <w:kern w:val="1"/>
          <w:sz w:val="28"/>
          <w:szCs w:val="28"/>
          <w:highlight w:val="none"/>
          <w:lang w:val="en-US" w:eastAsia="zh-CN"/>
        </w:rPr>
        <w:t>、</w:t>
      </w:r>
      <w:r>
        <w:rPr>
          <w:rFonts w:hint="eastAsia" w:ascii="宋体" w:hAnsi="宋体" w:eastAsia="宋体" w:cs="宋体"/>
          <w:color w:val="auto"/>
          <w:kern w:val="1"/>
          <w:sz w:val="28"/>
          <w:szCs w:val="28"/>
          <w:highlight w:val="none"/>
        </w:rPr>
        <w:t>其他资料</w:t>
      </w:r>
    </w:p>
    <w:p w14:paraId="08DBBA3D">
      <w:pPr>
        <w:widowControl/>
        <w:autoSpaceDE w:val="0"/>
        <w:autoSpaceDN w:val="0"/>
        <w:adjustRightInd w:val="0"/>
        <w:spacing w:line="360" w:lineRule="auto"/>
        <w:ind w:firstLine="504"/>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（中小微企业、节能、环保等其他资料，投标单位可自拟）</w:t>
      </w:r>
    </w:p>
    <w:p w14:paraId="0308578C">
      <w:pPr>
        <w:widowControl/>
        <w:autoSpaceDE w:val="0"/>
        <w:autoSpaceDN w:val="0"/>
        <w:adjustRightInd w:val="0"/>
        <w:spacing w:line="600" w:lineRule="auto"/>
        <w:ind w:right="-481"/>
        <w:jc w:val="center"/>
        <w:rPr>
          <w:rFonts w:ascii="宋体" w:hAnsi="宋体" w:eastAsia="宋体" w:cs="宋体"/>
          <w:color w:val="auto"/>
          <w:sz w:val="36"/>
          <w:szCs w:val="36"/>
          <w:highlight w:val="none"/>
        </w:rPr>
      </w:pPr>
      <w:r>
        <w:rPr>
          <w:rFonts w:hint="eastAsia" w:ascii="宋体" w:hAnsi="宋体" w:cs="宋体"/>
          <w:color w:val="auto"/>
          <w:sz w:val="21"/>
          <w:szCs w:val="22"/>
          <w:highlight w:val="none"/>
        </w:rPr>
        <w:t>附件一、：</w:t>
      </w:r>
      <w:r>
        <w:rPr>
          <w:rFonts w:ascii="宋体" w:hAnsi="宋体" w:eastAsia="宋体" w:cs="宋体"/>
          <w:color w:val="auto"/>
          <w:sz w:val="36"/>
          <w:szCs w:val="36"/>
          <w:highlight w:val="none"/>
        </w:rPr>
        <w:t>中小企业声明函（货物）</w:t>
      </w:r>
    </w:p>
    <w:p w14:paraId="58C7376B">
      <w:pPr>
        <w:spacing w:line="48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 企业发展管理办法》（财库﹝2020﹞46 号）的规定，本公司 （联合体）参加</w:t>
      </w:r>
      <w:r>
        <w:rPr>
          <w:rFonts w:ascii="宋体" w:hAnsi="宋体" w:eastAsia="宋体" w:cs="宋体"/>
          <w:i/>
          <w:iCs/>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i/>
          <w:iCs/>
          <w:color w:val="auto"/>
          <w:sz w:val="24"/>
          <w:szCs w:val="24"/>
          <w:highlight w:val="none"/>
          <w:u w:val="single"/>
        </w:rPr>
        <w:t>（项目名称）</w:t>
      </w:r>
      <w:r>
        <w:rPr>
          <w:rFonts w:ascii="宋体" w:hAnsi="宋体" w:eastAsia="宋体" w:cs="宋体"/>
          <w:color w:val="auto"/>
          <w:sz w:val="24"/>
          <w:szCs w:val="24"/>
          <w:highlight w:val="none"/>
        </w:rPr>
        <w:t xml:space="preserve">采购活动，提供的货物全部由符合政策要求的中小企业制造。相关企业 （含联合体中的中小企业、签订分包意向协议的中小企业） 的具体情况如下： </w:t>
      </w:r>
    </w:p>
    <w:p w14:paraId="2ADDDA35">
      <w:pPr>
        <w:numPr>
          <w:ilvl w:val="0"/>
          <w:numId w:val="8"/>
        </w:numPr>
        <w:spacing w:line="480" w:lineRule="auto"/>
        <w:ind w:firstLine="480" w:firstLineChars="200"/>
        <w:rPr>
          <w:rFonts w:ascii="宋体" w:hAnsi="宋体" w:eastAsia="宋体" w:cs="宋体"/>
          <w:color w:val="auto"/>
          <w:sz w:val="24"/>
          <w:szCs w:val="24"/>
          <w:highlight w:val="none"/>
        </w:rPr>
      </w:pPr>
      <w:r>
        <w:rPr>
          <w:rFonts w:ascii="宋体" w:hAnsi="宋体" w:eastAsia="宋体" w:cs="宋体"/>
          <w:i/>
          <w:iCs/>
          <w:color w:val="auto"/>
          <w:sz w:val="24"/>
          <w:szCs w:val="24"/>
          <w:highlight w:val="none"/>
          <w:u w:val="single"/>
        </w:rPr>
        <w:t xml:space="preserve">（标的名称） </w:t>
      </w:r>
      <w:r>
        <w:rPr>
          <w:rFonts w:ascii="宋体" w:hAnsi="宋体" w:eastAsia="宋体" w:cs="宋体"/>
          <w:color w:val="auto"/>
          <w:sz w:val="24"/>
          <w:szCs w:val="24"/>
          <w:highlight w:val="none"/>
        </w:rPr>
        <w:t>，属于</w:t>
      </w:r>
      <w:r>
        <w:rPr>
          <w:rFonts w:ascii="宋体" w:hAnsi="宋体" w:eastAsia="宋体" w:cs="宋体"/>
          <w:i/>
          <w:iCs/>
          <w:color w:val="auto"/>
          <w:sz w:val="24"/>
          <w:szCs w:val="24"/>
          <w:highlight w:val="none"/>
          <w:u w:val="single"/>
        </w:rPr>
        <w:t xml:space="preserve">（采购文件中明确的所属行业） </w:t>
      </w:r>
      <w:r>
        <w:rPr>
          <w:rFonts w:ascii="宋体" w:hAnsi="宋体" w:eastAsia="宋体" w:cs="宋体"/>
          <w:color w:val="auto"/>
          <w:sz w:val="24"/>
          <w:szCs w:val="24"/>
          <w:highlight w:val="none"/>
        </w:rPr>
        <w:t>行业；制造商为</w:t>
      </w:r>
      <w:r>
        <w:rPr>
          <w:rFonts w:ascii="宋体" w:hAnsi="宋体" w:eastAsia="宋体" w:cs="宋体"/>
          <w:i/>
          <w:iCs/>
          <w:color w:val="auto"/>
          <w:sz w:val="24"/>
          <w:szCs w:val="24"/>
          <w:highlight w:val="none"/>
          <w:u w:val="single"/>
        </w:rPr>
        <w:t>（企业名称）</w:t>
      </w:r>
      <w:r>
        <w:rPr>
          <w:rFonts w:hint="eastAsia" w:ascii="宋体" w:hAnsi="宋体" w:eastAsia="宋体" w:cs="宋体"/>
          <w:i/>
          <w:iCs/>
          <w:color w:val="auto"/>
          <w:sz w:val="24"/>
          <w:szCs w:val="24"/>
          <w:highlight w:val="none"/>
          <w:u w:val="single"/>
          <w:lang w:val="en-US" w:eastAsia="zh-CN"/>
        </w:rPr>
        <w:t xml:space="preserve">   </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 xml:space="preserve">万元 </w:t>
      </w:r>
      <w:r>
        <w:rPr>
          <w:rFonts w:hint="eastAsia" w:ascii="微软雅黑" w:hAnsi="微软雅黑" w:eastAsia="微软雅黑" w:cs="微软雅黑"/>
          <w:color w:val="auto"/>
          <w:sz w:val="24"/>
          <w:szCs w:val="24"/>
          <w:highlight w:val="none"/>
        </w:rPr>
        <w:t>¹</w:t>
      </w:r>
      <w:r>
        <w:rPr>
          <w:rFonts w:ascii="宋体" w:hAnsi="宋体" w:eastAsia="宋体" w:cs="宋体"/>
          <w:color w:val="auto"/>
          <w:sz w:val="24"/>
          <w:szCs w:val="24"/>
          <w:highlight w:val="none"/>
        </w:rPr>
        <w:t>，属于</w:t>
      </w:r>
      <w:r>
        <w:rPr>
          <w:rFonts w:ascii="宋体" w:hAnsi="宋体" w:eastAsia="宋体" w:cs="宋体"/>
          <w:i/>
          <w:iCs/>
          <w:color w:val="auto"/>
          <w:sz w:val="24"/>
          <w:szCs w:val="24"/>
          <w:highlight w:val="none"/>
          <w:u w:val="single"/>
        </w:rPr>
        <w:t>（中型企业、小 型企业、微型企业）</w:t>
      </w:r>
      <w:r>
        <w:rPr>
          <w:rFonts w:ascii="宋体" w:hAnsi="宋体" w:eastAsia="宋体" w:cs="宋体"/>
          <w:color w:val="auto"/>
          <w:sz w:val="24"/>
          <w:szCs w:val="24"/>
          <w:highlight w:val="none"/>
        </w:rPr>
        <w:t>；</w:t>
      </w:r>
    </w:p>
    <w:p w14:paraId="22AB6AE7">
      <w:pPr>
        <w:numPr>
          <w:ilvl w:val="0"/>
          <w:numId w:val="8"/>
        </w:numPr>
        <w:spacing w:line="480" w:lineRule="auto"/>
        <w:ind w:left="0" w:leftChars="0" w:firstLine="480" w:firstLineChars="200"/>
        <w:rPr>
          <w:rFonts w:ascii="宋体" w:hAnsi="宋体" w:eastAsia="宋体" w:cs="宋体"/>
          <w:color w:val="auto"/>
          <w:sz w:val="24"/>
          <w:szCs w:val="24"/>
          <w:highlight w:val="none"/>
        </w:rPr>
      </w:pPr>
      <w:r>
        <w:rPr>
          <w:rFonts w:ascii="宋体" w:hAnsi="宋体" w:eastAsia="宋体" w:cs="宋体"/>
          <w:i/>
          <w:iCs/>
          <w:color w:val="auto"/>
          <w:sz w:val="24"/>
          <w:szCs w:val="24"/>
          <w:highlight w:val="none"/>
          <w:u w:val="single"/>
        </w:rPr>
        <w:t xml:space="preserve">（标的名称） </w:t>
      </w:r>
      <w:r>
        <w:rPr>
          <w:rFonts w:hint="eastAsia" w:ascii="宋体" w:hAnsi="宋体" w:cs="宋体"/>
          <w:i/>
          <w:iCs/>
          <w:color w:val="auto"/>
          <w:sz w:val="24"/>
          <w:szCs w:val="24"/>
          <w:highlight w:val="none"/>
          <w:u w:val="single"/>
          <w:lang w:val="en-US" w:eastAsia="zh-CN"/>
        </w:rPr>
        <w:t xml:space="preserve"> </w:t>
      </w:r>
      <w:r>
        <w:rPr>
          <w:rFonts w:ascii="宋体" w:hAnsi="宋体" w:eastAsia="宋体" w:cs="宋体"/>
          <w:color w:val="auto"/>
          <w:sz w:val="24"/>
          <w:szCs w:val="24"/>
          <w:highlight w:val="none"/>
        </w:rPr>
        <w:t>，属于</w:t>
      </w:r>
      <w:r>
        <w:rPr>
          <w:rFonts w:ascii="宋体" w:hAnsi="宋体" w:eastAsia="宋体" w:cs="宋体"/>
          <w:i/>
          <w:iCs/>
          <w:color w:val="auto"/>
          <w:sz w:val="24"/>
          <w:szCs w:val="24"/>
          <w:highlight w:val="none"/>
          <w:u w:val="single"/>
        </w:rPr>
        <w:t xml:space="preserve">（采购文件中明确的所属行业） </w:t>
      </w:r>
      <w:r>
        <w:rPr>
          <w:rFonts w:ascii="宋体" w:hAnsi="宋体" w:eastAsia="宋体" w:cs="宋体"/>
          <w:color w:val="auto"/>
          <w:sz w:val="24"/>
          <w:szCs w:val="24"/>
          <w:highlight w:val="none"/>
        </w:rPr>
        <w:t>行业；制造商为</w:t>
      </w:r>
      <w:r>
        <w:rPr>
          <w:rFonts w:ascii="宋体" w:hAnsi="宋体" w:eastAsia="宋体" w:cs="宋体"/>
          <w:i/>
          <w:iCs/>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万元，属于</w:t>
      </w:r>
      <w:r>
        <w:rPr>
          <w:rFonts w:ascii="宋体" w:hAnsi="宋体" w:eastAsia="宋体" w:cs="宋体"/>
          <w:i/>
          <w:iCs/>
          <w:color w:val="auto"/>
          <w:sz w:val="24"/>
          <w:szCs w:val="24"/>
          <w:highlight w:val="none"/>
          <w:u w:val="single"/>
        </w:rPr>
        <w:t>（中型企业、小型 企业、微型企业）</w:t>
      </w:r>
      <w:r>
        <w:rPr>
          <w:rFonts w:ascii="宋体" w:hAnsi="宋体" w:eastAsia="宋体" w:cs="宋体"/>
          <w:color w:val="auto"/>
          <w:sz w:val="24"/>
          <w:szCs w:val="24"/>
          <w:highlight w:val="none"/>
        </w:rPr>
        <w:t xml:space="preserve">； </w:t>
      </w:r>
    </w:p>
    <w:p w14:paraId="756496E3">
      <w:pPr>
        <w:numPr>
          <w:ilvl w:val="0"/>
          <w:numId w:val="0"/>
        </w:numPr>
        <w:spacing w:line="480" w:lineRule="auto"/>
        <w:ind w:left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14:paraId="616E8B29">
      <w:pPr>
        <w:numPr>
          <w:ilvl w:val="0"/>
          <w:numId w:val="0"/>
        </w:numPr>
        <w:spacing w:line="480" w:lineRule="auto"/>
        <w:ind w:leftChars="200"/>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w:t>
      </w:r>
    </w:p>
    <w:p w14:paraId="520A5781">
      <w:pPr>
        <w:numPr>
          <w:ilvl w:val="0"/>
          <w:numId w:val="0"/>
        </w:numPr>
        <w:spacing w:line="48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也不存在与大企业的负责人为同一人的情形。 </w:t>
      </w:r>
    </w:p>
    <w:p w14:paraId="4B4D83DE">
      <w:pPr>
        <w:numPr>
          <w:ilvl w:val="0"/>
          <w:numId w:val="0"/>
        </w:numPr>
        <w:spacing w:line="48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本企业对上述声明内容的真实性负责。如有虚假，将依法承担相应责任。 </w:t>
      </w:r>
    </w:p>
    <w:p w14:paraId="3CF8455D">
      <w:pPr>
        <w:numPr>
          <w:ilvl w:val="0"/>
          <w:numId w:val="0"/>
        </w:numPr>
        <w:spacing w:line="480" w:lineRule="auto"/>
        <w:jc w:val="right"/>
        <w:rPr>
          <w:rFonts w:ascii="宋体" w:hAnsi="宋体" w:eastAsia="宋体" w:cs="宋体"/>
          <w:color w:val="auto"/>
          <w:sz w:val="24"/>
          <w:szCs w:val="24"/>
          <w:highlight w:val="none"/>
        </w:rPr>
      </w:pPr>
    </w:p>
    <w:p w14:paraId="4228865C">
      <w:pPr>
        <w:numPr>
          <w:ilvl w:val="0"/>
          <w:numId w:val="0"/>
        </w:numPr>
        <w:spacing w:line="48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eastAsia="宋体" w:cs="宋体"/>
          <w:color w:val="auto"/>
          <w:sz w:val="24"/>
          <w:szCs w:val="24"/>
          <w:highlight w:val="none"/>
        </w:rPr>
        <w:t xml:space="preserve">企业名称（盖章）： </w:t>
      </w:r>
    </w:p>
    <w:p w14:paraId="3CC28982">
      <w:pPr>
        <w:numPr>
          <w:ilvl w:val="0"/>
          <w:numId w:val="0"/>
        </w:numPr>
        <w:spacing w:line="48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日 期： </w:t>
      </w:r>
    </w:p>
    <w:p w14:paraId="21A971B9">
      <w:pPr>
        <w:numPr>
          <w:ilvl w:val="0"/>
          <w:numId w:val="0"/>
        </w:numPr>
        <w:spacing w:line="480" w:lineRule="auto"/>
        <w:rPr>
          <w:rFonts w:ascii="宋体" w:hAnsi="宋体" w:eastAsia="宋体" w:cs="宋体"/>
          <w:b/>
          <w:bCs/>
          <w:color w:val="auto"/>
          <w:sz w:val="21"/>
          <w:szCs w:val="21"/>
          <w:highlight w:val="none"/>
        </w:rPr>
      </w:pPr>
    </w:p>
    <w:p w14:paraId="61CCFD44">
      <w:pPr>
        <w:spacing w:before="150" w:line="332" w:lineRule="exact"/>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从业人员、营业收入、资产总额填报上一年度数据，无上一年度数据的新成立企业可不填报。</w:t>
      </w:r>
    </w:p>
    <w:p w14:paraId="35F4855B">
      <w:pPr>
        <w:spacing w:before="150" w:line="332" w:lineRule="exact"/>
        <w:rPr>
          <w:rFonts w:ascii="宋体" w:hAnsi="宋体" w:eastAsia="宋体" w:cs="宋体"/>
          <w:b/>
          <w:bCs/>
          <w:color w:val="auto"/>
          <w:sz w:val="21"/>
          <w:szCs w:val="21"/>
          <w:highlight w:val="none"/>
        </w:rPr>
      </w:pPr>
    </w:p>
    <w:p w14:paraId="1B309FF3">
      <w:pPr>
        <w:spacing w:before="150" w:line="332" w:lineRule="exact"/>
        <w:jc w:val="center"/>
        <w:rPr>
          <w:rFonts w:ascii="宋体" w:hAnsi="宋体" w:eastAsia="宋体" w:cs="宋体"/>
          <w:b/>
          <w:bCs/>
          <w:color w:val="auto"/>
          <w:sz w:val="21"/>
          <w:szCs w:val="21"/>
          <w:highlight w:val="none"/>
        </w:rPr>
      </w:pPr>
      <w:r>
        <w:rPr>
          <w:rFonts w:ascii="微软雅黑" w:hAnsi="微软雅黑" w:eastAsia="微软雅黑" w:cs="微软雅黑"/>
          <w:color w:val="000000" w:themeColor="text1"/>
          <w:spacing w:val="-18"/>
          <w:w w:val="92"/>
          <w:position w:val="-1"/>
          <w:sz w:val="33"/>
          <w:szCs w:val="33"/>
          <w14:textFill>
            <w14:solidFill>
              <w14:schemeClr w14:val="tx1"/>
            </w14:solidFill>
          </w14:textFill>
        </w:rPr>
        <w:t>中小企业划型标准规定</w:t>
      </w:r>
      <w:r>
        <w:rPr>
          <w:rFonts w:ascii="微软雅黑" w:hAnsi="微软雅黑" w:eastAsia="微软雅黑" w:cs="微软雅黑"/>
          <w:color w:val="000000" w:themeColor="text1"/>
          <w:spacing w:val="33"/>
          <w:position w:val="-1"/>
          <w:sz w:val="33"/>
          <w:szCs w:val="33"/>
          <w14:textFill>
            <w14:solidFill>
              <w14:schemeClr w14:val="tx1"/>
            </w14:solidFill>
          </w14:textFill>
        </w:rPr>
        <w:t xml:space="preserve"> </w:t>
      </w:r>
      <w:r>
        <w:rPr>
          <w:rFonts w:ascii="微软雅黑" w:hAnsi="微软雅黑" w:eastAsia="微软雅黑" w:cs="微软雅黑"/>
          <w:color w:val="000000" w:themeColor="text1"/>
          <w:spacing w:val="-18"/>
          <w:w w:val="92"/>
          <w:position w:val="-1"/>
          <w:sz w:val="33"/>
          <w:szCs w:val="33"/>
          <w14:textFill>
            <w14:solidFill>
              <w14:schemeClr w14:val="tx1"/>
            </w14:solidFill>
          </w14:textFill>
        </w:rPr>
        <w:t>(工信部联企业[2011]300号)</w:t>
      </w:r>
    </w:p>
    <w:tbl>
      <w:tblPr>
        <w:tblStyle w:val="43"/>
        <w:tblpPr w:leftFromText="180" w:rightFromText="180" w:vertAnchor="text" w:horzAnchor="page" w:tblpX="574" w:tblpY="377"/>
        <w:tblOverlap w:val="never"/>
        <w:tblW w:w="109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759"/>
        <w:gridCol w:w="739"/>
        <w:gridCol w:w="120"/>
        <w:gridCol w:w="810"/>
        <w:gridCol w:w="743"/>
        <w:gridCol w:w="574"/>
        <w:gridCol w:w="333"/>
        <w:gridCol w:w="713"/>
        <w:gridCol w:w="761"/>
        <w:gridCol w:w="476"/>
        <w:gridCol w:w="284"/>
        <w:gridCol w:w="679"/>
        <w:gridCol w:w="774"/>
        <w:gridCol w:w="541"/>
        <w:gridCol w:w="151"/>
        <w:gridCol w:w="801"/>
      </w:tblGrid>
      <w:tr w14:paraId="062F3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670" w:type="dxa"/>
            <w:vMerge w:val="restart"/>
            <w:tcBorders>
              <w:left w:val="single" w:color="000000" w:sz="8" w:space="0"/>
              <w:bottom w:val="nil"/>
            </w:tcBorders>
            <w:vAlign w:val="top"/>
          </w:tcPr>
          <w:p w14:paraId="33EFEB3D">
            <w:pPr>
              <w:spacing w:line="256" w:lineRule="auto"/>
              <w:rPr>
                <w:rFonts w:ascii="Arial"/>
                <w:sz w:val="21"/>
              </w:rPr>
            </w:pPr>
          </w:p>
          <w:p w14:paraId="35B1149B">
            <w:pPr>
              <w:spacing w:before="52" w:line="222" w:lineRule="auto"/>
              <w:ind w:left="681"/>
              <w:rPr>
                <w:rFonts w:ascii="仿宋" w:hAnsi="仿宋" w:eastAsia="仿宋" w:cs="仿宋"/>
                <w:sz w:val="16"/>
                <w:szCs w:val="16"/>
              </w:rPr>
            </w:pPr>
            <w:r>
              <w:rPr>
                <w:rFonts w:ascii="仿宋" w:hAnsi="仿宋" w:eastAsia="仿宋" w:cs="仿宋"/>
                <w:spacing w:val="-6"/>
                <w:sz w:val="16"/>
                <w:szCs w:val="16"/>
              </w:rPr>
              <w:t>行业</w:t>
            </w:r>
          </w:p>
        </w:tc>
        <w:tc>
          <w:tcPr>
            <w:tcW w:w="1498" w:type="dxa"/>
            <w:gridSpan w:val="2"/>
            <w:tcBorders>
              <w:right w:val="nil"/>
            </w:tcBorders>
            <w:vAlign w:val="top"/>
          </w:tcPr>
          <w:p w14:paraId="37643602">
            <w:pPr>
              <w:spacing w:before="126" w:line="224" w:lineRule="auto"/>
              <w:ind w:left="540"/>
              <w:rPr>
                <w:rFonts w:ascii="仿宋" w:hAnsi="仿宋" w:eastAsia="仿宋" w:cs="仿宋"/>
                <w:sz w:val="16"/>
                <w:szCs w:val="16"/>
              </w:rPr>
            </w:pPr>
            <w:r>
              <w:rPr>
                <w:rFonts w:ascii="仿宋" w:hAnsi="仿宋" w:eastAsia="仿宋" w:cs="仿宋"/>
                <w:spacing w:val="-9"/>
                <w:sz w:val="16"/>
                <w:szCs w:val="16"/>
              </w:rPr>
              <w:t>中小微型企业</w:t>
            </w:r>
          </w:p>
        </w:tc>
        <w:tc>
          <w:tcPr>
            <w:tcW w:w="930" w:type="dxa"/>
            <w:gridSpan w:val="2"/>
            <w:tcBorders>
              <w:left w:val="nil"/>
            </w:tcBorders>
            <w:vAlign w:val="top"/>
          </w:tcPr>
          <w:p w14:paraId="6487EBE8">
            <w:pPr>
              <w:spacing w:before="96"/>
              <w:ind w:left="46"/>
              <w:rPr>
                <w:rFonts w:ascii="仿宋" w:hAnsi="仿宋" w:eastAsia="仿宋" w:cs="仿宋"/>
                <w:sz w:val="16"/>
                <w:szCs w:val="16"/>
              </w:rPr>
            </w:pPr>
            <w:r>
              <w:rPr>
                <w:rFonts w:ascii="仿宋" w:hAnsi="仿宋" w:eastAsia="仿宋" w:cs="仿宋"/>
                <w:spacing w:val="-13"/>
                <w:w w:val="95"/>
                <w:sz w:val="16"/>
                <w:szCs w:val="16"/>
              </w:rPr>
              <w:t>(</w:t>
            </w:r>
            <w:r>
              <w:rPr>
                <w:position w:val="-4"/>
                <w:sz w:val="16"/>
                <w:szCs w:val="16"/>
              </w:rPr>
              <w:drawing>
                <wp:inline distT="0" distB="0" distL="0" distR="0">
                  <wp:extent cx="113665" cy="134620"/>
                  <wp:effectExtent l="0" t="0" r="635" b="1778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
                          <a:stretch>
                            <a:fillRect/>
                          </a:stretch>
                        </pic:blipFill>
                        <pic:spPr>
                          <a:xfrm>
                            <a:off x="0" y="0"/>
                            <a:ext cx="113817" cy="134963"/>
                          </a:xfrm>
                          <a:prstGeom prst="rect">
                            <a:avLst/>
                          </a:prstGeom>
                        </pic:spPr>
                      </pic:pic>
                    </a:graphicData>
                  </a:graphic>
                </wp:inline>
              </w:drawing>
            </w:r>
            <w:r>
              <w:rPr>
                <w:rFonts w:ascii="仿宋" w:hAnsi="仿宋" w:eastAsia="仿宋" w:cs="仿宋"/>
                <w:spacing w:val="-13"/>
                <w:w w:val="95"/>
                <w:sz w:val="16"/>
                <w:szCs w:val="16"/>
              </w:rPr>
              <w:t>)</w:t>
            </w:r>
          </w:p>
        </w:tc>
        <w:tc>
          <w:tcPr>
            <w:tcW w:w="1317" w:type="dxa"/>
            <w:gridSpan w:val="2"/>
            <w:tcBorders>
              <w:right w:val="nil"/>
            </w:tcBorders>
            <w:vAlign w:val="top"/>
          </w:tcPr>
          <w:p w14:paraId="367C1B5F">
            <w:pPr>
              <w:spacing w:before="126" w:line="224" w:lineRule="auto"/>
              <w:ind w:left="680"/>
              <w:rPr>
                <w:rFonts w:ascii="仿宋" w:hAnsi="仿宋" w:eastAsia="仿宋" w:cs="仿宋"/>
                <w:sz w:val="16"/>
                <w:szCs w:val="16"/>
              </w:rPr>
            </w:pPr>
            <w:r>
              <w:rPr>
                <w:rFonts w:ascii="仿宋" w:hAnsi="仿宋" w:eastAsia="仿宋" w:cs="仿宋"/>
                <w:spacing w:val="-12"/>
                <w:sz w:val="16"/>
                <w:szCs w:val="16"/>
              </w:rPr>
              <w:t>中型企业</w:t>
            </w:r>
          </w:p>
        </w:tc>
        <w:tc>
          <w:tcPr>
            <w:tcW w:w="1046" w:type="dxa"/>
            <w:gridSpan w:val="2"/>
            <w:tcBorders>
              <w:left w:val="nil"/>
            </w:tcBorders>
            <w:vAlign w:val="top"/>
          </w:tcPr>
          <w:p w14:paraId="690C9F27">
            <w:pPr>
              <w:spacing w:before="104"/>
              <w:ind w:left="47"/>
              <w:rPr>
                <w:rFonts w:ascii="仿宋" w:hAnsi="仿宋" w:eastAsia="仿宋" w:cs="仿宋"/>
                <w:sz w:val="16"/>
                <w:szCs w:val="16"/>
              </w:rPr>
            </w:pPr>
            <w:r>
              <w:rPr>
                <w:rFonts w:ascii="仿宋" w:hAnsi="仿宋" w:eastAsia="仿宋" w:cs="仿宋"/>
                <w:spacing w:val="-13"/>
                <w:w w:val="95"/>
                <w:sz w:val="16"/>
                <w:szCs w:val="16"/>
              </w:rPr>
              <w:t>(</w:t>
            </w:r>
            <w:r>
              <w:rPr>
                <w:position w:val="-4"/>
                <w:sz w:val="16"/>
                <w:szCs w:val="16"/>
              </w:rPr>
              <w:drawing>
                <wp:inline distT="0" distB="0" distL="0" distR="0">
                  <wp:extent cx="113665" cy="127635"/>
                  <wp:effectExtent l="0" t="0" r="635" b="571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
                          <a:stretch>
                            <a:fillRect/>
                          </a:stretch>
                        </pic:blipFill>
                        <pic:spPr>
                          <a:xfrm>
                            <a:off x="0" y="0"/>
                            <a:ext cx="114109" cy="128066"/>
                          </a:xfrm>
                          <a:prstGeom prst="rect">
                            <a:avLst/>
                          </a:prstGeom>
                        </pic:spPr>
                      </pic:pic>
                    </a:graphicData>
                  </a:graphic>
                </wp:inline>
              </w:drawing>
            </w:r>
            <w:r>
              <w:rPr>
                <w:rFonts w:ascii="仿宋" w:hAnsi="仿宋" w:eastAsia="仿宋" w:cs="仿宋"/>
                <w:spacing w:val="-13"/>
                <w:w w:val="95"/>
                <w:sz w:val="16"/>
                <w:szCs w:val="16"/>
              </w:rPr>
              <w:t>)</w:t>
            </w:r>
          </w:p>
        </w:tc>
        <w:tc>
          <w:tcPr>
            <w:tcW w:w="1237" w:type="dxa"/>
            <w:gridSpan w:val="2"/>
            <w:tcBorders>
              <w:right w:val="nil"/>
            </w:tcBorders>
            <w:vAlign w:val="top"/>
          </w:tcPr>
          <w:p w14:paraId="0B0FFA5E">
            <w:pPr>
              <w:spacing w:before="127" w:line="226" w:lineRule="auto"/>
              <w:ind w:left="564"/>
              <w:rPr>
                <w:rFonts w:ascii="仿宋" w:hAnsi="仿宋" w:eastAsia="仿宋" w:cs="仿宋"/>
                <w:sz w:val="16"/>
                <w:szCs w:val="16"/>
              </w:rPr>
            </w:pPr>
            <w:r>
              <w:rPr>
                <w:rFonts w:ascii="仿宋" w:hAnsi="仿宋" w:eastAsia="仿宋" w:cs="仿宋"/>
                <w:spacing w:val="-5"/>
                <w:sz w:val="16"/>
                <w:szCs w:val="16"/>
              </w:rPr>
              <w:t>小型企业</w:t>
            </w:r>
          </w:p>
        </w:tc>
        <w:tc>
          <w:tcPr>
            <w:tcW w:w="963" w:type="dxa"/>
            <w:gridSpan w:val="2"/>
            <w:tcBorders>
              <w:left w:val="nil"/>
            </w:tcBorders>
            <w:vAlign w:val="top"/>
          </w:tcPr>
          <w:p w14:paraId="78D38A37">
            <w:pPr>
              <w:spacing w:before="104"/>
              <w:ind w:left="59"/>
              <w:rPr>
                <w:rFonts w:ascii="仿宋" w:hAnsi="仿宋" w:eastAsia="仿宋" w:cs="仿宋"/>
                <w:sz w:val="16"/>
                <w:szCs w:val="16"/>
              </w:rPr>
            </w:pPr>
            <w:r>
              <w:rPr>
                <w:rFonts w:ascii="仿宋" w:hAnsi="仿宋" w:eastAsia="仿宋" w:cs="仿宋"/>
                <w:spacing w:val="-13"/>
                <w:w w:val="95"/>
                <w:sz w:val="16"/>
                <w:szCs w:val="16"/>
              </w:rPr>
              <w:t>(</w:t>
            </w:r>
            <w:r>
              <w:rPr>
                <w:position w:val="-4"/>
                <w:sz w:val="16"/>
                <w:szCs w:val="16"/>
              </w:rPr>
              <w:drawing>
                <wp:inline distT="0" distB="0" distL="0" distR="0">
                  <wp:extent cx="114935" cy="127635"/>
                  <wp:effectExtent l="0" t="0" r="18415" b="571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
                          <a:stretch>
                            <a:fillRect/>
                          </a:stretch>
                        </pic:blipFill>
                        <pic:spPr>
                          <a:xfrm>
                            <a:off x="0" y="0"/>
                            <a:ext cx="115125" cy="128066"/>
                          </a:xfrm>
                          <a:prstGeom prst="rect">
                            <a:avLst/>
                          </a:prstGeom>
                        </pic:spPr>
                      </pic:pic>
                    </a:graphicData>
                  </a:graphic>
                </wp:inline>
              </w:drawing>
            </w:r>
            <w:r>
              <w:rPr>
                <w:rFonts w:ascii="仿宋" w:hAnsi="仿宋" w:eastAsia="仿宋" w:cs="仿宋"/>
                <w:spacing w:val="-13"/>
                <w:w w:val="95"/>
                <w:sz w:val="16"/>
                <w:szCs w:val="16"/>
              </w:rPr>
              <w:t>)</w:t>
            </w:r>
          </w:p>
        </w:tc>
        <w:tc>
          <w:tcPr>
            <w:tcW w:w="1315" w:type="dxa"/>
            <w:gridSpan w:val="2"/>
            <w:tcBorders>
              <w:right w:val="nil"/>
            </w:tcBorders>
            <w:vAlign w:val="top"/>
          </w:tcPr>
          <w:p w14:paraId="7858CCA0">
            <w:pPr>
              <w:spacing w:before="127" w:line="225" w:lineRule="auto"/>
              <w:ind w:left="644"/>
              <w:rPr>
                <w:rFonts w:ascii="仿宋" w:hAnsi="仿宋" w:eastAsia="仿宋" w:cs="仿宋"/>
                <w:sz w:val="16"/>
                <w:szCs w:val="16"/>
              </w:rPr>
            </w:pPr>
            <w:r>
              <w:rPr>
                <w:rFonts w:ascii="仿宋" w:hAnsi="仿宋" w:eastAsia="仿宋" w:cs="仿宋"/>
                <w:spacing w:val="-5"/>
                <w:sz w:val="16"/>
                <w:szCs w:val="16"/>
              </w:rPr>
              <w:t>微型企业</w:t>
            </w:r>
          </w:p>
        </w:tc>
        <w:tc>
          <w:tcPr>
            <w:tcW w:w="952" w:type="dxa"/>
            <w:gridSpan w:val="2"/>
            <w:tcBorders>
              <w:left w:val="nil"/>
              <w:right w:val="single" w:color="000000" w:sz="8" w:space="0"/>
            </w:tcBorders>
            <w:vAlign w:val="top"/>
          </w:tcPr>
          <w:p w14:paraId="60096AE4">
            <w:pPr>
              <w:spacing w:before="96"/>
              <w:ind w:left="63"/>
              <w:rPr>
                <w:rFonts w:ascii="仿宋" w:hAnsi="仿宋" w:eastAsia="仿宋" w:cs="仿宋"/>
                <w:sz w:val="16"/>
                <w:szCs w:val="16"/>
              </w:rPr>
            </w:pPr>
            <w:r>
              <w:rPr>
                <w:rFonts w:ascii="仿宋" w:hAnsi="仿宋" w:eastAsia="仿宋" w:cs="仿宋"/>
                <w:spacing w:val="-13"/>
                <w:w w:val="95"/>
                <w:sz w:val="16"/>
                <w:szCs w:val="16"/>
              </w:rPr>
              <w:t>(</w:t>
            </w:r>
            <w:r>
              <w:rPr>
                <w:position w:val="-4"/>
                <w:sz w:val="16"/>
                <w:szCs w:val="16"/>
              </w:rPr>
              <w:drawing>
                <wp:inline distT="0" distB="0" distL="0" distR="0">
                  <wp:extent cx="114300" cy="135255"/>
                  <wp:effectExtent l="0" t="0" r="0" b="1714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
                          <a:stretch>
                            <a:fillRect/>
                          </a:stretch>
                        </pic:blipFill>
                        <pic:spPr>
                          <a:xfrm>
                            <a:off x="0" y="0"/>
                            <a:ext cx="114694" cy="135597"/>
                          </a:xfrm>
                          <a:prstGeom prst="rect">
                            <a:avLst/>
                          </a:prstGeom>
                        </pic:spPr>
                      </pic:pic>
                    </a:graphicData>
                  </a:graphic>
                </wp:inline>
              </w:drawing>
            </w:r>
            <w:r>
              <w:rPr>
                <w:rFonts w:ascii="仿宋" w:hAnsi="仿宋" w:eastAsia="仿宋" w:cs="仿宋"/>
                <w:spacing w:val="-13"/>
                <w:w w:val="95"/>
                <w:sz w:val="16"/>
                <w:szCs w:val="16"/>
              </w:rPr>
              <w:t>)</w:t>
            </w:r>
          </w:p>
        </w:tc>
      </w:tr>
      <w:tr w14:paraId="70980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670" w:type="dxa"/>
            <w:vMerge w:val="continue"/>
            <w:tcBorders>
              <w:top w:val="nil"/>
              <w:left w:val="single" w:color="000000" w:sz="8" w:space="0"/>
            </w:tcBorders>
            <w:vAlign w:val="top"/>
          </w:tcPr>
          <w:p w14:paraId="09BB8229">
            <w:pPr>
              <w:rPr>
                <w:rFonts w:ascii="Arial"/>
                <w:sz w:val="21"/>
              </w:rPr>
            </w:pPr>
          </w:p>
        </w:tc>
        <w:tc>
          <w:tcPr>
            <w:tcW w:w="759" w:type="dxa"/>
            <w:vAlign w:val="top"/>
          </w:tcPr>
          <w:p w14:paraId="07BD6411">
            <w:pPr>
              <w:spacing w:before="121" w:line="224" w:lineRule="auto"/>
              <w:ind w:left="61"/>
              <w:rPr>
                <w:rFonts w:ascii="仿宋" w:hAnsi="仿宋" w:eastAsia="仿宋" w:cs="仿宋"/>
                <w:sz w:val="16"/>
                <w:szCs w:val="16"/>
              </w:rPr>
            </w:pPr>
            <w:r>
              <w:rPr>
                <w:rFonts w:ascii="仿宋" w:hAnsi="仿宋" w:eastAsia="仿宋" w:cs="仿宋"/>
                <w:spacing w:val="-5"/>
                <w:sz w:val="16"/>
                <w:szCs w:val="16"/>
              </w:rPr>
              <w:t>从业人员</w:t>
            </w:r>
          </w:p>
        </w:tc>
        <w:tc>
          <w:tcPr>
            <w:tcW w:w="859" w:type="dxa"/>
            <w:gridSpan w:val="2"/>
            <w:vAlign w:val="top"/>
          </w:tcPr>
          <w:p w14:paraId="6CF1F742">
            <w:pPr>
              <w:spacing w:before="121" w:line="224" w:lineRule="auto"/>
              <w:ind w:left="123"/>
              <w:rPr>
                <w:rFonts w:ascii="仿宋" w:hAnsi="仿宋" w:eastAsia="仿宋" w:cs="仿宋"/>
                <w:sz w:val="16"/>
                <w:szCs w:val="16"/>
              </w:rPr>
            </w:pPr>
            <w:r>
              <w:rPr>
                <w:rFonts w:ascii="仿宋" w:hAnsi="仿宋" w:eastAsia="仿宋" w:cs="仿宋"/>
                <w:spacing w:val="-8"/>
                <w:sz w:val="16"/>
                <w:szCs w:val="16"/>
              </w:rPr>
              <w:t>营业收入</w:t>
            </w:r>
          </w:p>
        </w:tc>
        <w:tc>
          <w:tcPr>
            <w:tcW w:w="810" w:type="dxa"/>
            <w:vAlign w:val="top"/>
          </w:tcPr>
          <w:p w14:paraId="40005E28">
            <w:pPr>
              <w:spacing w:before="121" w:line="224" w:lineRule="auto"/>
              <w:ind w:left="112"/>
              <w:rPr>
                <w:rFonts w:ascii="仿宋" w:hAnsi="仿宋" w:eastAsia="仿宋" w:cs="仿宋"/>
                <w:sz w:val="16"/>
                <w:szCs w:val="16"/>
              </w:rPr>
            </w:pPr>
            <w:r>
              <w:rPr>
                <w:rFonts w:ascii="仿宋" w:hAnsi="仿宋" w:eastAsia="仿宋" w:cs="仿宋"/>
                <w:spacing w:val="-10"/>
                <w:sz w:val="16"/>
                <w:szCs w:val="16"/>
              </w:rPr>
              <w:t>资产总额</w:t>
            </w:r>
          </w:p>
        </w:tc>
        <w:tc>
          <w:tcPr>
            <w:tcW w:w="743" w:type="dxa"/>
            <w:vAlign w:val="top"/>
          </w:tcPr>
          <w:p w14:paraId="191C7109">
            <w:pPr>
              <w:spacing w:before="121" w:line="224" w:lineRule="auto"/>
              <w:ind w:left="64"/>
              <w:rPr>
                <w:rFonts w:ascii="仿宋" w:hAnsi="仿宋" w:eastAsia="仿宋" w:cs="仿宋"/>
                <w:sz w:val="16"/>
                <w:szCs w:val="16"/>
              </w:rPr>
            </w:pPr>
            <w:r>
              <w:rPr>
                <w:rFonts w:ascii="仿宋" w:hAnsi="仿宋" w:eastAsia="仿宋" w:cs="仿宋"/>
                <w:spacing w:val="-6"/>
                <w:sz w:val="16"/>
                <w:szCs w:val="16"/>
              </w:rPr>
              <w:t>从业人员</w:t>
            </w:r>
          </w:p>
        </w:tc>
        <w:tc>
          <w:tcPr>
            <w:tcW w:w="907" w:type="dxa"/>
            <w:gridSpan w:val="2"/>
            <w:vAlign w:val="top"/>
          </w:tcPr>
          <w:p w14:paraId="425E117A">
            <w:pPr>
              <w:spacing w:before="121" w:line="224" w:lineRule="auto"/>
              <w:ind w:left="159"/>
              <w:rPr>
                <w:rFonts w:ascii="仿宋" w:hAnsi="仿宋" w:eastAsia="仿宋" w:cs="仿宋"/>
                <w:sz w:val="16"/>
                <w:szCs w:val="16"/>
              </w:rPr>
            </w:pPr>
            <w:r>
              <w:rPr>
                <w:rFonts w:ascii="仿宋" w:hAnsi="仿宋" w:eastAsia="仿宋" w:cs="仿宋"/>
                <w:spacing w:val="-8"/>
                <w:sz w:val="16"/>
                <w:szCs w:val="16"/>
              </w:rPr>
              <w:t>营业收入</w:t>
            </w:r>
          </w:p>
        </w:tc>
        <w:tc>
          <w:tcPr>
            <w:tcW w:w="713" w:type="dxa"/>
            <w:vAlign w:val="top"/>
          </w:tcPr>
          <w:p w14:paraId="5D3936BD">
            <w:pPr>
              <w:spacing w:before="121" w:line="224" w:lineRule="auto"/>
              <w:ind w:left="74"/>
              <w:rPr>
                <w:rFonts w:ascii="仿宋" w:hAnsi="仿宋" w:eastAsia="仿宋" w:cs="仿宋"/>
                <w:sz w:val="16"/>
                <w:szCs w:val="16"/>
              </w:rPr>
            </w:pPr>
            <w:r>
              <w:rPr>
                <w:rFonts w:ascii="仿宋" w:hAnsi="仿宋" w:eastAsia="仿宋" w:cs="仿宋"/>
                <w:spacing w:val="-10"/>
                <w:sz w:val="16"/>
                <w:szCs w:val="16"/>
              </w:rPr>
              <w:t>资产总额</w:t>
            </w:r>
          </w:p>
        </w:tc>
        <w:tc>
          <w:tcPr>
            <w:tcW w:w="761" w:type="dxa"/>
            <w:vAlign w:val="top"/>
          </w:tcPr>
          <w:p w14:paraId="16D1DD56">
            <w:pPr>
              <w:spacing w:before="121" w:line="224" w:lineRule="auto"/>
              <w:ind w:left="82"/>
              <w:rPr>
                <w:rFonts w:ascii="仿宋" w:hAnsi="仿宋" w:eastAsia="仿宋" w:cs="仿宋"/>
                <w:sz w:val="16"/>
                <w:szCs w:val="16"/>
              </w:rPr>
            </w:pPr>
            <w:r>
              <w:rPr>
                <w:rFonts w:ascii="仿宋" w:hAnsi="仿宋" w:eastAsia="仿宋" w:cs="仿宋"/>
                <w:spacing w:val="-5"/>
                <w:sz w:val="16"/>
                <w:szCs w:val="16"/>
              </w:rPr>
              <w:t>从业人员</w:t>
            </w:r>
          </w:p>
        </w:tc>
        <w:tc>
          <w:tcPr>
            <w:tcW w:w="760" w:type="dxa"/>
            <w:gridSpan w:val="2"/>
            <w:vAlign w:val="top"/>
          </w:tcPr>
          <w:p w14:paraId="3001587E">
            <w:pPr>
              <w:spacing w:before="121" w:line="224" w:lineRule="auto"/>
              <w:ind w:left="96"/>
              <w:rPr>
                <w:rFonts w:ascii="仿宋" w:hAnsi="仿宋" w:eastAsia="仿宋" w:cs="仿宋"/>
                <w:sz w:val="16"/>
                <w:szCs w:val="16"/>
              </w:rPr>
            </w:pPr>
            <w:r>
              <w:rPr>
                <w:rFonts w:ascii="仿宋" w:hAnsi="仿宋" w:eastAsia="仿宋" w:cs="仿宋"/>
                <w:spacing w:val="-8"/>
                <w:sz w:val="16"/>
                <w:szCs w:val="16"/>
              </w:rPr>
              <w:t>营业收入</w:t>
            </w:r>
          </w:p>
        </w:tc>
        <w:tc>
          <w:tcPr>
            <w:tcW w:w="679" w:type="dxa"/>
            <w:vAlign w:val="top"/>
          </w:tcPr>
          <w:p w14:paraId="702D7B01">
            <w:pPr>
              <w:spacing w:before="121" w:line="224" w:lineRule="auto"/>
              <w:ind w:right="6"/>
              <w:jc w:val="right"/>
              <w:rPr>
                <w:rFonts w:ascii="仿宋" w:hAnsi="仿宋" w:eastAsia="仿宋" w:cs="仿宋"/>
                <w:sz w:val="16"/>
                <w:szCs w:val="16"/>
              </w:rPr>
            </w:pPr>
            <w:r>
              <w:rPr>
                <w:rFonts w:ascii="仿宋" w:hAnsi="仿宋" w:eastAsia="仿宋" w:cs="仿宋"/>
                <w:spacing w:val="-10"/>
                <w:sz w:val="16"/>
                <w:szCs w:val="16"/>
              </w:rPr>
              <w:t>资产总额</w:t>
            </w:r>
          </w:p>
        </w:tc>
        <w:tc>
          <w:tcPr>
            <w:tcW w:w="774" w:type="dxa"/>
            <w:vAlign w:val="top"/>
          </w:tcPr>
          <w:p w14:paraId="78C73D4E">
            <w:pPr>
              <w:spacing w:before="121" w:line="224" w:lineRule="auto"/>
              <w:ind w:left="97"/>
              <w:rPr>
                <w:rFonts w:ascii="仿宋" w:hAnsi="仿宋" w:eastAsia="仿宋" w:cs="仿宋"/>
                <w:sz w:val="16"/>
                <w:szCs w:val="16"/>
              </w:rPr>
            </w:pPr>
            <w:r>
              <w:rPr>
                <w:rFonts w:ascii="仿宋" w:hAnsi="仿宋" w:eastAsia="仿宋" w:cs="仿宋"/>
                <w:spacing w:val="-6"/>
                <w:sz w:val="16"/>
                <w:szCs w:val="16"/>
              </w:rPr>
              <w:t>从业人员</w:t>
            </w:r>
          </w:p>
        </w:tc>
        <w:tc>
          <w:tcPr>
            <w:tcW w:w="692" w:type="dxa"/>
            <w:gridSpan w:val="2"/>
            <w:vAlign w:val="top"/>
          </w:tcPr>
          <w:p w14:paraId="0B2CE118">
            <w:pPr>
              <w:spacing w:before="121" w:line="224" w:lineRule="auto"/>
              <w:ind w:right="8"/>
              <w:jc w:val="right"/>
              <w:rPr>
                <w:rFonts w:ascii="仿宋" w:hAnsi="仿宋" w:eastAsia="仿宋" w:cs="仿宋"/>
                <w:sz w:val="16"/>
                <w:szCs w:val="16"/>
              </w:rPr>
            </w:pPr>
            <w:r>
              <w:rPr>
                <w:rFonts w:ascii="仿宋" w:hAnsi="仿宋" w:eastAsia="仿宋" w:cs="仿宋"/>
                <w:spacing w:val="-8"/>
                <w:sz w:val="16"/>
                <w:szCs w:val="16"/>
              </w:rPr>
              <w:t>营业收入</w:t>
            </w:r>
          </w:p>
        </w:tc>
        <w:tc>
          <w:tcPr>
            <w:tcW w:w="801" w:type="dxa"/>
            <w:tcBorders>
              <w:right w:val="single" w:color="000000" w:sz="8" w:space="0"/>
            </w:tcBorders>
            <w:vAlign w:val="top"/>
          </w:tcPr>
          <w:p w14:paraId="0C9C8C3F">
            <w:pPr>
              <w:spacing w:before="121" w:line="224" w:lineRule="auto"/>
              <w:ind w:left="123"/>
              <w:rPr>
                <w:rFonts w:ascii="仿宋" w:hAnsi="仿宋" w:eastAsia="仿宋" w:cs="仿宋"/>
                <w:sz w:val="16"/>
                <w:szCs w:val="16"/>
              </w:rPr>
            </w:pPr>
            <w:r>
              <w:rPr>
                <w:rFonts w:ascii="仿宋" w:hAnsi="仿宋" w:eastAsia="仿宋" w:cs="仿宋"/>
                <w:spacing w:val="-10"/>
                <w:sz w:val="16"/>
                <w:szCs w:val="16"/>
              </w:rPr>
              <w:t>资产总额</w:t>
            </w:r>
          </w:p>
        </w:tc>
      </w:tr>
      <w:tr w14:paraId="0825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0E7C6F0F">
            <w:pPr>
              <w:spacing w:before="257" w:line="224" w:lineRule="auto"/>
              <w:ind w:left="30"/>
              <w:rPr>
                <w:rFonts w:ascii="仿宋" w:hAnsi="仿宋" w:eastAsia="仿宋" w:cs="仿宋"/>
                <w:sz w:val="16"/>
                <w:szCs w:val="16"/>
              </w:rPr>
            </w:pPr>
            <w:r>
              <w:rPr>
                <w:rFonts w:ascii="仿宋" w:hAnsi="仿宋" w:eastAsia="仿宋" w:cs="仿宋"/>
                <w:spacing w:val="-4"/>
                <w:sz w:val="16"/>
                <w:szCs w:val="16"/>
              </w:rPr>
              <w:t>农、林、牧、渔业</w:t>
            </w:r>
          </w:p>
        </w:tc>
        <w:tc>
          <w:tcPr>
            <w:tcW w:w="759" w:type="dxa"/>
            <w:vAlign w:val="top"/>
          </w:tcPr>
          <w:p w14:paraId="16511065">
            <w:pPr>
              <w:rPr>
                <w:rFonts w:ascii="Arial"/>
                <w:sz w:val="21"/>
              </w:rPr>
            </w:pPr>
          </w:p>
        </w:tc>
        <w:tc>
          <w:tcPr>
            <w:tcW w:w="859" w:type="dxa"/>
            <w:gridSpan w:val="2"/>
            <w:vAlign w:val="top"/>
          </w:tcPr>
          <w:p w14:paraId="5A685762">
            <w:pPr>
              <w:spacing w:before="111" w:line="276" w:lineRule="auto"/>
              <w:ind w:left="50" w:right="81" w:hanging="38"/>
              <w:rPr>
                <w:rFonts w:ascii="仿宋" w:hAnsi="仿宋" w:eastAsia="仿宋" w:cs="仿宋"/>
                <w:sz w:val="16"/>
                <w:szCs w:val="16"/>
              </w:rPr>
            </w:pPr>
            <w:r>
              <w:rPr>
                <w:rFonts w:ascii="仿宋" w:hAnsi="仿宋" w:eastAsia="仿宋" w:cs="仿宋"/>
                <w:spacing w:val="-7"/>
                <w:sz w:val="16"/>
                <w:szCs w:val="16"/>
              </w:rPr>
              <w:t>20000</w:t>
            </w:r>
            <w:r>
              <w:rPr>
                <w:rFonts w:ascii="仿宋" w:hAnsi="仿宋" w:eastAsia="仿宋" w:cs="仿宋"/>
                <w:spacing w:val="8"/>
                <w:sz w:val="16"/>
                <w:szCs w:val="16"/>
              </w:rPr>
              <w:t xml:space="preserve"> </w:t>
            </w:r>
            <w:r>
              <w:rPr>
                <w:rFonts w:ascii="仿宋" w:hAnsi="仿宋" w:eastAsia="仿宋" w:cs="仿宋"/>
                <w:spacing w:val="-7"/>
                <w:sz w:val="16"/>
                <w:szCs w:val="16"/>
              </w:rPr>
              <w:t>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10" w:type="dxa"/>
            <w:vAlign w:val="top"/>
          </w:tcPr>
          <w:p w14:paraId="3DFC7823">
            <w:pPr>
              <w:rPr>
                <w:rFonts w:ascii="Arial"/>
                <w:sz w:val="21"/>
              </w:rPr>
            </w:pPr>
          </w:p>
        </w:tc>
        <w:tc>
          <w:tcPr>
            <w:tcW w:w="743" w:type="dxa"/>
            <w:vAlign w:val="top"/>
          </w:tcPr>
          <w:p w14:paraId="4A8878CB">
            <w:pPr>
              <w:rPr>
                <w:rFonts w:ascii="Arial"/>
                <w:sz w:val="21"/>
              </w:rPr>
            </w:pPr>
          </w:p>
        </w:tc>
        <w:tc>
          <w:tcPr>
            <w:tcW w:w="907" w:type="dxa"/>
            <w:gridSpan w:val="2"/>
            <w:vAlign w:val="top"/>
          </w:tcPr>
          <w:p w14:paraId="74D2E5EA">
            <w:pPr>
              <w:spacing w:before="111" w:line="280" w:lineRule="auto"/>
              <w:ind w:left="61" w:right="117" w:hanging="34"/>
              <w:rPr>
                <w:rFonts w:ascii="仿宋" w:hAnsi="仿宋" w:eastAsia="仿宋" w:cs="仿宋"/>
                <w:sz w:val="16"/>
                <w:szCs w:val="16"/>
              </w:rPr>
            </w:pPr>
            <w:r>
              <w:rPr>
                <w:rFonts w:ascii="仿宋" w:hAnsi="仿宋" w:eastAsia="仿宋" w:cs="仿宋"/>
                <w:spacing w:val="-7"/>
                <w:sz w:val="16"/>
                <w:szCs w:val="16"/>
              </w:rPr>
              <w:t>500 万元及</w:t>
            </w:r>
            <w:r>
              <w:rPr>
                <w:rFonts w:ascii="仿宋" w:hAnsi="仿宋" w:eastAsia="仿宋" w:cs="仿宋"/>
                <w:spacing w:val="4"/>
                <w:sz w:val="16"/>
                <w:szCs w:val="16"/>
              </w:rPr>
              <w:t xml:space="preserve"> </w:t>
            </w:r>
            <w:r>
              <w:rPr>
                <w:rFonts w:ascii="仿宋" w:hAnsi="仿宋" w:eastAsia="仿宋" w:cs="仿宋"/>
                <w:spacing w:val="-14"/>
                <w:sz w:val="16"/>
                <w:szCs w:val="16"/>
              </w:rPr>
              <w:t>以上</w:t>
            </w:r>
          </w:p>
        </w:tc>
        <w:tc>
          <w:tcPr>
            <w:tcW w:w="713" w:type="dxa"/>
            <w:vAlign w:val="top"/>
          </w:tcPr>
          <w:p w14:paraId="691D75DE">
            <w:pPr>
              <w:rPr>
                <w:rFonts w:ascii="Arial"/>
                <w:sz w:val="21"/>
              </w:rPr>
            </w:pPr>
          </w:p>
        </w:tc>
        <w:tc>
          <w:tcPr>
            <w:tcW w:w="761" w:type="dxa"/>
            <w:vAlign w:val="top"/>
          </w:tcPr>
          <w:p w14:paraId="404D33ED">
            <w:pPr>
              <w:rPr>
                <w:rFonts w:ascii="Arial"/>
                <w:sz w:val="21"/>
              </w:rPr>
            </w:pPr>
          </w:p>
        </w:tc>
        <w:tc>
          <w:tcPr>
            <w:tcW w:w="760" w:type="dxa"/>
            <w:gridSpan w:val="2"/>
            <w:vAlign w:val="top"/>
          </w:tcPr>
          <w:p w14:paraId="62428644">
            <w:pPr>
              <w:spacing w:before="111" w:line="280" w:lineRule="auto"/>
              <w:ind w:left="71" w:right="39" w:hanging="34"/>
              <w:rPr>
                <w:rFonts w:ascii="仿宋" w:hAnsi="仿宋" w:eastAsia="仿宋" w:cs="仿宋"/>
                <w:sz w:val="16"/>
                <w:szCs w:val="16"/>
              </w:rPr>
            </w:pPr>
            <w:r>
              <w:rPr>
                <w:rFonts w:ascii="仿宋" w:hAnsi="仿宋" w:eastAsia="仿宋" w:cs="仿宋"/>
                <w:spacing w:val="-8"/>
                <w:sz w:val="16"/>
                <w:szCs w:val="16"/>
              </w:rPr>
              <w:t>50 万元及</w:t>
            </w:r>
            <w:r>
              <w:rPr>
                <w:rFonts w:ascii="仿宋" w:hAnsi="仿宋" w:eastAsia="仿宋" w:cs="仿宋"/>
                <w:spacing w:val="4"/>
                <w:sz w:val="16"/>
                <w:szCs w:val="16"/>
              </w:rPr>
              <w:t xml:space="preserve"> </w:t>
            </w:r>
            <w:r>
              <w:rPr>
                <w:rFonts w:ascii="仿宋" w:hAnsi="仿宋" w:eastAsia="仿宋" w:cs="仿宋"/>
                <w:spacing w:val="-14"/>
                <w:sz w:val="16"/>
                <w:szCs w:val="16"/>
              </w:rPr>
              <w:t>以上</w:t>
            </w:r>
          </w:p>
        </w:tc>
        <w:tc>
          <w:tcPr>
            <w:tcW w:w="679" w:type="dxa"/>
            <w:vAlign w:val="top"/>
          </w:tcPr>
          <w:p w14:paraId="42A72BAC">
            <w:pPr>
              <w:rPr>
                <w:rFonts w:ascii="Arial"/>
                <w:sz w:val="21"/>
              </w:rPr>
            </w:pPr>
          </w:p>
        </w:tc>
        <w:tc>
          <w:tcPr>
            <w:tcW w:w="774" w:type="dxa"/>
            <w:vAlign w:val="top"/>
          </w:tcPr>
          <w:p w14:paraId="61FC7970">
            <w:pPr>
              <w:rPr>
                <w:rFonts w:ascii="Arial"/>
                <w:sz w:val="21"/>
              </w:rPr>
            </w:pPr>
          </w:p>
        </w:tc>
        <w:tc>
          <w:tcPr>
            <w:tcW w:w="692" w:type="dxa"/>
            <w:gridSpan w:val="2"/>
            <w:vAlign w:val="top"/>
          </w:tcPr>
          <w:p w14:paraId="594CAD45">
            <w:pPr>
              <w:spacing w:before="111" w:line="276" w:lineRule="auto"/>
              <w:ind w:left="53" w:hanging="7"/>
              <w:rPr>
                <w:rFonts w:ascii="仿宋" w:hAnsi="仿宋" w:eastAsia="仿宋" w:cs="仿宋"/>
                <w:sz w:val="16"/>
                <w:szCs w:val="16"/>
              </w:rPr>
            </w:pPr>
            <w:r>
              <w:rPr>
                <w:rFonts w:ascii="仿宋" w:hAnsi="仿宋" w:eastAsia="仿宋" w:cs="仿宋"/>
                <w:spacing w:val="-14"/>
                <w:sz w:val="16"/>
                <w:szCs w:val="16"/>
              </w:rPr>
              <w:t>50 万元以</w:t>
            </w:r>
            <w:r>
              <w:rPr>
                <w:rFonts w:ascii="仿宋" w:hAnsi="仿宋" w:eastAsia="仿宋" w:cs="仿宋"/>
                <w:spacing w:val="3"/>
                <w:sz w:val="16"/>
                <w:szCs w:val="16"/>
              </w:rPr>
              <w:t xml:space="preserve"> </w:t>
            </w:r>
            <w:r>
              <w:rPr>
                <w:rFonts w:ascii="仿宋" w:hAnsi="仿宋" w:eastAsia="仿宋" w:cs="仿宋"/>
                <w:sz w:val="16"/>
                <w:szCs w:val="16"/>
              </w:rPr>
              <w:t>下</w:t>
            </w:r>
          </w:p>
        </w:tc>
        <w:tc>
          <w:tcPr>
            <w:tcW w:w="801" w:type="dxa"/>
            <w:tcBorders>
              <w:right w:val="single" w:color="000000" w:sz="8" w:space="0"/>
            </w:tcBorders>
            <w:vAlign w:val="top"/>
          </w:tcPr>
          <w:p w14:paraId="48D345AD">
            <w:pPr>
              <w:rPr>
                <w:rFonts w:ascii="Arial"/>
                <w:sz w:val="21"/>
              </w:rPr>
            </w:pPr>
          </w:p>
        </w:tc>
      </w:tr>
      <w:tr w14:paraId="1139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670" w:type="dxa"/>
            <w:tcBorders>
              <w:left w:val="single" w:color="000000" w:sz="8" w:space="0"/>
            </w:tcBorders>
            <w:vAlign w:val="top"/>
          </w:tcPr>
          <w:p w14:paraId="399AF374">
            <w:pPr>
              <w:spacing w:before="108" w:line="305" w:lineRule="auto"/>
              <w:ind w:left="26" w:right="44" w:firstLine="9"/>
              <w:jc w:val="both"/>
              <w:rPr>
                <w:rFonts w:ascii="仿宋" w:hAnsi="仿宋" w:eastAsia="仿宋" w:cs="仿宋"/>
                <w:sz w:val="16"/>
                <w:szCs w:val="16"/>
              </w:rPr>
            </w:pPr>
            <w:r>
              <w:rPr>
                <w:rFonts w:ascii="仿宋" w:hAnsi="仿宋" w:eastAsia="仿宋" w:cs="仿宋"/>
                <w:spacing w:val="-5"/>
                <w:sz w:val="16"/>
                <w:szCs w:val="16"/>
              </w:rPr>
              <w:t>工业</w:t>
            </w:r>
            <w:r>
              <w:rPr>
                <w:rFonts w:ascii="仿宋" w:hAnsi="仿宋" w:eastAsia="仿宋" w:cs="仿宋"/>
                <w:spacing w:val="25"/>
                <w:w w:val="101"/>
                <w:sz w:val="16"/>
                <w:szCs w:val="16"/>
              </w:rPr>
              <w:t xml:space="preserve"> </w:t>
            </w:r>
            <w:r>
              <w:rPr>
                <w:rFonts w:ascii="仿宋" w:hAnsi="仿宋" w:eastAsia="仿宋" w:cs="仿宋"/>
                <w:spacing w:val="-5"/>
                <w:sz w:val="16"/>
                <w:szCs w:val="16"/>
              </w:rPr>
              <w:t>(包括采矿业，制</w:t>
            </w:r>
            <w:r>
              <w:rPr>
                <w:rFonts w:ascii="仿宋" w:hAnsi="仿宋" w:eastAsia="仿宋" w:cs="仿宋"/>
                <w:sz w:val="16"/>
                <w:szCs w:val="16"/>
              </w:rPr>
              <w:t xml:space="preserve"> </w:t>
            </w:r>
            <w:r>
              <w:rPr>
                <w:rFonts w:ascii="仿宋" w:hAnsi="仿宋" w:eastAsia="仿宋" w:cs="仿宋"/>
                <w:spacing w:val="-25"/>
                <w:sz w:val="16"/>
                <w:szCs w:val="16"/>
              </w:rPr>
              <w:t>造业，电力、热力、燃</w:t>
            </w:r>
            <w:r>
              <w:rPr>
                <w:rFonts w:ascii="仿宋" w:hAnsi="仿宋" w:eastAsia="仿宋" w:cs="仿宋"/>
                <w:spacing w:val="20"/>
                <w:sz w:val="16"/>
                <w:szCs w:val="16"/>
              </w:rPr>
              <w:t xml:space="preserve"> </w:t>
            </w:r>
            <w:r>
              <w:rPr>
                <w:rFonts w:ascii="仿宋" w:hAnsi="仿宋" w:eastAsia="仿宋" w:cs="仿宋"/>
                <w:spacing w:val="-25"/>
                <w:sz w:val="16"/>
                <w:szCs w:val="16"/>
              </w:rPr>
              <w:t>气</w:t>
            </w:r>
            <w:r>
              <w:rPr>
                <w:rFonts w:ascii="仿宋" w:hAnsi="仿宋" w:eastAsia="仿宋" w:cs="仿宋"/>
                <w:sz w:val="16"/>
                <w:szCs w:val="16"/>
              </w:rPr>
              <w:t xml:space="preserve"> </w:t>
            </w:r>
            <w:r>
              <w:rPr>
                <w:rFonts w:ascii="仿宋" w:hAnsi="仿宋" w:eastAsia="仿宋" w:cs="仿宋"/>
                <w:spacing w:val="-3"/>
                <w:sz w:val="16"/>
                <w:szCs w:val="16"/>
              </w:rPr>
              <w:t>及水生产和供应业)</w:t>
            </w:r>
          </w:p>
        </w:tc>
        <w:tc>
          <w:tcPr>
            <w:tcW w:w="759" w:type="dxa"/>
            <w:vAlign w:val="top"/>
          </w:tcPr>
          <w:p w14:paraId="26B0E822">
            <w:pPr>
              <w:spacing w:before="267" w:line="351" w:lineRule="auto"/>
              <w:ind w:left="23" w:right="57" w:firstLine="6"/>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6BA2F05E">
            <w:pPr>
              <w:spacing w:before="267" w:line="351" w:lineRule="auto"/>
              <w:ind w:left="50" w:right="81" w:hanging="43"/>
              <w:rPr>
                <w:rFonts w:ascii="仿宋" w:hAnsi="仿宋" w:eastAsia="仿宋" w:cs="仿宋"/>
                <w:sz w:val="16"/>
                <w:szCs w:val="16"/>
              </w:rPr>
            </w:pPr>
            <w:r>
              <w:rPr>
                <w:rFonts w:ascii="仿宋" w:hAnsi="仿宋" w:eastAsia="仿宋" w:cs="仿宋"/>
                <w:spacing w:val="-5"/>
                <w:sz w:val="16"/>
                <w:szCs w:val="16"/>
              </w:rPr>
              <w:t>40000 万元</w:t>
            </w:r>
            <w:r>
              <w:rPr>
                <w:rFonts w:ascii="仿宋" w:hAnsi="仿宋" w:eastAsia="仿宋" w:cs="仿宋"/>
                <w:spacing w:val="4"/>
                <w:sz w:val="16"/>
                <w:szCs w:val="16"/>
              </w:rPr>
              <w:t xml:space="preserve"> </w:t>
            </w:r>
            <w:r>
              <w:rPr>
                <w:rFonts w:ascii="仿宋" w:hAnsi="仿宋" w:eastAsia="仿宋" w:cs="仿宋"/>
                <w:spacing w:val="-14"/>
                <w:sz w:val="16"/>
                <w:szCs w:val="16"/>
              </w:rPr>
              <w:t>以下</w:t>
            </w:r>
          </w:p>
        </w:tc>
        <w:tc>
          <w:tcPr>
            <w:tcW w:w="810" w:type="dxa"/>
            <w:vAlign w:val="top"/>
          </w:tcPr>
          <w:p w14:paraId="788EFD01">
            <w:pPr>
              <w:rPr>
                <w:rFonts w:ascii="Arial"/>
                <w:sz w:val="21"/>
              </w:rPr>
            </w:pPr>
          </w:p>
        </w:tc>
        <w:tc>
          <w:tcPr>
            <w:tcW w:w="743" w:type="dxa"/>
            <w:vAlign w:val="top"/>
          </w:tcPr>
          <w:p w14:paraId="11DB6F83">
            <w:pPr>
              <w:spacing w:before="265" w:line="355" w:lineRule="auto"/>
              <w:ind w:left="59" w:right="112" w:hanging="35"/>
              <w:rPr>
                <w:rFonts w:ascii="仿宋" w:hAnsi="仿宋" w:eastAsia="仿宋" w:cs="仿宋"/>
                <w:sz w:val="16"/>
                <w:szCs w:val="16"/>
              </w:rPr>
            </w:pPr>
            <w:r>
              <w:rPr>
                <w:rFonts w:ascii="仿宋" w:hAnsi="仿宋" w:eastAsia="仿宋" w:cs="仿宋"/>
                <w:spacing w:val="-7"/>
                <w:sz w:val="16"/>
                <w:szCs w:val="16"/>
              </w:rPr>
              <w:t>300 人及</w:t>
            </w:r>
            <w:r>
              <w:rPr>
                <w:rFonts w:ascii="仿宋" w:hAnsi="仿宋" w:eastAsia="仿宋" w:cs="仿宋"/>
                <w:spacing w:val="1"/>
                <w:sz w:val="16"/>
                <w:szCs w:val="16"/>
              </w:rPr>
              <w:t xml:space="preserve"> </w:t>
            </w:r>
            <w:r>
              <w:rPr>
                <w:rFonts w:ascii="仿宋" w:hAnsi="仿宋" w:eastAsia="仿宋" w:cs="仿宋"/>
                <w:spacing w:val="-14"/>
                <w:sz w:val="16"/>
                <w:szCs w:val="16"/>
              </w:rPr>
              <w:t>以上</w:t>
            </w:r>
          </w:p>
        </w:tc>
        <w:tc>
          <w:tcPr>
            <w:tcW w:w="907" w:type="dxa"/>
            <w:gridSpan w:val="2"/>
            <w:vAlign w:val="top"/>
          </w:tcPr>
          <w:p w14:paraId="05430CCB">
            <w:pPr>
              <w:spacing w:before="265" w:line="355" w:lineRule="auto"/>
              <w:ind w:left="62" w:right="37" w:hanging="38"/>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pacing w:val="6"/>
                <w:sz w:val="16"/>
                <w:szCs w:val="16"/>
              </w:rPr>
              <w:t xml:space="preserve"> </w:t>
            </w:r>
            <w:r>
              <w:rPr>
                <w:rFonts w:ascii="仿宋" w:hAnsi="仿宋" w:eastAsia="仿宋" w:cs="仿宋"/>
                <w:spacing w:val="-14"/>
                <w:sz w:val="16"/>
                <w:szCs w:val="16"/>
              </w:rPr>
              <w:t>以上</w:t>
            </w:r>
          </w:p>
        </w:tc>
        <w:tc>
          <w:tcPr>
            <w:tcW w:w="713" w:type="dxa"/>
            <w:vAlign w:val="top"/>
          </w:tcPr>
          <w:p w14:paraId="5C07F3B1">
            <w:pPr>
              <w:rPr>
                <w:rFonts w:ascii="Arial"/>
                <w:sz w:val="21"/>
              </w:rPr>
            </w:pPr>
          </w:p>
        </w:tc>
        <w:tc>
          <w:tcPr>
            <w:tcW w:w="761" w:type="dxa"/>
            <w:vAlign w:val="top"/>
          </w:tcPr>
          <w:p w14:paraId="4710CEFC">
            <w:pPr>
              <w:spacing w:before="268" w:line="366" w:lineRule="auto"/>
              <w:ind w:left="40" w:right="40"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760" w:type="dxa"/>
            <w:gridSpan w:val="2"/>
            <w:vAlign w:val="top"/>
          </w:tcPr>
          <w:p w14:paraId="6C93653F">
            <w:pPr>
              <w:spacing w:before="265" w:line="355" w:lineRule="auto"/>
              <w:ind w:left="43" w:right="116" w:hanging="6"/>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679" w:type="dxa"/>
            <w:vAlign w:val="top"/>
          </w:tcPr>
          <w:p w14:paraId="4D46A015">
            <w:pPr>
              <w:rPr>
                <w:rFonts w:ascii="Arial"/>
                <w:sz w:val="21"/>
              </w:rPr>
            </w:pPr>
          </w:p>
        </w:tc>
        <w:tc>
          <w:tcPr>
            <w:tcW w:w="774" w:type="dxa"/>
            <w:vAlign w:val="top"/>
          </w:tcPr>
          <w:p w14:paraId="0E8912DA">
            <w:pPr>
              <w:spacing w:line="357" w:lineRule="auto"/>
              <w:rPr>
                <w:rFonts w:ascii="Arial"/>
                <w:sz w:val="21"/>
              </w:rPr>
            </w:pPr>
          </w:p>
          <w:p w14:paraId="412BC74F">
            <w:pPr>
              <w:spacing w:before="52" w:line="224" w:lineRule="auto"/>
              <w:ind w:left="39"/>
              <w:rPr>
                <w:rFonts w:ascii="仿宋" w:hAnsi="仿宋" w:eastAsia="仿宋" w:cs="仿宋"/>
                <w:sz w:val="16"/>
                <w:szCs w:val="16"/>
              </w:rPr>
            </w:pPr>
            <w:r>
              <w:rPr>
                <w:rFonts w:ascii="仿宋" w:hAnsi="仿宋" w:eastAsia="仿宋" w:cs="仿宋"/>
                <w:spacing w:val="-9"/>
                <w:sz w:val="16"/>
                <w:szCs w:val="16"/>
              </w:rPr>
              <w:t>20</w:t>
            </w:r>
            <w:r>
              <w:rPr>
                <w:rFonts w:ascii="仿宋" w:hAnsi="仿宋" w:eastAsia="仿宋" w:cs="仿宋"/>
                <w:spacing w:val="-10"/>
                <w:sz w:val="16"/>
                <w:szCs w:val="16"/>
              </w:rPr>
              <w:t xml:space="preserve"> </w:t>
            </w:r>
            <w:r>
              <w:rPr>
                <w:rFonts w:ascii="仿宋" w:hAnsi="仿宋" w:eastAsia="仿宋" w:cs="仿宋"/>
                <w:spacing w:val="-9"/>
                <w:sz w:val="16"/>
                <w:szCs w:val="16"/>
              </w:rPr>
              <w:t>人以下</w:t>
            </w:r>
          </w:p>
        </w:tc>
        <w:tc>
          <w:tcPr>
            <w:tcW w:w="692" w:type="dxa"/>
            <w:gridSpan w:val="2"/>
            <w:vAlign w:val="top"/>
          </w:tcPr>
          <w:p w14:paraId="62370F4D">
            <w:pPr>
              <w:spacing w:before="267" w:line="351" w:lineRule="auto"/>
              <w:ind w:left="80" w:right="39" w:hanging="34"/>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54A0E46E">
            <w:pPr>
              <w:rPr>
                <w:rFonts w:ascii="Arial"/>
                <w:sz w:val="21"/>
              </w:rPr>
            </w:pPr>
          </w:p>
        </w:tc>
      </w:tr>
      <w:tr w14:paraId="7C29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71CAE849">
            <w:pPr>
              <w:spacing w:before="259" w:line="225" w:lineRule="auto"/>
              <w:ind w:left="29"/>
              <w:rPr>
                <w:rFonts w:ascii="仿宋" w:hAnsi="仿宋" w:eastAsia="仿宋" w:cs="仿宋"/>
                <w:sz w:val="16"/>
                <w:szCs w:val="16"/>
              </w:rPr>
            </w:pPr>
            <w:r>
              <w:rPr>
                <w:rFonts w:ascii="仿宋" w:hAnsi="仿宋" w:eastAsia="仿宋" w:cs="仿宋"/>
                <w:spacing w:val="-6"/>
                <w:sz w:val="16"/>
                <w:szCs w:val="16"/>
              </w:rPr>
              <w:t>建筑业</w:t>
            </w:r>
          </w:p>
        </w:tc>
        <w:tc>
          <w:tcPr>
            <w:tcW w:w="759" w:type="dxa"/>
            <w:vAlign w:val="top"/>
          </w:tcPr>
          <w:p w14:paraId="0BD991A6">
            <w:pPr>
              <w:rPr>
                <w:rFonts w:ascii="Arial"/>
                <w:sz w:val="21"/>
              </w:rPr>
            </w:pPr>
          </w:p>
        </w:tc>
        <w:tc>
          <w:tcPr>
            <w:tcW w:w="859" w:type="dxa"/>
            <w:gridSpan w:val="2"/>
            <w:vAlign w:val="top"/>
          </w:tcPr>
          <w:p w14:paraId="217FE87A">
            <w:pPr>
              <w:spacing w:before="112" w:line="276" w:lineRule="auto"/>
              <w:ind w:left="49" w:right="81" w:hanging="39"/>
              <w:rPr>
                <w:rFonts w:ascii="仿宋" w:hAnsi="仿宋" w:eastAsia="仿宋" w:cs="仿宋"/>
                <w:sz w:val="16"/>
                <w:szCs w:val="16"/>
              </w:rPr>
            </w:pPr>
            <w:r>
              <w:rPr>
                <w:rFonts w:ascii="仿宋" w:hAnsi="仿宋" w:eastAsia="仿宋" w:cs="仿宋"/>
                <w:spacing w:val="-5"/>
                <w:sz w:val="16"/>
                <w:szCs w:val="16"/>
              </w:rPr>
              <w:t>80000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10" w:type="dxa"/>
            <w:vAlign w:val="top"/>
          </w:tcPr>
          <w:p w14:paraId="662F243C">
            <w:pPr>
              <w:spacing w:before="112" w:line="276" w:lineRule="auto"/>
              <w:ind w:left="54" w:right="29" w:hanging="39"/>
              <w:rPr>
                <w:rFonts w:ascii="仿宋" w:hAnsi="仿宋" w:eastAsia="仿宋" w:cs="仿宋"/>
                <w:sz w:val="16"/>
                <w:szCs w:val="16"/>
              </w:rPr>
            </w:pPr>
            <w:r>
              <w:rPr>
                <w:rFonts w:ascii="仿宋" w:hAnsi="仿宋" w:eastAsia="仿宋" w:cs="仿宋"/>
                <w:spacing w:val="-6"/>
                <w:sz w:val="16"/>
                <w:szCs w:val="16"/>
              </w:rPr>
              <w:t>80000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743" w:type="dxa"/>
            <w:vAlign w:val="top"/>
          </w:tcPr>
          <w:p w14:paraId="716B57C9">
            <w:pPr>
              <w:rPr>
                <w:rFonts w:ascii="Arial"/>
                <w:sz w:val="21"/>
              </w:rPr>
            </w:pPr>
          </w:p>
        </w:tc>
        <w:tc>
          <w:tcPr>
            <w:tcW w:w="907" w:type="dxa"/>
            <w:gridSpan w:val="2"/>
            <w:vAlign w:val="top"/>
          </w:tcPr>
          <w:p w14:paraId="29275BC3">
            <w:pPr>
              <w:spacing w:before="115" w:line="277" w:lineRule="auto"/>
              <w:ind w:left="62" w:right="40" w:hanging="39"/>
              <w:rPr>
                <w:rFonts w:ascii="仿宋" w:hAnsi="仿宋" w:eastAsia="仿宋" w:cs="仿宋"/>
                <w:sz w:val="16"/>
                <w:szCs w:val="16"/>
              </w:rPr>
            </w:pPr>
            <w:r>
              <w:rPr>
                <w:rFonts w:ascii="仿宋" w:hAnsi="仿宋" w:eastAsia="仿宋" w:cs="仿宋"/>
                <w:spacing w:val="-6"/>
                <w:sz w:val="16"/>
                <w:szCs w:val="16"/>
              </w:rPr>
              <w:t>6000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72676D13">
            <w:pPr>
              <w:spacing w:before="115" w:line="277" w:lineRule="auto"/>
              <w:ind w:left="36" w:hanging="6"/>
              <w:rPr>
                <w:rFonts w:ascii="仿宋" w:hAnsi="仿宋" w:eastAsia="仿宋" w:cs="仿宋"/>
                <w:sz w:val="16"/>
                <w:szCs w:val="16"/>
              </w:rPr>
            </w:pPr>
            <w:r>
              <w:rPr>
                <w:rFonts w:ascii="仿宋" w:hAnsi="仿宋" w:eastAsia="仿宋" w:cs="仿宋"/>
                <w:spacing w:val="-7"/>
                <w:sz w:val="16"/>
                <w:szCs w:val="16"/>
              </w:rPr>
              <w:t>5000 万元</w:t>
            </w:r>
            <w:r>
              <w:rPr>
                <w:rFonts w:ascii="仿宋" w:hAnsi="仿宋" w:eastAsia="仿宋" w:cs="仿宋"/>
                <w:spacing w:val="5"/>
                <w:sz w:val="16"/>
                <w:szCs w:val="16"/>
              </w:rPr>
              <w:t xml:space="preserve"> </w:t>
            </w:r>
            <w:r>
              <w:rPr>
                <w:rFonts w:ascii="仿宋" w:hAnsi="仿宋" w:eastAsia="仿宋" w:cs="仿宋"/>
                <w:spacing w:val="-7"/>
                <w:sz w:val="16"/>
                <w:szCs w:val="16"/>
              </w:rPr>
              <w:t>及以上</w:t>
            </w:r>
          </w:p>
        </w:tc>
        <w:tc>
          <w:tcPr>
            <w:tcW w:w="761" w:type="dxa"/>
            <w:vAlign w:val="top"/>
          </w:tcPr>
          <w:p w14:paraId="4CEB0FD3">
            <w:pPr>
              <w:rPr>
                <w:rFonts w:ascii="Arial"/>
                <w:sz w:val="21"/>
              </w:rPr>
            </w:pPr>
          </w:p>
        </w:tc>
        <w:tc>
          <w:tcPr>
            <w:tcW w:w="760" w:type="dxa"/>
            <w:gridSpan w:val="2"/>
            <w:vAlign w:val="top"/>
          </w:tcPr>
          <w:p w14:paraId="34F4CF60">
            <w:pPr>
              <w:spacing w:before="115" w:line="277" w:lineRule="auto"/>
              <w:ind w:left="43" w:right="116" w:hanging="6"/>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679" w:type="dxa"/>
            <w:vAlign w:val="top"/>
          </w:tcPr>
          <w:p w14:paraId="7FD048D7">
            <w:pPr>
              <w:spacing w:before="115" w:line="277" w:lineRule="auto"/>
              <w:ind w:left="46" w:right="32" w:hanging="6"/>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774" w:type="dxa"/>
            <w:vAlign w:val="top"/>
          </w:tcPr>
          <w:p w14:paraId="10D6AE33">
            <w:pPr>
              <w:rPr>
                <w:rFonts w:ascii="Arial"/>
                <w:sz w:val="21"/>
              </w:rPr>
            </w:pPr>
          </w:p>
        </w:tc>
        <w:tc>
          <w:tcPr>
            <w:tcW w:w="692" w:type="dxa"/>
            <w:gridSpan w:val="2"/>
            <w:vAlign w:val="top"/>
          </w:tcPr>
          <w:p w14:paraId="7BE0F949">
            <w:pPr>
              <w:spacing w:before="112" w:line="276" w:lineRule="auto"/>
              <w:ind w:left="80" w:right="39" w:hanging="34"/>
              <w:rPr>
                <w:rFonts w:ascii="仿宋" w:hAnsi="仿宋" w:eastAsia="仿宋" w:cs="仿宋"/>
                <w:sz w:val="16"/>
                <w:szCs w:val="16"/>
              </w:rPr>
            </w:pPr>
            <w:r>
              <w:rPr>
                <w:rFonts w:ascii="仿宋" w:hAnsi="仿宋" w:eastAsia="仿宋" w:cs="仿宋"/>
                <w:spacing w:val="-7"/>
                <w:sz w:val="16"/>
                <w:szCs w:val="16"/>
              </w:rPr>
              <w:t>300 万元</w:t>
            </w:r>
            <w:r>
              <w:rPr>
                <w:rFonts w:ascii="仿宋" w:hAnsi="仿宋" w:eastAsia="仿宋" w:cs="仿宋"/>
                <w:spacing w:val="1"/>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74FDFF97">
            <w:pPr>
              <w:spacing w:before="112" w:line="276" w:lineRule="auto"/>
              <w:ind w:left="57" w:hanging="7"/>
              <w:rPr>
                <w:rFonts w:ascii="仿宋" w:hAnsi="仿宋" w:eastAsia="仿宋" w:cs="仿宋"/>
                <w:sz w:val="16"/>
                <w:szCs w:val="16"/>
              </w:rPr>
            </w:pPr>
            <w:r>
              <w:rPr>
                <w:rFonts w:ascii="仿宋" w:hAnsi="仿宋" w:eastAsia="仿宋" w:cs="仿宋"/>
                <w:spacing w:val="-9"/>
                <w:sz w:val="16"/>
                <w:szCs w:val="16"/>
              </w:rPr>
              <w:t>300 万元以</w:t>
            </w:r>
            <w:r>
              <w:rPr>
                <w:rFonts w:ascii="仿宋" w:hAnsi="仿宋" w:eastAsia="仿宋" w:cs="仿宋"/>
                <w:sz w:val="16"/>
                <w:szCs w:val="16"/>
              </w:rPr>
              <w:t xml:space="preserve"> 下</w:t>
            </w:r>
          </w:p>
        </w:tc>
      </w:tr>
      <w:tr w14:paraId="736CD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5E14A5E0">
            <w:pPr>
              <w:spacing w:before="260" w:line="224" w:lineRule="auto"/>
              <w:ind w:left="29"/>
              <w:rPr>
                <w:rFonts w:ascii="仿宋" w:hAnsi="仿宋" w:eastAsia="仿宋" w:cs="仿宋"/>
                <w:sz w:val="16"/>
                <w:szCs w:val="16"/>
              </w:rPr>
            </w:pPr>
            <w:r>
              <w:rPr>
                <w:rFonts w:ascii="仿宋" w:hAnsi="仿宋" w:eastAsia="仿宋" w:cs="仿宋"/>
                <w:spacing w:val="-6"/>
                <w:sz w:val="16"/>
                <w:szCs w:val="16"/>
              </w:rPr>
              <w:t>批发业</w:t>
            </w:r>
          </w:p>
        </w:tc>
        <w:tc>
          <w:tcPr>
            <w:tcW w:w="759" w:type="dxa"/>
            <w:vAlign w:val="top"/>
          </w:tcPr>
          <w:p w14:paraId="5735E5DF">
            <w:pPr>
              <w:spacing w:before="113" w:line="276" w:lineRule="auto"/>
              <w:ind w:left="23" w:right="138" w:hanging="13"/>
              <w:rPr>
                <w:rFonts w:ascii="仿宋" w:hAnsi="仿宋" w:eastAsia="仿宋" w:cs="仿宋"/>
                <w:sz w:val="16"/>
                <w:szCs w:val="16"/>
              </w:rPr>
            </w:pPr>
            <w:r>
              <w:rPr>
                <w:rFonts w:ascii="仿宋" w:hAnsi="仿宋" w:eastAsia="仿宋" w:cs="仿宋"/>
                <w:spacing w:val="-6"/>
                <w:sz w:val="16"/>
                <w:szCs w:val="16"/>
              </w:rPr>
              <w:t>200 人以</w:t>
            </w:r>
            <w:r>
              <w:rPr>
                <w:rFonts w:ascii="仿宋" w:hAnsi="仿宋" w:eastAsia="仿宋" w:cs="仿宋"/>
                <w:sz w:val="16"/>
                <w:szCs w:val="16"/>
              </w:rPr>
              <w:t xml:space="preserve"> 下</w:t>
            </w:r>
          </w:p>
        </w:tc>
        <w:tc>
          <w:tcPr>
            <w:tcW w:w="859" w:type="dxa"/>
            <w:gridSpan w:val="2"/>
            <w:vAlign w:val="top"/>
          </w:tcPr>
          <w:p w14:paraId="786D7178">
            <w:pPr>
              <w:spacing w:before="113" w:line="276" w:lineRule="auto"/>
              <w:ind w:left="50" w:right="81" w:hanging="43"/>
              <w:rPr>
                <w:rFonts w:ascii="仿宋" w:hAnsi="仿宋" w:eastAsia="仿宋" w:cs="仿宋"/>
                <w:sz w:val="16"/>
                <w:szCs w:val="16"/>
              </w:rPr>
            </w:pPr>
            <w:r>
              <w:rPr>
                <w:rFonts w:ascii="仿宋" w:hAnsi="仿宋" w:eastAsia="仿宋" w:cs="仿宋"/>
                <w:spacing w:val="-5"/>
                <w:sz w:val="16"/>
                <w:szCs w:val="16"/>
              </w:rPr>
              <w:t>40000 万元</w:t>
            </w:r>
            <w:r>
              <w:rPr>
                <w:rFonts w:ascii="仿宋" w:hAnsi="仿宋" w:eastAsia="仿宋" w:cs="仿宋"/>
                <w:spacing w:val="4"/>
                <w:sz w:val="16"/>
                <w:szCs w:val="16"/>
              </w:rPr>
              <w:t xml:space="preserve"> </w:t>
            </w:r>
            <w:r>
              <w:rPr>
                <w:rFonts w:ascii="仿宋" w:hAnsi="仿宋" w:eastAsia="仿宋" w:cs="仿宋"/>
                <w:spacing w:val="-14"/>
                <w:sz w:val="16"/>
                <w:szCs w:val="16"/>
              </w:rPr>
              <w:t>以下</w:t>
            </w:r>
          </w:p>
        </w:tc>
        <w:tc>
          <w:tcPr>
            <w:tcW w:w="810" w:type="dxa"/>
            <w:vAlign w:val="top"/>
          </w:tcPr>
          <w:p w14:paraId="10635877">
            <w:pPr>
              <w:rPr>
                <w:rFonts w:ascii="Arial"/>
                <w:sz w:val="21"/>
              </w:rPr>
            </w:pPr>
          </w:p>
        </w:tc>
        <w:tc>
          <w:tcPr>
            <w:tcW w:w="743" w:type="dxa"/>
            <w:vAlign w:val="top"/>
          </w:tcPr>
          <w:p w14:paraId="4EA37FB4">
            <w:pPr>
              <w:spacing w:before="114" w:line="288" w:lineRule="auto"/>
              <w:ind w:left="29" w:right="33"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907" w:type="dxa"/>
            <w:gridSpan w:val="2"/>
            <w:vAlign w:val="top"/>
          </w:tcPr>
          <w:p w14:paraId="5AAA4D54">
            <w:pPr>
              <w:spacing w:before="113" w:line="280" w:lineRule="auto"/>
              <w:ind w:left="61" w:right="37" w:hanging="34"/>
              <w:rPr>
                <w:rFonts w:ascii="仿宋" w:hAnsi="仿宋" w:eastAsia="仿宋" w:cs="仿宋"/>
                <w:sz w:val="16"/>
                <w:szCs w:val="16"/>
              </w:rPr>
            </w:pPr>
            <w:r>
              <w:rPr>
                <w:rFonts w:ascii="仿宋" w:hAnsi="仿宋" w:eastAsia="仿宋" w:cs="仿宋"/>
                <w:spacing w:val="-6"/>
                <w:sz w:val="16"/>
                <w:szCs w:val="16"/>
              </w:rPr>
              <w:t>5000 万元及</w:t>
            </w:r>
            <w:r>
              <w:rPr>
                <w:rFonts w:ascii="仿宋" w:hAnsi="仿宋" w:eastAsia="仿宋" w:cs="仿宋"/>
                <w:spacing w:val="3"/>
                <w:sz w:val="16"/>
                <w:szCs w:val="16"/>
              </w:rPr>
              <w:t xml:space="preserve"> </w:t>
            </w:r>
            <w:r>
              <w:rPr>
                <w:rFonts w:ascii="仿宋" w:hAnsi="仿宋" w:eastAsia="仿宋" w:cs="仿宋"/>
                <w:spacing w:val="-14"/>
                <w:sz w:val="16"/>
                <w:szCs w:val="16"/>
              </w:rPr>
              <w:t>以上</w:t>
            </w:r>
          </w:p>
        </w:tc>
        <w:tc>
          <w:tcPr>
            <w:tcW w:w="713" w:type="dxa"/>
            <w:vAlign w:val="top"/>
          </w:tcPr>
          <w:p w14:paraId="3C94E0FE">
            <w:pPr>
              <w:rPr>
                <w:rFonts w:ascii="Arial"/>
                <w:sz w:val="21"/>
              </w:rPr>
            </w:pPr>
          </w:p>
        </w:tc>
        <w:tc>
          <w:tcPr>
            <w:tcW w:w="761" w:type="dxa"/>
            <w:vAlign w:val="top"/>
          </w:tcPr>
          <w:p w14:paraId="5BF26EF9">
            <w:pPr>
              <w:spacing w:before="114" w:line="288" w:lineRule="auto"/>
              <w:ind w:left="40" w:right="117" w:hanging="5"/>
              <w:rPr>
                <w:rFonts w:ascii="仿宋" w:hAnsi="仿宋" w:eastAsia="仿宋" w:cs="仿宋"/>
                <w:sz w:val="16"/>
                <w:szCs w:val="16"/>
              </w:rPr>
            </w:pPr>
            <w:r>
              <w:rPr>
                <w:rFonts w:ascii="仿宋" w:hAnsi="仿宋" w:eastAsia="仿宋" w:cs="仿宋"/>
                <w:spacing w:val="-8"/>
                <w:sz w:val="16"/>
                <w:szCs w:val="16"/>
              </w:rPr>
              <w:t>5 人及以</w:t>
            </w:r>
            <w:r>
              <w:rPr>
                <w:rFonts w:ascii="仿宋" w:hAnsi="仿宋" w:eastAsia="仿宋" w:cs="仿宋"/>
                <w:spacing w:val="2"/>
                <w:sz w:val="16"/>
                <w:szCs w:val="16"/>
              </w:rPr>
              <w:t xml:space="preserve"> </w:t>
            </w:r>
            <w:r>
              <w:rPr>
                <w:rFonts w:ascii="仿宋" w:hAnsi="仿宋" w:eastAsia="仿宋" w:cs="仿宋"/>
                <w:sz w:val="16"/>
                <w:szCs w:val="16"/>
              </w:rPr>
              <w:t>上</w:t>
            </w:r>
          </w:p>
        </w:tc>
        <w:tc>
          <w:tcPr>
            <w:tcW w:w="760" w:type="dxa"/>
            <w:gridSpan w:val="2"/>
            <w:vAlign w:val="top"/>
          </w:tcPr>
          <w:p w14:paraId="3C2B047E">
            <w:pPr>
              <w:spacing w:before="113" w:line="280" w:lineRule="auto"/>
              <w:ind w:left="43" w:right="35" w:firstLine="9"/>
              <w:rPr>
                <w:rFonts w:ascii="仿宋" w:hAnsi="仿宋" w:eastAsia="仿宋" w:cs="仿宋"/>
                <w:sz w:val="16"/>
                <w:szCs w:val="16"/>
              </w:rPr>
            </w:pPr>
            <w:r>
              <w:rPr>
                <w:rFonts w:ascii="仿宋" w:hAnsi="仿宋" w:eastAsia="仿宋" w:cs="仿宋"/>
                <w:spacing w:val="-8"/>
                <w:sz w:val="16"/>
                <w:szCs w:val="16"/>
              </w:rPr>
              <w:t>1000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679" w:type="dxa"/>
            <w:vAlign w:val="top"/>
          </w:tcPr>
          <w:p w14:paraId="19CCBAEA">
            <w:pPr>
              <w:rPr>
                <w:rFonts w:ascii="Arial"/>
                <w:sz w:val="21"/>
              </w:rPr>
            </w:pPr>
          </w:p>
        </w:tc>
        <w:tc>
          <w:tcPr>
            <w:tcW w:w="774" w:type="dxa"/>
            <w:vAlign w:val="top"/>
          </w:tcPr>
          <w:p w14:paraId="6BB2D187">
            <w:pPr>
              <w:spacing w:before="259" w:line="224" w:lineRule="auto"/>
              <w:ind w:left="43"/>
              <w:rPr>
                <w:rFonts w:ascii="仿宋" w:hAnsi="仿宋" w:eastAsia="仿宋" w:cs="仿宋"/>
                <w:sz w:val="16"/>
                <w:szCs w:val="16"/>
              </w:rPr>
            </w:pPr>
            <w:r>
              <w:rPr>
                <w:rFonts w:ascii="仿宋" w:hAnsi="仿宋" w:eastAsia="仿宋" w:cs="仿宋"/>
                <w:spacing w:val="-10"/>
                <w:sz w:val="16"/>
                <w:szCs w:val="16"/>
              </w:rPr>
              <w:t>5</w:t>
            </w:r>
            <w:r>
              <w:rPr>
                <w:rFonts w:ascii="仿宋" w:hAnsi="仿宋" w:eastAsia="仿宋" w:cs="仿宋"/>
                <w:spacing w:val="-18"/>
                <w:sz w:val="16"/>
                <w:szCs w:val="16"/>
              </w:rPr>
              <w:t xml:space="preserve"> </w:t>
            </w:r>
            <w:r>
              <w:rPr>
                <w:rFonts w:ascii="仿宋" w:hAnsi="仿宋" w:eastAsia="仿宋" w:cs="仿宋"/>
                <w:spacing w:val="-10"/>
                <w:sz w:val="16"/>
                <w:szCs w:val="16"/>
              </w:rPr>
              <w:t>人以下</w:t>
            </w:r>
          </w:p>
        </w:tc>
        <w:tc>
          <w:tcPr>
            <w:tcW w:w="692" w:type="dxa"/>
            <w:gridSpan w:val="2"/>
            <w:vAlign w:val="top"/>
          </w:tcPr>
          <w:p w14:paraId="162472DF">
            <w:pPr>
              <w:spacing w:before="113" w:line="276" w:lineRule="auto"/>
              <w:ind w:left="80" w:hanging="15"/>
              <w:rPr>
                <w:rFonts w:ascii="仿宋" w:hAnsi="仿宋" w:eastAsia="仿宋" w:cs="仿宋"/>
                <w:sz w:val="16"/>
                <w:szCs w:val="16"/>
              </w:rPr>
            </w:pPr>
            <w:r>
              <w:rPr>
                <w:rFonts w:ascii="仿宋" w:hAnsi="仿宋" w:eastAsia="仿宋" w:cs="仿宋"/>
                <w:spacing w:val="-16"/>
                <w:sz w:val="16"/>
                <w:szCs w:val="16"/>
              </w:rPr>
              <w:t>1</w:t>
            </w:r>
            <w:r>
              <w:rPr>
                <w:rFonts w:ascii="仿宋" w:hAnsi="仿宋" w:eastAsia="仿宋" w:cs="仿宋"/>
                <w:spacing w:val="-15"/>
                <w:sz w:val="16"/>
                <w:szCs w:val="16"/>
              </w:rPr>
              <w:t>000 万</w:t>
            </w:r>
            <w:r>
              <w:rPr>
                <w:rFonts w:ascii="仿宋" w:hAnsi="仿宋" w:eastAsia="仿宋" w:cs="仿宋"/>
                <w:spacing w:val="-14"/>
                <w:sz w:val="16"/>
                <w:szCs w:val="16"/>
              </w:rPr>
              <w:t>元</w:t>
            </w:r>
            <w:r>
              <w:rPr>
                <w:rFonts w:ascii="仿宋" w:hAnsi="仿宋" w:eastAsia="仿宋" w:cs="仿宋"/>
                <w:spacing w:val="5"/>
                <w:sz w:val="16"/>
                <w:szCs w:val="16"/>
              </w:rPr>
              <w:t xml:space="preserve"> </w:t>
            </w:r>
            <w:r>
              <w:rPr>
                <w:rFonts w:ascii="仿宋" w:hAnsi="仿宋" w:eastAsia="仿宋" w:cs="仿宋"/>
                <w:spacing w:val="-17"/>
                <w:sz w:val="16"/>
                <w:szCs w:val="16"/>
              </w:rPr>
              <w:t>以下</w:t>
            </w:r>
          </w:p>
        </w:tc>
        <w:tc>
          <w:tcPr>
            <w:tcW w:w="801" w:type="dxa"/>
            <w:tcBorders>
              <w:right w:val="single" w:color="000000" w:sz="8" w:space="0"/>
            </w:tcBorders>
            <w:vAlign w:val="top"/>
          </w:tcPr>
          <w:p w14:paraId="63A261EA">
            <w:pPr>
              <w:rPr>
                <w:rFonts w:ascii="Arial"/>
                <w:sz w:val="21"/>
              </w:rPr>
            </w:pPr>
          </w:p>
        </w:tc>
      </w:tr>
      <w:tr w14:paraId="1F161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5EBFDB5C">
            <w:pPr>
              <w:spacing w:before="257" w:line="222" w:lineRule="auto"/>
              <w:ind w:left="30"/>
              <w:rPr>
                <w:rFonts w:ascii="仿宋" w:hAnsi="仿宋" w:eastAsia="仿宋" w:cs="仿宋"/>
                <w:sz w:val="16"/>
                <w:szCs w:val="16"/>
              </w:rPr>
            </w:pPr>
            <w:r>
              <w:rPr>
                <w:rFonts w:ascii="仿宋" w:hAnsi="仿宋" w:eastAsia="仿宋" w:cs="仿宋"/>
                <w:spacing w:val="-7"/>
                <w:sz w:val="16"/>
                <w:szCs w:val="16"/>
              </w:rPr>
              <w:t>零售业</w:t>
            </w:r>
          </w:p>
        </w:tc>
        <w:tc>
          <w:tcPr>
            <w:tcW w:w="759" w:type="dxa"/>
            <w:vAlign w:val="top"/>
          </w:tcPr>
          <w:p w14:paraId="4E031101">
            <w:pPr>
              <w:spacing w:before="112"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6DC989BB">
            <w:pPr>
              <w:spacing w:before="112" w:line="276" w:lineRule="auto"/>
              <w:ind w:left="50" w:right="81" w:hanging="38"/>
              <w:rPr>
                <w:rFonts w:ascii="仿宋" w:hAnsi="仿宋" w:eastAsia="仿宋" w:cs="仿宋"/>
                <w:sz w:val="16"/>
                <w:szCs w:val="16"/>
              </w:rPr>
            </w:pPr>
            <w:r>
              <w:rPr>
                <w:rFonts w:ascii="仿宋" w:hAnsi="仿宋" w:eastAsia="仿宋" w:cs="仿宋"/>
                <w:spacing w:val="-7"/>
                <w:sz w:val="16"/>
                <w:szCs w:val="16"/>
              </w:rPr>
              <w:t>20000</w:t>
            </w:r>
            <w:r>
              <w:rPr>
                <w:rFonts w:ascii="仿宋" w:hAnsi="仿宋" w:eastAsia="仿宋" w:cs="仿宋"/>
                <w:spacing w:val="8"/>
                <w:sz w:val="16"/>
                <w:szCs w:val="16"/>
              </w:rPr>
              <w:t xml:space="preserve"> </w:t>
            </w:r>
            <w:r>
              <w:rPr>
                <w:rFonts w:ascii="仿宋" w:hAnsi="仿宋" w:eastAsia="仿宋" w:cs="仿宋"/>
                <w:spacing w:val="-7"/>
                <w:sz w:val="16"/>
                <w:szCs w:val="16"/>
              </w:rPr>
              <w:t>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10" w:type="dxa"/>
            <w:vAlign w:val="top"/>
          </w:tcPr>
          <w:p w14:paraId="5D74773F">
            <w:pPr>
              <w:rPr>
                <w:rFonts w:ascii="Arial"/>
                <w:sz w:val="21"/>
              </w:rPr>
            </w:pPr>
          </w:p>
        </w:tc>
        <w:tc>
          <w:tcPr>
            <w:tcW w:w="743" w:type="dxa"/>
            <w:vAlign w:val="top"/>
          </w:tcPr>
          <w:p w14:paraId="54CA3332">
            <w:pPr>
              <w:spacing w:before="113" w:line="291" w:lineRule="auto"/>
              <w:ind w:left="29" w:right="35" w:hanging="5"/>
              <w:rPr>
                <w:rFonts w:ascii="仿宋" w:hAnsi="仿宋" w:eastAsia="仿宋" w:cs="仿宋"/>
                <w:sz w:val="16"/>
                <w:szCs w:val="16"/>
              </w:rPr>
            </w:pPr>
            <w:r>
              <w:rPr>
                <w:rFonts w:ascii="仿宋" w:hAnsi="仿宋" w:eastAsia="仿宋" w:cs="仿宋"/>
                <w:spacing w:val="-8"/>
                <w:sz w:val="16"/>
                <w:szCs w:val="16"/>
              </w:rPr>
              <w:t>50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907" w:type="dxa"/>
            <w:gridSpan w:val="2"/>
            <w:vAlign w:val="top"/>
          </w:tcPr>
          <w:p w14:paraId="459554BA">
            <w:pPr>
              <w:spacing w:before="115" w:line="277" w:lineRule="auto"/>
              <w:ind w:left="61" w:right="117" w:hanging="34"/>
              <w:rPr>
                <w:rFonts w:ascii="仿宋" w:hAnsi="仿宋" w:eastAsia="仿宋" w:cs="仿宋"/>
                <w:sz w:val="16"/>
                <w:szCs w:val="16"/>
              </w:rPr>
            </w:pPr>
            <w:r>
              <w:rPr>
                <w:rFonts w:ascii="仿宋" w:hAnsi="仿宋" w:eastAsia="仿宋" w:cs="仿宋"/>
                <w:spacing w:val="-7"/>
                <w:sz w:val="16"/>
                <w:szCs w:val="16"/>
              </w:rPr>
              <w:t>500 万元及</w:t>
            </w:r>
            <w:r>
              <w:rPr>
                <w:rFonts w:ascii="仿宋" w:hAnsi="仿宋" w:eastAsia="仿宋" w:cs="仿宋"/>
                <w:spacing w:val="4"/>
                <w:sz w:val="16"/>
                <w:szCs w:val="16"/>
              </w:rPr>
              <w:t xml:space="preserve"> </w:t>
            </w:r>
            <w:r>
              <w:rPr>
                <w:rFonts w:ascii="仿宋" w:hAnsi="仿宋" w:eastAsia="仿宋" w:cs="仿宋"/>
                <w:spacing w:val="-14"/>
                <w:sz w:val="16"/>
                <w:szCs w:val="16"/>
              </w:rPr>
              <w:t>以上</w:t>
            </w:r>
          </w:p>
        </w:tc>
        <w:tc>
          <w:tcPr>
            <w:tcW w:w="713" w:type="dxa"/>
            <w:vAlign w:val="top"/>
          </w:tcPr>
          <w:p w14:paraId="419BE158">
            <w:pPr>
              <w:rPr>
                <w:rFonts w:ascii="Arial"/>
                <w:sz w:val="21"/>
              </w:rPr>
            </w:pPr>
          </w:p>
        </w:tc>
        <w:tc>
          <w:tcPr>
            <w:tcW w:w="761" w:type="dxa"/>
            <w:vAlign w:val="top"/>
          </w:tcPr>
          <w:p w14:paraId="5E44D431">
            <w:pPr>
              <w:spacing w:before="113"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4B533325">
            <w:pPr>
              <w:spacing w:before="115" w:line="277"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681BA9C4">
            <w:pPr>
              <w:rPr>
                <w:rFonts w:ascii="Arial"/>
                <w:sz w:val="21"/>
              </w:rPr>
            </w:pPr>
          </w:p>
        </w:tc>
        <w:tc>
          <w:tcPr>
            <w:tcW w:w="774" w:type="dxa"/>
            <w:vAlign w:val="top"/>
          </w:tcPr>
          <w:p w14:paraId="0A4062DA">
            <w:pPr>
              <w:spacing w:before="259"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545D44E2">
            <w:pPr>
              <w:spacing w:before="112"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2E2246AD">
            <w:pPr>
              <w:rPr>
                <w:rFonts w:ascii="Arial"/>
                <w:sz w:val="21"/>
              </w:rPr>
            </w:pPr>
          </w:p>
        </w:tc>
      </w:tr>
      <w:tr w14:paraId="5224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263983B0">
            <w:pPr>
              <w:spacing w:before="115" w:line="277" w:lineRule="auto"/>
              <w:ind w:left="30" w:right="47" w:firstLine="4"/>
              <w:rPr>
                <w:rFonts w:ascii="仿宋" w:hAnsi="仿宋" w:eastAsia="仿宋" w:cs="仿宋"/>
                <w:sz w:val="16"/>
                <w:szCs w:val="16"/>
              </w:rPr>
            </w:pPr>
            <w:r>
              <w:rPr>
                <w:rFonts w:ascii="仿宋" w:hAnsi="仿宋" w:eastAsia="仿宋" w:cs="仿宋"/>
                <w:spacing w:val="-7"/>
                <w:sz w:val="16"/>
                <w:szCs w:val="16"/>
              </w:rPr>
              <w:t>交通运输业</w:t>
            </w:r>
            <w:r>
              <w:rPr>
                <w:rFonts w:ascii="仿宋" w:hAnsi="仿宋" w:eastAsia="仿宋" w:cs="仿宋"/>
                <w:spacing w:val="43"/>
                <w:sz w:val="16"/>
                <w:szCs w:val="16"/>
              </w:rPr>
              <w:t xml:space="preserve"> </w:t>
            </w:r>
            <w:r>
              <w:rPr>
                <w:rFonts w:ascii="仿宋" w:hAnsi="仿宋" w:eastAsia="仿宋" w:cs="仿宋"/>
                <w:spacing w:val="-7"/>
                <w:sz w:val="16"/>
                <w:szCs w:val="16"/>
              </w:rPr>
              <w:t>(不含铁路</w:t>
            </w:r>
            <w:r>
              <w:rPr>
                <w:rFonts w:ascii="仿宋" w:hAnsi="仿宋" w:eastAsia="仿宋" w:cs="仿宋"/>
                <w:sz w:val="16"/>
                <w:szCs w:val="16"/>
              </w:rPr>
              <w:t xml:space="preserve"> </w:t>
            </w:r>
            <w:r>
              <w:rPr>
                <w:rFonts w:ascii="仿宋" w:hAnsi="仿宋" w:eastAsia="仿宋" w:cs="仿宋"/>
                <w:spacing w:val="-6"/>
                <w:sz w:val="16"/>
                <w:szCs w:val="16"/>
              </w:rPr>
              <w:t>运输业)</w:t>
            </w:r>
          </w:p>
        </w:tc>
        <w:tc>
          <w:tcPr>
            <w:tcW w:w="759" w:type="dxa"/>
            <w:vAlign w:val="top"/>
          </w:tcPr>
          <w:p w14:paraId="046FD858">
            <w:pPr>
              <w:spacing w:before="113" w:line="276" w:lineRule="auto"/>
              <w:ind w:left="23" w:right="57" w:firstLine="6"/>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34FE9A4A">
            <w:pPr>
              <w:spacing w:before="113" w:line="276" w:lineRule="auto"/>
              <w:ind w:left="49" w:right="81" w:hanging="34"/>
              <w:rPr>
                <w:rFonts w:ascii="仿宋" w:hAnsi="仿宋" w:eastAsia="仿宋" w:cs="仿宋"/>
                <w:sz w:val="16"/>
                <w:szCs w:val="16"/>
              </w:rPr>
            </w:pPr>
            <w:r>
              <w:rPr>
                <w:rFonts w:ascii="仿宋" w:hAnsi="仿宋" w:eastAsia="仿宋" w:cs="仿宋"/>
                <w:spacing w:val="-6"/>
                <w:sz w:val="16"/>
                <w:szCs w:val="16"/>
              </w:rPr>
              <w:t>30000 万元</w:t>
            </w:r>
            <w:r>
              <w:rPr>
                <w:rFonts w:ascii="仿宋" w:hAnsi="仿宋" w:eastAsia="仿宋" w:cs="仿宋"/>
                <w:spacing w:val="3"/>
                <w:sz w:val="16"/>
                <w:szCs w:val="16"/>
              </w:rPr>
              <w:t xml:space="preserve"> </w:t>
            </w:r>
            <w:r>
              <w:rPr>
                <w:rFonts w:ascii="仿宋" w:hAnsi="仿宋" w:eastAsia="仿宋" w:cs="仿宋"/>
                <w:spacing w:val="-14"/>
                <w:sz w:val="16"/>
                <w:szCs w:val="16"/>
              </w:rPr>
              <w:t>以下</w:t>
            </w:r>
          </w:p>
        </w:tc>
        <w:tc>
          <w:tcPr>
            <w:tcW w:w="810" w:type="dxa"/>
            <w:vAlign w:val="top"/>
          </w:tcPr>
          <w:p w14:paraId="3E061ED9">
            <w:pPr>
              <w:rPr>
                <w:rFonts w:ascii="Arial"/>
                <w:sz w:val="21"/>
              </w:rPr>
            </w:pPr>
          </w:p>
        </w:tc>
        <w:tc>
          <w:tcPr>
            <w:tcW w:w="743" w:type="dxa"/>
            <w:vAlign w:val="top"/>
          </w:tcPr>
          <w:p w14:paraId="5F12D921">
            <w:pPr>
              <w:spacing w:before="116" w:line="277" w:lineRule="auto"/>
              <w:ind w:left="59" w:right="112" w:hanging="35"/>
              <w:rPr>
                <w:rFonts w:ascii="仿宋" w:hAnsi="仿宋" w:eastAsia="仿宋" w:cs="仿宋"/>
                <w:sz w:val="16"/>
                <w:szCs w:val="16"/>
              </w:rPr>
            </w:pPr>
            <w:r>
              <w:rPr>
                <w:rFonts w:ascii="仿宋" w:hAnsi="仿宋" w:eastAsia="仿宋" w:cs="仿宋"/>
                <w:spacing w:val="-7"/>
                <w:sz w:val="16"/>
                <w:szCs w:val="16"/>
              </w:rPr>
              <w:t>300 人及</w:t>
            </w:r>
            <w:r>
              <w:rPr>
                <w:rFonts w:ascii="仿宋" w:hAnsi="仿宋" w:eastAsia="仿宋" w:cs="仿宋"/>
                <w:spacing w:val="1"/>
                <w:sz w:val="16"/>
                <w:szCs w:val="16"/>
              </w:rPr>
              <w:t xml:space="preserve"> </w:t>
            </w:r>
            <w:r>
              <w:rPr>
                <w:rFonts w:ascii="仿宋" w:hAnsi="仿宋" w:eastAsia="仿宋" w:cs="仿宋"/>
                <w:spacing w:val="-14"/>
                <w:sz w:val="16"/>
                <w:szCs w:val="16"/>
              </w:rPr>
              <w:t>以上</w:t>
            </w:r>
          </w:p>
        </w:tc>
        <w:tc>
          <w:tcPr>
            <w:tcW w:w="907" w:type="dxa"/>
            <w:gridSpan w:val="2"/>
            <w:vAlign w:val="top"/>
          </w:tcPr>
          <w:p w14:paraId="46E6E8B5">
            <w:pPr>
              <w:spacing w:before="116" w:line="277" w:lineRule="auto"/>
              <w:ind w:left="61" w:right="37" w:hanging="34"/>
              <w:rPr>
                <w:rFonts w:ascii="仿宋" w:hAnsi="仿宋" w:eastAsia="仿宋" w:cs="仿宋"/>
                <w:sz w:val="16"/>
                <w:szCs w:val="16"/>
              </w:rPr>
            </w:pPr>
            <w:r>
              <w:rPr>
                <w:rFonts w:ascii="仿宋" w:hAnsi="仿宋" w:eastAsia="仿宋" w:cs="仿宋"/>
                <w:spacing w:val="-6"/>
                <w:sz w:val="16"/>
                <w:szCs w:val="16"/>
              </w:rPr>
              <w:t>3000 万元及</w:t>
            </w:r>
            <w:r>
              <w:rPr>
                <w:rFonts w:ascii="仿宋" w:hAnsi="仿宋" w:eastAsia="仿宋" w:cs="仿宋"/>
                <w:spacing w:val="3"/>
                <w:sz w:val="16"/>
                <w:szCs w:val="16"/>
              </w:rPr>
              <w:t xml:space="preserve"> </w:t>
            </w:r>
            <w:r>
              <w:rPr>
                <w:rFonts w:ascii="仿宋" w:hAnsi="仿宋" w:eastAsia="仿宋" w:cs="仿宋"/>
                <w:spacing w:val="-14"/>
                <w:sz w:val="16"/>
                <w:szCs w:val="16"/>
              </w:rPr>
              <w:t>以上</w:t>
            </w:r>
          </w:p>
        </w:tc>
        <w:tc>
          <w:tcPr>
            <w:tcW w:w="713" w:type="dxa"/>
            <w:vAlign w:val="top"/>
          </w:tcPr>
          <w:p w14:paraId="62230D9F">
            <w:pPr>
              <w:rPr>
                <w:rFonts w:ascii="Arial"/>
                <w:sz w:val="21"/>
              </w:rPr>
            </w:pPr>
          </w:p>
        </w:tc>
        <w:tc>
          <w:tcPr>
            <w:tcW w:w="761" w:type="dxa"/>
            <w:vAlign w:val="top"/>
          </w:tcPr>
          <w:p w14:paraId="34CD3B6C">
            <w:pPr>
              <w:spacing w:before="113" w:line="291" w:lineRule="auto"/>
              <w:ind w:left="40" w:right="40"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760" w:type="dxa"/>
            <w:gridSpan w:val="2"/>
            <w:vAlign w:val="top"/>
          </w:tcPr>
          <w:p w14:paraId="2A055166">
            <w:pPr>
              <w:spacing w:before="116" w:line="277" w:lineRule="auto"/>
              <w:ind w:left="42" w:right="116" w:hanging="9"/>
              <w:rPr>
                <w:rFonts w:ascii="仿宋" w:hAnsi="仿宋" w:eastAsia="仿宋" w:cs="仿宋"/>
                <w:sz w:val="16"/>
                <w:szCs w:val="16"/>
              </w:rPr>
            </w:pPr>
            <w:r>
              <w:rPr>
                <w:rFonts w:ascii="仿宋" w:hAnsi="仿宋" w:eastAsia="仿宋" w:cs="仿宋"/>
                <w:spacing w:val="-6"/>
                <w:sz w:val="16"/>
                <w:szCs w:val="16"/>
              </w:rPr>
              <w:t>200 万元</w:t>
            </w:r>
            <w:r>
              <w:rPr>
                <w:rFonts w:ascii="仿宋" w:hAnsi="仿宋" w:eastAsia="仿宋" w:cs="仿宋"/>
                <w:sz w:val="16"/>
                <w:szCs w:val="16"/>
              </w:rPr>
              <w:t xml:space="preserve"> </w:t>
            </w:r>
            <w:r>
              <w:rPr>
                <w:rFonts w:ascii="仿宋" w:hAnsi="仿宋" w:eastAsia="仿宋" w:cs="仿宋"/>
                <w:spacing w:val="-8"/>
                <w:sz w:val="16"/>
                <w:szCs w:val="16"/>
              </w:rPr>
              <w:t>及以上</w:t>
            </w:r>
          </w:p>
        </w:tc>
        <w:tc>
          <w:tcPr>
            <w:tcW w:w="679" w:type="dxa"/>
            <w:vAlign w:val="top"/>
          </w:tcPr>
          <w:p w14:paraId="2B5AB23B">
            <w:pPr>
              <w:rPr>
                <w:rFonts w:ascii="Arial"/>
                <w:sz w:val="21"/>
              </w:rPr>
            </w:pPr>
          </w:p>
        </w:tc>
        <w:tc>
          <w:tcPr>
            <w:tcW w:w="774" w:type="dxa"/>
            <w:vAlign w:val="top"/>
          </w:tcPr>
          <w:p w14:paraId="62E30473">
            <w:pPr>
              <w:spacing w:before="259" w:line="224" w:lineRule="auto"/>
              <w:ind w:left="39"/>
              <w:rPr>
                <w:rFonts w:ascii="仿宋" w:hAnsi="仿宋" w:eastAsia="仿宋" w:cs="仿宋"/>
                <w:sz w:val="16"/>
                <w:szCs w:val="16"/>
              </w:rPr>
            </w:pPr>
            <w:r>
              <w:rPr>
                <w:rFonts w:ascii="仿宋" w:hAnsi="仿宋" w:eastAsia="仿宋" w:cs="仿宋"/>
                <w:spacing w:val="-9"/>
                <w:sz w:val="16"/>
                <w:szCs w:val="16"/>
              </w:rPr>
              <w:t>20</w:t>
            </w:r>
            <w:r>
              <w:rPr>
                <w:rFonts w:ascii="仿宋" w:hAnsi="仿宋" w:eastAsia="仿宋" w:cs="仿宋"/>
                <w:spacing w:val="-10"/>
                <w:sz w:val="16"/>
                <w:szCs w:val="16"/>
              </w:rPr>
              <w:t xml:space="preserve"> </w:t>
            </w:r>
            <w:r>
              <w:rPr>
                <w:rFonts w:ascii="仿宋" w:hAnsi="仿宋" w:eastAsia="仿宋" w:cs="仿宋"/>
                <w:spacing w:val="-9"/>
                <w:sz w:val="16"/>
                <w:szCs w:val="16"/>
              </w:rPr>
              <w:t>人以下</w:t>
            </w:r>
          </w:p>
        </w:tc>
        <w:tc>
          <w:tcPr>
            <w:tcW w:w="692" w:type="dxa"/>
            <w:gridSpan w:val="2"/>
            <w:vAlign w:val="top"/>
          </w:tcPr>
          <w:p w14:paraId="430BA647">
            <w:pPr>
              <w:spacing w:before="113" w:line="276" w:lineRule="auto"/>
              <w:ind w:left="81" w:right="39" w:hanging="38"/>
              <w:rPr>
                <w:rFonts w:ascii="仿宋" w:hAnsi="仿宋" w:eastAsia="仿宋" w:cs="仿宋"/>
                <w:sz w:val="16"/>
                <w:szCs w:val="16"/>
              </w:rPr>
            </w:pPr>
            <w:r>
              <w:rPr>
                <w:rFonts w:ascii="仿宋" w:hAnsi="仿宋" w:eastAsia="仿宋" w:cs="仿宋"/>
                <w:spacing w:val="-6"/>
                <w:sz w:val="16"/>
                <w:szCs w:val="16"/>
              </w:rPr>
              <w:t>200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310BF850">
            <w:pPr>
              <w:rPr>
                <w:rFonts w:ascii="Arial"/>
                <w:sz w:val="21"/>
              </w:rPr>
            </w:pPr>
          </w:p>
        </w:tc>
      </w:tr>
      <w:tr w14:paraId="7ADCE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3CC9B572">
            <w:pPr>
              <w:spacing w:before="261" w:line="224" w:lineRule="auto"/>
              <w:ind w:left="35"/>
              <w:rPr>
                <w:rFonts w:ascii="仿宋" w:hAnsi="仿宋" w:eastAsia="仿宋" w:cs="仿宋"/>
                <w:sz w:val="16"/>
                <w:szCs w:val="16"/>
              </w:rPr>
            </w:pPr>
            <w:r>
              <w:rPr>
                <w:rFonts w:ascii="仿宋" w:hAnsi="仿宋" w:eastAsia="仿宋" w:cs="仿宋"/>
                <w:spacing w:val="-9"/>
                <w:sz w:val="16"/>
                <w:szCs w:val="16"/>
              </w:rPr>
              <w:t>仓储业</w:t>
            </w:r>
          </w:p>
        </w:tc>
        <w:tc>
          <w:tcPr>
            <w:tcW w:w="759" w:type="dxa"/>
            <w:vAlign w:val="top"/>
          </w:tcPr>
          <w:p w14:paraId="75CCB515">
            <w:pPr>
              <w:spacing w:before="114" w:line="276" w:lineRule="auto"/>
              <w:ind w:left="23" w:right="138" w:hanging="13"/>
              <w:rPr>
                <w:rFonts w:ascii="仿宋" w:hAnsi="仿宋" w:eastAsia="仿宋" w:cs="仿宋"/>
                <w:sz w:val="16"/>
                <w:szCs w:val="16"/>
              </w:rPr>
            </w:pPr>
            <w:r>
              <w:rPr>
                <w:rFonts w:ascii="仿宋" w:hAnsi="仿宋" w:eastAsia="仿宋" w:cs="仿宋"/>
                <w:spacing w:val="-6"/>
                <w:sz w:val="16"/>
                <w:szCs w:val="16"/>
              </w:rPr>
              <w:t>200 人以</w:t>
            </w:r>
            <w:r>
              <w:rPr>
                <w:rFonts w:ascii="仿宋" w:hAnsi="仿宋" w:eastAsia="仿宋" w:cs="仿宋"/>
                <w:sz w:val="16"/>
                <w:szCs w:val="16"/>
              </w:rPr>
              <w:t xml:space="preserve"> 下</w:t>
            </w:r>
          </w:p>
        </w:tc>
        <w:tc>
          <w:tcPr>
            <w:tcW w:w="859" w:type="dxa"/>
            <w:gridSpan w:val="2"/>
            <w:vAlign w:val="top"/>
          </w:tcPr>
          <w:p w14:paraId="6DCBE4FF">
            <w:pPr>
              <w:spacing w:before="114" w:line="276" w:lineRule="auto"/>
              <w:ind w:left="49" w:right="81" w:hanging="34"/>
              <w:rPr>
                <w:rFonts w:ascii="仿宋" w:hAnsi="仿宋" w:eastAsia="仿宋" w:cs="仿宋"/>
                <w:sz w:val="16"/>
                <w:szCs w:val="16"/>
              </w:rPr>
            </w:pPr>
            <w:r>
              <w:rPr>
                <w:rFonts w:ascii="仿宋" w:hAnsi="仿宋" w:eastAsia="仿宋" w:cs="仿宋"/>
                <w:spacing w:val="-6"/>
                <w:sz w:val="16"/>
                <w:szCs w:val="16"/>
              </w:rPr>
              <w:t>30000 万元</w:t>
            </w:r>
            <w:r>
              <w:rPr>
                <w:rFonts w:ascii="仿宋" w:hAnsi="仿宋" w:eastAsia="仿宋" w:cs="仿宋"/>
                <w:spacing w:val="3"/>
                <w:sz w:val="16"/>
                <w:szCs w:val="16"/>
              </w:rPr>
              <w:t xml:space="preserve"> </w:t>
            </w:r>
            <w:r>
              <w:rPr>
                <w:rFonts w:ascii="仿宋" w:hAnsi="仿宋" w:eastAsia="仿宋" w:cs="仿宋"/>
                <w:spacing w:val="-14"/>
                <w:sz w:val="16"/>
                <w:szCs w:val="16"/>
              </w:rPr>
              <w:t>以下</w:t>
            </w:r>
          </w:p>
        </w:tc>
        <w:tc>
          <w:tcPr>
            <w:tcW w:w="810" w:type="dxa"/>
            <w:vAlign w:val="top"/>
          </w:tcPr>
          <w:p w14:paraId="748387F3">
            <w:pPr>
              <w:rPr>
                <w:rFonts w:ascii="Arial"/>
                <w:sz w:val="21"/>
              </w:rPr>
            </w:pPr>
          </w:p>
        </w:tc>
        <w:tc>
          <w:tcPr>
            <w:tcW w:w="743" w:type="dxa"/>
            <w:vAlign w:val="top"/>
          </w:tcPr>
          <w:p w14:paraId="131407BA">
            <w:pPr>
              <w:spacing w:before="114" w:line="280"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0AE6F239">
            <w:pPr>
              <w:spacing w:before="114" w:line="280"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66206DBF">
            <w:pPr>
              <w:rPr>
                <w:rFonts w:ascii="Arial"/>
                <w:sz w:val="21"/>
              </w:rPr>
            </w:pPr>
          </w:p>
        </w:tc>
        <w:tc>
          <w:tcPr>
            <w:tcW w:w="761" w:type="dxa"/>
            <w:vAlign w:val="top"/>
          </w:tcPr>
          <w:p w14:paraId="0337E1F2">
            <w:pPr>
              <w:spacing w:before="115" w:line="288" w:lineRule="auto"/>
              <w:ind w:left="40" w:right="40"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760" w:type="dxa"/>
            <w:gridSpan w:val="2"/>
            <w:vAlign w:val="top"/>
          </w:tcPr>
          <w:p w14:paraId="154FF0B0">
            <w:pPr>
              <w:spacing w:before="114" w:line="280"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1A8E6C0A">
            <w:pPr>
              <w:rPr>
                <w:rFonts w:ascii="Arial"/>
                <w:sz w:val="21"/>
              </w:rPr>
            </w:pPr>
          </w:p>
        </w:tc>
        <w:tc>
          <w:tcPr>
            <w:tcW w:w="774" w:type="dxa"/>
            <w:vAlign w:val="top"/>
          </w:tcPr>
          <w:p w14:paraId="0A35CBB4">
            <w:pPr>
              <w:spacing w:before="260" w:line="224" w:lineRule="auto"/>
              <w:ind w:left="39"/>
              <w:rPr>
                <w:rFonts w:ascii="仿宋" w:hAnsi="仿宋" w:eastAsia="仿宋" w:cs="仿宋"/>
                <w:sz w:val="16"/>
                <w:szCs w:val="16"/>
              </w:rPr>
            </w:pPr>
            <w:r>
              <w:rPr>
                <w:rFonts w:ascii="仿宋" w:hAnsi="仿宋" w:eastAsia="仿宋" w:cs="仿宋"/>
                <w:spacing w:val="-9"/>
                <w:sz w:val="16"/>
                <w:szCs w:val="16"/>
              </w:rPr>
              <w:t>20</w:t>
            </w:r>
            <w:r>
              <w:rPr>
                <w:rFonts w:ascii="仿宋" w:hAnsi="仿宋" w:eastAsia="仿宋" w:cs="仿宋"/>
                <w:spacing w:val="-10"/>
                <w:sz w:val="16"/>
                <w:szCs w:val="16"/>
              </w:rPr>
              <w:t xml:space="preserve"> </w:t>
            </w:r>
            <w:r>
              <w:rPr>
                <w:rFonts w:ascii="仿宋" w:hAnsi="仿宋" w:eastAsia="仿宋" w:cs="仿宋"/>
                <w:spacing w:val="-9"/>
                <w:sz w:val="16"/>
                <w:szCs w:val="16"/>
              </w:rPr>
              <w:t>人以下</w:t>
            </w:r>
          </w:p>
        </w:tc>
        <w:tc>
          <w:tcPr>
            <w:tcW w:w="692" w:type="dxa"/>
            <w:gridSpan w:val="2"/>
            <w:vAlign w:val="top"/>
          </w:tcPr>
          <w:p w14:paraId="3CD0469B">
            <w:pPr>
              <w:spacing w:before="114"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242413C6">
            <w:pPr>
              <w:rPr>
                <w:rFonts w:ascii="Arial"/>
                <w:sz w:val="21"/>
              </w:rPr>
            </w:pPr>
          </w:p>
        </w:tc>
      </w:tr>
      <w:tr w14:paraId="1359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7A188A0A">
            <w:pPr>
              <w:spacing w:before="256" w:line="223" w:lineRule="auto"/>
              <w:ind w:left="53"/>
              <w:rPr>
                <w:rFonts w:ascii="仿宋" w:hAnsi="仿宋" w:eastAsia="仿宋" w:cs="仿宋"/>
                <w:sz w:val="16"/>
                <w:szCs w:val="16"/>
              </w:rPr>
            </w:pPr>
            <w:r>
              <w:rPr>
                <w:rFonts w:ascii="仿宋" w:hAnsi="仿宋" w:eastAsia="仿宋" w:cs="仿宋"/>
                <w:spacing w:val="-12"/>
                <w:sz w:val="16"/>
                <w:szCs w:val="16"/>
              </w:rPr>
              <w:t>邮政业</w:t>
            </w:r>
          </w:p>
        </w:tc>
        <w:tc>
          <w:tcPr>
            <w:tcW w:w="759" w:type="dxa"/>
            <w:vAlign w:val="top"/>
          </w:tcPr>
          <w:p w14:paraId="0B1DF0B0">
            <w:pPr>
              <w:spacing w:before="112" w:line="276" w:lineRule="auto"/>
              <w:ind w:left="23" w:right="57" w:firstLine="6"/>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089BB10C">
            <w:pPr>
              <w:spacing w:before="112" w:line="276" w:lineRule="auto"/>
              <w:ind w:left="49" w:right="81" w:hanging="34"/>
              <w:rPr>
                <w:rFonts w:ascii="仿宋" w:hAnsi="仿宋" w:eastAsia="仿宋" w:cs="仿宋"/>
                <w:sz w:val="16"/>
                <w:szCs w:val="16"/>
              </w:rPr>
            </w:pPr>
            <w:r>
              <w:rPr>
                <w:rFonts w:ascii="仿宋" w:hAnsi="仿宋" w:eastAsia="仿宋" w:cs="仿宋"/>
                <w:spacing w:val="-6"/>
                <w:sz w:val="16"/>
                <w:szCs w:val="16"/>
              </w:rPr>
              <w:t>30000 万元</w:t>
            </w:r>
            <w:r>
              <w:rPr>
                <w:rFonts w:ascii="仿宋" w:hAnsi="仿宋" w:eastAsia="仿宋" w:cs="仿宋"/>
                <w:spacing w:val="3"/>
                <w:sz w:val="16"/>
                <w:szCs w:val="16"/>
              </w:rPr>
              <w:t xml:space="preserve"> </w:t>
            </w:r>
            <w:r>
              <w:rPr>
                <w:rFonts w:ascii="仿宋" w:hAnsi="仿宋" w:eastAsia="仿宋" w:cs="仿宋"/>
                <w:spacing w:val="-14"/>
                <w:sz w:val="16"/>
                <w:szCs w:val="16"/>
              </w:rPr>
              <w:t>以下</w:t>
            </w:r>
          </w:p>
        </w:tc>
        <w:tc>
          <w:tcPr>
            <w:tcW w:w="810" w:type="dxa"/>
            <w:vAlign w:val="top"/>
          </w:tcPr>
          <w:p w14:paraId="0316195B">
            <w:pPr>
              <w:rPr>
                <w:rFonts w:ascii="Arial"/>
                <w:sz w:val="21"/>
              </w:rPr>
            </w:pPr>
          </w:p>
        </w:tc>
        <w:tc>
          <w:tcPr>
            <w:tcW w:w="743" w:type="dxa"/>
            <w:vAlign w:val="top"/>
          </w:tcPr>
          <w:p w14:paraId="10444B3E">
            <w:pPr>
              <w:spacing w:before="115" w:line="277" w:lineRule="auto"/>
              <w:ind w:left="59" w:right="112" w:hanging="35"/>
              <w:rPr>
                <w:rFonts w:ascii="仿宋" w:hAnsi="仿宋" w:eastAsia="仿宋" w:cs="仿宋"/>
                <w:sz w:val="16"/>
                <w:szCs w:val="16"/>
              </w:rPr>
            </w:pPr>
            <w:r>
              <w:rPr>
                <w:rFonts w:ascii="仿宋" w:hAnsi="仿宋" w:eastAsia="仿宋" w:cs="仿宋"/>
                <w:spacing w:val="-7"/>
                <w:sz w:val="16"/>
                <w:szCs w:val="16"/>
              </w:rPr>
              <w:t>300 人及</w:t>
            </w:r>
            <w:r>
              <w:rPr>
                <w:rFonts w:ascii="仿宋" w:hAnsi="仿宋" w:eastAsia="仿宋" w:cs="仿宋"/>
                <w:spacing w:val="1"/>
                <w:sz w:val="16"/>
                <w:szCs w:val="16"/>
              </w:rPr>
              <w:t xml:space="preserve"> </w:t>
            </w:r>
            <w:r>
              <w:rPr>
                <w:rFonts w:ascii="仿宋" w:hAnsi="仿宋" w:eastAsia="仿宋" w:cs="仿宋"/>
                <w:spacing w:val="-14"/>
                <w:sz w:val="16"/>
                <w:szCs w:val="16"/>
              </w:rPr>
              <w:t>以上</w:t>
            </w:r>
          </w:p>
        </w:tc>
        <w:tc>
          <w:tcPr>
            <w:tcW w:w="907" w:type="dxa"/>
            <w:gridSpan w:val="2"/>
            <w:vAlign w:val="top"/>
          </w:tcPr>
          <w:p w14:paraId="261FB513">
            <w:pPr>
              <w:spacing w:before="115" w:line="277" w:lineRule="auto"/>
              <w:ind w:left="62" w:right="37" w:hanging="38"/>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pacing w:val="6"/>
                <w:sz w:val="16"/>
                <w:szCs w:val="16"/>
              </w:rPr>
              <w:t xml:space="preserve"> </w:t>
            </w:r>
            <w:r>
              <w:rPr>
                <w:rFonts w:ascii="仿宋" w:hAnsi="仿宋" w:eastAsia="仿宋" w:cs="仿宋"/>
                <w:spacing w:val="-14"/>
                <w:sz w:val="16"/>
                <w:szCs w:val="16"/>
              </w:rPr>
              <w:t>以上</w:t>
            </w:r>
          </w:p>
        </w:tc>
        <w:tc>
          <w:tcPr>
            <w:tcW w:w="713" w:type="dxa"/>
            <w:vAlign w:val="top"/>
          </w:tcPr>
          <w:p w14:paraId="655965AA">
            <w:pPr>
              <w:rPr>
                <w:rFonts w:ascii="Arial"/>
                <w:sz w:val="21"/>
              </w:rPr>
            </w:pPr>
          </w:p>
        </w:tc>
        <w:tc>
          <w:tcPr>
            <w:tcW w:w="761" w:type="dxa"/>
            <w:vAlign w:val="top"/>
          </w:tcPr>
          <w:p w14:paraId="5E3E2930">
            <w:pPr>
              <w:spacing w:before="113" w:line="291" w:lineRule="auto"/>
              <w:ind w:left="40" w:right="40" w:hanging="9"/>
              <w:rPr>
                <w:rFonts w:ascii="仿宋" w:hAnsi="仿宋" w:eastAsia="仿宋" w:cs="仿宋"/>
                <w:sz w:val="16"/>
                <w:szCs w:val="16"/>
              </w:rPr>
            </w:pPr>
            <w:r>
              <w:rPr>
                <w:rFonts w:ascii="仿宋" w:hAnsi="仿宋" w:eastAsia="仿宋" w:cs="仿宋"/>
                <w:spacing w:val="-7"/>
                <w:sz w:val="16"/>
                <w:szCs w:val="16"/>
              </w:rPr>
              <w:t>20 人及以</w:t>
            </w:r>
            <w:r>
              <w:rPr>
                <w:rFonts w:ascii="仿宋" w:hAnsi="仿宋" w:eastAsia="仿宋" w:cs="仿宋"/>
                <w:spacing w:val="4"/>
                <w:sz w:val="16"/>
                <w:szCs w:val="16"/>
              </w:rPr>
              <w:t xml:space="preserve"> </w:t>
            </w:r>
            <w:r>
              <w:rPr>
                <w:rFonts w:ascii="仿宋" w:hAnsi="仿宋" w:eastAsia="仿宋" w:cs="仿宋"/>
                <w:sz w:val="16"/>
                <w:szCs w:val="16"/>
              </w:rPr>
              <w:t>上</w:t>
            </w:r>
          </w:p>
        </w:tc>
        <w:tc>
          <w:tcPr>
            <w:tcW w:w="760" w:type="dxa"/>
            <w:gridSpan w:val="2"/>
            <w:vAlign w:val="top"/>
          </w:tcPr>
          <w:p w14:paraId="50594BEB">
            <w:pPr>
              <w:spacing w:before="115" w:line="277"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18028CD5">
            <w:pPr>
              <w:rPr>
                <w:rFonts w:ascii="Arial"/>
                <w:sz w:val="21"/>
              </w:rPr>
            </w:pPr>
          </w:p>
        </w:tc>
        <w:tc>
          <w:tcPr>
            <w:tcW w:w="774" w:type="dxa"/>
            <w:vAlign w:val="top"/>
          </w:tcPr>
          <w:p w14:paraId="3C351907">
            <w:pPr>
              <w:spacing w:before="259" w:line="224" w:lineRule="auto"/>
              <w:ind w:left="39"/>
              <w:rPr>
                <w:rFonts w:ascii="仿宋" w:hAnsi="仿宋" w:eastAsia="仿宋" w:cs="仿宋"/>
                <w:sz w:val="16"/>
                <w:szCs w:val="16"/>
              </w:rPr>
            </w:pPr>
            <w:r>
              <w:rPr>
                <w:rFonts w:ascii="仿宋" w:hAnsi="仿宋" w:eastAsia="仿宋" w:cs="仿宋"/>
                <w:spacing w:val="-9"/>
                <w:sz w:val="16"/>
                <w:szCs w:val="16"/>
              </w:rPr>
              <w:t>20</w:t>
            </w:r>
            <w:r>
              <w:rPr>
                <w:rFonts w:ascii="仿宋" w:hAnsi="仿宋" w:eastAsia="仿宋" w:cs="仿宋"/>
                <w:spacing w:val="-10"/>
                <w:sz w:val="16"/>
                <w:szCs w:val="16"/>
              </w:rPr>
              <w:t xml:space="preserve"> </w:t>
            </w:r>
            <w:r>
              <w:rPr>
                <w:rFonts w:ascii="仿宋" w:hAnsi="仿宋" w:eastAsia="仿宋" w:cs="仿宋"/>
                <w:spacing w:val="-9"/>
                <w:sz w:val="16"/>
                <w:szCs w:val="16"/>
              </w:rPr>
              <w:t>人以下</w:t>
            </w:r>
          </w:p>
        </w:tc>
        <w:tc>
          <w:tcPr>
            <w:tcW w:w="692" w:type="dxa"/>
            <w:gridSpan w:val="2"/>
            <w:vAlign w:val="top"/>
          </w:tcPr>
          <w:p w14:paraId="75469BD3">
            <w:pPr>
              <w:spacing w:before="112"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0AD7B25F">
            <w:pPr>
              <w:rPr>
                <w:rFonts w:ascii="Arial"/>
                <w:sz w:val="21"/>
              </w:rPr>
            </w:pPr>
          </w:p>
        </w:tc>
      </w:tr>
      <w:tr w14:paraId="7E190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26C73C9E">
            <w:pPr>
              <w:spacing w:before="258" w:line="223" w:lineRule="auto"/>
              <w:ind w:left="29"/>
              <w:rPr>
                <w:rFonts w:ascii="仿宋" w:hAnsi="仿宋" w:eastAsia="仿宋" w:cs="仿宋"/>
                <w:sz w:val="16"/>
                <w:szCs w:val="16"/>
              </w:rPr>
            </w:pPr>
            <w:r>
              <w:rPr>
                <w:rFonts w:ascii="仿宋" w:hAnsi="仿宋" w:eastAsia="仿宋" w:cs="仿宋"/>
                <w:spacing w:val="-6"/>
                <w:sz w:val="16"/>
                <w:szCs w:val="16"/>
              </w:rPr>
              <w:t>住宿业</w:t>
            </w:r>
          </w:p>
        </w:tc>
        <w:tc>
          <w:tcPr>
            <w:tcW w:w="759" w:type="dxa"/>
            <w:vAlign w:val="top"/>
          </w:tcPr>
          <w:p w14:paraId="0D536234">
            <w:pPr>
              <w:spacing w:before="114"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4935E7D6">
            <w:pPr>
              <w:spacing w:before="114" w:line="276" w:lineRule="auto"/>
              <w:ind w:left="50" w:right="78" w:hanging="19"/>
              <w:rPr>
                <w:rFonts w:ascii="仿宋" w:hAnsi="仿宋" w:eastAsia="仿宋" w:cs="仿宋"/>
                <w:sz w:val="16"/>
                <w:szCs w:val="16"/>
              </w:rPr>
            </w:pPr>
            <w:r>
              <w:rPr>
                <w:rFonts w:ascii="仿宋" w:hAnsi="仿宋" w:eastAsia="仿宋" w:cs="仿宋"/>
                <w:spacing w:val="-8"/>
                <w:sz w:val="16"/>
                <w:szCs w:val="16"/>
              </w:rPr>
              <w:t>10000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810" w:type="dxa"/>
            <w:vAlign w:val="top"/>
          </w:tcPr>
          <w:p w14:paraId="4891356E">
            <w:pPr>
              <w:rPr>
                <w:rFonts w:ascii="Arial"/>
                <w:sz w:val="21"/>
              </w:rPr>
            </w:pPr>
          </w:p>
        </w:tc>
        <w:tc>
          <w:tcPr>
            <w:tcW w:w="743" w:type="dxa"/>
            <w:vAlign w:val="top"/>
          </w:tcPr>
          <w:p w14:paraId="68EE7C86">
            <w:pPr>
              <w:spacing w:before="117" w:line="277"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3C823D22">
            <w:pPr>
              <w:spacing w:before="117" w:line="277" w:lineRule="auto"/>
              <w:ind w:left="62" w:right="37" w:hanging="38"/>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pacing w:val="6"/>
                <w:sz w:val="16"/>
                <w:szCs w:val="16"/>
              </w:rPr>
              <w:t xml:space="preserve"> </w:t>
            </w:r>
            <w:r>
              <w:rPr>
                <w:rFonts w:ascii="仿宋" w:hAnsi="仿宋" w:eastAsia="仿宋" w:cs="仿宋"/>
                <w:spacing w:val="-14"/>
                <w:sz w:val="16"/>
                <w:szCs w:val="16"/>
              </w:rPr>
              <w:t>以上</w:t>
            </w:r>
          </w:p>
        </w:tc>
        <w:tc>
          <w:tcPr>
            <w:tcW w:w="713" w:type="dxa"/>
            <w:vAlign w:val="top"/>
          </w:tcPr>
          <w:p w14:paraId="38BC6F30">
            <w:pPr>
              <w:rPr>
                <w:rFonts w:ascii="Arial"/>
                <w:sz w:val="21"/>
              </w:rPr>
            </w:pPr>
          </w:p>
        </w:tc>
        <w:tc>
          <w:tcPr>
            <w:tcW w:w="761" w:type="dxa"/>
            <w:vAlign w:val="top"/>
          </w:tcPr>
          <w:p w14:paraId="3610358E">
            <w:pPr>
              <w:spacing w:before="114"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38F2F7E3">
            <w:pPr>
              <w:spacing w:before="117" w:line="277"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07281768">
            <w:pPr>
              <w:rPr>
                <w:rFonts w:ascii="Arial"/>
                <w:sz w:val="21"/>
              </w:rPr>
            </w:pPr>
          </w:p>
        </w:tc>
        <w:tc>
          <w:tcPr>
            <w:tcW w:w="774" w:type="dxa"/>
            <w:vAlign w:val="top"/>
          </w:tcPr>
          <w:p w14:paraId="3BB0E2DF">
            <w:pPr>
              <w:spacing w:before="260"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4A8E7607">
            <w:pPr>
              <w:spacing w:before="114"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31111261">
            <w:pPr>
              <w:rPr>
                <w:rFonts w:ascii="Arial"/>
                <w:sz w:val="21"/>
              </w:rPr>
            </w:pPr>
          </w:p>
        </w:tc>
      </w:tr>
      <w:tr w14:paraId="54124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06E2249B">
            <w:pPr>
              <w:spacing w:before="262" w:line="224" w:lineRule="auto"/>
              <w:ind w:left="34"/>
              <w:rPr>
                <w:rFonts w:ascii="仿宋" w:hAnsi="仿宋" w:eastAsia="仿宋" w:cs="仿宋"/>
                <w:sz w:val="16"/>
                <w:szCs w:val="16"/>
              </w:rPr>
            </w:pPr>
            <w:r>
              <w:rPr>
                <w:rFonts w:ascii="仿宋" w:hAnsi="仿宋" w:eastAsia="仿宋" w:cs="仿宋"/>
                <w:spacing w:val="-8"/>
                <w:sz w:val="16"/>
                <w:szCs w:val="16"/>
              </w:rPr>
              <w:t>餐饮业</w:t>
            </w:r>
          </w:p>
        </w:tc>
        <w:tc>
          <w:tcPr>
            <w:tcW w:w="759" w:type="dxa"/>
            <w:vAlign w:val="top"/>
          </w:tcPr>
          <w:p w14:paraId="4E74EEC0">
            <w:pPr>
              <w:spacing w:before="115"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60664539">
            <w:pPr>
              <w:spacing w:before="115" w:line="276" w:lineRule="auto"/>
              <w:ind w:left="50" w:right="78" w:hanging="19"/>
              <w:rPr>
                <w:rFonts w:ascii="仿宋" w:hAnsi="仿宋" w:eastAsia="仿宋" w:cs="仿宋"/>
                <w:sz w:val="16"/>
                <w:szCs w:val="16"/>
              </w:rPr>
            </w:pPr>
            <w:r>
              <w:rPr>
                <w:rFonts w:ascii="仿宋" w:hAnsi="仿宋" w:eastAsia="仿宋" w:cs="仿宋"/>
                <w:spacing w:val="-8"/>
                <w:sz w:val="16"/>
                <w:szCs w:val="16"/>
              </w:rPr>
              <w:t>10000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810" w:type="dxa"/>
            <w:vAlign w:val="top"/>
          </w:tcPr>
          <w:p w14:paraId="01AFDF29">
            <w:pPr>
              <w:rPr>
                <w:rFonts w:ascii="Arial"/>
                <w:sz w:val="21"/>
              </w:rPr>
            </w:pPr>
          </w:p>
        </w:tc>
        <w:tc>
          <w:tcPr>
            <w:tcW w:w="743" w:type="dxa"/>
            <w:vAlign w:val="top"/>
          </w:tcPr>
          <w:p w14:paraId="7621CD45">
            <w:pPr>
              <w:spacing w:before="115" w:line="280"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7A800337">
            <w:pPr>
              <w:spacing w:before="115" w:line="280" w:lineRule="auto"/>
              <w:ind w:left="62" w:right="37" w:hanging="38"/>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pacing w:val="6"/>
                <w:sz w:val="16"/>
                <w:szCs w:val="16"/>
              </w:rPr>
              <w:t xml:space="preserve"> </w:t>
            </w:r>
            <w:r>
              <w:rPr>
                <w:rFonts w:ascii="仿宋" w:hAnsi="仿宋" w:eastAsia="仿宋" w:cs="仿宋"/>
                <w:spacing w:val="-14"/>
                <w:sz w:val="16"/>
                <w:szCs w:val="16"/>
              </w:rPr>
              <w:t>以上</w:t>
            </w:r>
          </w:p>
        </w:tc>
        <w:tc>
          <w:tcPr>
            <w:tcW w:w="713" w:type="dxa"/>
            <w:vAlign w:val="top"/>
          </w:tcPr>
          <w:p w14:paraId="1F8D73B8">
            <w:pPr>
              <w:rPr>
                <w:rFonts w:ascii="Arial"/>
                <w:sz w:val="21"/>
              </w:rPr>
            </w:pPr>
          </w:p>
        </w:tc>
        <w:tc>
          <w:tcPr>
            <w:tcW w:w="761" w:type="dxa"/>
            <w:vAlign w:val="top"/>
          </w:tcPr>
          <w:p w14:paraId="01709FC0">
            <w:pPr>
              <w:spacing w:before="116" w:line="288"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62073A9C">
            <w:pPr>
              <w:spacing w:before="115" w:line="280"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031BB466">
            <w:pPr>
              <w:rPr>
                <w:rFonts w:ascii="Arial"/>
                <w:sz w:val="21"/>
              </w:rPr>
            </w:pPr>
          </w:p>
        </w:tc>
        <w:tc>
          <w:tcPr>
            <w:tcW w:w="774" w:type="dxa"/>
            <w:vAlign w:val="top"/>
          </w:tcPr>
          <w:p w14:paraId="2CE25862">
            <w:pPr>
              <w:spacing w:before="261"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561B3B60">
            <w:pPr>
              <w:spacing w:before="115"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325C2001">
            <w:pPr>
              <w:rPr>
                <w:rFonts w:ascii="Arial"/>
                <w:sz w:val="21"/>
              </w:rPr>
            </w:pPr>
          </w:p>
        </w:tc>
      </w:tr>
      <w:tr w14:paraId="5CDC2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50DB8D92">
            <w:pPr>
              <w:spacing w:before="116" w:line="315" w:lineRule="auto"/>
              <w:ind w:left="33" w:hanging="5"/>
              <w:rPr>
                <w:rFonts w:ascii="仿宋" w:hAnsi="仿宋" w:eastAsia="仿宋" w:cs="仿宋"/>
                <w:sz w:val="14"/>
                <w:szCs w:val="14"/>
              </w:rPr>
            </w:pPr>
            <w:r>
              <w:rPr>
                <w:rFonts w:ascii="仿宋" w:hAnsi="仿宋" w:eastAsia="仿宋" w:cs="仿宋"/>
                <w:spacing w:val="14"/>
                <w:sz w:val="14"/>
                <w:szCs w:val="14"/>
              </w:rPr>
              <w:t>信息传输业(包括电信、</w:t>
            </w:r>
            <w:r>
              <w:rPr>
                <w:rFonts w:ascii="仿宋" w:hAnsi="仿宋" w:eastAsia="仿宋" w:cs="仿宋"/>
                <w:spacing w:val="3"/>
                <w:sz w:val="14"/>
                <w:szCs w:val="14"/>
              </w:rPr>
              <w:t xml:space="preserve"> </w:t>
            </w:r>
            <w:r>
              <w:rPr>
                <w:rFonts w:ascii="仿宋" w:hAnsi="仿宋" w:eastAsia="仿宋" w:cs="仿宋"/>
                <w:spacing w:val="15"/>
                <w:sz w:val="14"/>
                <w:szCs w:val="14"/>
              </w:rPr>
              <w:t>互联网和相关服务)</w:t>
            </w:r>
          </w:p>
        </w:tc>
        <w:tc>
          <w:tcPr>
            <w:tcW w:w="759" w:type="dxa"/>
            <w:vAlign w:val="top"/>
          </w:tcPr>
          <w:p w14:paraId="32284996">
            <w:pPr>
              <w:spacing w:before="114" w:line="276" w:lineRule="auto"/>
              <w:ind w:left="23" w:right="62" w:hanging="13"/>
              <w:rPr>
                <w:rFonts w:ascii="仿宋" w:hAnsi="仿宋" w:eastAsia="仿宋" w:cs="仿宋"/>
                <w:sz w:val="16"/>
                <w:szCs w:val="16"/>
              </w:rPr>
            </w:pPr>
            <w:r>
              <w:rPr>
                <w:rFonts w:ascii="仿宋" w:hAnsi="仿宋" w:eastAsia="仿宋" w:cs="仿宋"/>
                <w:spacing w:val="-7"/>
                <w:sz w:val="16"/>
                <w:szCs w:val="16"/>
              </w:rPr>
              <w:t>2000</w:t>
            </w:r>
            <w:r>
              <w:rPr>
                <w:rFonts w:ascii="仿宋" w:hAnsi="仿宋" w:eastAsia="仿宋" w:cs="仿宋"/>
                <w:spacing w:val="2"/>
                <w:sz w:val="16"/>
                <w:szCs w:val="16"/>
              </w:rPr>
              <w:t xml:space="preserve"> </w:t>
            </w:r>
            <w:r>
              <w:rPr>
                <w:rFonts w:ascii="仿宋" w:hAnsi="仿宋" w:eastAsia="仿宋" w:cs="仿宋"/>
                <w:spacing w:val="-7"/>
                <w:sz w:val="16"/>
                <w:szCs w:val="16"/>
              </w:rPr>
              <w:t>人以</w:t>
            </w:r>
            <w:r>
              <w:rPr>
                <w:rFonts w:ascii="仿宋" w:hAnsi="仿宋" w:eastAsia="仿宋" w:cs="仿宋"/>
                <w:sz w:val="16"/>
                <w:szCs w:val="16"/>
              </w:rPr>
              <w:t xml:space="preserve"> 下</w:t>
            </w:r>
          </w:p>
        </w:tc>
        <w:tc>
          <w:tcPr>
            <w:tcW w:w="859" w:type="dxa"/>
            <w:gridSpan w:val="2"/>
            <w:vAlign w:val="top"/>
          </w:tcPr>
          <w:p w14:paraId="3BF1874B">
            <w:pPr>
              <w:spacing w:before="114" w:line="276" w:lineRule="auto"/>
              <w:ind w:left="50" w:right="4" w:hanging="19"/>
              <w:rPr>
                <w:rFonts w:ascii="仿宋" w:hAnsi="仿宋" w:eastAsia="仿宋" w:cs="仿宋"/>
                <w:sz w:val="16"/>
                <w:szCs w:val="16"/>
              </w:rPr>
            </w:pPr>
            <w:r>
              <w:rPr>
                <w:rFonts w:ascii="仿宋" w:hAnsi="仿宋" w:eastAsia="仿宋" w:cs="仿宋"/>
                <w:spacing w:val="-7"/>
                <w:sz w:val="16"/>
                <w:szCs w:val="16"/>
              </w:rPr>
              <w:t>100000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10" w:type="dxa"/>
            <w:vAlign w:val="top"/>
          </w:tcPr>
          <w:p w14:paraId="40FA753F">
            <w:pPr>
              <w:rPr>
                <w:rFonts w:ascii="Arial"/>
                <w:sz w:val="21"/>
              </w:rPr>
            </w:pPr>
          </w:p>
        </w:tc>
        <w:tc>
          <w:tcPr>
            <w:tcW w:w="743" w:type="dxa"/>
            <w:vAlign w:val="top"/>
          </w:tcPr>
          <w:p w14:paraId="42374C71">
            <w:pPr>
              <w:spacing w:before="117" w:line="277"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46D63D56">
            <w:pPr>
              <w:spacing w:before="117" w:line="277"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75C13C8A">
            <w:pPr>
              <w:rPr>
                <w:rFonts w:ascii="Arial"/>
                <w:sz w:val="21"/>
              </w:rPr>
            </w:pPr>
          </w:p>
        </w:tc>
        <w:tc>
          <w:tcPr>
            <w:tcW w:w="761" w:type="dxa"/>
            <w:vAlign w:val="top"/>
          </w:tcPr>
          <w:p w14:paraId="7713D309">
            <w:pPr>
              <w:spacing w:before="115"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60CDDDB3">
            <w:pPr>
              <w:spacing w:before="117" w:line="277"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77E1C266">
            <w:pPr>
              <w:rPr>
                <w:rFonts w:ascii="Arial"/>
                <w:sz w:val="21"/>
              </w:rPr>
            </w:pPr>
          </w:p>
        </w:tc>
        <w:tc>
          <w:tcPr>
            <w:tcW w:w="774" w:type="dxa"/>
            <w:vAlign w:val="top"/>
          </w:tcPr>
          <w:p w14:paraId="62515EF6">
            <w:pPr>
              <w:spacing w:before="261"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52ED1709">
            <w:pPr>
              <w:spacing w:before="114"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13DDFF9F">
            <w:pPr>
              <w:rPr>
                <w:rFonts w:ascii="Arial"/>
                <w:sz w:val="21"/>
              </w:rPr>
            </w:pPr>
          </w:p>
        </w:tc>
      </w:tr>
      <w:tr w14:paraId="02087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04C51494">
            <w:pPr>
              <w:spacing w:before="260" w:line="223" w:lineRule="auto"/>
              <w:ind w:left="30"/>
              <w:rPr>
                <w:rFonts w:ascii="仿宋" w:hAnsi="仿宋" w:eastAsia="仿宋" w:cs="仿宋"/>
                <w:sz w:val="16"/>
                <w:szCs w:val="16"/>
              </w:rPr>
            </w:pPr>
            <w:r>
              <w:rPr>
                <w:rFonts w:ascii="仿宋" w:hAnsi="仿宋" w:eastAsia="仿宋" w:cs="仿宋"/>
                <w:spacing w:val="-3"/>
                <w:sz w:val="16"/>
                <w:szCs w:val="16"/>
              </w:rPr>
              <w:t>软件和信息技术服务业</w:t>
            </w:r>
          </w:p>
        </w:tc>
        <w:tc>
          <w:tcPr>
            <w:tcW w:w="759" w:type="dxa"/>
            <w:vAlign w:val="top"/>
          </w:tcPr>
          <w:p w14:paraId="590BDE82">
            <w:pPr>
              <w:spacing w:before="116"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3C14357D">
            <w:pPr>
              <w:spacing w:before="116" w:line="276" w:lineRule="auto"/>
              <w:ind w:left="50" w:right="78" w:hanging="19"/>
              <w:rPr>
                <w:rFonts w:ascii="仿宋" w:hAnsi="仿宋" w:eastAsia="仿宋" w:cs="仿宋"/>
                <w:sz w:val="16"/>
                <w:szCs w:val="16"/>
              </w:rPr>
            </w:pPr>
            <w:r>
              <w:rPr>
                <w:rFonts w:ascii="仿宋" w:hAnsi="仿宋" w:eastAsia="仿宋" w:cs="仿宋"/>
                <w:spacing w:val="-8"/>
                <w:sz w:val="16"/>
                <w:szCs w:val="16"/>
              </w:rPr>
              <w:t>10000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810" w:type="dxa"/>
            <w:vAlign w:val="top"/>
          </w:tcPr>
          <w:p w14:paraId="31C23C37">
            <w:pPr>
              <w:rPr>
                <w:rFonts w:ascii="Arial"/>
                <w:sz w:val="21"/>
              </w:rPr>
            </w:pPr>
          </w:p>
        </w:tc>
        <w:tc>
          <w:tcPr>
            <w:tcW w:w="743" w:type="dxa"/>
            <w:vAlign w:val="top"/>
          </w:tcPr>
          <w:p w14:paraId="495D417F">
            <w:pPr>
              <w:spacing w:before="119" w:line="277"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1815CC3D">
            <w:pPr>
              <w:spacing w:before="119" w:line="277"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48103B42">
            <w:pPr>
              <w:rPr>
                <w:rFonts w:ascii="Arial"/>
                <w:sz w:val="21"/>
              </w:rPr>
            </w:pPr>
          </w:p>
        </w:tc>
        <w:tc>
          <w:tcPr>
            <w:tcW w:w="761" w:type="dxa"/>
            <w:vAlign w:val="top"/>
          </w:tcPr>
          <w:p w14:paraId="02981E72">
            <w:pPr>
              <w:spacing w:before="116"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5FCA7766">
            <w:pPr>
              <w:spacing w:before="119" w:line="277" w:lineRule="auto"/>
              <w:ind w:left="71" w:right="39" w:hanging="34"/>
              <w:rPr>
                <w:rFonts w:ascii="仿宋" w:hAnsi="仿宋" w:eastAsia="仿宋" w:cs="仿宋"/>
                <w:sz w:val="16"/>
                <w:szCs w:val="16"/>
              </w:rPr>
            </w:pPr>
            <w:r>
              <w:rPr>
                <w:rFonts w:ascii="仿宋" w:hAnsi="仿宋" w:eastAsia="仿宋" w:cs="仿宋"/>
                <w:spacing w:val="-8"/>
                <w:sz w:val="16"/>
                <w:szCs w:val="16"/>
              </w:rPr>
              <w:t>50 万元及</w:t>
            </w:r>
            <w:r>
              <w:rPr>
                <w:rFonts w:ascii="仿宋" w:hAnsi="仿宋" w:eastAsia="仿宋" w:cs="仿宋"/>
                <w:spacing w:val="4"/>
                <w:sz w:val="16"/>
                <w:szCs w:val="16"/>
              </w:rPr>
              <w:t xml:space="preserve"> </w:t>
            </w:r>
            <w:r>
              <w:rPr>
                <w:rFonts w:ascii="仿宋" w:hAnsi="仿宋" w:eastAsia="仿宋" w:cs="仿宋"/>
                <w:spacing w:val="-14"/>
                <w:sz w:val="16"/>
                <w:szCs w:val="16"/>
              </w:rPr>
              <w:t>以上</w:t>
            </w:r>
          </w:p>
        </w:tc>
        <w:tc>
          <w:tcPr>
            <w:tcW w:w="679" w:type="dxa"/>
            <w:vAlign w:val="top"/>
          </w:tcPr>
          <w:p w14:paraId="7004019C">
            <w:pPr>
              <w:rPr>
                <w:rFonts w:ascii="Arial"/>
                <w:sz w:val="21"/>
              </w:rPr>
            </w:pPr>
          </w:p>
        </w:tc>
        <w:tc>
          <w:tcPr>
            <w:tcW w:w="774" w:type="dxa"/>
            <w:vAlign w:val="top"/>
          </w:tcPr>
          <w:p w14:paraId="18DABE2B">
            <w:pPr>
              <w:spacing w:before="262"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40CA8224">
            <w:pPr>
              <w:spacing w:before="116" w:line="276" w:lineRule="auto"/>
              <w:ind w:left="53" w:hanging="7"/>
              <w:rPr>
                <w:rFonts w:ascii="仿宋" w:hAnsi="仿宋" w:eastAsia="仿宋" w:cs="仿宋"/>
                <w:sz w:val="16"/>
                <w:szCs w:val="16"/>
              </w:rPr>
            </w:pPr>
            <w:r>
              <w:rPr>
                <w:rFonts w:ascii="仿宋" w:hAnsi="仿宋" w:eastAsia="仿宋" w:cs="仿宋"/>
                <w:spacing w:val="-14"/>
                <w:sz w:val="16"/>
                <w:szCs w:val="16"/>
              </w:rPr>
              <w:t>50 万元以</w:t>
            </w:r>
            <w:r>
              <w:rPr>
                <w:rFonts w:ascii="仿宋" w:hAnsi="仿宋" w:eastAsia="仿宋" w:cs="仿宋"/>
                <w:spacing w:val="3"/>
                <w:sz w:val="16"/>
                <w:szCs w:val="16"/>
              </w:rPr>
              <w:t xml:space="preserve"> </w:t>
            </w:r>
            <w:r>
              <w:rPr>
                <w:rFonts w:ascii="仿宋" w:hAnsi="仿宋" w:eastAsia="仿宋" w:cs="仿宋"/>
                <w:sz w:val="16"/>
                <w:szCs w:val="16"/>
              </w:rPr>
              <w:t>下</w:t>
            </w:r>
          </w:p>
        </w:tc>
        <w:tc>
          <w:tcPr>
            <w:tcW w:w="801" w:type="dxa"/>
            <w:tcBorders>
              <w:right w:val="single" w:color="000000" w:sz="8" w:space="0"/>
            </w:tcBorders>
            <w:vAlign w:val="top"/>
          </w:tcPr>
          <w:p w14:paraId="27A797B6">
            <w:pPr>
              <w:rPr>
                <w:rFonts w:ascii="Arial"/>
                <w:sz w:val="21"/>
              </w:rPr>
            </w:pPr>
          </w:p>
        </w:tc>
      </w:tr>
      <w:tr w14:paraId="2CF4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532D7825">
            <w:pPr>
              <w:spacing w:before="264" w:line="224" w:lineRule="auto"/>
              <w:ind w:left="35"/>
              <w:rPr>
                <w:rFonts w:ascii="仿宋" w:hAnsi="仿宋" w:eastAsia="仿宋" w:cs="仿宋"/>
                <w:sz w:val="16"/>
                <w:szCs w:val="16"/>
              </w:rPr>
            </w:pPr>
            <w:r>
              <w:rPr>
                <w:rFonts w:ascii="仿宋" w:hAnsi="仿宋" w:eastAsia="仿宋" w:cs="仿宋"/>
                <w:spacing w:val="-5"/>
                <w:sz w:val="16"/>
                <w:szCs w:val="16"/>
              </w:rPr>
              <w:t>房地产开发经营</w:t>
            </w:r>
          </w:p>
        </w:tc>
        <w:tc>
          <w:tcPr>
            <w:tcW w:w="759" w:type="dxa"/>
            <w:vAlign w:val="top"/>
          </w:tcPr>
          <w:p w14:paraId="67E8776A">
            <w:pPr>
              <w:spacing w:before="118" w:line="276" w:lineRule="auto"/>
              <w:ind w:left="20" w:right="64" w:hanging="10"/>
              <w:rPr>
                <w:rFonts w:ascii="仿宋" w:hAnsi="仿宋" w:eastAsia="仿宋" w:cs="仿宋"/>
                <w:sz w:val="16"/>
                <w:szCs w:val="16"/>
              </w:rPr>
            </w:pPr>
            <w:r>
              <w:rPr>
                <w:rFonts w:ascii="仿宋" w:hAnsi="仿宋" w:eastAsia="仿宋" w:cs="仿宋"/>
                <w:spacing w:val="-7"/>
                <w:sz w:val="16"/>
                <w:szCs w:val="16"/>
              </w:rPr>
              <w:t>200000</w:t>
            </w:r>
            <w:r>
              <w:rPr>
                <w:rFonts w:ascii="仿宋" w:hAnsi="仿宋" w:eastAsia="仿宋" w:cs="仿宋"/>
                <w:spacing w:val="7"/>
                <w:sz w:val="16"/>
                <w:szCs w:val="16"/>
              </w:rPr>
              <w:t xml:space="preserve"> </w:t>
            </w:r>
            <w:r>
              <w:rPr>
                <w:rFonts w:ascii="仿宋" w:hAnsi="仿宋" w:eastAsia="仿宋" w:cs="仿宋"/>
                <w:spacing w:val="-7"/>
                <w:sz w:val="16"/>
                <w:szCs w:val="16"/>
              </w:rPr>
              <w:t>万</w:t>
            </w:r>
            <w:r>
              <w:rPr>
                <w:rFonts w:ascii="仿宋" w:hAnsi="仿宋" w:eastAsia="仿宋" w:cs="仿宋"/>
                <w:sz w:val="16"/>
                <w:szCs w:val="16"/>
              </w:rPr>
              <w:t xml:space="preserve"> </w:t>
            </w:r>
            <w:r>
              <w:rPr>
                <w:rFonts w:ascii="仿宋" w:hAnsi="仿宋" w:eastAsia="仿宋" w:cs="仿宋"/>
                <w:spacing w:val="-8"/>
                <w:sz w:val="16"/>
                <w:szCs w:val="16"/>
              </w:rPr>
              <w:t>元以下</w:t>
            </w:r>
          </w:p>
        </w:tc>
        <w:tc>
          <w:tcPr>
            <w:tcW w:w="859" w:type="dxa"/>
            <w:gridSpan w:val="2"/>
            <w:vAlign w:val="top"/>
          </w:tcPr>
          <w:p w14:paraId="3584FE95">
            <w:pPr>
              <w:spacing w:before="118" w:line="276" w:lineRule="auto"/>
              <w:ind w:left="50" w:right="78" w:hanging="19"/>
              <w:rPr>
                <w:rFonts w:ascii="仿宋" w:hAnsi="仿宋" w:eastAsia="仿宋" w:cs="仿宋"/>
                <w:sz w:val="16"/>
                <w:szCs w:val="16"/>
              </w:rPr>
            </w:pPr>
            <w:r>
              <w:rPr>
                <w:rFonts w:ascii="仿宋" w:hAnsi="仿宋" w:eastAsia="仿宋" w:cs="仿宋"/>
                <w:spacing w:val="-8"/>
                <w:sz w:val="16"/>
                <w:szCs w:val="16"/>
              </w:rPr>
              <w:t>10000 万元</w:t>
            </w:r>
            <w:r>
              <w:rPr>
                <w:rFonts w:ascii="仿宋" w:hAnsi="仿宋" w:eastAsia="仿宋" w:cs="仿宋"/>
                <w:spacing w:val="6"/>
                <w:sz w:val="16"/>
                <w:szCs w:val="16"/>
              </w:rPr>
              <w:t xml:space="preserve"> </w:t>
            </w:r>
            <w:r>
              <w:rPr>
                <w:rFonts w:ascii="仿宋" w:hAnsi="仿宋" w:eastAsia="仿宋" w:cs="仿宋"/>
                <w:spacing w:val="-14"/>
                <w:sz w:val="16"/>
                <w:szCs w:val="16"/>
              </w:rPr>
              <w:t>以下</w:t>
            </w:r>
          </w:p>
        </w:tc>
        <w:tc>
          <w:tcPr>
            <w:tcW w:w="810" w:type="dxa"/>
            <w:vAlign w:val="top"/>
          </w:tcPr>
          <w:p w14:paraId="410E1E2B">
            <w:pPr>
              <w:rPr>
                <w:rFonts w:ascii="Arial"/>
                <w:sz w:val="21"/>
              </w:rPr>
            </w:pPr>
          </w:p>
        </w:tc>
        <w:tc>
          <w:tcPr>
            <w:tcW w:w="743" w:type="dxa"/>
            <w:vAlign w:val="top"/>
          </w:tcPr>
          <w:p w14:paraId="163BE445">
            <w:pPr>
              <w:rPr>
                <w:rFonts w:ascii="Arial"/>
                <w:sz w:val="21"/>
              </w:rPr>
            </w:pPr>
          </w:p>
        </w:tc>
        <w:tc>
          <w:tcPr>
            <w:tcW w:w="907" w:type="dxa"/>
            <w:gridSpan w:val="2"/>
            <w:vAlign w:val="top"/>
          </w:tcPr>
          <w:p w14:paraId="3EA4A8AA">
            <w:pPr>
              <w:spacing w:before="118" w:line="280"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2753C3AB">
            <w:pPr>
              <w:spacing w:before="118" w:line="280" w:lineRule="auto"/>
              <w:ind w:left="36" w:hanging="6"/>
              <w:rPr>
                <w:rFonts w:ascii="仿宋" w:hAnsi="仿宋" w:eastAsia="仿宋" w:cs="仿宋"/>
                <w:sz w:val="16"/>
                <w:szCs w:val="16"/>
              </w:rPr>
            </w:pPr>
            <w:r>
              <w:rPr>
                <w:rFonts w:ascii="仿宋" w:hAnsi="仿宋" w:eastAsia="仿宋" w:cs="仿宋"/>
                <w:spacing w:val="-7"/>
                <w:sz w:val="16"/>
                <w:szCs w:val="16"/>
              </w:rPr>
              <w:t>5000 万元</w:t>
            </w:r>
            <w:r>
              <w:rPr>
                <w:rFonts w:ascii="仿宋" w:hAnsi="仿宋" w:eastAsia="仿宋" w:cs="仿宋"/>
                <w:spacing w:val="5"/>
                <w:sz w:val="16"/>
                <w:szCs w:val="16"/>
              </w:rPr>
              <w:t xml:space="preserve"> </w:t>
            </w:r>
            <w:r>
              <w:rPr>
                <w:rFonts w:ascii="仿宋" w:hAnsi="仿宋" w:eastAsia="仿宋" w:cs="仿宋"/>
                <w:spacing w:val="-7"/>
                <w:sz w:val="16"/>
                <w:szCs w:val="16"/>
              </w:rPr>
              <w:t>及以上</w:t>
            </w:r>
          </w:p>
        </w:tc>
        <w:tc>
          <w:tcPr>
            <w:tcW w:w="761" w:type="dxa"/>
            <w:vAlign w:val="top"/>
          </w:tcPr>
          <w:p w14:paraId="6739CED8">
            <w:pPr>
              <w:rPr>
                <w:rFonts w:ascii="Arial"/>
                <w:sz w:val="21"/>
              </w:rPr>
            </w:pPr>
          </w:p>
        </w:tc>
        <w:tc>
          <w:tcPr>
            <w:tcW w:w="760" w:type="dxa"/>
            <w:gridSpan w:val="2"/>
            <w:vAlign w:val="top"/>
          </w:tcPr>
          <w:p w14:paraId="3CEECBA3">
            <w:pPr>
              <w:spacing w:before="118" w:line="280" w:lineRule="auto"/>
              <w:ind w:left="43" w:right="114"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679" w:type="dxa"/>
            <w:vAlign w:val="top"/>
          </w:tcPr>
          <w:p w14:paraId="69EFA8DD">
            <w:pPr>
              <w:spacing w:before="118" w:line="280" w:lineRule="auto"/>
              <w:ind w:left="46" w:hanging="10"/>
              <w:rPr>
                <w:rFonts w:ascii="仿宋" w:hAnsi="仿宋" w:eastAsia="仿宋" w:cs="仿宋"/>
                <w:sz w:val="16"/>
                <w:szCs w:val="16"/>
              </w:rPr>
            </w:pPr>
            <w:r>
              <w:rPr>
                <w:rFonts w:ascii="仿宋" w:hAnsi="仿宋" w:eastAsia="仿宋" w:cs="仿宋"/>
                <w:spacing w:val="-10"/>
                <w:sz w:val="16"/>
                <w:szCs w:val="16"/>
              </w:rPr>
              <w:t>2000</w:t>
            </w:r>
            <w:r>
              <w:rPr>
                <w:rFonts w:ascii="仿宋" w:hAnsi="仿宋" w:eastAsia="仿宋" w:cs="仿宋"/>
                <w:spacing w:val="23"/>
                <w:sz w:val="16"/>
                <w:szCs w:val="16"/>
              </w:rPr>
              <w:t xml:space="preserve">  </w:t>
            </w:r>
            <w:r>
              <w:rPr>
                <w:rFonts w:ascii="仿宋" w:hAnsi="仿宋" w:eastAsia="仿宋" w:cs="仿宋"/>
                <w:spacing w:val="-10"/>
                <w:sz w:val="16"/>
                <w:szCs w:val="16"/>
              </w:rPr>
              <w:t>万</w:t>
            </w:r>
            <w:r>
              <w:rPr>
                <w:rFonts w:ascii="仿宋" w:hAnsi="仿宋" w:eastAsia="仿宋" w:cs="仿宋"/>
                <w:sz w:val="16"/>
                <w:szCs w:val="16"/>
              </w:rPr>
              <w:t xml:space="preserve"> </w:t>
            </w:r>
            <w:r>
              <w:rPr>
                <w:rFonts w:ascii="仿宋" w:hAnsi="仿宋" w:eastAsia="仿宋" w:cs="仿宋"/>
                <w:spacing w:val="-8"/>
                <w:sz w:val="16"/>
                <w:szCs w:val="16"/>
              </w:rPr>
              <w:t>元及以上</w:t>
            </w:r>
          </w:p>
        </w:tc>
        <w:tc>
          <w:tcPr>
            <w:tcW w:w="774" w:type="dxa"/>
            <w:vAlign w:val="top"/>
          </w:tcPr>
          <w:p w14:paraId="091D605E">
            <w:pPr>
              <w:rPr>
                <w:rFonts w:ascii="Arial"/>
                <w:sz w:val="21"/>
              </w:rPr>
            </w:pPr>
          </w:p>
        </w:tc>
        <w:tc>
          <w:tcPr>
            <w:tcW w:w="692" w:type="dxa"/>
            <w:gridSpan w:val="2"/>
            <w:vAlign w:val="top"/>
          </w:tcPr>
          <w:p w14:paraId="32ED6BA7">
            <w:pPr>
              <w:spacing w:before="118" w:line="276" w:lineRule="auto"/>
              <w:ind w:left="81" w:right="34" w:hanging="16"/>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61010D68">
            <w:pPr>
              <w:spacing w:before="118" w:line="276" w:lineRule="auto"/>
              <w:ind w:left="85" w:right="57" w:hanging="38"/>
              <w:rPr>
                <w:rFonts w:ascii="仿宋" w:hAnsi="仿宋" w:eastAsia="仿宋" w:cs="仿宋"/>
                <w:sz w:val="16"/>
                <w:szCs w:val="16"/>
              </w:rPr>
            </w:pPr>
            <w:r>
              <w:rPr>
                <w:rFonts w:ascii="仿宋" w:hAnsi="仿宋" w:eastAsia="仿宋" w:cs="仿宋"/>
                <w:spacing w:val="-6"/>
                <w:sz w:val="16"/>
                <w:szCs w:val="16"/>
              </w:rPr>
              <w:t>2000 万元</w:t>
            </w:r>
            <w:r>
              <w:rPr>
                <w:rFonts w:ascii="仿宋" w:hAnsi="仿宋" w:eastAsia="仿宋" w:cs="仿宋"/>
                <w:spacing w:val="4"/>
                <w:sz w:val="16"/>
                <w:szCs w:val="16"/>
              </w:rPr>
              <w:t xml:space="preserve"> </w:t>
            </w:r>
            <w:r>
              <w:rPr>
                <w:rFonts w:ascii="仿宋" w:hAnsi="仿宋" w:eastAsia="仿宋" w:cs="仿宋"/>
                <w:spacing w:val="-14"/>
                <w:sz w:val="16"/>
                <w:szCs w:val="16"/>
              </w:rPr>
              <w:t>以下</w:t>
            </w:r>
          </w:p>
        </w:tc>
      </w:tr>
      <w:tr w14:paraId="773C1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70" w:type="dxa"/>
            <w:tcBorders>
              <w:left w:val="single" w:color="000000" w:sz="8" w:space="0"/>
            </w:tcBorders>
            <w:vAlign w:val="top"/>
          </w:tcPr>
          <w:p w14:paraId="56C030C8">
            <w:pPr>
              <w:spacing w:before="261" w:line="222" w:lineRule="auto"/>
              <w:ind w:left="30"/>
              <w:rPr>
                <w:rFonts w:ascii="仿宋" w:hAnsi="仿宋" w:eastAsia="仿宋" w:cs="仿宋"/>
                <w:sz w:val="16"/>
                <w:szCs w:val="16"/>
              </w:rPr>
            </w:pPr>
            <w:r>
              <w:rPr>
                <w:rFonts w:ascii="仿宋" w:hAnsi="仿宋" w:eastAsia="仿宋" w:cs="仿宋"/>
                <w:spacing w:val="-7"/>
                <w:sz w:val="16"/>
                <w:szCs w:val="16"/>
              </w:rPr>
              <w:t>物业管理</w:t>
            </w:r>
          </w:p>
        </w:tc>
        <w:tc>
          <w:tcPr>
            <w:tcW w:w="759" w:type="dxa"/>
            <w:vAlign w:val="top"/>
          </w:tcPr>
          <w:p w14:paraId="748E7C4A">
            <w:pPr>
              <w:spacing w:before="116" w:line="276" w:lineRule="auto"/>
              <w:ind w:left="23" w:right="57" w:firstLine="6"/>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20211E9C">
            <w:pPr>
              <w:spacing w:before="116" w:line="276" w:lineRule="auto"/>
              <w:ind w:left="22" w:right="6" w:hanging="7"/>
              <w:rPr>
                <w:rFonts w:ascii="仿宋" w:hAnsi="仿宋" w:eastAsia="仿宋" w:cs="仿宋"/>
                <w:sz w:val="16"/>
                <w:szCs w:val="16"/>
              </w:rPr>
            </w:pPr>
            <w:r>
              <w:rPr>
                <w:rFonts w:ascii="仿宋" w:hAnsi="仿宋" w:eastAsia="仿宋" w:cs="仿宋"/>
                <w:spacing w:val="-7"/>
                <w:sz w:val="16"/>
                <w:szCs w:val="16"/>
              </w:rPr>
              <w:t>5000 万元以</w:t>
            </w:r>
            <w:r>
              <w:rPr>
                <w:rFonts w:ascii="仿宋" w:hAnsi="仿宋" w:eastAsia="仿宋" w:cs="仿宋"/>
                <w:spacing w:val="6"/>
                <w:sz w:val="16"/>
                <w:szCs w:val="16"/>
              </w:rPr>
              <w:t xml:space="preserve"> </w:t>
            </w:r>
            <w:r>
              <w:rPr>
                <w:rFonts w:ascii="仿宋" w:hAnsi="仿宋" w:eastAsia="仿宋" w:cs="仿宋"/>
                <w:sz w:val="16"/>
                <w:szCs w:val="16"/>
              </w:rPr>
              <w:t>下</w:t>
            </w:r>
          </w:p>
        </w:tc>
        <w:tc>
          <w:tcPr>
            <w:tcW w:w="810" w:type="dxa"/>
            <w:vAlign w:val="top"/>
          </w:tcPr>
          <w:p w14:paraId="2D84A5DA">
            <w:pPr>
              <w:rPr>
                <w:rFonts w:ascii="Arial"/>
                <w:sz w:val="21"/>
              </w:rPr>
            </w:pPr>
          </w:p>
        </w:tc>
        <w:tc>
          <w:tcPr>
            <w:tcW w:w="743" w:type="dxa"/>
            <w:vAlign w:val="top"/>
          </w:tcPr>
          <w:p w14:paraId="609C9172">
            <w:pPr>
              <w:spacing w:before="119" w:line="277" w:lineRule="auto"/>
              <w:ind w:left="59" w:right="112" w:hanging="35"/>
              <w:rPr>
                <w:rFonts w:ascii="仿宋" w:hAnsi="仿宋" w:eastAsia="仿宋" w:cs="仿宋"/>
                <w:sz w:val="16"/>
                <w:szCs w:val="16"/>
              </w:rPr>
            </w:pPr>
            <w:r>
              <w:rPr>
                <w:rFonts w:ascii="仿宋" w:hAnsi="仿宋" w:eastAsia="仿宋" w:cs="仿宋"/>
                <w:spacing w:val="-7"/>
                <w:sz w:val="16"/>
                <w:szCs w:val="16"/>
              </w:rPr>
              <w:t>300 人及</w:t>
            </w:r>
            <w:r>
              <w:rPr>
                <w:rFonts w:ascii="仿宋" w:hAnsi="仿宋" w:eastAsia="仿宋" w:cs="仿宋"/>
                <w:spacing w:val="1"/>
                <w:sz w:val="16"/>
                <w:szCs w:val="16"/>
              </w:rPr>
              <w:t xml:space="preserve"> </w:t>
            </w:r>
            <w:r>
              <w:rPr>
                <w:rFonts w:ascii="仿宋" w:hAnsi="仿宋" w:eastAsia="仿宋" w:cs="仿宋"/>
                <w:spacing w:val="-14"/>
                <w:sz w:val="16"/>
                <w:szCs w:val="16"/>
              </w:rPr>
              <w:t>以上</w:t>
            </w:r>
          </w:p>
        </w:tc>
        <w:tc>
          <w:tcPr>
            <w:tcW w:w="907" w:type="dxa"/>
            <w:gridSpan w:val="2"/>
            <w:vAlign w:val="top"/>
          </w:tcPr>
          <w:p w14:paraId="23EA14ED">
            <w:pPr>
              <w:spacing w:before="119" w:line="277" w:lineRule="auto"/>
              <w:ind w:left="62" w:right="35" w:hanging="19"/>
              <w:rPr>
                <w:rFonts w:ascii="仿宋" w:hAnsi="仿宋" w:eastAsia="仿宋" w:cs="仿宋"/>
                <w:sz w:val="16"/>
                <w:szCs w:val="16"/>
              </w:rPr>
            </w:pPr>
            <w:r>
              <w:rPr>
                <w:rFonts w:ascii="仿宋" w:hAnsi="仿宋" w:eastAsia="仿宋" w:cs="仿宋"/>
                <w:spacing w:val="-8"/>
                <w:sz w:val="16"/>
                <w:szCs w:val="16"/>
              </w:rPr>
              <w:t>1000 万元及</w:t>
            </w:r>
            <w:r>
              <w:rPr>
                <w:rFonts w:ascii="仿宋" w:hAnsi="仿宋" w:eastAsia="仿宋" w:cs="仿宋"/>
                <w:spacing w:val="5"/>
                <w:sz w:val="16"/>
                <w:szCs w:val="16"/>
              </w:rPr>
              <w:t xml:space="preserve"> </w:t>
            </w:r>
            <w:r>
              <w:rPr>
                <w:rFonts w:ascii="仿宋" w:hAnsi="仿宋" w:eastAsia="仿宋" w:cs="仿宋"/>
                <w:spacing w:val="-14"/>
                <w:sz w:val="16"/>
                <w:szCs w:val="16"/>
              </w:rPr>
              <w:t>以上</w:t>
            </w:r>
          </w:p>
        </w:tc>
        <w:tc>
          <w:tcPr>
            <w:tcW w:w="713" w:type="dxa"/>
            <w:vAlign w:val="top"/>
          </w:tcPr>
          <w:p w14:paraId="1D4B2781">
            <w:pPr>
              <w:rPr>
                <w:rFonts w:ascii="Arial"/>
                <w:sz w:val="21"/>
              </w:rPr>
            </w:pPr>
          </w:p>
        </w:tc>
        <w:tc>
          <w:tcPr>
            <w:tcW w:w="761" w:type="dxa"/>
            <w:vAlign w:val="top"/>
          </w:tcPr>
          <w:p w14:paraId="641C69CB">
            <w:pPr>
              <w:spacing w:before="119" w:line="277" w:lineRule="auto"/>
              <w:ind w:left="70" w:right="117" w:hanging="19"/>
              <w:rPr>
                <w:rFonts w:ascii="仿宋" w:hAnsi="仿宋" w:eastAsia="仿宋" w:cs="仿宋"/>
                <w:sz w:val="16"/>
                <w:szCs w:val="16"/>
              </w:rPr>
            </w:pPr>
            <w:r>
              <w:rPr>
                <w:rFonts w:ascii="仿宋" w:hAnsi="仿宋" w:eastAsia="仿宋" w:cs="仿宋"/>
                <w:spacing w:val="-11"/>
                <w:sz w:val="16"/>
                <w:szCs w:val="16"/>
              </w:rPr>
              <w:t>100</w:t>
            </w:r>
            <w:r>
              <w:rPr>
                <w:rFonts w:ascii="仿宋" w:hAnsi="仿宋" w:eastAsia="仿宋" w:cs="仿宋"/>
                <w:spacing w:val="1"/>
                <w:sz w:val="16"/>
                <w:szCs w:val="16"/>
              </w:rPr>
              <w:t xml:space="preserve"> </w:t>
            </w:r>
            <w:r>
              <w:rPr>
                <w:rFonts w:ascii="仿宋" w:hAnsi="仿宋" w:eastAsia="仿宋" w:cs="仿宋"/>
                <w:spacing w:val="-11"/>
                <w:sz w:val="16"/>
                <w:szCs w:val="16"/>
              </w:rPr>
              <w:t>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760" w:type="dxa"/>
            <w:gridSpan w:val="2"/>
            <w:vAlign w:val="top"/>
          </w:tcPr>
          <w:p w14:paraId="358D01E6">
            <w:pPr>
              <w:spacing w:before="119" w:line="277" w:lineRule="auto"/>
              <w:ind w:left="43" w:right="116" w:hanging="6"/>
              <w:rPr>
                <w:rFonts w:ascii="仿宋" w:hAnsi="仿宋" w:eastAsia="仿宋" w:cs="仿宋"/>
                <w:sz w:val="16"/>
                <w:szCs w:val="16"/>
              </w:rPr>
            </w:pPr>
            <w:r>
              <w:rPr>
                <w:rFonts w:ascii="仿宋" w:hAnsi="仿宋" w:eastAsia="仿宋" w:cs="仿宋"/>
                <w:spacing w:val="-7"/>
                <w:sz w:val="16"/>
                <w:szCs w:val="16"/>
              </w:rPr>
              <w:t>500 万元</w:t>
            </w:r>
            <w:r>
              <w:rPr>
                <w:rFonts w:ascii="仿宋" w:hAnsi="仿宋" w:eastAsia="仿宋" w:cs="仿宋"/>
                <w:spacing w:val="1"/>
                <w:sz w:val="16"/>
                <w:szCs w:val="16"/>
              </w:rPr>
              <w:t xml:space="preserve"> </w:t>
            </w:r>
            <w:r>
              <w:rPr>
                <w:rFonts w:ascii="仿宋" w:hAnsi="仿宋" w:eastAsia="仿宋" w:cs="仿宋"/>
                <w:spacing w:val="-7"/>
                <w:sz w:val="16"/>
                <w:szCs w:val="16"/>
              </w:rPr>
              <w:t>及以上</w:t>
            </w:r>
          </w:p>
        </w:tc>
        <w:tc>
          <w:tcPr>
            <w:tcW w:w="679" w:type="dxa"/>
            <w:vAlign w:val="top"/>
          </w:tcPr>
          <w:p w14:paraId="552E8E82">
            <w:pPr>
              <w:rPr>
                <w:rFonts w:ascii="Arial"/>
                <w:sz w:val="21"/>
              </w:rPr>
            </w:pPr>
          </w:p>
        </w:tc>
        <w:tc>
          <w:tcPr>
            <w:tcW w:w="774" w:type="dxa"/>
            <w:vAlign w:val="top"/>
          </w:tcPr>
          <w:p w14:paraId="78E01848">
            <w:pPr>
              <w:spacing w:before="263" w:line="224" w:lineRule="auto"/>
              <w:jc w:val="right"/>
              <w:rPr>
                <w:rFonts w:ascii="仿宋" w:hAnsi="仿宋" w:eastAsia="仿宋" w:cs="仿宋"/>
                <w:sz w:val="16"/>
                <w:szCs w:val="16"/>
              </w:rPr>
            </w:pPr>
            <w:r>
              <w:rPr>
                <w:rFonts w:ascii="仿宋" w:hAnsi="仿宋" w:eastAsia="仿宋" w:cs="仿宋"/>
                <w:spacing w:val="-16"/>
                <w:sz w:val="16"/>
                <w:szCs w:val="16"/>
              </w:rPr>
              <w:t>10</w:t>
            </w:r>
            <w:r>
              <w:rPr>
                <w:rFonts w:ascii="仿宋" w:hAnsi="仿宋" w:eastAsia="仿宋" w:cs="仿宋"/>
                <w:spacing w:val="-15"/>
                <w:sz w:val="16"/>
                <w:szCs w:val="16"/>
              </w:rPr>
              <w:t>0</w:t>
            </w:r>
            <w:r>
              <w:rPr>
                <w:rFonts w:ascii="仿宋" w:hAnsi="仿宋" w:eastAsia="仿宋" w:cs="仿宋"/>
                <w:spacing w:val="-16"/>
                <w:sz w:val="16"/>
                <w:szCs w:val="16"/>
              </w:rPr>
              <w:t xml:space="preserve"> </w:t>
            </w:r>
            <w:r>
              <w:rPr>
                <w:rFonts w:ascii="仿宋" w:hAnsi="仿宋" w:eastAsia="仿宋" w:cs="仿宋"/>
                <w:spacing w:val="-15"/>
                <w:sz w:val="16"/>
                <w:szCs w:val="16"/>
              </w:rPr>
              <w:t>人以</w:t>
            </w:r>
            <w:r>
              <w:rPr>
                <w:rFonts w:ascii="仿宋" w:hAnsi="仿宋" w:eastAsia="仿宋" w:cs="仿宋"/>
                <w:spacing w:val="-13"/>
                <w:sz w:val="16"/>
                <w:szCs w:val="16"/>
              </w:rPr>
              <w:t>下</w:t>
            </w:r>
          </w:p>
        </w:tc>
        <w:tc>
          <w:tcPr>
            <w:tcW w:w="692" w:type="dxa"/>
            <w:gridSpan w:val="2"/>
            <w:vAlign w:val="top"/>
          </w:tcPr>
          <w:p w14:paraId="6E0C29B4">
            <w:pPr>
              <w:spacing w:before="116" w:line="276" w:lineRule="auto"/>
              <w:ind w:left="80" w:right="39" w:hanging="34"/>
              <w:rPr>
                <w:rFonts w:ascii="仿宋" w:hAnsi="仿宋" w:eastAsia="仿宋" w:cs="仿宋"/>
                <w:sz w:val="16"/>
                <w:szCs w:val="16"/>
              </w:rPr>
            </w:pPr>
            <w:r>
              <w:rPr>
                <w:rFonts w:ascii="仿宋" w:hAnsi="仿宋" w:eastAsia="仿宋" w:cs="仿宋"/>
                <w:spacing w:val="-7"/>
                <w:sz w:val="16"/>
                <w:szCs w:val="16"/>
              </w:rPr>
              <w:t>500 万元</w:t>
            </w:r>
            <w:r>
              <w:rPr>
                <w:rFonts w:ascii="仿宋" w:hAnsi="仿宋" w:eastAsia="仿宋" w:cs="仿宋"/>
                <w:spacing w:val="1"/>
                <w:sz w:val="16"/>
                <w:szCs w:val="16"/>
              </w:rPr>
              <w:t xml:space="preserve"> </w:t>
            </w:r>
            <w:r>
              <w:rPr>
                <w:rFonts w:ascii="仿宋" w:hAnsi="仿宋" w:eastAsia="仿宋" w:cs="仿宋"/>
                <w:spacing w:val="-14"/>
                <w:sz w:val="16"/>
                <w:szCs w:val="16"/>
              </w:rPr>
              <w:t>以下</w:t>
            </w:r>
          </w:p>
        </w:tc>
        <w:tc>
          <w:tcPr>
            <w:tcW w:w="801" w:type="dxa"/>
            <w:tcBorders>
              <w:right w:val="single" w:color="000000" w:sz="8" w:space="0"/>
            </w:tcBorders>
            <w:vAlign w:val="top"/>
          </w:tcPr>
          <w:p w14:paraId="58700DD9">
            <w:pPr>
              <w:rPr>
                <w:rFonts w:ascii="Arial"/>
                <w:sz w:val="21"/>
              </w:rPr>
            </w:pPr>
          </w:p>
        </w:tc>
      </w:tr>
      <w:tr w14:paraId="23A54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70" w:type="dxa"/>
            <w:tcBorders>
              <w:left w:val="single" w:color="000000" w:sz="8" w:space="0"/>
            </w:tcBorders>
            <w:vAlign w:val="top"/>
          </w:tcPr>
          <w:p w14:paraId="4007A5EF">
            <w:pPr>
              <w:spacing w:before="262" w:line="223" w:lineRule="auto"/>
              <w:ind w:left="30"/>
              <w:rPr>
                <w:rFonts w:ascii="仿宋" w:hAnsi="仿宋" w:eastAsia="仿宋" w:cs="仿宋"/>
                <w:sz w:val="16"/>
                <w:szCs w:val="16"/>
              </w:rPr>
            </w:pPr>
            <w:r>
              <w:rPr>
                <w:rFonts w:ascii="仿宋" w:hAnsi="仿宋" w:eastAsia="仿宋" w:cs="仿宋"/>
                <w:spacing w:val="-4"/>
                <w:sz w:val="16"/>
                <w:szCs w:val="16"/>
              </w:rPr>
              <w:t>租赁和商务服务业</w:t>
            </w:r>
          </w:p>
        </w:tc>
        <w:tc>
          <w:tcPr>
            <w:tcW w:w="759" w:type="dxa"/>
            <w:vAlign w:val="top"/>
          </w:tcPr>
          <w:p w14:paraId="726F5214">
            <w:pPr>
              <w:spacing w:before="118" w:line="276"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05C133B7">
            <w:pPr>
              <w:rPr>
                <w:rFonts w:ascii="Arial"/>
                <w:sz w:val="21"/>
              </w:rPr>
            </w:pPr>
          </w:p>
        </w:tc>
        <w:tc>
          <w:tcPr>
            <w:tcW w:w="810" w:type="dxa"/>
            <w:vAlign w:val="top"/>
          </w:tcPr>
          <w:p w14:paraId="1037E364">
            <w:pPr>
              <w:spacing w:before="118" w:line="276" w:lineRule="auto"/>
              <w:ind w:left="30" w:right="106" w:firstLine="6"/>
              <w:rPr>
                <w:rFonts w:ascii="仿宋" w:hAnsi="仿宋" w:eastAsia="仿宋" w:cs="仿宋"/>
                <w:sz w:val="16"/>
                <w:szCs w:val="16"/>
              </w:rPr>
            </w:pPr>
            <w:r>
              <w:rPr>
                <w:rFonts w:ascii="仿宋" w:hAnsi="仿宋" w:eastAsia="仿宋" w:cs="仿宋"/>
                <w:spacing w:val="-9"/>
                <w:sz w:val="16"/>
                <w:szCs w:val="16"/>
              </w:rPr>
              <w:t>120000</w:t>
            </w:r>
            <w:r>
              <w:rPr>
                <w:rFonts w:ascii="仿宋" w:hAnsi="仿宋" w:eastAsia="仿宋" w:cs="仿宋"/>
                <w:spacing w:val="3"/>
                <w:sz w:val="16"/>
                <w:szCs w:val="16"/>
              </w:rPr>
              <w:t xml:space="preserve"> </w:t>
            </w:r>
            <w:r>
              <w:rPr>
                <w:rFonts w:ascii="仿宋" w:hAnsi="仿宋" w:eastAsia="仿宋" w:cs="仿宋"/>
                <w:spacing w:val="-9"/>
                <w:sz w:val="16"/>
                <w:szCs w:val="16"/>
              </w:rPr>
              <w:t>万</w:t>
            </w:r>
            <w:r>
              <w:rPr>
                <w:rFonts w:ascii="仿宋" w:hAnsi="仿宋" w:eastAsia="仿宋" w:cs="仿宋"/>
                <w:sz w:val="16"/>
                <w:szCs w:val="16"/>
              </w:rPr>
              <w:t xml:space="preserve"> </w:t>
            </w:r>
            <w:r>
              <w:rPr>
                <w:rFonts w:ascii="仿宋" w:hAnsi="仿宋" w:eastAsia="仿宋" w:cs="仿宋"/>
                <w:spacing w:val="-8"/>
                <w:sz w:val="16"/>
                <w:szCs w:val="16"/>
              </w:rPr>
              <w:t>元以下</w:t>
            </w:r>
          </w:p>
        </w:tc>
        <w:tc>
          <w:tcPr>
            <w:tcW w:w="743" w:type="dxa"/>
            <w:vAlign w:val="top"/>
          </w:tcPr>
          <w:p w14:paraId="02A7B9E4">
            <w:pPr>
              <w:spacing w:before="121" w:line="277"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7ED03E11">
            <w:pPr>
              <w:rPr>
                <w:rFonts w:ascii="Arial"/>
                <w:sz w:val="21"/>
              </w:rPr>
            </w:pPr>
          </w:p>
        </w:tc>
        <w:tc>
          <w:tcPr>
            <w:tcW w:w="713" w:type="dxa"/>
            <w:vAlign w:val="top"/>
          </w:tcPr>
          <w:p w14:paraId="1168473D">
            <w:pPr>
              <w:spacing w:before="121" w:line="277" w:lineRule="auto"/>
              <w:ind w:left="36" w:hanging="11"/>
              <w:rPr>
                <w:rFonts w:ascii="仿宋" w:hAnsi="仿宋" w:eastAsia="仿宋" w:cs="仿宋"/>
                <w:sz w:val="16"/>
                <w:szCs w:val="16"/>
              </w:rPr>
            </w:pPr>
            <w:r>
              <w:rPr>
                <w:rFonts w:ascii="仿宋" w:hAnsi="仿宋" w:eastAsia="仿宋" w:cs="仿宋"/>
                <w:spacing w:val="-6"/>
                <w:sz w:val="16"/>
                <w:szCs w:val="16"/>
              </w:rPr>
              <w:t>8000 万元</w:t>
            </w:r>
            <w:r>
              <w:rPr>
                <w:rFonts w:ascii="仿宋" w:hAnsi="仿宋" w:eastAsia="仿宋" w:cs="仿宋"/>
                <w:spacing w:val="3"/>
                <w:sz w:val="16"/>
                <w:szCs w:val="16"/>
              </w:rPr>
              <w:t xml:space="preserve"> </w:t>
            </w:r>
            <w:r>
              <w:rPr>
                <w:rFonts w:ascii="仿宋" w:hAnsi="仿宋" w:eastAsia="仿宋" w:cs="仿宋"/>
                <w:spacing w:val="-7"/>
                <w:sz w:val="16"/>
                <w:szCs w:val="16"/>
              </w:rPr>
              <w:t>及以上</w:t>
            </w:r>
          </w:p>
        </w:tc>
        <w:tc>
          <w:tcPr>
            <w:tcW w:w="761" w:type="dxa"/>
            <w:vAlign w:val="top"/>
          </w:tcPr>
          <w:p w14:paraId="755C2316">
            <w:pPr>
              <w:spacing w:before="118" w:line="291"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2A28C719">
            <w:pPr>
              <w:rPr>
                <w:rFonts w:ascii="Arial"/>
                <w:sz w:val="21"/>
              </w:rPr>
            </w:pPr>
          </w:p>
        </w:tc>
        <w:tc>
          <w:tcPr>
            <w:tcW w:w="679" w:type="dxa"/>
            <w:vAlign w:val="top"/>
          </w:tcPr>
          <w:p w14:paraId="2436AFF3">
            <w:pPr>
              <w:spacing w:before="121" w:line="277" w:lineRule="auto"/>
              <w:ind w:left="46" w:right="30" w:firstLine="9"/>
              <w:rPr>
                <w:rFonts w:ascii="仿宋" w:hAnsi="仿宋" w:eastAsia="仿宋" w:cs="仿宋"/>
                <w:sz w:val="16"/>
                <w:szCs w:val="16"/>
              </w:rPr>
            </w:pPr>
            <w:r>
              <w:rPr>
                <w:rFonts w:ascii="仿宋" w:hAnsi="仿宋" w:eastAsia="仿宋" w:cs="仿宋"/>
                <w:spacing w:val="-9"/>
                <w:sz w:val="16"/>
                <w:szCs w:val="16"/>
              </w:rPr>
              <w:t>100 万元</w:t>
            </w:r>
            <w:r>
              <w:rPr>
                <w:rFonts w:ascii="仿宋" w:hAnsi="仿宋" w:eastAsia="仿宋" w:cs="仿宋"/>
                <w:sz w:val="16"/>
                <w:szCs w:val="16"/>
              </w:rPr>
              <w:t xml:space="preserve"> </w:t>
            </w:r>
            <w:r>
              <w:rPr>
                <w:rFonts w:ascii="仿宋" w:hAnsi="仿宋" w:eastAsia="仿宋" w:cs="仿宋"/>
                <w:spacing w:val="-7"/>
                <w:sz w:val="16"/>
                <w:szCs w:val="16"/>
              </w:rPr>
              <w:t>及以上</w:t>
            </w:r>
          </w:p>
        </w:tc>
        <w:tc>
          <w:tcPr>
            <w:tcW w:w="774" w:type="dxa"/>
            <w:vAlign w:val="top"/>
          </w:tcPr>
          <w:p w14:paraId="128E5C25">
            <w:pPr>
              <w:spacing w:before="264"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2B71C137">
            <w:pPr>
              <w:rPr>
                <w:rFonts w:ascii="Arial"/>
                <w:sz w:val="21"/>
              </w:rPr>
            </w:pPr>
          </w:p>
        </w:tc>
        <w:tc>
          <w:tcPr>
            <w:tcW w:w="801" w:type="dxa"/>
            <w:tcBorders>
              <w:right w:val="single" w:color="000000" w:sz="8" w:space="0"/>
            </w:tcBorders>
            <w:vAlign w:val="top"/>
          </w:tcPr>
          <w:p w14:paraId="0A9E9183">
            <w:pPr>
              <w:spacing w:before="118" w:line="276" w:lineRule="auto"/>
              <w:ind w:left="60" w:firstLine="6"/>
              <w:rPr>
                <w:rFonts w:ascii="仿宋" w:hAnsi="仿宋" w:eastAsia="仿宋" w:cs="仿宋"/>
                <w:sz w:val="16"/>
                <w:szCs w:val="16"/>
              </w:rPr>
            </w:pPr>
            <w:r>
              <w:rPr>
                <w:rFonts w:ascii="仿宋" w:hAnsi="仿宋" w:eastAsia="仿宋" w:cs="仿宋"/>
                <w:spacing w:val="-12"/>
                <w:sz w:val="16"/>
                <w:szCs w:val="16"/>
              </w:rPr>
              <w:t>100</w:t>
            </w:r>
            <w:r>
              <w:rPr>
                <w:rFonts w:ascii="仿宋" w:hAnsi="仿宋" w:eastAsia="仿宋" w:cs="仿宋"/>
                <w:spacing w:val="-8"/>
                <w:sz w:val="16"/>
                <w:szCs w:val="16"/>
              </w:rPr>
              <w:t xml:space="preserve"> </w:t>
            </w:r>
            <w:r>
              <w:rPr>
                <w:rFonts w:ascii="仿宋" w:hAnsi="仿宋" w:eastAsia="仿宋" w:cs="仿宋"/>
                <w:spacing w:val="-12"/>
                <w:sz w:val="16"/>
                <w:szCs w:val="16"/>
              </w:rPr>
              <w:t>万元以</w:t>
            </w:r>
            <w:r>
              <w:rPr>
                <w:rFonts w:ascii="仿宋" w:hAnsi="仿宋" w:eastAsia="仿宋" w:cs="仿宋"/>
                <w:sz w:val="16"/>
                <w:szCs w:val="16"/>
              </w:rPr>
              <w:t xml:space="preserve"> 下</w:t>
            </w:r>
          </w:p>
        </w:tc>
      </w:tr>
      <w:tr w14:paraId="3B3B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670" w:type="dxa"/>
            <w:tcBorders>
              <w:left w:val="single" w:color="000000" w:sz="8" w:space="0"/>
            </w:tcBorders>
            <w:vAlign w:val="top"/>
          </w:tcPr>
          <w:p w14:paraId="370E9243">
            <w:pPr>
              <w:spacing w:before="118" w:line="384" w:lineRule="auto"/>
              <w:ind w:left="25" w:right="15" w:firstLine="4"/>
              <w:rPr>
                <w:rFonts w:ascii="仿宋" w:hAnsi="仿宋" w:eastAsia="仿宋" w:cs="仿宋"/>
                <w:sz w:val="14"/>
                <w:szCs w:val="14"/>
              </w:rPr>
            </w:pPr>
            <w:r>
              <w:rPr>
                <w:rFonts w:ascii="仿宋" w:hAnsi="仿宋" w:eastAsia="仿宋" w:cs="仿宋"/>
                <w:spacing w:val="14"/>
                <w:sz w:val="14"/>
                <w:szCs w:val="14"/>
              </w:rPr>
              <w:t>其他未列明行业</w:t>
            </w:r>
            <w:r>
              <w:rPr>
                <w:rFonts w:ascii="仿宋" w:hAnsi="仿宋" w:eastAsia="仿宋" w:cs="仿宋"/>
                <w:spacing w:val="68"/>
                <w:sz w:val="14"/>
                <w:szCs w:val="14"/>
              </w:rPr>
              <w:t xml:space="preserve"> </w:t>
            </w:r>
            <w:r>
              <w:rPr>
                <w:rFonts w:ascii="仿宋" w:hAnsi="仿宋" w:eastAsia="仿宋" w:cs="仿宋"/>
                <w:spacing w:val="14"/>
                <w:sz w:val="14"/>
                <w:szCs w:val="14"/>
              </w:rPr>
              <w:t>(包括</w:t>
            </w:r>
            <w:r>
              <w:rPr>
                <w:rFonts w:ascii="仿宋" w:hAnsi="仿宋" w:eastAsia="仿宋" w:cs="仿宋"/>
                <w:sz w:val="14"/>
                <w:szCs w:val="14"/>
              </w:rPr>
              <w:t xml:space="preserve"> </w:t>
            </w:r>
            <w:r>
              <w:rPr>
                <w:rFonts w:ascii="仿宋" w:hAnsi="仿宋" w:eastAsia="仿宋" w:cs="仿宋"/>
                <w:spacing w:val="-4"/>
                <w:sz w:val="14"/>
                <w:szCs w:val="14"/>
              </w:rPr>
              <w:t>科 学</w:t>
            </w:r>
            <w:r>
              <w:rPr>
                <w:rFonts w:ascii="仿宋" w:hAnsi="仿宋" w:eastAsia="仿宋" w:cs="仿宋"/>
                <w:spacing w:val="-23"/>
                <w:sz w:val="14"/>
                <w:szCs w:val="14"/>
              </w:rPr>
              <w:t xml:space="preserve"> </w:t>
            </w:r>
            <w:r>
              <w:rPr>
                <w:rFonts w:ascii="仿宋" w:hAnsi="仿宋" w:eastAsia="仿宋" w:cs="仿宋"/>
                <w:spacing w:val="-4"/>
                <w:sz w:val="14"/>
                <w:szCs w:val="14"/>
              </w:rPr>
              <w:t>研</w:t>
            </w:r>
            <w:r>
              <w:rPr>
                <w:rFonts w:ascii="仿宋" w:hAnsi="仿宋" w:eastAsia="仿宋" w:cs="仿宋"/>
                <w:spacing w:val="-19"/>
                <w:sz w:val="14"/>
                <w:szCs w:val="14"/>
              </w:rPr>
              <w:t xml:space="preserve"> </w:t>
            </w:r>
            <w:r>
              <w:rPr>
                <w:rFonts w:ascii="仿宋" w:hAnsi="仿宋" w:eastAsia="仿宋" w:cs="仿宋"/>
                <w:spacing w:val="-4"/>
                <w:sz w:val="14"/>
                <w:szCs w:val="14"/>
              </w:rPr>
              <w:t>究</w:t>
            </w:r>
            <w:r>
              <w:rPr>
                <w:rFonts w:ascii="仿宋" w:hAnsi="仿宋" w:eastAsia="仿宋" w:cs="仿宋"/>
                <w:spacing w:val="-27"/>
                <w:sz w:val="14"/>
                <w:szCs w:val="14"/>
              </w:rPr>
              <w:t xml:space="preserve"> </w:t>
            </w:r>
            <w:r>
              <w:rPr>
                <w:rFonts w:ascii="仿宋" w:hAnsi="仿宋" w:eastAsia="仿宋" w:cs="仿宋"/>
                <w:spacing w:val="-4"/>
                <w:sz w:val="14"/>
                <w:szCs w:val="14"/>
              </w:rPr>
              <w:t>和</w:t>
            </w:r>
            <w:r>
              <w:rPr>
                <w:rFonts w:ascii="仿宋" w:hAnsi="仿宋" w:eastAsia="仿宋" w:cs="仿宋"/>
                <w:spacing w:val="-26"/>
                <w:sz w:val="14"/>
                <w:szCs w:val="14"/>
              </w:rPr>
              <w:t xml:space="preserve"> </w:t>
            </w:r>
            <w:r>
              <w:rPr>
                <w:rFonts w:ascii="仿宋" w:hAnsi="仿宋" w:eastAsia="仿宋" w:cs="仿宋"/>
                <w:spacing w:val="-4"/>
                <w:sz w:val="14"/>
                <w:szCs w:val="14"/>
              </w:rPr>
              <w:t>技</w:t>
            </w:r>
            <w:r>
              <w:rPr>
                <w:rFonts w:ascii="仿宋" w:hAnsi="仿宋" w:eastAsia="仿宋" w:cs="仿宋"/>
                <w:spacing w:val="-24"/>
                <w:sz w:val="14"/>
                <w:szCs w:val="14"/>
              </w:rPr>
              <w:t xml:space="preserve"> </w:t>
            </w:r>
            <w:r>
              <w:rPr>
                <w:rFonts w:ascii="仿宋" w:hAnsi="仿宋" w:eastAsia="仿宋" w:cs="仿宋"/>
                <w:spacing w:val="-4"/>
                <w:sz w:val="14"/>
                <w:szCs w:val="14"/>
              </w:rPr>
              <w:t>术</w:t>
            </w:r>
            <w:r>
              <w:rPr>
                <w:rFonts w:ascii="仿宋" w:hAnsi="仿宋" w:eastAsia="仿宋" w:cs="仿宋"/>
                <w:spacing w:val="-27"/>
                <w:sz w:val="14"/>
                <w:szCs w:val="14"/>
              </w:rPr>
              <w:t xml:space="preserve"> </w:t>
            </w:r>
            <w:r>
              <w:rPr>
                <w:rFonts w:ascii="仿宋" w:hAnsi="仿宋" w:eastAsia="仿宋" w:cs="仿宋"/>
                <w:spacing w:val="-4"/>
                <w:sz w:val="14"/>
                <w:szCs w:val="14"/>
              </w:rPr>
              <w:t>服</w:t>
            </w:r>
            <w:r>
              <w:rPr>
                <w:rFonts w:ascii="仿宋" w:hAnsi="仿宋" w:eastAsia="仿宋" w:cs="仿宋"/>
                <w:spacing w:val="-22"/>
                <w:sz w:val="14"/>
                <w:szCs w:val="14"/>
              </w:rPr>
              <w:t xml:space="preserve"> </w:t>
            </w:r>
            <w:r>
              <w:rPr>
                <w:rFonts w:ascii="仿宋" w:hAnsi="仿宋" w:eastAsia="仿宋" w:cs="仿宋"/>
                <w:spacing w:val="-4"/>
                <w:sz w:val="14"/>
                <w:szCs w:val="14"/>
              </w:rPr>
              <w:t>务</w:t>
            </w:r>
            <w:r>
              <w:rPr>
                <w:rFonts w:ascii="仿宋" w:hAnsi="仿宋" w:eastAsia="仿宋" w:cs="仿宋"/>
                <w:sz w:val="14"/>
                <w:szCs w:val="14"/>
              </w:rPr>
              <w:t xml:space="preserve"> </w:t>
            </w:r>
            <w:r>
              <w:rPr>
                <w:rFonts w:ascii="仿宋" w:hAnsi="仿宋" w:eastAsia="仿宋" w:cs="仿宋"/>
                <w:spacing w:val="8"/>
                <w:sz w:val="14"/>
                <w:szCs w:val="14"/>
              </w:rPr>
              <w:t>业</w:t>
            </w:r>
            <w:r>
              <w:rPr>
                <w:rFonts w:ascii="仿宋" w:hAnsi="仿宋" w:eastAsia="仿宋" w:cs="仿宋"/>
                <w:spacing w:val="-36"/>
                <w:sz w:val="14"/>
                <w:szCs w:val="14"/>
              </w:rPr>
              <w:t xml:space="preserve"> </w:t>
            </w:r>
            <w:r>
              <w:rPr>
                <w:rFonts w:ascii="仿宋" w:hAnsi="仿宋" w:eastAsia="仿宋" w:cs="仿宋"/>
                <w:spacing w:val="8"/>
                <w:sz w:val="14"/>
                <w:szCs w:val="14"/>
              </w:rPr>
              <w:t>，</w:t>
            </w:r>
            <w:r>
              <w:rPr>
                <w:rFonts w:ascii="仿宋" w:hAnsi="仿宋" w:eastAsia="仿宋" w:cs="仿宋"/>
                <w:spacing w:val="-37"/>
                <w:sz w:val="14"/>
                <w:szCs w:val="14"/>
              </w:rPr>
              <w:t xml:space="preserve"> </w:t>
            </w:r>
            <w:r>
              <w:rPr>
                <w:rFonts w:ascii="仿宋" w:hAnsi="仿宋" w:eastAsia="仿宋" w:cs="仿宋"/>
                <w:spacing w:val="8"/>
                <w:sz w:val="14"/>
                <w:szCs w:val="14"/>
              </w:rPr>
              <w:t>水利</w:t>
            </w:r>
            <w:r>
              <w:rPr>
                <w:rFonts w:ascii="仿宋" w:hAnsi="仿宋" w:eastAsia="仿宋" w:cs="仿宋"/>
                <w:spacing w:val="-35"/>
                <w:sz w:val="14"/>
                <w:szCs w:val="14"/>
              </w:rPr>
              <w:t xml:space="preserve"> </w:t>
            </w:r>
            <w:r>
              <w:rPr>
                <w:rFonts w:ascii="仿宋" w:hAnsi="仿宋" w:eastAsia="仿宋" w:cs="仿宋"/>
                <w:spacing w:val="8"/>
                <w:sz w:val="14"/>
                <w:szCs w:val="14"/>
              </w:rPr>
              <w:t>、</w:t>
            </w:r>
            <w:r>
              <w:rPr>
                <w:rFonts w:ascii="仿宋" w:hAnsi="仿宋" w:eastAsia="仿宋" w:cs="仿宋"/>
                <w:spacing w:val="-38"/>
                <w:sz w:val="14"/>
                <w:szCs w:val="14"/>
              </w:rPr>
              <w:t xml:space="preserve"> </w:t>
            </w:r>
            <w:r>
              <w:rPr>
                <w:rFonts w:ascii="仿宋" w:hAnsi="仿宋" w:eastAsia="仿宋" w:cs="仿宋"/>
                <w:spacing w:val="8"/>
                <w:sz w:val="14"/>
                <w:szCs w:val="14"/>
              </w:rPr>
              <w:t>环境和公共</w:t>
            </w:r>
            <w:r>
              <w:rPr>
                <w:rFonts w:ascii="仿宋" w:hAnsi="仿宋" w:eastAsia="仿宋" w:cs="仿宋"/>
                <w:sz w:val="14"/>
                <w:szCs w:val="14"/>
              </w:rPr>
              <w:t xml:space="preserve"> </w:t>
            </w:r>
            <w:r>
              <w:rPr>
                <w:rFonts w:ascii="仿宋" w:hAnsi="仿宋" w:eastAsia="仿宋" w:cs="仿宋"/>
                <w:spacing w:val="6"/>
                <w:sz w:val="14"/>
                <w:szCs w:val="14"/>
              </w:rPr>
              <w:t>设施管理业，居民服务、</w:t>
            </w:r>
            <w:r>
              <w:rPr>
                <w:rFonts w:ascii="仿宋" w:hAnsi="仿宋" w:eastAsia="仿宋" w:cs="仿宋"/>
                <w:spacing w:val="8"/>
                <w:sz w:val="14"/>
                <w:szCs w:val="14"/>
              </w:rPr>
              <w:t xml:space="preserve"> </w:t>
            </w:r>
            <w:r>
              <w:rPr>
                <w:rFonts w:ascii="仿宋" w:hAnsi="仿宋" w:eastAsia="仿宋" w:cs="仿宋"/>
                <w:spacing w:val="14"/>
                <w:sz w:val="14"/>
                <w:szCs w:val="14"/>
              </w:rPr>
              <w:t>修理和其他服务业</w:t>
            </w:r>
            <w:r>
              <w:rPr>
                <w:rFonts w:ascii="仿宋" w:hAnsi="仿宋" w:eastAsia="仿宋" w:cs="仿宋"/>
                <w:spacing w:val="-26"/>
                <w:sz w:val="14"/>
                <w:szCs w:val="14"/>
              </w:rPr>
              <w:t xml:space="preserve"> </w:t>
            </w:r>
            <w:r>
              <w:rPr>
                <w:rFonts w:ascii="仿宋" w:hAnsi="仿宋" w:eastAsia="仿宋" w:cs="仿宋"/>
                <w:spacing w:val="14"/>
                <w:sz w:val="14"/>
                <w:szCs w:val="14"/>
              </w:rPr>
              <w:t>，</w:t>
            </w:r>
            <w:r>
              <w:rPr>
                <w:rFonts w:ascii="仿宋" w:hAnsi="仿宋" w:eastAsia="仿宋" w:cs="仿宋"/>
                <w:spacing w:val="-40"/>
                <w:sz w:val="14"/>
                <w:szCs w:val="14"/>
              </w:rPr>
              <w:t xml:space="preserve"> </w:t>
            </w:r>
            <w:r>
              <w:rPr>
                <w:rFonts w:ascii="仿宋" w:hAnsi="仿宋" w:eastAsia="仿宋" w:cs="仿宋"/>
                <w:spacing w:val="14"/>
                <w:sz w:val="14"/>
                <w:szCs w:val="14"/>
              </w:rPr>
              <w:t>社</w:t>
            </w:r>
            <w:r>
              <w:rPr>
                <w:rFonts w:ascii="仿宋" w:hAnsi="仿宋" w:eastAsia="仿宋" w:cs="仿宋"/>
                <w:sz w:val="14"/>
                <w:szCs w:val="14"/>
              </w:rPr>
              <w:t xml:space="preserve"> </w:t>
            </w:r>
            <w:r>
              <w:rPr>
                <w:rFonts w:ascii="仿宋" w:hAnsi="仿宋" w:eastAsia="仿宋" w:cs="仿宋"/>
                <w:spacing w:val="8"/>
                <w:sz w:val="14"/>
                <w:szCs w:val="14"/>
              </w:rPr>
              <w:t>会工作</w:t>
            </w:r>
            <w:r>
              <w:rPr>
                <w:rFonts w:ascii="仿宋" w:hAnsi="仿宋" w:eastAsia="仿宋" w:cs="仿宋"/>
                <w:spacing w:val="-32"/>
                <w:sz w:val="14"/>
                <w:szCs w:val="14"/>
              </w:rPr>
              <w:t xml:space="preserve"> </w:t>
            </w:r>
            <w:r>
              <w:rPr>
                <w:rFonts w:ascii="仿宋" w:hAnsi="仿宋" w:eastAsia="仿宋" w:cs="仿宋"/>
                <w:spacing w:val="8"/>
                <w:sz w:val="14"/>
                <w:szCs w:val="14"/>
              </w:rPr>
              <w:t>，</w:t>
            </w:r>
            <w:r>
              <w:rPr>
                <w:rFonts w:ascii="仿宋" w:hAnsi="仿宋" w:eastAsia="仿宋" w:cs="仿宋"/>
                <w:spacing w:val="-40"/>
                <w:sz w:val="14"/>
                <w:szCs w:val="14"/>
              </w:rPr>
              <w:t xml:space="preserve"> </w:t>
            </w:r>
            <w:r>
              <w:rPr>
                <w:rFonts w:ascii="仿宋" w:hAnsi="仿宋" w:eastAsia="仿宋" w:cs="仿宋"/>
                <w:spacing w:val="8"/>
                <w:sz w:val="14"/>
                <w:szCs w:val="14"/>
              </w:rPr>
              <w:t>文化</w:t>
            </w:r>
            <w:r>
              <w:rPr>
                <w:rFonts w:ascii="仿宋" w:hAnsi="仿宋" w:eastAsia="仿宋" w:cs="仿宋"/>
                <w:spacing w:val="-34"/>
                <w:sz w:val="14"/>
                <w:szCs w:val="14"/>
              </w:rPr>
              <w:t xml:space="preserve"> </w:t>
            </w:r>
            <w:r>
              <w:rPr>
                <w:rFonts w:ascii="仿宋" w:hAnsi="仿宋" w:eastAsia="仿宋" w:cs="仿宋"/>
                <w:spacing w:val="8"/>
                <w:sz w:val="14"/>
                <w:szCs w:val="14"/>
              </w:rPr>
              <w:t>、</w:t>
            </w:r>
            <w:r>
              <w:rPr>
                <w:rFonts w:ascii="仿宋" w:hAnsi="仿宋" w:eastAsia="仿宋" w:cs="仿宋"/>
                <w:spacing w:val="-40"/>
                <w:sz w:val="14"/>
                <w:szCs w:val="14"/>
              </w:rPr>
              <w:t xml:space="preserve"> </w:t>
            </w:r>
            <w:r>
              <w:rPr>
                <w:rFonts w:ascii="仿宋" w:hAnsi="仿宋" w:eastAsia="仿宋" w:cs="仿宋"/>
                <w:spacing w:val="8"/>
                <w:sz w:val="14"/>
                <w:szCs w:val="14"/>
              </w:rPr>
              <w:t>体育和</w:t>
            </w:r>
            <w:r>
              <w:rPr>
                <w:rFonts w:ascii="仿宋" w:hAnsi="仿宋" w:eastAsia="仿宋" w:cs="仿宋"/>
                <w:sz w:val="14"/>
                <w:szCs w:val="14"/>
              </w:rPr>
              <w:t xml:space="preserve"> </w:t>
            </w:r>
            <w:r>
              <w:rPr>
                <w:rFonts w:ascii="仿宋" w:hAnsi="仿宋" w:eastAsia="仿宋" w:cs="仿宋"/>
                <w:spacing w:val="13"/>
                <w:sz w:val="14"/>
                <w:szCs w:val="14"/>
              </w:rPr>
              <w:t>娱乐业等)</w:t>
            </w:r>
          </w:p>
        </w:tc>
        <w:tc>
          <w:tcPr>
            <w:tcW w:w="759" w:type="dxa"/>
            <w:vAlign w:val="top"/>
          </w:tcPr>
          <w:p w14:paraId="10CF6000">
            <w:pPr>
              <w:spacing w:line="281" w:lineRule="auto"/>
              <w:rPr>
                <w:rFonts w:ascii="Arial"/>
                <w:sz w:val="21"/>
              </w:rPr>
            </w:pPr>
          </w:p>
          <w:p w14:paraId="2EA2AD41">
            <w:pPr>
              <w:spacing w:line="281" w:lineRule="auto"/>
              <w:rPr>
                <w:rFonts w:ascii="Arial"/>
                <w:sz w:val="21"/>
              </w:rPr>
            </w:pPr>
          </w:p>
          <w:p w14:paraId="17BBDD22">
            <w:pPr>
              <w:spacing w:line="281" w:lineRule="auto"/>
              <w:rPr>
                <w:rFonts w:ascii="Arial"/>
                <w:sz w:val="21"/>
              </w:rPr>
            </w:pPr>
          </w:p>
          <w:p w14:paraId="60C9A2B4">
            <w:pPr>
              <w:spacing w:before="52" w:line="353" w:lineRule="auto"/>
              <w:ind w:left="21" w:right="138" w:hanging="7"/>
              <w:rPr>
                <w:rFonts w:ascii="仿宋" w:hAnsi="仿宋" w:eastAsia="仿宋" w:cs="仿宋"/>
                <w:sz w:val="16"/>
                <w:szCs w:val="16"/>
              </w:rPr>
            </w:pPr>
            <w:r>
              <w:rPr>
                <w:rFonts w:ascii="仿宋" w:hAnsi="仿宋" w:eastAsia="仿宋" w:cs="仿宋"/>
                <w:spacing w:val="-7"/>
                <w:sz w:val="16"/>
                <w:szCs w:val="16"/>
              </w:rPr>
              <w:t>300 人以</w:t>
            </w:r>
            <w:r>
              <w:rPr>
                <w:rFonts w:ascii="仿宋" w:hAnsi="仿宋" w:eastAsia="仿宋" w:cs="仿宋"/>
                <w:spacing w:val="1"/>
                <w:sz w:val="16"/>
                <w:szCs w:val="16"/>
              </w:rPr>
              <w:t xml:space="preserve"> </w:t>
            </w:r>
            <w:r>
              <w:rPr>
                <w:rFonts w:ascii="仿宋" w:hAnsi="仿宋" w:eastAsia="仿宋" w:cs="仿宋"/>
                <w:sz w:val="16"/>
                <w:szCs w:val="16"/>
              </w:rPr>
              <w:t>下</w:t>
            </w:r>
          </w:p>
        </w:tc>
        <w:tc>
          <w:tcPr>
            <w:tcW w:w="859" w:type="dxa"/>
            <w:gridSpan w:val="2"/>
            <w:vAlign w:val="top"/>
          </w:tcPr>
          <w:p w14:paraId="28FD5940">
            <w:pPr>
              <w:rPr>
                <w:rFonts w:ascii="Arial"/>
                <w:sz w:val="21"/>
              </w:rPr>
            </w:pPr>
          </w:p>
        </w:tc>
        <w:tc>
          <w:tcPr>
            <w:tcW w:w="810" w:type="dxa"/>
            <w:vAlign w:val="top"/>
          </w:tcPr>
          <w:p w14:paraId="665E87BD">
            <w:pPr>
              <w:rPr>
                <w:rFonts w:ascii="Arial"/>
                <w:sz w:val="21"/>
              </w:rPr>
            </w:pPr>
          </w:p>
        </w:tc>
        <w:tc>
          <w:tcPr>
            <w:tcW w:w="743" w:type="dxa"/>
            <w:vAlign w:val="top"/>
          </w:tcPr>
          <w:p w14:paraId="3850D3C3">
            <w:pPr>
              <w:spacing w:line="280" w:lineRule="auto"/>
              <w:rPr>
                <w:rFonts w:ascii="Arial"/>
                <w:sz w:val="21"/>
              </w:rPr>
            </w:pPr>
          </w:p>
          <w:p w14:paraId="582EEF0A">
            <w:pPr>
              <w:spacing w:line="281" w:lineRule="auto"/>
              <w:rPr>
                <w:rFonts w:ascii="Arial"/>
                <w:sz w:val="21"/>
              </w:rPr>
            </w:pPr>
          </w:p>
          <w:p w14:paraId="54345A3C">
            <w:pPr>
              <w:spacing w:line="281" w:lineRule="auto"/>
              <w:rPr>
                <w:rFonts w:ascii="Arial"/>
                <w:sz w:val="21"/>
              </w:rPr>
            </w:pPr>
          </w:p>
          <w:p w14:paraId="59DEF39B">
            <w:pPr>
              <w:spacing w:before="52" w:line="355" w:lineRule="auto"/>
              <w:ind w:left="59" w:right="110" w:hanging="19"/>
              <w:rPr>
                <w:rFonts w:ascii="仿宋" w:hAnsi="仿宋" w:eastAsia="仿宋" w:cs="仿宋"/>
                <w:sz w:val="16"/>
                <w:szCs w:val="16"/>
              </w:rPr>
            </w:pPr>
            <w:r>
              <w:rPr>
                <w:rFonts w:ascii="仿宋" w:hAnsi="仿宋" w:eastAsia="仿宋" w:cs="仿宋"/>
                <w:spacing w:val="-9"/>
                <w:sz w:val="16"/>
                <w:szCs w:val="16"/>
              </w:rPr>
              <w:t>100 人及</w:t>
            </w:r>
            <w:r>
              <w:rPr>
                <w:rFonts w:ascii="仿宋" w:hAnsi="仿宋" w:eastAsia="仿宋" w:cs="仿宋"/>
                <w:sz w:val="16"/>
                <w:szCs w:val="16"/>
              </w:rPr>
              <w:t xml:space="preserve"> </w:t>
            </w:r>
            <w:r>
              <w:rPr>
                <w:rFonts w:ascii="仿宋" w:hAnsi="仿宋" w:eastAsia="仿宋" w:cs="仿宋"/>
                <w:spacing w:val="-14"/>
                <w:sz w:val="16"/>
                <w:szCs w:val="16"/>
              </w:rPr>
              <w:t>以上</w:t>
            </w:r>
          </w:p>
        </w:tc>
        <w:tc>
          <w:tcPr>
            <w:tcW w:w="907" w:type="dxa"/>
            <w:gridSpan w:val="2"/>
            <w:vAlign w:val="top"/>
          </w:tcPr>
          <w:p w14:paraId="1840554C">
            <w:pPr>
              <w:rPr>
                <w:rFonts w:ascii="Arial"/>
                <w:sz w:val="21"/>
              </w:rPr>
            </w:pPr>
          </w:p>
        </w:tc>
        <w:tc>
          <w:tcPr>
            <w:tcW w:w="713" w:type="dxa"/>
            <w:vAlign w:val="top"/>
          </w:tcPr>
          <w:p w14:paraId="457FDC87">
            <w:pPr>
              <w:rPr>
                <w:rFonts w:ascii="Arial"/>
                <w:sz w:val="21"/>
              </w:rPr>
            </w:pPr>
          </w:p>
        </w:tc>
        <w:tc>
          <w:tcPr>
            <w:tcW w:w="761" w:type="dxa"/>
            <w:vAlign w:val="top"/>
          </w:tcPr>
          <w:p w14:paraId="5087A1CB">
            <w:pPr>
              <w:spacing w:line="280" w:lineRule="auto"/>
              <w:rPr>
                <w:rFonts w:ascii="Arial"/>
                <w:sz w:val="21"/>
              </w:rPr>
            </w:pPr>
          </w:p>
          <w:p w14:paraId="1AEABB4D">
            <w:pPr>
              <w:spacing w:line="281" w:lineRule="auto"/>
              <w:rPr>
                <w:rFonts w:ascii="Arial"/>
                <w:sz w:val="21"/>
              </w:rPr>
            </w:pPr>
          </w:p>
          <w:p w14:paraId="2074EF15">
            <w:pPr>
              <w:spacing w:line="281" w:lineRule="auto"/>
              <w:rPr>
                <w:rFonts w:ascii="Arial"/>
                <w:sz w:val="21"/>
              </w:rPr>
            </w:pPr>
          </w:p>
          <w:p w14:paraId="227AD4CD">
            <w:pPr>
              <w:spacing w:before="52" w:line="366" w:lineRule="auto"/>
              <w:ind w:left="40" w:right="40" w:firstLine="10"/>
              <w:rPr>
                <w:rFonts w:ascii="仿宋" w:hAnsi="仿宋" w:eastAsia="仿宋" w:cs="仿宋"/>
                <w:sz w:val="16"/>
                <w:szCs w:val="16"/>
              </w:rPr>
            </w:pPr>
            <w:r>
              <w:rPr>
                <w:rFonts w:ascii="仿宋" w:hAnsi="仿宋" w:eastAsia="仿宋" w:cs="仿宋"/>
                <w:spacing w:val="-10"/>
                <w:sz w:val="16"/>
                <w:szCs w:val="16"/>
              </w:rPr>
              <w:t>10 人及以</w:t>
            </w:r>
            <w:r>
              <w:rPr>
                <w:rFonts w:ascii="仿宋" w:hAnsi="仿宋" w:eastAsia="仿宋" w:cs="仿宋"/>
                <w:spacing w:val="3"/>
                <w:sz w:val="16"/>
                <w:szCs w:val="16"/>
              </w:rPr>
              <w:t xml:space="preserve"> </w:t>
            </w:r>
            <w:r>
              <w:rPr>
                <w:rFonts w:ascii="仿宋" w:hAnsi="仿宋" w:eastAsia="仿宋" w:cs="仿宋"/>
                <w:sz w:val="16"/>
                <w:szCs w:val="16"/>
              </w:rPr>
              <w:t>上</w:t>
            </w:r>
          </w:p>
        </w:tc>
        <w:tc>
          <w:tcPr>
            <w:tcW w:w="760" w:type="dxa"/>
            <w:gridSpan w:val="2"/>
            <w:vAlign w:val="top"/>
          </w:tcPr>
          <w:p w14:paraId="549F0117">
            <w:pPr>
              <w:rPr>
                <w:rFonts w:ascii="Arial"/>
                <w:sz w:val="21"/>
              </w:rPr>
            </w:pPr>
          </w:p>
        </w:tc>
        <w:tc>
          <w:tcPr>
            <w:tcW w:w="679" w:type="dxa"/>
            <w:vAlign w:val="top"/>
          </w:tcPr>
          <w:p w14:paraId="52921B87">
            <w:pPr>
              <w:rPr>
                <w:rFonts w:ascii="Arial"/>
                <w:sz w:val="21"/>
              </w:rPr>
            </w:pPr>
          </w:p>
        </w:tc>
        <w:tc>
          <w:tcPr>
            <w:tcW w:w="774" w:type="dxa"/>
            <w:vAlign w:val="top"/>
          </w:tcPr>
          <w:p w14:paraId="4B235E4E">
            <w:pPr>
              <w:spacing w:line="246" w:lineRule="auto"/>
              <w:rPr>
                <w:rFonts w:ascii="Arial"/>
                <w:sz w:val="21"/>
              </w:rPr>
            </w:pPr>
          </w:p>
          <w:p w14:paraId="644F5E0C">
            <w:pPr>
              <w:spacing w:line="247" w:lineRule="auto"/>
              <w:rPr>
                <w:rFonts w:ascii="Arial"/>
                <w:sz w:val="21"/>
              </w:rPr>
            </w:pPr>
          </w:p>
          <w:p w14:paraId="455C6995">
            <w:pPr>
              <w:spacing w:line="247" w:lineRule="auto"/>
              <w:rPr>
                <w:rFonts w:ascii="Arial"/>
                <w:sz w:val="21"/>
              </w:rPr>
            </w:pPr>
          </w:p>
          <w:p w14:paraId="68931985">
            <w:pPr>
              <w:spacing w:line="247" w:lineRule="auto"/>
              <w:rPr>
                <w:rFonts w:ascii="Arial"/>
                <w:sz w:val="21"/>
              </w:rPr>
            </w:pPr>
          </w:p>
          <w:p w14:paraId="598D25DF">
            <w:pPr>
              <w:spacing w:before="52" w:line="224" w:lineRule="auto"/>
              <w:ind w:left="59"/>
              <w:rPr>
                <w:rFonts w:ascii="仿宋" w:hAnsi="仿宋" w:eastAsia="仿宋" w:cs="仿宋"/>
                <w:sz w:val="16"/>
                <w:szCs w:val="16"/>
              </w:rPr>
            </w:pPr>
            <w:r>
              <w:rPr>
                <w:rFonts w:ascii="仿宋" w:hAnsi="仿宋" w:eastAsia="仿宋" w:cs="仿宋"/>
                <w:spacing w:val="-12"/>
                <w:sz w:val="16"/>
                <w:szCs w:val="16"/>
              </w:rPr>
              <w:t>10</w:t>
            </w:r>
            <w:r>
              <w:rPr>
                <w:rFonts w:ascii="仿宋" w:hAnsi="仿宋" w:eastAsia="仿宋" w:cs="仿宋"/>
                <w:spacing w:val="-15"/>
                <w:sz w:val="16"/>
                <w:szCs w:val="16"/>
              </w:rPr>
              <w:t xml:space="preserve"> </w:t>
            </w:r>
            <w:r>
              <w:rPr>
                <w:rFonts w:ascii="仿宋" w:hAnsi="仿宋" w:eastAsia="仿宋" w:cs="仿宋"/>
                <w:spacing w:val="-12"/>
                <w:sz w:val="16"/>
                <w:szCs w:val="16"/>
              </w:rPr>
              <w:t>人以下</w:t>
            </w:r>
          </w:p>
        </w:tc>
        <w:tc>
          <w:tcPr>
            <w:tcW w:w="692" w:type="dxa"/>
            <w:gridSpan w:val="2"/>
            <w:vAlign w:val="top"/>
          </w:tcPr>
          <w:p w14:paraId="1380BD62">
            <w:pPr>
              <w:rPr>
                <w:rFonts w:ascii="Arial"/>
                <w:sz w:val="21"/>
              </w:rPr>
            </w:pPr>
          </w:p>
        </w:tc>
        <w:tc>
          <w:tcPr>
            <w:tcW w:w="801" w:type="dxa"/>
            <w:tcBorders>
              <w:right w:val="single" w:color="000000" w:sz="8" w:space="0"/>
            </w:tcBorders>
            <w:vAlign w:val="top"/>
          </w:tcPr>
          <w:p w14:paraId="613BF99D">
            <w:pPr>
              <w:rPr>
                <w:rFonts w:ascii="Arial"/>
                <w:sz w:val="21"/>
              </w:rPr>
            </w:pPr>
          </w:p>
        </w:tc>
      </w:tr>
    </w:tbl>
    <w:p w14:paraId="4BAE073B">
      <w:pPr>
        <w:pStyle w:val="6"/>
        <w:ind w:left="0" w:leftChars="0" w:firstLine="0" w:firstLineChars="0"/>
        <w:sectPr>
          <w:footerReference r:id="rId5" w:type="default"/>
          <w:pgSz w:w="11906" w:h="16840"/>
          <w:pgMar w:top="1531" w:right="1049" w:bottom="992" w:left="1043" w:header="0" w:footer="1134" w:gutter="0"/>
          <w:pgNumType w:fmt="decimal"/>
          <w:cols w:space="0" w:num="1"/>
          <w:rtlGutter w:val="0"/>
          <w:docGrid w:linePitch="0" w:charSpace="0"/>
        </w:sectPr>
      </w:pPr>
      <w:r>
        <w:drawing>
          <wp:anchor distT="0" distB="0" distL="0" distR="0" simplePos="0" relativeHeight="251662336" behindDoc="0" locked="0" layoutInCell="1" allowOverlap="1">
            <wp:simplePos x="0" y="0"/>
            <wp:positionH relativeFrom="column">
              <wp:posOffset>636905</wp:posOffset>
            </wp:positionH>
            <wp:positionV relativeFrom="paragraph">
              <wp:posOffset>413385</wp:posOffset>
            </wp:positionV>
            <wp:extent cx="5988050" cy="762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2"/>
                    <a:stretch>
                      <a:fillRect/>
                    </a:stretch>
                  </pic:blipFill>
                  <pic:spPr>
                    <a:xfrm>
                      <a:off x="0" y="0"/>
                      <a:ext cx="5988050" cy="7619"/>
                    </a:xfrm>
                    <a:prstGeom prst="rect">
                      <a:avLst/>
                    </a:prstGeom>
                  </pic:spPr>
                </pic:pic>
              </a:graphicData>
            </a:graphic>
          </wp:anchor>
        </w:drawing>
      </w:r>
    </w:p>
    <w:p w14:paraId="4CA35F48">
      <w:pPr>
        <w:pStyle w:val="6"/>
        <w:ind w:left="0" w:leftChars="0" w:firstLine="0" w:firstLineChars="0"/>
      </w:pPr>
    </w:p>
    <w:p w14:paraId="0B9CEE03">
      <w:pPr>
        <w:pStyle w:val="29"/>
        <w:jc w:val="left"/>
        <w:outlineLvl w:val="2"/>
        <w:rPr>
          <w:rFonts w:hint="eastAsia" w:ascii="宋体" w:hAnsi="宋体" w:eastAsia="宋体" w:cs="宋体"/>
          <w:b w:val="0"/>
          <w:bCs/>
          <w:color w:val="auto"/>
          <w:sz w:val="32"/>
          <w:szCs w:val="32"/>
          <w:highlight w:val="none"/>
          <w:lang w:val="en-US" w:eastAsia="zh-CN"/>
        </w:rPr>
      </w:pPr>
      <w:bookmarkStart w:id="189" w:name="_Toc26894"/>
      <w:r>
        <w:rPr>
          <w:rFonts w:hint="eastAsia" w:ascii="宋体" w:hAnsi="宋体" w:eastAsia="宋体" w:cs="宋体"/>
          <w:b w:val="0"/>
          <w:bCs/>
          <w:color w:val="auto"/>
          <w:sz w:val="32"/>
          <w:szCs w:val="32"/>
          <w:highlight w:val="none"/>
          <w:lang w:val="en-US" w:eastAsia="zh-CN"/>
        </w:rPr>
        <w:t>附件二：残疾人福利性单位声明函</w:t>
      </w:r>
      <w:bookmarkEnd w:id="189"/>
      <w:r>
        <w:rPr>
          <w:rFonts w:hint="eastAsia" w:ascii="宋体" w:hAnsi="宋体" w:eastAsia="宋体" w:cs="宋体"/>
          <w:b w:val="0"/>
          <w:bCs/>
          <w:color w:val="auto"/>
          <w:sz w:val="32"/>
          <w:szCs w:val="32"/>
          <w:highlight w:val="none"/>
          <w:lang w:val="en-US" w:eastAsia="zh-CN"/>
        </w:rPr>
        <w:t>（若有）</w:t>
      </w:r>
    </w:p>
    <w:p w14:paraId="6131DEF2">
      <w:pPr>
        <w:spacing w:before="145" w:beforeLines="50" w:after="145" w:afterLines="50" w:line="300" w:lineRule="auto"/>
        <w:ind w:firstLine="624" w:firstLineChars="200"/>
        <w:rPr>
          <w:rFonts w:hint="eastAsia" w:ascii="宋体" w:hAnsi="宋体" w:eastAsia="宋体" w:cs="宋体"/>
          <w:color w:val="auto"/>
          <w:spacing w:val="6"/>
          <w:sz w:val="30"/>
          <w:szCs w:val="30"/>
          <w:highlight w:val="none"/>
        </w:rPr>
      </w:pPr>
    </w:p>
    <w:p w14:paraId="65075E18">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639A356">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本单位在本次政府采购活动中提供的残疾人福利单位产品报价合计为人民币（大写）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圆整（￥：     ）。</w:t>
      </w:r>
    </w:p>
    <w:p w14:paraId="6F34882B">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91CDF00">
      <w:pPr>
        <w:spacing w:before="145" w:beforeLines="50" w:after="145" w:afterLines="50" w:line="300" w:lineRule="auto"/>
        <w:ind w:firstLine="480" w:firstLineChars="200"/>
        <w:rPr>
          <w:rFonts w:hint="eastAsia" w:ascii="宋体" w:hAnsi="宋体" w:eastAsia="宋体" w:cs="宋体"/>
          <w:color w:val="auto"/>
          <w:sz w:val="24"/>
          <w:highlight w:val="none"/>
        </w:rPr>
      </w:pPr>
    </w:p>
    <w:p w14:paraId="7DA739D6">
      <w:pPr>
        <w:spacing w:before="145" w:beforeLines="50" w:after="145" w:afterLines="50"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（备注：1、供应商如不提供此声明函，价格将不做相应扣除。2、中标供应商为残疾人福利单位的，此声明函将随中标结果同时公告，接受社会监督）</w:t>
      </w:r>
    </w:p>
    <w:p w14:paraId="668328E3">
      <w:pPr>
        <w:spacing w:before="145" w:beforeLines="50" w:after="145" w:afterLines="50" w:line="300" w:lineRule="auto"/>
        <w:ind w:firstLine="624" w:firstLineChars="200"/>
        <w:rPr>
          <w:rFonts w:hint="eastAsia" w:ascii="宋体" w:hAnsi="宋体" w:eastAsia="宋体" w:cs="宋体"/>
          <w:color w:val="auto"/>
          <w:spacing w:val="6"/>
          <w:sz w:val="30"/>
          <w:szCs w:val="30"/>
          <w:highlight w:val="none"/>
        </w:rPr>
      </w:pPr>
    </w:p>
    <w:p w14:paraId="5A6BA08C">
      <w:pPr>
        <w:spacing w:before="145" w:beforeLines="50" w:after="145" w:afterLines="50" w:line="300" w:lineRule="auto"/>
        <w:ind w:firstLine="468" w:firstLineChars="150"/>
        <w:jc w:val="right"/>
        <w:rPr>
          <w:rFonts w:hint="eastAsia" w:ascii="宋体" w:hAnsi="宋体" w:eastAsia="宋体" w:cs="宋体"/>
          <w:color w:val="auto"/>
          <w:sz w:val="24"/>
          <w:highlight w:val="none"/>
        </w:rPr>
      </w:pPr>
      <w:r>
        <w:rPr>
          <w:rFonts w:hint="eastAsia" w:ascii="宋体" w:hAnsi="宋体" w:eastAsia="宋体" w:cs="宋体"/>
          <w:color w:val="auto"/>
          <w:spacing w:val="6"/>
          <w:sz w:val="30"/>
          <w:szCs w:val="30"/>
          <w:highlight w:val="none"/>
        </w:rPr>
        <w:t xml:space="preserve">             </w:t>
      </w:r>
      <w:r>
        <w:rPr>
          <w:rFonts w:hint="eastAsia" w:ascii="宋体" w:hAnsi="宋体" w:eastAsia="宋体" w:cs="宋体"/>
          <w:color w:val="auto"/>
          <w:sz w:val="24"/>
          <w:highlight w:val="none"/>
        </w:rPr>
        <w:t xml:space="preserve">             企业名称（</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21C2AF10">
      <w:pPr>
        <w:spacing w:before="145" w:beforeLines="50" w:after="145" w:afterLines="50" w:line="300" w:lineRule="auto"/>
        <w:ind w:right="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50ABAE0E">
      <w:pPr>
        <w:pStyle w:val="17"/>
        <w:ind w:left="0" w:leftChars="0" w:firstLine="0" w:firstLineChars="0"/>
        <w:jc w:val="center"/>
        <w:rPr>
          <w:color w:val="auto"/>
          <w:highlight w:val="none"/>
        </w:rPr>
      </w:pPr>
    </w:p>
    <w:p w14:paraId="02FF5F0F">
      <w:pPr>
        <w:pStyle w:val="17"/>
        <w:ind w:left="0" w:leftChars="0" w:firstLine="0" w:firstLineChars="0"/>
        <w:rPr>
          <w:rFonts w:hint="eastAsia" w:ascii="宋体" w:hAnsi="宋体" w:eastAsia="宋体" w:cs="宋体"/>
          <w:color w:val="auto"/>
          <w:sz w:val="20"/>
          <w:szCs w:val="18"/>
          <w:highlight w:val="none"/>
          <w:lang w:eastAsia="zh-CN"/>
        </w:rPr>
      </w:pPr>
    </w:p>
    <w:p w14:paraId="721F273C">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p>
    <w:p w14:paraId="7812543C">
      <w:pPr>
        <w:pStyle w:val="21"/>
        <w:ind w:left="0" w:leftChars="0" w:firstLine="0" w:firstLineChars="0"/>
        <w:jc w:val="center"/>
        <w:rPr>
          <w:rFonts w:hint="eastAsia"/>
          <w:color w:val="auto"/>
          <w:sz w:val="36"/>
          <w:szCs w:val="36"/>
          <w:highlight w:val="none"/>
          <w:lang w:eastAsia="zh-CN"/>
        </w:rPr>
      </w:pPr>
      <w:r>
        <w:rPr>
          <w:rFonts w:hint="eastAsia"/>
          <w:color w:val="auto"/>
          <w:sz w:val="36"/>
          <w:szCs w:val="36"/>
          <w:highlight w:val="none"/>
          <w:lang w:val="en-US" w:eastAsia="zh-CN"/>
        </w:rPr>
        <w:t>附件三</w:t>
      </w:r>
      <w:r>
        <w:rPr>
          <w:rFonts w:hint="eastAsia"/>
          <w:color w:val="auto"/>
          <w:sz w:val="36"/>
          <w:szCs w:val="36"/>
          <w:highlight w:val="none"/>
          <w:lang w:eastAsia="zh-CN"/>
        </w:rPr>
        <w:t>：联合投标协议书（本次不接受联合体投标）</w:t>
      </w:r>
    </w:p>
    <w:p w14:paraId="1A84F622">
      <w:pPr>
        <w:pStyle w:val="21"/>
        <w:rPr>
          <w:rFonts w:hint="eastAsia"/>
          <w:color w:val="auto"/>
          <w:highlight w:val="none"/>
          <w:lang w:eastAsia="zh-CN"/>
        </w:rPr>
      </w:pPr>
    </w:p>
    <w:p w14:paraId="7DEB536D">
      <w:pPr>
        <w:pStyle w:val="21"/>
        <w:rPr>
          <w:rFonts w:hint="eastAsia"/>
          <w:color w:val="auto"/>
          <w:highlight w:val="none"/>
          <w:lang w:eastAsia="zh-CN"/>
        </w:rPr>
      </w:pPr>
      <w:r>
        <w:rPr>
          <w:rFonts w:hint="eastAsia"/>
          <w:color w:val="auto"/>
          <w:highlight w:val="none"/>
          <w:lang w:eastAsia="zh-CN"/>
        </w:rPr>
        <w:t>甲方：</w:t>
      </w:r>
    </w:p>
    <w:p w14:paraId="514826D4">
      <w:pPr>
        <w:pStyle w:val="21"/>
        <w:rPr>
          <w:rFonts w:hint="eastAsia"/>
          <w:color w:val="auto"/>
          <w:highlight w:val="none"/>
          <w:lang w:eastAsia="zh-CN"/>
        </w:rPr>
      </w:pPr>
      <w:r>
        <w:rPr>
          <w:rFonts w:hint="eastAsia"/>
          <w:color w:val="auto"/>
          <w:highlight w:val="none"/>
          <w:lang w:eastAsia="zh-CN"/>
        </w:rPr>
        <w:t>乙方：</w:t>
      </w:r>
    </w:p>
    <w:p w14:paraId="2CDDC5C0">
      <w:pPr>
        <w:pStyle w:val="21"/>
        <w:rPr>
          <w:rFonts w:hint="eastAsia"/>
          <w:color w:val="auto"/>
          <w:highlight w:val="none"/>
          <w:lang w:eastAsia="zh-CN"/>
        </w:rPr>
      </w:pPr>
      <w:r>
        <w:rPr>
          <w:rFonts w:hint="eastAsia"/>
          <w:color w:val="auto"/>
          <w:highlight w:val="none"/>
          <w:lang w:eastAsia="zh-CN"/>
        </w:rPr>
        <w:t>（如果有的话，可按照甲、乙、丙、丁…序列增加）</w:t>
      </w:r>
    </w:p>
    <w:p w14:paraId="7E192ECC">
      <w:pPr>
        <w:pStyle w:val="21"/>
        <w:rPr>
          <w:rFonts w:hint="eastAsia"/>
          <w:color w:val="auto"/>
          <w:highlight w:val="none"/>
          <w:lang w:eastAsia="zh-CN"/>
        </w:rPr>
      </w:pPr>
      <w:r>
        <w:rPr>
          <w:rFonts w:hint="eastAsia"/>
          <w:color w:val="auto"/>
          <w:highlight w:val="none"/>
          <w:lang w:eastAsia="zh-CN"/>
        </w:rPr>
        <w:t>联合体各方经协商，就响应             组织实施的编号为           号的招标活动联合进行投标之事宜，达成如下协议：</w:t>
      </w:r>
    </w:p>
    <w:p w14:paraId="6014BA55">
      <w:pPr>
        <w:pStyle w:val="21"/>
        <w:rPr>
          <w:rFonts w:hint="eastAsia"/>
          <w:color w:val="auto"/>
          <w:highlight w:val="none"/>
          <w:lang w:eastAsia="zh-CN"/>
        </w:rPr>
      </w:pPr>
      <w:r>
        <w:rPr>
          <w:rFonts w:hint="eastAsia"/>
          <w:color w:val="auto"/>
          <w:highlight w:val="none"/>
          <w:lang w:eastAsia="zh-CN"/>
        </w:rPr>
        <w:t>一、联合体各方一致决定，以           为主办人进行投标，并按照招标文件的规定分别提交资格文件。</w:t>
      </w:r>
    </w:p>
    <w:p w14:paraId="6D28121B">
      <w:pPr>
        <w:pStyle w:val="21"/>
        <w:rPr>
          <w:rFonts w:hint="eastAsia"/>
          <w:color w:val="auto"/>
          <w:highlight w:val="none"/>
          <w:lang w:eastAsia="zh-CN"/>
        </w:rPr>
      </w:pPr>
      <w:r>
        <w:rPr>
          <w:rFonts w:hint="eastAsia"/>
          <w:color w:val="auto"/>
          <w:highlight w:val="none"/>
          <w:lang w:eastAsia="zh-CN"/>
        </w:rPr>
        <w:t>二、在本次投标过程中，主办人的法定代表人或者授权代理人根据招标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14:paraId="2B1FD655">
      <w:pPr>
        <w:pStyle w:val="21"/>
        <w:rPr>
          <w:rFonts w:hint="eastAsia"/>
          <w:color w:val="auto"/>
          <w:highlight w:val="none"/>
          <w:lang w:eastAsia="zh-CN"/>
        </w:rPr>
      </w:pPr>
      <w:r>
        <w:rPr>
          <w:rFonts w:hint="eastAsia"/>
          <w:color w:val="auto"/>
          <w:highlight w:val="none"/>
          <w:lang w:eastAsia="zh-CN"/>
        </w:rPr>
        <w:t>三、联合体各方保证对主办人为响应本次招标而提供的产品和服务提供全部质量保证以及售后服务支持。</w:t>
      </w:r>
    </w:p>
    <w:p w14:paraId="59C91864">
      <w:pPr>
        <w:pStyle w:val="21"/>
        <w:rPr>
          <w:rFonts w:hint="eastAsia"/>
          <w:color w:val="auto"/>
          <w:highlight w:val="none"/>
          <w:lang w:eastAsia="zh-CN"/>
        </w:rPr>
      </w:pPr>
      <w:r>
        <w:rPr>
          <w:rFonts w:hint="eastAsia"/>
          <w:color w:val="auto"/>
          <w:highlight w:val="none"/>
          <w:lang w:eastAsia="zh-CN"/>
        </w:rPr>
        <w:t>四、本次联合投标中，联合体各方承担的工作和义务：</w:t>
      </w:r>
    </w:p>
    <w:p w14:paraId="4108C731">
      <w:pPr>
        <w:pStyle w:val="21"/>
        <w:rPr>
          <w:rFonts w:hint="eastAsia"/>
          <w:color w:val="auto"/>
          <w:highlight w:val="none"/>
          <w:lang w:eastAsia="zh-CN"/>
        </w:rPr>
      </w:pPr>
      <w:r>
        <w:rPr>
          <w:rFonts w:hint="eastAsia"/>
          <w:color w:val="auto"/>
          <w:highlight w:val="none"/>
          <w:lang w:eastAsia="zh-CN"/>
        </w:rPr>
        <w:t>甲方承担的工作和义务为：</w:t>
      </w:r>
    </w:p>
    <w:p w14:paraId="392A4F4F">
      <w:pPr>
        <w:pStyle w:val="21"/>
        <w:rPr>
          <w:rFonts w:hint="eastAsia"/>
          <w:color w:val="auto"/>
          <w:highlight w:val="none"/>
          <w:lang w:eastAsia="zh-CN"/>
        </w:rPr>
      </w:pPr>
      <w:r>
        <w:rPr>
          <w:rFonts w:hint="eastAsia"/>
          <w:color w:val="auto"/>
          <w:highlight w:val="none"/>
          <w:lang w:eastAsia="zh-CN"/>
        </w:rPr>
        <w:t>乙方承担的工作和义务为：</w:t>
      </w:r>
    </w:p>
    <w:p w14:paraId="382F3672">
      <w:pPr>
        <w:pStyle w:val="21"/>
        <w:rPr>
          <w:rFonts w:hint="eastAsia"/>
          <w:color w:val="auto"/>
          <w:highlight w:val="none"/>
          <w:lang w:eastAsia="zh-CN"/>
        </w:rPr>
      </w:pPr>
      <w:r>
        <w:rPr>
          <w:rFonts w:hint="eastAsia"/>
          <w:color w:val="auto"/>
          <w:highlight w:val="none"/>
          <w:lang w:eastAsia="zh-CN"/>
        </w:rPr>
        <w:t>五、有关本次联合投标的其他事宜：</w:t>
      </w:r>
    </w:p>
    <w:p w14:paraId="639FE3BA">
      <w:pPr>
        <w:pStyle w:val="21"/>
        <w:rPr>
          <w:rFonts w:hint="eastAsia"/>
          <w:color w:val="auto"/>
          <w:highlight w:val="none"/>
          <w:lang w:eastAsia="zh-CN"/>
        </w:rPr>
      </w:pPr>
      <w:r>
        <w:rPr>
          <w:rFonts w:hint="eastAsia"/>
          <w:color w:val="auto"/>
          <w:highlight w:val="none"/>
          <w:lang w:eastAsia="zh-CN"/>
        </w:rPr>
        <w:t>六、本协议提交采购人或者采购代理机构后，联合体各方不得以任何形式对上述实质内容进行修改或者撤销。</w:t>
      </w:r>
    </w:p>
    <w:p w14:paraId="4C5C568E">
      <w:pPr>
        <w:pStyle w:val="21"/>
        <w:rPr>
          <w:rFonts w:hint="eastAsia"/>
          <w:color w:val="auto"/>
          <w:highlight w:val="none"/>
          <w:lang w:eastAsia="zh-CN"/>
        </w:rPr>
      </w:pPr>
      <w:r>
        <w:rPr>
          <w:rFonts w:hint="eastAsia"/>
          <w:color w:val="auto"/>
          <w:highlight w:val="none"/>
          <w:lang w:eastAsia="zh-CN"/>
        </w:rPr>
        <w:t>七、本协议共  份，联合体各方各持一份，并作为投标文件的一部分。</w:t>
      </w:r>
    </w:p>
    <w:p w14:paraId="59D8A63E">
      <w:pPr>
        <w:pStyle w:val="21"/>
        <w:rPr>
          <w:rFonts w:hint="eastAsia"/>
          <w:color w:val="auto"/>
          <w:highlight w:val="none"/>
          <w:lang w:eastAsia="zh-CN"/>
        </w:rPr>
      </w:pPr>
    </w:p>
    <w:p w14:paraId="3ED366F0">
      <w:pPr>
        <w:pStyle w:val="21"/>
        <w:rPr>
          <w:rFonts w:hint="eastAsia"/>
          <w:color w:val="auto"/>
          <w:highlight w:val="none"/>
          <w:lang w:eastAsia="zh-CN"/>
        </w:rPr>
      </w:pPr>
      <w:r>
        <w:rPr>
          <w:rFonts w:hint="eastAsia"/>
          <w:color w:val="auto"/>
          <w:highlight w:val="none"/>
          <w:lang w:eastAsia="zh-CN"/>
        </w:rPr>
        <w:t>甲方单位：       （公章）                    乙方单位：       （公章）</w:t>
      </w:r>
    </w:p>
    <w:p w14:paraId="35FF2D4D">
      <w:pPr>
        <w:pStyle w:val="21"/>
        <w:rPr>
          <w:rFonts w:hint="eastAsia"/>
          <w:color w:val="auto"/>
          <w:highlight w:val="none"/>
          <w:lang w:eastAsia="zh-CN"/>
        </w:rPr>
      </w:pPr>
      <w:r>
        <w:rPr>
          <w:rFonts w:hint="eastAsia"/>
          <w:color w:val="auto"/>
          <w:highlight w:val="none"/>
          <w:lang w:eastAsia="zh-CN"/>
        </w:rPr>
        <w:t>法定代表人：     （签章）                    法定代表人：     （签章）</w:t>
      </w:r>
    </w:p>
    <w:p w14:paraId="394081E3">
      <w:pPr>
        <w:pStyle w:val="21"/>
        <w:rPr>
          <w:rFonts w:hint="eastAsia"/>
          <w:color w:val="auto"/>
          <w:highlight w:val="none"/>
          <w:lang w:eastAsia="zh-CN"/>
        </w:rPr>
      </w:pPr>
    </w:p>
    <w:p w14:paraId="7B2FB6CD">
      <w:pPr>
        <w:pStyle w:val="21"/>
        <w:rPr>
          <w:rFonts w:hint="eastAsia"/>
          <w:color w:val="auto"/>
          <w:highlight w:val="none"/>
          <w:lang w:eastAsia="zh-CN"/>
        </w:rPr>
      </w:pPr>
      <w:r>
        <w:rPr>
          <w:rFonts w:hint="eastAsia"/>
          <w:color w:val="auto"/>
          <w:highlight w:val="none"/>
          <w:lang w:eastAsia="zh-CN"/>
        </w:rPr>
        <w:t>日期：  年  月   日                          日期：  年  月   日</w:t>
      </w:r>
    </w:p>
    <w:p w14:paraId="27C68D13">
      <w:pPr>
        <w:pStyle w:val="21"/>
        <w:rPr>
          <w:rFonts w:hint="eastAsia"/>
          <w:color w:val="auto"/>
          <w:highlight w:val="none"/>
          <w:lang w:eastAsia="zh-CN"/>
        </w:rPr>
      </w:pPr>
    </w:p>
    <w:p w14:paraId="5236D2E9">
      <w:pPr>
        <w:pStyle w:val="21"/>
        <w:rPr>
          <w:rFonts w:hint="eastAsia"/>
          <w:color w:val="auto"/>
          <w:highlight w:val="none"/>
          <w:lang w:eastAsia="zh-CN"/>
        </w:rPr>
      </w:pPr>
    </w:p>
    <w:p w14:paraId="3E1EC951">
      <w:pPr>
        <w:spacing w:before="145" w:beforeLines="50" w:after="145" w:afterLines="50" w:line="300" w:lineRule="auto"/>
        <w:rPr>
          <w:rFonts w:hint="eastAsia" w:ascii="宋体" w:hAnsi="宋体" w:eastAsia="宋体" w:cs="宋体"/>
          <w:bCs/>
          <w:color w:val="auto"/>
          <w:sz w:val="24"/>
          <w:highlight w:val="none"/>
        </w:rPr>
      </w:pPr>
    </w:p>
    <w:p w14:paraId="54F36E7F">
      <w:pPr>
        <w:spacing w:line="360" w:lineRule="auto"/>
        <w:jc w:val="center"/>
        <w:rPr>
          <w:rFonts w:hint="eastAsia" w:ascii="宋体" w:hAnsi="宋体" w:eastAsia="宋体" w:cs="宋体"/>
          <w:color w:val="auto"/>
          <w:sz w:val="24"/>
          <w:szCs w:val="28"/>
          <w:highlight w:val="none"/>
        </w:rPr>
      </w:pPr>
      <w:r>
        <w:rPr>
          <w:rStyle w:val="24"/>
          <w:rFonts w:hint="eastAsia" w:ascii="宋体" w:hAnsi="宋体" w:eastAsia="宋体" w:cs="宋体"/>
          <w:color w:val="auto"/>
          <w:sz w:val="24"/>
          <w:szCs w:val="24"/>
          <w:highlight w:val="none"/>
        </w:rPr>
        <w:br w:type="page"/>
      </w:r>
    </w:p>
    <w:p w14:paraId="4132A50F">
      <w:pPr>
        <w:spacing w:line="360" w:lineRule="auto"/>
        <w:rPr>
          <w:rFonts w:hint="eastAsia" w:ascii="宋体" w:hAnsi="宋体" w:eastAsia="宋体" w:cs="宋体"/>
          <w:color w:val="auto"/>
          <w:highlight w:val="none"/>
        </w:rPr>
      </w:pPr>
    </w:p>
    <w:p w14:paraId="1A5C4F93">
      <w:pPr>
        <w:spacing w:line="360" w:lineRule="auto"/>
        <w:rPr>
          <w:rFonts w:hint="eastAsia" w:ascii="宋体" w:hAnsi="宋体" w:eastAsia="宋体" w:cs="宋体"/>
          <w:color w:val="auto"/>
          <w:highlight w:val="none"/>
        </w:rPr>
      </w:pPr>
    </w:p>
    <w:p w14:paraId="67006245">
      <w:pPr>
        <w:spacing w:line="360" w:lineRule="auto"/>
        <w:rPr>
          <w:rFonts w:hint="eastAsia" w:ascii="宋体" w:hAnsi="宋体" w:eastAsia="宋体" w:cs="宋体"/>
          <w:color w:val="auto"/>
          <w:highlight w:val="none"/>
        </w:rPr>
      </w:pPr>
    </w:p>
    <w:p w14:paraId="36585750">
      <w:pPr>
        <w:spacing w:line="360" w:lineRule="auto"/>
        <w:rPr>
          <w:rFonts w:hint="eastAsia" w:ascii="宋体" w:hAnsi="宋体" w:eastAsia="宋体" w:cs="宋体"/>
          <w:color w:val="auto"/>
          <w:highlight w:val="none"/>
        </w:rPr>
      </w:pPr>
    </w:p>
    <w:p w14:paraId="5C804541">
      <w:pPr>
        <w:spacing w:line="360" w:lineRule="auto"/>
        <w:rPr>
          <w:rFonts w:hint="eastAsia" w:ascii="宋体" w:hAnsi="宋体" w:eastAsia="宋体" w:cs="宋体"/>
          <w:color w:val="auto"/>
          <w:highlight w:val="none"/>
        </w:rPr>
      </w:pPr>
    </w:p>
    <w:p w14:paraId="13FE8AB7">
      <w:pPr>
        <w:spacing w:line="360" w:lineRule="auto"/>
        <w:rPr>
          <w:rFonts w:hint="eastAsia" w:ascii="宋体" w:hAnsi="宋体" w:eastAsia="宋体" w:cs="宋体"/>
          <w:color w:val="auto"/>
          <w:highlight w:val="none"/>
        </w:rPr>
      </w:pPr>
    </w:p>
    <w:p w14:paraId="10E4C6C9">
      <w:pPr>
        <w:spacing w:line="360" w:lineRule="auto"/>
        <w:rPr>
          <w:rFonts w:hint="eastAsia" w:ascii="宋体" w:hAnsi="宋体" w:eastAsia="宋体" w:cs="宋体"/>
          <w:color w:val="auto"/>
          <w:highlight w:val="none"/>
        </w:rPr>
      </w:pPr>
    </w:p>
    <w:p w14:paraId="2DD05302">
      <w:pPr>
        <w:spacing w:line="360" w:lineRule="auto"/>
        <w:jc w:val="center"/>
        <w:rPr>
          <w:rFonts w:hint="eastAsia" w:ascii="宋体" w:hAnsi="宋体" w:eastAsia="宋体" w:cs="宋体"/>
          <w:b/>
          <w:bCs/>
          <w:color w:val="auto"/>
          <w:sz w:val="72"/>
          <w:szCs w:val="144"/>
          <w:highlight w:val="none"/>
        </w:rPr>
      </w:pPr>
    </w:p>
    <w:p w14:paraId="236AC409">
      <w:pPr>
        <w:spacing w:line="360" w:lineRule="auto"/>
        <w:jc w:val="center"/>
        <w:rPr>
          <w:rFonts w:hint="eastAsia" w:ascii="宋体" w:hAnsi="宋体" w:eastAsia="宋体" w:cs="宋体"/>
          <w:b/>
          <w:bCs/>
          <w:color w:val="auto"/>
          <w:sz w:val="72"/>
          <w:szCs w:val="144"/>
          <w:highlight w:val="none"/>
        </w:rPr>
      </w:pPr>
    </w:p>
    <w:p w14:paraId="50C300D1">
      <w:pPr>
        <w:spacing w:line="360" w:lineRule="auto"/>
        <w:jc w:val="center"/>
        <w:rPr>
          <w:rFonts w:hint="eastAsia" w:ascii="宋体" w:hAnsi="宋体" w:eastAsia="宋体" w:cs="宋体"/>
          <w:b/>
          <w:bCs/>
          <w:color w:val="auto"/>
          <w:sz w:val="72"/>
          <w:szCs w:val="144"/>
          <w:highlight w:val="none"/>
        </w:rPr>
      </w:pPr>
    </w:p>
    <w:p w14:paraId="530C251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52"/>
          <w:szCs w:val="52"/>
          <w:highlight w:val="none"/>
        </w:rPr>
        <w:t>技术文件</w:t>
      </w:r>
    </w:p>
    <w:p w14:paraId="476CE4DC">
      <w:pPr>
        <w:spacing w:line="360" w:lineRule="auto"/>
        <w:rPr>
          <w:rFonts w:hint="eastAsia" w:ascii="宋体" w:hAnsi="宋体" w:eastAsia="宋体" w:cs="宋体"/>
          <w:color w:val="auto"/>
          <w:sz w:val="28"/>
          <w:szCs w:val="28"/>
          <w:highlight w:val="none"/>
        </w:rPr>
      </w:pPr>
    </w:p>
    <w:p w14:paraId="6EB43734">
      <w:pPr>
        <w:spacing w:line="360" w:lineRule="auto"/>
        <w:rPr>
          <w:rFonts w:hint="eastAsia" w:ascii="宋体" w:hAnsi="宋体" w:eastAsia="宋体" w:cs="宋体"/>
          <w:color w:val="auto"/>
          <w:sz w:val="28"/>
          <w:szCs w:val="28"/>
          <w:highlight w:val="none"/>
        </w:rPr>
      </w:pPr>
    </w:p>
    <w:p w14:paraId="5BF5754E">
      <w:pPr>
        <w:spacing w:line="360" w:lineRule="auto"/>
        <w:rPr>
          <w:rFonts w:hint="eastAsia" w:ascii="宋体" w:hAnsi="宋体" w:eastAsia="宋体" w:cs="宋体"/>
          <w:color w:val="auto"/>
          <w:sz w:val="28"/>
          <w:szCs w:val="28"/>
          <w:highlight w:val="none"/>
        </w:rPr>
      </w:pPr>
    </w:p>
    <w:p w14:paraId="3DEE8A00">
      <w:pPr>
        <w:spacing w:line="360" w:lineRule="auto"/>
        <w:rPr>
          <w:rFonts w:hint="eastAsia" w:ascii="宋体" w:hAnsi="宋体" w:eastAsia="宋体" w:cs="宋体"/>
          <w:color w:val="auto"/>
          <w:sz w:val="28"/>
          <w:szCs w:val="28"/>
          <w:highlight w:val="none"/>
        </w:rPr>
      </w:pPr>
    </w:p>
    <w:p w14:paraId="471E8E81">
      <w:pPr>
        <w:widowControl/>
        <w:autoSpaceDE w:val="0"/>
        <w:autoSpaceDN w:val="0"/>
        <w:adjustRightInd w:val="0"/>
        <w:ind w:right="-482" w:firstLine="2160" w:firstLineChars="900"/>
        <w:rPr>
          <w:rFonts w:hint="eastAsia" w:ascii="宋体" w:hAnsi="宋体" w:eastAsia="宋体" w:cs="宋体"/>
          <w:color w:val="auto"/>
          <w:kern w:val="1"/>
          <w:sz w:val="24"/>
          <w:szCs w:val="24"/>
          <w:highlight w:val="none"/>
        </w:rPr>
      </w:pPr>
    </w:p>
    <w:p w14:paraId="63F4C974">
      <w:pPr>
        <w:widowControl/>
        <w:autoSpaceDE w:val="0"/>
        <w:autoSpaceDN w:val="0"/>
        <w:adjustRightInd w:val="0"/>
        <w:spacing w:before="260" w:after="260" w:line="440" w:lineRule="exact"/>
        <w:ind w:right="-481"/>
        <w:jc w:val="center"/>
        <w:rPr>
          <w:rFonts w:hint="eastAsia" w:ascii="宋体" w:hAnsi="宋体" w:eastAsia="宋体" w:cs="宋体"/>
          <w:color w:val="auto"/>
          <w:kern w:val="1"/>
          <w:sz w:val="30"/>
          <w:szCs w:val="30"/>
          <w:highlight w:val="none"/>
        </w:rPr>
      </w:pPr>
      <w:r>
        <w:rPr>
          <w:rFonts w:hint="eastAsia" w:ascii="宋体" w:hAnsi="宋体" w:eastAsia="宋体" w:cs="宋体"/>
          <w:color w:val="auto"/>
          <w:kern w:val="1"/>
          <w:sz w:val="30"/>
          <w:szCs w:val="30"/>
          <w:highlight w:val="none"/>
        </w:rPr>
        <w:br w:type="page"/>
      </w:r>
    </w:p>
    <w:p w14:paraId="640E4B87">
      <w:pPr>
        <w:widowControl/>
        <w:autoSpaceDE w:val="0"/>
        <w:autoSpaceDN w:val="0"/>
        <w:adjustRightInd w:val="0"/>
        <w:spacing w:before="260" w:after="260" w:line="440" w:lineRule="exact"/>
        <w:ind w:right="-481"/>
        <w:jc w:val="center"/>
        <w:rPr>
          <w:rFonts w:hint="eastAsia" w:ascii="宋体" w:hAnsi="宋体" w:eastAsia="宋体" w:cs="宋体"/>
          <w:color w:val="auto"/>
          <w:kern w:val="1"/>
          <w:sz w:val="32"/>
          <w:szCs w:val="32"/>
          <w:highlight w:val="none"/>
        </w:rPr>
      </w:pPr>
    </w:p>
    <w:p w14:paraId="6E5D5CB0">
      <w:pPr>
        <w:widowControl/>
        <w:autoSpaceDE w:val="0"/>
        <w:autoSpaceDN w:val="0"/>
        <w:adjustRightInd w:val="0"/>
        <w:spacing w:before="260" w:after="260" w:line="440" w:lineRule="exact"/>
        <w:ind w:right="-481"/>
        <w:jc w:val="center"/>
        <w:rPr>
          <w:rFonts w:hint="eastAsia" w:ascii="宋体" w:hAnsi="宋体" w:eastAsia="宋体" w:cs="宋体"/>
          <w:color w:val="auto"/>
          <w:kern w:val="1"/>
          <w:sz w:val="32"/>
          <w:szCs w:val="32"/>
          <w:highlight w:val="none"/>
        </w:rPr>
      </w:pPr>
      <w:r>
        <w:rPr>
          <w:rFonts w:hint="eastAsia" w:ascii="宋体" w:hAnsi="宋体" w:eastAsia="宋体" w:cs="宋体"/>
          <w:color w:val="auto"/>
          <w:kern w:val="1"/>
          <w:sz w:val="32"/>
          <w:szCs w:val="32"/>
          <w:highlight w:val="none"/>
        </w:rPr>
        <w:t>目 录</w:t>
      </w:r>
    </w:p>
    <w:p w14:paraId="21C6B897">
      <w:pPr>
        <w:widowControl/>
        <w:autoSpaceDE w:val="0"/>
        <w:autoSpaceDN w:val="0"/>
        <w:adjustRightInd w:val="0"/>
        <w:spacing w:line="440" w:lineRule="exact"/>
        <w:ind w:right="-482"/>
        <w:jc w:val="left"/>
        <w:rPr>
          <w:rFonts w:hint="eastAsia" w:ascii="宋体" w:hAnsi="宋体" w:eastAsia="宋体" w:cs="宋体"/>
          <w:color w:val="auto"/>
          <w:kern w:val="1"/>
          <w:sz w:val="24"/>
          <w:szCs w:val="24"/>
          <w:highlight w:val="none"/>
        </w:rPr>
      </w:pPr>
    </w:p>
    <w:p w14:paraId="29CA43D5">
      <w:pPr>
        <w:widowControl/>
        <w:autoSpaceDE w:val="0"/>
        <w:autoSpaceDN w:val="0"/>
        <w:adjustRightInd w:val="0"/>
        <w:spacing w:line="720" w:lineRule="auto"/>
        <w:ind w:right="-482" w:firstLine="48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一、货物清单；</w:t>
      </w:r>
    </w:p>
    <w:p w14:paraId="0E424DF8">
      <w:pPr>
        <w:widowControl/>
        <w:autoSpaceDE w:val="0"/>
        <w:autoSpaceDN w:val="0"/>
        <w:adjustRightInd w:val="0"/>
        <w:spacing w:line="720" w:lineRule="auto"/>
        <w:ind w:right="-482" w:firstLine="48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、售后服务</w:t>
      </w:r>
      <w:r>
        <w:rPr>
          <w:rFonts w:hint="eastAsia" w:ascii="宋体" w:hAnsi="宋体" w:eastAsia="宋体" w:cs="宋体"/>
          <w:color w:val="auto"/>
          <w:sz w:val="28"/>
          <w:szCs w:val="28"/>
          <w:highlight w:val="none"/>
          <w:lang w:val="en-US" w:eastAsia="zh-CN"/>
        </w:rPr>
        <w:t>承诺</w:t>
      </w:r>
      <w:r>
        <w:rPr>
          <w:rFonts w:hint="eastAsia" w:ascii="宋体" w:hAnsi="宋体" w:eastAsia="宋体" w:cs="宋体"/>
          <w:color w:val="auto"/>
          <w:sz w:val="28"/>
          <w:szCs w:val="28"/>
          <w:highlight w:val="none"/>
        </w:rPr>
        <w:t>；</w:t>
      </w:r>
    </w:p>
    <w:p w14:paraId="5C98FBC0">
      <w:pPr>
        <w:widowControl/>
        <w:autoSpaceDE w:val="0"/>
        <w:autoSpaceDN w:val="0"/>
        <w:adjustRightInd w:val="0"/>
        <w:spacing w:line="720" w:lineRule="auto"/>
        <w:ind w:right="-482" w:firstLine="48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、培训计划；</w:t>
      </w:r>
    </w:p>
    <w:p w14:paraId="377E27CA">
      <w:pPr>
        <w:widowControl/>
        <w:autoSpaceDE w:val="0"/>
        <w:autoSpaceDN w:val="0"/>
        <w:adjustRightInd w:val="0"/>
        <w:spacing w:line="720" w:lineRule="auto"/>
        <w:ind w:right="-482" w:firstLine="480"/>
        <w:jc w:val="left"/>
        <w:rPr>
          <w:rStyle w:val="24"/>
          <w:rFonts w:hint="eastAsia" w:ascii="宋体" w:hAnsi="宋体" w:eastAsia="宋体" w:cs="宋体"/>
          <w:color w:val="auto"/>
          <w:sz w:val="28"/>
          <w:szCs w:val="28"/>
          <w:highlight w:val="none"/>
        </w:rPr>
      </w:pPr>
      <w:r>
        <w:rPr>
          <w:rFonts w:hint="eastAsia" w:ascii="宋体" w:hAnsi="宋体" w:cs="宋体"/>
          <w:color w:val="auto"/>
          <w:kern w:val="1"/>
          <w:sz w:val="28"/>
          <w:szCs w:val="28"/>
          <w:highlight w:val="none"/>
          <w:lang w:val="en-US" w:eastAsia="zh-CN"/>
        </w:rPr>
        <w:t>四</w:t>
      </w:r>
      <w:r>
        <w:rPr>
          <w:rFonts w:hint="eastAsia" w:ascii="宋体" w:hAnsi="宋体" w:eastAsia="宋体" w:cs="宋体"/>
          <w:color w:val="auto"/>
          <w:kern w:val="1"/>
          <w:sz w:val="28"/>
          <w:szCs w:val="28"/>
          <w:highlight w:val="none"/>
        </w:rPr>
        <w:t>、</w:t>
      </w: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val="en-US" w:eastAsia="zh-CN"/>
        </w:rPr>
        <w:t>认为有必要提供的其他证明材料</w:t>
      </w:r>
      <w:r>
        <w:rPr>
          <w:rFonts w:hint="eastAsia" w:ascii="宋体" w:hAnsi="宋体" w:eastAsia="宋体" w:cs="宋体"/>
          <w:color w:val="auto"/>
          <w:sz w:val="28"/>
          <w:szCs w:val="28"/>
          <w:highlight w:val="none"/>
        </w:rPr>
        <w:t>。</w:t>
      </w:r>
    </w:p>
    <w:p w14:paraId="7B207434">
      <w:pPr>
        <w:widowControl/>
        <w:autoSpaceDE w:val="0"/>
        <w:autoSpaceDN w:val="0"/>
        <w:adjustRightInd w:val="0"/>
        <w:spacing w:line="480" w:lineRule="auto"/>
        <w:ind w:right="-481"/>
        <w:jc w:val="left"/>
        <w:rPr>
          <w:rStyle w:val="24"/>
          <w:rFonts w:hint="eastAsia" w:ascii="宋体" w:hAnsi="宋体" w:eastAsia="宋体" w:cs="宋体"/>
          <w:color w:val="auto"/>
          <w:sz w:val="24"/>
          <w:szCs w:val="24"/>
          <w:highlight w:val="none"/>
        </w:rPr>
      </w:pPr>
    </w:p>
    <w:p w14:paraId="1FB59599">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170E9F8A">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t>一、货物清单</w:t>
      </w:r>
    </w:p>
    <w:p w14:paraId="74CC31C7">
      <w:pPr>
        <w:widowControl/>
        <w:autoSpaceDE w:val="0"/>
        <w:autoSpaceDN w:val="0"/>
        <w:adjustRightInd w:val="0"/>
        <w:spacing w:before="120" w:after="120" w:line="440" w:lineRule="exact"/>
        <w:ind w:right="-481" w:firstLine="630"/>
        <w:jc w:val="center"/>
        <w:rPr>
          <w:rFonts w:hint="eastAsia" w:ascii="宋体" w:hAnsi="宋体" w:eastAsia="宋体" w:cs="宋体"/>
          <w:color w:val="auto"/>
          <w:kern w:val="1"/>
          <w:sz w:val="24"/>
          <w:szCs w:val="24"/>
          <w:highlight w:val="none"/>
        </w:rPr>
      </w:pPr>
    </w:p>
    <w:p w14:paraId="7B6C22B1">
      <w:pPr>
        <w:widowControl/>
        <w:autoSpaceDE w:val="0"/>
        <w:autoSpaceDN w:val="0"/>
        <w:adjustRightInd w:val="0"/>
        <w:spacing w:after="240" w:line="440" w:lineRule="exact"/>
        <w:ind w:right="-481"/>
        <w:rPr>
          <w:rFonts w:hint="eastAsia" w:ascii="宋体" w:hAnsi="宋体" w:eastAsia="宋体" w:cs="宋体"/>
          <w:b/>
          <w:bCs/>
          <w:color w:val="auto"/>
          <w:kern w:val="1"/>
          <w:sz w:val="24"/>
          <w:szCs w:val="24"/>
          <w:highlight w:val="none"/>
        </w:rPr>
      </w:pPr>
      <w:r>
        <w:rPr>
          <w:rStyle w:val="24"/>
          <w:rFonts w:hint="eastAsia" w:ascii="宋体" w:hAnsi="宋体" w:eastAsia="宋体" w:cs="宋体"/>
          <w:b/>
          <w:bCs/>
          <w:color w:val="auto"/>
          <w:sz w:val="24"/>
          <w:szCs w:val="24"/>
          <w:highlight w:val="none"/>
          <w:lang w:val="en-US" w:eastAsia="zh-CN"/>
        </w:rPr>
        <w:t>项目名称</w:t>
      </w:r>
      <w:r>
        <w:rPr>
          <w:rStyle w:val="24"/>
          <w:rFonts w:hint="eastAsia" w:ascii="宋体" w:hAnsi="宋体" w:eastAsia="宋体" w:cs="宋体"/>
          <w:b/>
          <w:bCs/>
          <w:color w:val="auto"/>
          <w:sz w:val="24"/>
          <w:szCs w:val="24"/>
          <w:highlight w:val="none"/>
        </w:rPr>
        <w:t>：</w:t>
      </w:r>
      <w:r>
        <w:rPr>
          <w:rStyle w:val="24"/>
          <w:rFonts w:hint="eastAsia" w:ascii="宋体" w:hAnsi="宋体" w:eastAsia="宋体" w:cs="宋体"/>
          <w:b/>
          <w:bCs/>
          <w:color w:val="auto"/>
          <w:sz w:val="24"/>
          <w:szCs w:val="24"/>
          <w:highlight w:val="none"/>
          <w:u w:val="single"/>
        </w:rPr>
        <w:t xml:space="preserve">               </w:t>
      </w:r>
      <w:r>
        <w:rPr>
          <w:rStyle w:val="24"/>
          <w:rFonts w:hint="eastAsia" w:ascii="宋体" w:hAnsi="宋体" w:eastAsia="宋体" w:cs="宋体"/>
          <w:b/>
          <w:bCs/>
          <w:color w:val="auto"/>
          <w:sz w:val="24"/>
          <w:szCs w:val="24"/>
          <w:highlight w:val="none"/>
        </w:rPr>
        <w:t xml:space="preserve">            </w:t>
      </w:r>
      <w:r>
        <w:rPr>
          <w:rStyle w:val="24"/>
          <w:rFonts w:hint="eastAsia" w:ascii="宋体" w:hAnsi="宋体" w:eastAsia="宋体" w:cs="宋体"/>
          <w:b/>
          <w:bCs/>
          <w:color w:val="auto"/>
          <w:sz w:val="24"/>
          <w:szCs w:val="24"/>
          <w:highlight w:val="none"/>
          <w:lang w:val="en-US" w:eastAsia="zh-CN"/>
        </w:rPr>
        <w:t>项目编号</w:t>
      </w:r>
      <w:r>
        <w:rPr>
          <w:rStyle w:val="24"/>
          <w:rFonts w:hint="eastAsia" w:ascii="宋体" w:hAnsi="宋体" w:eastAsia="宋体" w:cs="宋体"/>
          <w:b/>
          <w:bCs/>
          <w:color w:val="auto"/>
          <w:sz w:val="24"/>
          <w:szCs w:val="24"/>
          <w:highlight w:val="none"/>
        </w:rPr>
        <w:t>：</w:t>
      </w:r>
      <w:r>
        <w:rPr>
          <w:rFonts w:hint="eastAsia" w:ascii="宋体" w:hAnsi="宋体" w:eastAsia="宋体" w:cs="宋体"/>
          <w:b/>
          <w:bCs/>
          <w:color w:val="auto"/>
          <w:kern w:val="1"/>
          <w:sz w:val="24"/>
          <w:szCs w:val="24"/>
          <w:highlight w:val="none"/>
          <w:u w:val="single"/>
        </w:rPr>
        <w:t xml:space="preserve">                  </w:t>
      </w:r>
      <w:r>
        <w:rPr>
          <w:rStyle w:val="24"/>
          <w:rFonts w:hint="eastAsia" w:ascii="宋体" w:hAnsi="宋体" w:eastAsia="宋体" w:cs="宋体"/>
          <w:b/>
          <w:bCs/>
          <w:color w:val="auto"/>
          <w:sz w:val="24"/>
          <w:szCs w:val="24"/>
          <w:highlight w:val="none"/>
        </w:rPr>
        <w:t xml:space="preserve"> </w:t>
      </w:r>
    </w:p>
    <w:tbl>
      <w:tblPr>
        <w:tblStyle w:val="1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32"/>
        <w:gridCol w:w="1484"/>
        <w:gridCol w:w="2133"/>
        <w:gridCol w:w="2050"/>
        <w:gridCol w:w="1298"/>
      </w:tblGrid>
      <w:tr w14:paraId="0E18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83" w:type="dxa"/>
            <w:noWrap w:val="0"/>
            <w:tcMar>
              <w:top w:w="100" w:type="dxa"/>
              <w:right w:w="100" w:type="dxa"/>
            </w:tcMar>
            <w:vAlign w:val="center"/>
          </w:tcPr>
          <w:p w14:paraId="22343210">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序号</w:t>
            </w:r>
          </w:p>
        </w:tc>
        <w:tc>
          <w:tcPr>
            <w:tcW w:w="1932" w:type="dxa"/>
            <w:noWrap w:val="0"/>
            <w:tcMar>
              <w:top w:w="100" w:type="dxa"/>
              <w:right w:w="100" w:type="dxa"/>
            </w:tcMar>
            <w:vAlign w:val="center"/>
          </w:tcPr>
          <w:p w14:paraId="21C1719E">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lang w:val="en-US" w:eastAsia="zh-CN"/>
              </w:rPr>
              <w:t>货物</w:t>
            </w:r>
            <w:r>
              <w:rPr>
                <w:rStyle w:val="24"/>
                <w:rFonts w:hint="eastAsia" w:ascii="宋体" w:hAnsi="宋体" w:eastAsia="宋体" w:cs="宋体"/>
                <w:color w:val="auto"/>
                <w:sz w:val="24"/>
                <w:szCs w:val="24"/>
                <w:highlight w:val="none"/>
              </w:rPr>
              <w:t>名称</w:t>
            </w:r>
          </w:p>
        </w:tc>
        <w:tc>
          <w:tcPr>
            <w:tcW w:w="1484" w:type="dxa"/>
            <w:noWrap w:val="0"/>
            <w:tcMar>
              <w:top w:w="100" w:type="dxa"/>
              <w:right w:w="100" w:type="dxa"/>
            </w:tcMar>
            <w:vAlign w:val="center"/>
          </w:tcPr>
          <w:p w14:paraId="68A5CEC7">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品牌</w:t>
            </w:r>
          </w:p>
        </w:tc>
        <w:tc>
          <w:tcPr>
            <w:tcW w:w="2133" w:type="dxa"/>
            <w:noWrap w:val="0"/>
            <w:tcMar>
              <w:top w:w="100" w:type="dxa"/>
              <w:right w:w="100" w:type="dxa"/>
            </w:tcMar>
            <w:vAlign w:val="center"/>
          </w:tcPr>
          <w:p w14:paraId="6B040C78">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产地</w:t>
            </w:r>
          </w:p>
        </w:tc>
        <w:tc>
          <w:tcPr>
            <w:tcW w:w="2050" w:type="dxa"/>
            <w:noWrap w:val="0"/>
            <w:tcMar>
              <w:top w:w="100" w:type="dxa"/>
              <w:right w:w="100" w:type="dxa"/>
            </w:tcMar>
            <w:vAlign w:val="center"/>
          </w:tcPr>
          <w:p w14:paraId="7F4357FF">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规格型号</w:t>
            </w:r>
          </w:p>
        </w:tc>
        <w:tc>
          <w:tcPr>
            <w:tcW w:w="1298" w:type="dxa"/>
            <w:noWrap w:val="0"/>
            <w:tcMar>
              <w:top w:w="100" w:type="dxa"/>
              <w:right w:w="100" w:type="dxa"/>
            </w:tcMar>
            <w:vAlign w:val="center"/>
          </w:tcPr>
          <w:p w14:paraId="69EE99B4">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lang w:eastAsia="zh-CN"/>
              </w:rPr>
            </w:pPr>
            <w:r>
              <w:rPr>
                <w:rStyle w:val="24"/>
                <w:rFonts w:hint="eastAsia" w:ascii="宋体" w:hAnsi="宋体" w:eastAsia="宋体" w:cs="宋体"/>
                <w:color w:val="auto"/>
                <w:sz w:val="24"/>
                <w:szCs w:val="24"/>
                <w:highlight w:val="none"/>
                <w:lang w:val="en-US" w:eastAsia="zh-CN"/>
              </w:rPr>
              <w:t>备注</w:t>
            </w:r>
          </w:p>
        </w:tc>
      </w:tr>
      <w:tr w14:paraId="20E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59562B5D">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1</w:t>
            </w:r>
          </w:p>
        </w:tc>
        <w:tc>
          <w:tcPr>
            <w:tcW w:w="1932" w:type="dxa"/>
            <w:noWrap w:val="0"/>
            <w:tcMar>
              <w:top w:w="100" w:type="dxa"/>
              <w:right w:w="100" w:type="dxa"/>
            </w:tcMar>
            <w:vAlign w:val="center"/>
          </w:tcPr>
          <w:p w14:paraId="6AE8C88A">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78741E46">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2EB69506">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0AB4120B">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64705DC0">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22CD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171C9092">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2</w:t>
            </w:r>
          </w:p>
        </w:tc>
        <w:tc>
          <w:tcPr>
            <w:tcW w:w="1932" w:type="dxa"/>
            <w:noWrap w:val="0"/>
            <w:tcMar>
              <w:top w:w="100" w:type="dxa"/>
              <w:right w:w="100" w:type="dxa"/>
            </w:tcMar>
            <w:vAlign w:val="center"/>
          </w:tcPr>
          <w:p w14:paraId="204B3183">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62EE0507">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2E2036AC">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0ECC4E92">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0ACDD322">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2360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5D9E9278">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3</w:t>
            </w:r>
          </w:p>
        </w:tc>
        <w:tc>
          <w:tcPr>
            <w:tcW w:w="1932" w:type="dxa"/>
            <w:noWrap w:val="0"/>
            <w:tcMar>
              <w:top w:w="100" w:type="dxa"/>
              <w:right w:w="100" w:type="dxa"/>
            </w:tcMar>
            <w:vAlign w:val="center"/>
          </w:tcPr>
          <w:p w14:paraId="614168C4">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38503DC3">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654C11B8">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337909E1">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10E1C649">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4C3C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04C02EBC">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4</w:t>
            </w:r>
          </w:p>
        </w:tc>
        <w:tc>
          <w:tcPr>
            <w:tcW w:w="1932" w:type="dxa"/>
            <w:noWrap w:val="0"/>
            <w:tcMar>
              <w:top w:w="100" w:type="dxa"/>
              <w:right w:w="100" w:type="dxa"/>
            </w:tcMar>
            <w:vAlign w:val="center"/>
          </w:tcPr>
          <w:p w14:paraId="590DAF78">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5290A0DA">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2130B230">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719A4910">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18269C51">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4755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noWrap w:val="0"/>
            <w:tcMar>
              <w:top w:w="100" w:type="dxa"/>
              <w:right w:w="100" w:type="dxa"/>
            </w:tcMar>
            <w:vAlign w:val="center"/>
          </w:tcPr>
          <w:p w14:paraId="2C459E44">
            <w:pPr>
              <w:widowControl/>
              <w:autoSpaceDE w:val="0"/>
              <w:autoSpaceDN w:val="0"/>
              <w:adjustRightInd w:val="0"/>
              <w:spacing w:before="50" w:after="50" w:line="440" w:lineRule="exact"/>
              <w:jc w:val="center"/>
              <w:rPr>
                <w:rStyle w:val="24"/>
                <w:rFonts w:hint="eastAsia"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rPr>
              <w:t>5</w:t>
            </w:r>
          </w:p>
        </w:tc>
        <w:tc>
          <w:tcPr>
            <w:tcW w:w="1932" w:type="dxa"/>
            <w:noWrap w:val="0"/>
            <w:tcMar>
              <w:top w:w="100" w:type="dxa"/>
              <w:right w:w="100" w:type="dxa"/>
            </w:tcMar>
            <w:vAlign w:val="center"/>
          </w:tcPr>
          <w:p w14:paraId="5E89F2A2">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5583815D">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32618460">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43BDAB56">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770459F7">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6450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noWrap w:val="0"/>
            <w:tcMar>
              <w:top w:w="100" w:type="dxa"/>
              <w:right w:w="100" w:type="dxa"/>
            </w:tcMar>
            <w:vAlign w:val="center"/>
          </w:tcPr>
          <w:p w14:paraId="138F64E2">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6</w:t>
            </w:r>
          </w:p>
        </w:tc>
        <w:tc>
          <w:tcPr>
            <w:tcW w:w="1932" w:type="dxa"/>
            <w:noWrap w:val="0"/>
            <w:tcMar>
              <w:top w:w="100" w:type="dxa"/>
              <w:right w:w="100" w:type="dxa"/>
            </w:tcMar>
            <w:vAlign w:val="center"/>
          </w:tcPr>
          <w:p w14:paraId="4251CF5B">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1C8BA9E5">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40A6689C">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524E7DDD">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04B7D2FC">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r w14:paraId="00A8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noWrap w:val="0"/>
            <w:tcMar>
              <w:top w:w="100" w:type="dxa"/>
              <w:right w:w="100" w:type="dxa"/>
            </w:tcMar>
            <w:vAlign w:val="center"/>
          </w:tcPr>
          <w:p w14:paraId="1068A8D1">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w:t>
            </w:r>
          </w:p>
        </w:tc>
        <w:tc>
          <w:tcPr>
            <w:tcW w:w="1932" w:type="dxa"/>
            <w:noWrap w:val="0"/>
            <w:tcMar>
              <w:top w:w="100" w:type="dxa"/>
              <w:right w:w="100" w:type="dxa"/>
            </w:tcMar>
            <w:vAlign w:val="center"/>
          </w:tcPr>
          <w:p w14:paraId="57EF8678">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484" w:type="dxa"/>
            <w:noWrap w:val="0"/>
            <w:tcMar>
              <w:top w:w="100" w:type="dxa"/>
              <w:right w:w="100" w:type="dxa"/>
            </w:tcMar>
            <w:vAlign w:val="center"/>
          </w:tcPr>
          <w:p w14:paraId="7D7549B6">
            <w:pPr>
              <w:widowControl/>
              <w:autoSpaceDE w:val="0"/>
              <w:autoSpaceDN w:val="0"/>
              <w:adjustRightInd w:val="0"/>
              <w:spacing w:before="50" w:after="50" w:line="440" w:lineRule="exact"/>
              <w:ind w:left="480" w:hanging="480"/>
              <w:jc w:val="center"/>
              <w:rPr>
                <w:rFonts w:hint="eastAsia" w:ascii="宋体" w:hAnsi="宋体" w:eastAsia="宋体" w:cs="宋体"/>
                <w:color w:val="auto"/>
                <w:kern w:val="1"/>
                <w:sz w:val="24"/>
                <w:szCs w:val="24"/>
                <w:highlight w:val="none"/>
              </w:rPr>
            </w:pPr>
          </w:p>
        </w:tc>
        <w:tc>
          <w:tcPr>
            <w:tcW w:w="2133" w:type="dxa"/>
            <w:noWrap w:val="0"/>
            <w:tcMar>
              <w:top w:w="100" w:type="dxa"/>
              <w:right w:w="100" w:type="dxa"/>
            </w:tcMar>
            <w:vAlign w:val="top"/>
          </w:tcPr>
          <w:p w14:paraId="66966E99">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2050" w:type="dxa"/>
            <w:noWrap w:val="0"/>
            <w:tcMar>
              <w:top w:w="100" w:type="dxa"/>
              <w:right w:w="100" w:type="dxa"/>
            </w:tcMar>
            <w:vAlign w:val="center"/>
          </w:tcPr>
          <w:p w14:paraId="6A133F8D">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c>
          <w:tcPr>
            <w:tcW w:w="1298" w:type="dxa"/>
            <w:noWrap w:val="0"/>
            <w:tcMar>
              <w:top w:w="100" w:type="dxa"/>
              <w:right w:w="100" w:type="dxa"/>
            </w:tcMar>
            <w:vAlign w:val="center"/>
          </w:tcPr>
          <w:p w14:paraId="0B596E38">
            <w:pPr>
              <w:widowControl/>
              <w:autoSpaceDE w:val="0"/>
              <w:autoSpaceDN w:val="0"/>
              <w:adjustRightInd w:val="0"/>
              <w:spacing w:before="50" w:after="50" w:line="440" w:lineRule="exact"/>
              <w:jc w:val="center"/>
              <w:rPr>
                <w:rFonts w:hint="eastAsia" w:ascii="宋体" w:hAnsi="宋体" w:eastAsia="宋体" w:cs="宋体"/>
                <w:color w:val="auto"/>
                <w:kern w:val="1"/>
                <w:sz w:val="24"/>
                <w:szCs w:val="24"/>
                <w:highlight w:val="none"/>
              </w:rPr>
            </w:pPr>
          </w:p>
        </w:tc>
      </w:tr>
    </w:tbl>
    <w:p w14:paraId="49BD829B">
      <w:pPr>
        <w:widowControl/>
        <w:autoSpaceDE w:val="0"/>
        <w:autoSpaceDN w:val="0"/>
        <w:adjustRightInd w:val="0"/>
        <w:spacing w:before="120" w:line="440" w:lineRule="exact"/>
        <w:ind w:right="-481"/>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注：</w:t>
      </w:r>
      <w:r>
        <w:rPr>
          <w:rFonts w:hint="eastAsia" w:ascii="宋体" w:hAnsi="宋体" w:eastAsia="宋体" w:cs="宋体"/>
          <w:color w:val="auto"/>
          <w:kern w:val="1"/>
          <w:sz w:val="24"/>
          <w:szCs w:val="24"/>
          <w:highlight w:val="none"/>
        </w:rPr>
        <w:t>在填写时，如本表格不适合投标单位的实际情况，可根据本表格式自行制表填写</w:t>
      </w:r>
      <w:r>
        <w:rPr>
          <w:rFonts w:hint="eastAsia" w:ascii="宋体" w:hAnsi="宋体" w:eastAsia="宋体" w:cs="宋体"/>
          <w:color w:val="auto"/>
          <w:kern w:val="1"/>
          <w:sz w:val="24"/>
          <w:szCs w:val="24"/>
          <w:highlight w:val="none"/>
          <w:lang w:eastAsia="zh-CN"/>
        </w:rPr>
        <w:t>。</w:t>
      </w:r>
    </w:p>
    <w:p w14:paraId="182D37A9">
      <w:pPr>
        <w:pStyle w:val="5"/>
        <w:rPr>
          <w:rFonts w:hint="eastAsia" w:ascii="宋体" w:hAnsi="宋体" w:eastAsia="宋体" w:cs="宋体"/>
          <w:color w:val="auto"/>
          <w:kern w:val="1"/>
          <w:sz w:val="24"/>
          <w:szCs w:val="24"/>
          <w:highlight w:val="none"/>
          <w:lang w:val="en-US" w:eastAsia="zh-CN"/>
        </w:rPr>
      </w:pPr>
    </w:p>
    <w:p w14:paraId="59524BF7">
      <w:pPr>
        <w:rPr>
          <w:rFonts w:hint="eastAsia" w:ascii="宋体" w:hAnsi="宋体" w:eastAsia="宋体" w:cs="宋体"/>
          <w:color w:val="auto"/>
          <w:highlight w:val="none"/>
          <w:lang w:val="en-US" w:eastAsia="zh-CN"/>
        </w:rPr>
      </w:pPr>
    </w:p>
    <w:p w14:paraId="7FD439DF">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166DCA39">
      <w:pPr>
        <w:spacing w:line="440" w:lineRule="exact"/>
        <w:ind w:firstLine="4108" w:firstLineChars="17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6A7A7C3">
      <w:pPr>
        <w:widowControl/>
        <w:autoSpaceDE w:val="0"/>
        <w:autoSpaceDN w:val="0"/>
        <w:adjustRightInd w:val="0"/>
        <w:spacing w:line="44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2531FF2">
      <w:pPr>
        <w:widowControl/>
        <w:autoSpaceDE w:val="0"/>
        <w:autoSpaceDN w:val="0"/>
        <w:adjustRightInd w:val="0"/>
        <w:spacing w:line="440" w:lineRule="exact"/>
        <w:jc w:val="both"/>
        <w:rPr>
          <w:rFonts w:hint="eastAsia" w:ascii="宋体" w:hAnsi="宋体" w:eastAsia="宋体" w:cs="宋体"/>
          <w:color w:val="auto"/>
          <w:kern w:val="1"/>
          <w:highlight w:val="none"/>
        </w:rPr>
      </w:pPr>
      <w:r>
        <w:rPr>
          <w:rFonts w:hint="eastAsia" w:ascii="宋体" w:hAnsi="宋体" w:eastAsia="宋体" w:cs="宋体"/>
          <w:color w:val="auto"/>
          <w:kern w:val="1"/>
          <w:highlight w:val="none"/>
        </w:rPr>
        <w:br w:type="page"/>
      </w:r>
    </w:p>
    <w:p w14:paraId="3B436F6B">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lang w:val="en-US" w:eastAsia="zh-CN"/>
        </w:rPr>
      </w:pPr>
      <w:r>
        <w:rPr>
          <w:rFonts w:hint="eastAsia" w:ascii="宋体" w:hAnsi="宋体" w:cs="宋体"/>
          <w:color w:val="auto"/>
          <w:kern w:val="1"/>
          <w:sz w:val="28"/>
          <w:szCs w:val="28"/>
          <w:highlight w:val="none"/>
          <w:lang w:val="en-US" w:eastAsia="zh-CN"/>
        </w:rPr>
        <w:t>二</w:t>
      </w:r>
      <w:r>
        <w:rPr>
          <w:rFonts w:hint="eastAsia" w:ascii="宋体" w:hAnsi="宋体" w:eastAsia="宋体" w:cs="宋体"/>
          <w:color w:val="auto"/>
          <w:kern w:val="1"/>
          <w:sz w:val="28"/>
          <w:szCs w:val="28"/>
          <w:highlight w:val="none"/>
        </w:rPr>
        <w:t>、售后服务</w:t>
      </w:r>
      <w:r>
        <w:rPr>
          <w:rFonts w:hint="eastAsia" w:ascii="宋体" w:hAnsi="宋体" w:cs="宋体"/>
          <w:color w:val="auto"/>
          <w:kern w:val="1"/>
          <w:sz w:val="28"/>
          <w:szCs w:val="28"/>
          <w:highlight w:val="none"/>
          <w:lang w:val="en-US" w:eastAsia="zh-CN"/>
        </w:rPr>
        <w:t>承诺</w:t>
      </w:r>
    </w:p>
    <w:p w14:paraId="0145779F">
      <w:pPr>
        <w:widowControl/>
        <w:autoSpaceDE w:val="0"/>
        <w:autoSpaceDN w:val="0"/>
        <w:adjustRightInd w:val="0"/>
        <w:spacing w:before="120" w:after="120" w:line="440" w:lineRule="exact"/>
        <w:ind w:right="-481"/>
        <w:rPr>
          <w:rFonts w:hint="eastAsia" w:ascii="宋体" w:hAnsi="宋体" w:eastAsia="宋体" w:cs="宋体"/>
          <w:color w:val="auto"/>
          <w:sz w:val="24"/>
          <w:szCs w:val="24"/>
          <w:highlight w:val="none"/>
        </w:rPr>
      </w:pPr>
    </w:p>
    <w:p w14:paraId="56E1FAE6">
      <w:pPr>
        <w:widowControl/>
        <w:autoSpaceDE w:val="0"/>
        <w:autoSpaceDN w:val="0"/>
        <w:adjustRightInd w:val="0"/>
        <w:spacing w:before="120" w:after="120" w:line="440" w:lineRule="exact"/>
        <w:ind w:right="-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格式及内容</w:t>
      </w:r>
      <w:r>
        <w:rPr>
          <w:rFonts w:hint="eastAsia" w:ascii="宋体" w:hAnsi="宋体" w:eastAsia="宋体" w:cs="宋体"/>
          <w:color w:val="auto"/>
          <w:sz w:val="24"/>
          <w:szCs w:val="24"/>
          <w:highlight w:val="none"/>
        </w:rPr>
        <w:t>投标人自拟）</w:t>
      </w:r>
    </w:p>
    <w:p w14:paraId="35D0369C">
      <w:pPr>
        <w:widowControl/>
        <w:autoSpaceDE w:val="0"/>
        <w:autoSpaceDN w:val="0"/>
        <w:adjustRightInd w:val="0"/>
        <w:spacing w:before="120" w:after="120" w:line="440" w:lineRule="exact"/>
        <w:ind w:right="-481"/>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611E78A4">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rPr>
      </w:pPr>
      <w:r>
        <w:rPr>
          <w:rFonts w:hint="eastAsia" w:ascii="宋体" w:hAnsi="宋体" w:cs="宋体"/>
          <w:color w:val="auto"/>
          <w:kern w:val="1"/>
          <w:sz w:val="28"/>
          <w:szCs w:val="28"/>
          <w:highlight w:val="none"/>
          <w:lang w:val="en-US" w:eastAsia="zh-CN"/>
        </w:rPr>
        <w:t>三</w:t>
      </w:r>
      <w:r>
        <w:rPr>
          <w:rFonts w:hint="eastAsia" w:ascii="宋体" w:hAnsi="宋体" w:eastAsia="宋体" w:cs="宋体"/>
          <w:color w:val="auto"/>
          <w:kern w:val="1"/>
          <w:sz w:val="28"/>
          <w:szCs w:val="28"/>
          <w:highlight w:val="none"/>
        </w:rPr>
        <w:t>、</w:t>
      </w:r>
      <w:r>
        <w:rPr>
          <w:rFonts w:hint="eastAsia" w:ascii="宋体" w:hAnsi="宋体" w:eastAsia="宋体" w:cs="宋体"/>
          <w:color w:val="auto"/>
          <w:sz w:val="28"/>
          <w:szCs w:val="28"/>
          <w:highlight w:val="none"/>
        </w:rPr>
        <w:t>培训计划</w:t>
      </w:r>
    </w:p>
    <w:p w14:paraId="19418912">
      <w:pPr>
        <w:widowControl/>
        <w:autoSpaceDE w:val="0"/>
        <w:autoSpaceDN w:val="0"/>
        <w:adjustRightInd w:val="0"/>
        <w:spacing w:before="120" w:after="120" w:line="440" w:lineRule="exact"/>
        <w:ind w:right="-481"/>
        <w:rPr>
          <w:rFonts w:hint="eastAsia" w:ascii="宋体" w:hAnsi="宋体" w:eastAsia="宋体" w:cs="宋体"/>
          <w:color w:val="auto"/>
          <w:kern w:val="1"/>
          <w:sz w:val="24"/>
          <w:szCs w:val="24"/>
          <w:highlight w:val="none"/>
        </w:rPr>
      </w:pPr>
    </w:p>
    <w:p w14:paraId="1D56ED44">
      <w:pPr>
        <w:widowControl/>
        <w:autoSpaceDE w:val="0"/>
        <w:autoSpaceDN w:val="0"/>
        <w:adjustRightInd w:val="0"/>
        <w:spacing w:before="120" w:after="120" w:line="440" w:lineRule="exact"/>
        <w:ind w:right="-481"/>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格式</w:t>
      </w:r>
      <w:r>
        <w:rPr>
          <w:rFonts w:hint="eastAsia" w:ascii="宋体" w:hAnsi="宋体" w:cs="宋体"/>
          <w:color w:val="auto"/>
          <w:sz w:val="24"/>
          <w:szCs w:val="24"/>
          <w:highlight w:val="none"/>
          <w:lang w:val="en-US" w:eastAsia="zh-CN"/>
        </w:rPr>
        <w:t>及内容投标人</w:t>
      </w:r>
      <w:r>
        <w:rPr>
          <w:rFonts w:hint="eastAsia" w:ascii="宋体" w:hAnsi="宋体" w:eastAsia="宋体" w:cs="宋体"/>
          <w:color w:val="auto"/>
          <w:sz w:val="24"/>
          <w:szCs w:val="24"/>
          <w:highlight w:val="none"/>
        </w:rPr>
        <w:t>自拟</w:t>
      </w:r>
      <w:r>
        <w:rPr>
          <w:rFonts w:hint="eastAsia" w:ascii="宋体" w:hAnsi="宋体" w:eastAsia="宋体" w:cs="宋体"/>
          <w:color w:val="auto"/>
          <w:kern w:val="1"/>
          <w:sz w:val="24"/>
          <w:szCs w:val="24"/>
          <w:highlight w:val="none"/>
        </w:rPr>
        <w:t>）</w:t>
      </w:r>
    </w:p>
    <w:p w14:paraId="3F2F7345">
      <w:pPr>
        <w:widowControl/>
        <w:autoSpaceDE w:val="0"/>
        <w:autoSpaceDN w:val="0"/>
        <w:adjustRightInd w:val="0"/>
        <w:spacing w:before="120" w:after="120" w:line="440" w:lineRule="exact"/>
        <w:ind w:right="-481"/>
        <w:jc w:val="center"/>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8"/>
          <w:szCs w:val="28"/>
          <w:highlight w:val="none"/>
        </w:rPr>
        <w:br w:type="page"/>
      </w:r>
    </w:p>
    <w:p w14:paraId="64D6674C">
      <w:pPr>
        <w:widowControl/>
        <w:autoSpaceDE w:val="0"/>
        <w:autoSpaceDN w:val="0"/>
        <w:adjustRightInd w:val="0"/>
        <w:spacing w:line="440" w:lineRule="exact"/>
        <w:rPr>
          <w:rFonts w:hint="eastAsia" w:ascii="宋体" w:hAnsi="宋体" w:eastAsia="宋体" w:cs="宋体"/>
          <w:color w:val="auto"/>
          <w:kern w:val="1"/>
          <w:highlight w:val="none"/>
        </w:rPr>
      </w:pPr>
    </w:p>
    <w:p w14:paraId="2391284C">
      <w:pPr>
        <w:widowControl/>
        <w:autoSpaceDE w:val="0"/>
        <w:autoSpaceDN w:val="0"/>
        <w:adjustRightInd w:val="0"/>
        <w:spacing w:line="440" w:lineRule="exact"/>
        <w:ind w:right="-482"/>
        <w:jc w:val="center"/>
        <w:rPr>
          <w:rStyle w:val="24"/>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四、投</w:t>
      </w:r>
      <w:r>
        <w:rPr>
          <w:rFonts w:hint="eastAsia" w:ascii="宋体" w:hAnsi="宋体" w:eastAsia="宋体" w:cs="宋体"/>
          <w:color w:val="auto"/>
          <w:sz w:val="28"/>
          <w:szCs w:val="28"/>
          <w:highlight w:val="none"/>
        </w:rPr>
        <w:t>标人</w:t>
      </w:r>
      <w:r>
        <w:rPr>
          <w:rFonts w:hint="eastAsia" w:ascii="宋体" w:hAnsi="宋体" w:eastAsia="宋体" w:cs="宋体"/>
          <w:color w:val="auto"/>
          <w:sz w:val="28"/>
          <w:szCs w:val="28"/>
          <w:highlight w:val="none"/>
          <w:lang w:val="en-US" w:eastAsia="zh-CN"/>
        </w:rPr>
        <w:t>认为有必要提供的其他证明材料</w:t>
      </w:r>
    </w:p>
    <w:p w14:paraId="088FED36">
      <w:pPr>
        <w:widowControl/>
        <w:autoSpaceDE w:val="0"/>
        <w:autoSpaceDN w:val="0"/>
        <w:adjustRightInd w:val="0"/>
        <w:spacing w:line="440" w:lineRule="exact"/>
        <w:jc w:val="center"/>
        <w:rPr>
          <w:rStyle w:val="24"/>
          <w:rFonts w:hint="eastAsia" w:ascii="宋体" w:hAnsi="宋体" w:eastAsia="宋体" w:cs="宋体"/>
          <w:color w:val="auto"/>
          <w:sz w:val="28"/>
          <w:szCs w:val="28"/>
          <w:highlight w:val="none"/>
        </w:rPr>
      </w:pPr>
    </w:p>
    <w:bookmarkEnd w:id="184"/>
    <w:p w14:paraId="3DDEE583">
      <w:pPr>
        <w:widowControl/>
        <w:autoSpaceDE w:val="0"/>
        <w:autoSpaceDN w:val="0"/>
        <w:adjustRightInd w:val="0"/>
        <w:spacing w:before="120" w:after="120" w:line="440" w:lineRule="exact"/>
        <w:ind w:right="-481"/>
        <w:rPr>
          <w:rFonts w:hint="eastAsia" w:ascii="宋体" w:hAnsi="宋体" w:eastAsia="宋体" w:cs="宋体"/>
          <w:color w:val="auto"/>
          <w:kern w:val="1"/>
          <w:sz w:val="28"/>
          <w:szCs w:val="28"/>
          <w:highlight w:val="none"/>
        </w:rPr>
      </w:pPr>
      <w:r>
        <w:rPr>
          <w:rFonts w:hint="eastAsia" w:ascii="宋体" w:hAnsi="宋体" w:eastAsia="宋体" w:cs="宋体"/>
          <w:color w:val="auto"/>
          <w:kern w:val="1"/>
          <w:sz w:val="24"/>
          <w:szCs w:val="24"/>
          <w:highlight w:val="none"/>
        </w:rPr>
        <w:t>（</w:t>
      </w:r>
      <w:r>
        <w:rPr>
          <w:rFonts w:hint="eastAsia" w:ascii="宋体" w:hAnsi="宋体" w:eastAsia="宋体" w:cs="宋体"/>
          <w:color w:val="auto"/>
          <w:sz w:val="24"/>
          <w:szCs w:val="24"/>
          <w:highlight w:val="none"/>
        </w:rPr>
        <w:t>格式</w:t>
      </w:r>
      <w:r>
        <w:rPr>
          <w:rFonts w:hint="eastAsia" w:ascii="宋体" w:hAnsi="宋体" w:cs="宋体"/>
          <w:color w:val="auto"/>
          <w:sz w:val="24"/>
          <w:szCs w:val="24"/>
          <w:highlight w:val="none"/>
          <w:lang w:val="en-US" w:eastAsia="zh-CN"/>
        </w:rPr>
        <w:t>及内容投标人</w:t>
      </w:r>
      <w:r>
        <w:rPr>
          <w:rFonts w:hint="eastAsia" w:ascii="宋体" w:hAnsi="宋体" w:eastAsia="宋体" w:cs="宋体"/>
          <w:color w:val="auto"/>
          <w:sz w:val="24"/>
          <w:szCs w:val="24"/>
          <w:highlight w:val="none"/>
        </w:rPr>
        <w:t>自拟</w:t>
      </w:r>
      <w:r>
        <w:rPr>
          <w:rFonts w:hint="eastAsia" w:ascii="宋体" w:hAnsi="宋体" w:eastAsia="宋体" w:cs="宋体"/>
          <w:color w:val="auto"/>
          <w:kern w:val="1"/>
          <w:sz w:val="24"/>
          <w:szCs w:val="24"/>
          <w:highlight w:val="none"/>
        </w:rPr>
        <w:t>）</w:t>
      </w:r>
    </w:p>
    <w:p w14:paraId="72E2728A">
      <w:pPr>
        <w:rPr>
          <w:color w:val="auto"/>
          <w:highlight w:val="none"/>
        </w:rPr>
      </w:pPr>
    </w:p>
    <w:sectPr>
      <w:footerReference r:id="rId6" w:type="default"/>
      <w:pgSz w:w="11906" w:h="16838"/>
      <w:pgMar w:top="1440" w:right="1440" w:bottom="1440" w:left="1440" w:header="851" w:footer="992"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4C2C">
    <w:pPr>
      <w:pStyle w:val="11"/>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CE8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E9DCE8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4524">
    <w:pPr>
      <w:pStyle w:val="11"/>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57AB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E757AB9">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6214">
    <w:pPr>
      <w:pStyle w:val="6"/>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7E2CC">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87E2CC">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1B90">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91497">
                          <w:pPr>
                            <w:pStyle w:val="11"/>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2691497">
                    <w:pPr>
                      <w:pStyle w:val="1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48C24"/>
    <w:multiLevelType w:val="singleLevel"/>
    <w:tmpl w:val="88948C24"/>
    <w:lvl w:ilvl="0" w:tentative="0">
      <w:start w:val="1"/>
      <w:numFmt w:val="decimal"/>
      <w:suff w:val="space"/>
      <w:lvlText w:val="%1."/>
      <w:lvlJc w:val="left"/>
    </w:lvl>
  </w:abstractNum>
  <w:abstractNum w:abstractNumId="1">
    <w:nsid w:val="A8DFC9D3"/>
    <w:multiLevelType w:val="singleLevel"/>
    <w:tmpl w:val="A8DFC9D3"/>
    <w:lvl w:ilvl="0" w:tentative="0">
      <w:start w:val="10"/>
      <w:numFmt w:val="decimal"/>
      <w:lvlText w:val="%1."/>
      <w:lvlJc w:val="left"/>
      <w:pPr>
        <w:tabs>
          <w:tab w:val="left" w:pos="312"/>
        </w:tabs>
      </w:pPr>
    </w:lvl>
  </w:abstractNum>
  <w:abstractNum w:abstractNumId="2">
    <w:nsid w:val="F167B430"/>
    <w:multiLevelType w:val="singleLevel"/>
    <w:tmpl w:val="F167B430"/>
    <w:lvl w:ilvl="0" w:tentative="0">
      <w:start w:val="1"/>
      <w:numFmt w:val="chineseCounting"/>
      <w:suff w:val="nothing"/>
      <w:lvlText w:val="（%1）"/>
      <w:lvlJc w:val="left"/>
      <w:rPr>
        <w:rFonts w:hint="eastAsia"/>
      </w:rPr>
    </w:lvl>
  </w:abstractNum>
  <w:abstractNum w:abstractNumId="3">
    <w:nsid w:val="F6657D5D"/>
    <w:multiLevelType w:val="singleLevel"/>
    <w:tmpl w:val="F6657D5D"/>
    <w:lvl w:ilvl="0" w:tentative="0">
      <w:start w:val="1"/>
      <w:numFmt w:val="decimal"/>
      <w:suff w:val="nothing"/>
      <w:lvlText w:val="（%1）"/>
      <w:lvlJc w:val="left"/>
    </w:lvl>
  </w:abstractNum>
  <w:abstractNum w:abstractNumId="4">
    <w:nsid w:val="066AAE65"/>
    <w:multiLevelType w:val="singleLevel"/>
    <w:tmpl w:val="066AAE65"/>
    <w:lvl w:ilvl="0" w:tentative="0">
      <w:start w:val="1"/>
      <w:numFmt w:val="chineseCounting"/>
      <w:suff w:val="space"/>
      <w:lvlText w:val="第%1章"/>
      <w:lvlJc w:val="left"/>
      <w:rPr>
        <w:rFonts w:hint="eastAsia"/>
      </w:rPr>
    </w:lvl>
  </w:abstractNum>
  <w:abstractNum w:abstractNumId="5">
    <w:nsid w:val="10F0DB0B"/>
    <w:multiLevelType w:val="multilevel"/>
    <w:tmpl w:val="10F0DB0B"/>
    <w:lvl w:ilvl="0" w:tentative="0">
      <w:start w:val="1"/>
      <w:numFmt w:val="decimal"/>
      <w:lvlText w:val="%1."/>
      <w:lvlJc w:val="left"/>
      <w:pPr>
        <w:ind w:left="108" w:hanging="241"/>
        <w:jc w:val="left"/>
      </w:pPr>
      <w:rPr>
        <w:rFonts w:hint="default" w:ascii="仿宋" w:hAnsi="仿宋" w:eastAsia="仿宋" w:cs="仿宋"/>
        <w:spacing w:val="-96"/>
        <w:w w:val="100"/>
        <w:sz w:val="22"/>
        <w:szCs w:val="22"/>
        <w:lang w:val="zh-CN" w:eastAsia="zh-CN" w:bidi="zh-CN"/>
      </w:rPr>
    </w:lvl>
    <w:lvl w:ilvl="1" w:tentative="0">
      <w:start w:val="0"/>
      <w:numFmt w:val="bullet"/>
      <w:lvlText w:val="•"/>
      <w:lvlJc w:val="left"/>
      <w:pPr>
        <w:ind w:left="703" w:hanging="241"/>
      </w:pPr>
      <w:rPr>
        <w:rFonts w:hint="default"/>
        <w:lang w:val="zh-CN" w:eastAsia="zh-CN" w:bidi="zh-CN"/>
      </w:rPr>
    </w:lvl>
    <w:lvl w:ilvl="2" w:tentative="0">
      <w:start w:val="0"/>
      <w:numFmt w:val="bullet"/>
      <w:lvlText w:val="•"/>
      <w:lvlJc w:val="left"/>
      <w:pPr>
        <w:ind w:left="1307" w:hanging="241"/>
      </w:pPr>
      <w:rPr>
        <w:rFonts w:hint="default"/>
        <w:lang w:val="zh-CN" w:eastAsia="zh-CN" w:bidi="zh-CN"/>
      </w:rPr>
    </w:lvl>
    <w:lvl w:ilvl="3" w:tentative="0">
      <w:start w:val="0"/>
      <w:numFmt w:val="bullet"/>
      <w:lvlText w:val="•"/>
      <w:lvlJc w:val="left"/>
      <w:pPr>
        <w:ind w:left="1910" w:hanging="241"/>
      </w:pPr>
      <w:rPr>
        <w:rFonts w:hint="default"/>
        <w:lang w:val="zh-CN" w:eastAsia="zh-CN" w:bidi="zh-CN"/>
      </w:rPr>
    </w:lvl>
    <w:lvl w:ilvl="4" w:tentative="0">
      <w:start w:val="0"/>
      <w:numFmt w:val="bullet"/>
      <w:lvlText w:val="•"/>
      <w:lvlJc w:val="left"/>
      <w:pPr>
        <w:ind w:left="2514" w:hanging="241"/>
      </w:pPr>
      <w:rPr>
        <w:rFonts w:hint="default"/>
        <w:lang w:val="zh-CN" w:eastAsia="zh-CN" w:bidi="zh-CN"/>
      </w:rPr>
    </w:lvl>
    <w:lvl w:ilvl="5" w:tentative="0">
      <w:start w:val="0"/>
      <w:numFmt w:val="bullet"/>
      <w:lvlText w:val="•"/>
      <w:lvlJc w:val="left"/>
      <w:pPr>
        <w:ind w:left="3117" w:hanging="241"/>
      </w:pPr>
      <w:rPr>
        <w:rFonts w:hint="default"/>
        <w:lang w:val="zh-CN" w:eastAsia="zh-CN" w:bidi="zh-CN"/>
      </w:rPr>
    </w:lvl>
    <w:lvl w:ilvl="6" w:tentative="0">
      <w:start w:val="0"/>
      <w:numFmt w:val="bullet"/>
      <w:lvlText w:val="•"/>
      <w:lvlJc w:val="left"/>
      <w:pPr>
        <w:ind w:left="3721" w:hanging="241"/>
      </w:pPr>
      <w:rPr>
        <w:rFonts w:hint="default"/>
        <w:lang w:val="zh-CN" w:eastAsia="zh-CN" w:bidi="zh-CN"/>
      </w:rPr>
    </w:lvl>
    <w:lvl w:ilvl="7" w:tentative="0">
      <w:start w:val="0"/>
      <w:numFmt w:val="bullet"/>
      <w:lvlText w:val="•"/>
      <w:lvlJc w:val="left"/>
      <w:pPr>
        <w:ind w:left="4324" w:hanging="241"/>
      </w:pPr>
      <w:rPr>
        <w:rFonts w:hint="default"/>
        <w:lang w:val="zh-CN" w:eastAsia="zh-CN" w:bidi="zh-CN"/>
      </w:rPr>
    </w:lvl>
    <w:lvl w:ilvl="8" w:tentative="0">
      <w:start w:val="0"/>
      <w:numFmt w:val="bullet"/>
      <w:lvlText w:val="•"/>
      <w:lvlJc w:val="left"/>
      <w:pPr>
        <w:ind w:left="4928" w:hanging="241"/>
      </w:pPr>
      <w:rPr>
        <w:rFonts w:hint="default"/>
        <w:lang w:val="zh-CN" w:eastAsia="zh-CN" w:bidi="zh-CN"/>
      </w:rPr>
    </w:lvl>
  </w:abstractNum>
  <w:abstractNum w:abstractNumId="6">
    <w:nsid w:val="1224D179"/>
    <w:multiLevelType w:val="singleLevel"/>
    <w:tmpl w:val="1224D179"/>
    <w:lvl w:ilvl="0" w:tentative="0">
      <w:start w:val="3"/>
      <w:numFmt w:val="chineseCounting"/>
      <w:suff w:val="nothing"/>
      <w:lvlText w:val="%1、"/>
      <w:lvlJc w:val="left"/>
      <w:rPr>
        <w:rFonts w:hint="eastAsia"/>
      </w:rPr>
    </w:lvl>
  </w:abstractNum>
  <w:abstractNum w:abstractNumId="7">
    <w:nsid w:val="69794E73"/>
    <w:multiLevelType w:val="singleLevel"/>
    <w:tmpl w:val="69794E73"/>
    <w:lvl w:ilvl="0" w:tentative="0">
      <w:start w:val="1"/>
      <w:numFmt w:val="decimal"/>
      <w:suff w:val="nothing"/>
      <w:lvlText w:val="%1、"/>
      <w:lvlJc w:val="left"/>
    </w:lvl>
  </w:abstractNum>
  <w:num w:numId="1">
    <w:abstractNumId w:val="4"/>
  </w:num>
  <w:num w:numId="2">
    <w:abstractNumId w:val="5"/>
  </w:num>
  <w:num w:numId="3">
    <w:abstractNumId w:val="3"/>
  </w:num>
  <w:num w:numId="4">
    <w:abstractNumId w:val="7"/>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0NmZhYTVhNzEwZGQ0YTA4N2NmMDRmZmQ4YzQzNGIifQ=="/>
    <w:docVar w:name="KSO_WPS_MARK_KEY" w:val="d97d7703-70ef-4d1b-942d-67ad18ff2826"/>
  </w:docVars>
  <w:rsids>
    <w:rsidRoot w:val="00172A27"/>
    <w:rsid w:val="00327CB1"/>
    <w:rsid w:val="005C4D2E"/>
    <w:rsid w:val="00DC2B37"/>
    <w:rsid w:val="00DF3269"/>
    <w:rsid w:val="011D2710"/>
    <w:rsid w:val="01514167"/>
    <w:rsid w:val="01A050EF"/>
    <w:rsid w:val="01F63F4E"/>
    <w:rsid w:val="021362A2"/>
    <w:rsid w:val="02967A05"/>
    <w:rsid w:val="02987B74"/>
    <w:rsid w:val="03104AFC"/>
    <w:rsid w:val="036D1000"/>
    <w:rsid w:val="03C10264"/>
    <w:rsid w:val="03C96997"/>
    <w:rsid w:val="03E31DE7"/>
    <w:rsid w:val="03F359AA"/>
    <w:rsid w:val="040533F3"/>
    <w:rsid w:val="046C096A"/>
    <w:rsid w:val="04947733"/>
    <w:rsid w:val="05013D78"/>
    <w:rsid w:val="05045994"/>
    <w:rsid w:val="052D0A47"/>
    <w:rsid w:val="05692B2A"/>
    <w:rsid w:val="056A59AD"/>
    <w:rsid w:val="05A23F6C"/>
    <w:rsid w:val="05AF3CFC"/>
    <w:rsid w:val="05F61781"/>
    <w:rsid w:val="06222576"/>
    <w:rsid w:val="067A4160"/>
    <w:rsid w:val="06A24F59"/>
    <w:rsid w:val="072916E2"/>
    <w:rsid w:val="07483F8C"/>
    <w:rsid w:val="07CE0721"/>
    <w:rsid w:val="08AA5FFC"/>
    <w:rsid w:val="097441D8"/>
    <w:rsid w:val="09FB49BB"/>
    <w:rsid w:val="0A061619"/>
    <w:rsid w:val="0A2D31B8"/>
    <w:rsid w:val="0A4B23EE"/>
    <w:rsid w:val="0AA57867"/>
    <w:rsid w:val="0B3643CE"/>
    <w:rsid w:val="0BFA3C5B"/>
    <w:rsid w:val="0C426B25"/>
    <w:rsid w:val="0C4A0131"/>
    <w:rsid w:val="0C8573BB"/>
    <w:rsid w:val="0CBD6B55"/>
    <w:rsid w:val="0CC223BD"/>
    <w:rsid w:val="0CCA74C4"/>
    <w:rsid w:val="0D0352B5"/>
    <w:rsid w:val="0D361879"/>
    <w:rsid w:val="0D453E7D"/>
    <w:rsid w:val="0DFF4F4B"/>
    <w:rsid w:val="0E05293B"/>
    <w:rsid w:val="0E3C619F"/>
    <w:rsid w:val="0E7B2823"/>
    <w:rsid w:val="0E930D02"/>
    <w:rsid w:val="0EB74DCB"/>
    <w:rsid w:val="0F0B728D"/>
    <w:rsid w:val="0F0F72F9"/>
    <w:rsid w:val="0F182C30"/>
    <w:rsid w:val="0F21310B"/>
    <w:rsid w:val="0FCB3337"/>
    <w:rsid w:val="10661922"/>
    <w:rsid w:val="10D7247F"/>
    <w:rsid w:val="10F578D5"/>
    <w:rsid w:val="117F52FA"/>
    <w:rsid w:val="11C90E8F"/>
    <w:rsid w:val="11F7151C"/>
    <w:rsid w:val="122B0752"/>
    <w:rsid w:val="12AA03A5"/>
    <w:rsid w:val="12CF75E2"/>
    <w:rsid w:val="132F1E2E"/>
    <w:rsid w:val="13B711E8"/>
    <w:rsid w:val="13C7625B"/>
    <w:rsid w:val="141B23B3"/>
    <w:rsid w:val="14553B17"/>
    <w:rsid w:val="14DA4B86"/>
    <w:rsid w:val="157F52EF"/>
    <w:rsid w:val="15F958D1"/>
    <w:rsid w:val="16027A14"/>
    <w:rsid w:val="166F3242"/>
    <w:rsid w:val="16730284"/>
    <w:rsid w:val="16866209"/>
    <w:rsid w:val="16972098"/>
    <w:rsid w:val="16C04975"/>
    <w:rsid w:val="16EC3902"/>
    <w:rsid w:val="17FA6EAF"/>
    <w:rsid w:val="182431D7"/>
    <w:rsid w:val="18AE0EEC"/>
    <w:rsid w:val="18BB4B1A"/>
    <w:rsid w:val="19856C4C"/>
    <w:rsid w:val="19EC6410"/>
    <w:rsid w:val="1A163D48"/>
    <w:rsid w:val="1A230935"/>
    <w:rsid w:val="1A367F46"/>
    <w:rsid w:val="1A472154"/>
    <w:rsid w:val="1B642891"/>
    <w:rsid w:val="1B8F23F9"/>
    <w:rsid w:val="1BD516D4"/>
    <w:rsid w:val="1C275D99"/>
    <w:rsid w:val="1CB87BE3"/>
    <w:rsid w:val="1CD42C01"/>
    <w:rsid w:val="1D4A4B35"/>
    <w:rsid w:val="1DAB70EE"/>
    <w:rsid w:val="1DBC1951"/>
    <w:rsid w:val="1DC420A5"/>
    <w:rsid w:val="1DF95699"/>
    <w:rsid w:val="1EF402CB"/>
    <w:rsid w:val="1F69532E"/>
    <w:rsid w:val="1F7E2174"/>
    <w:rsid w:val="1FE13B28"/>
    <w:rsid w:val="20823EE5"/>
    <w:rsid w:val="20A200E4"/>
    <w:rsid w:val="20C458EF"/>
    <w:rsid w:val="2122631F"/>
    <w:rsid w:val="216830DB"/>
    <w:rsid w:val="218016D3"/>
    <w:rsid w:val="219666A8"/>
    <w:rsid w:val="21E81D77"/>
    <w:rsid w:val="225D0766"/>
    <w:rsid w:val="22833C1A"/>
    <w:rsid w:val="22A0498C"/>
    <w:rsid w:val="233C3B0D"/>
    <w:rsid w:val="235025A7"/>
    <w:rsid w:val="238B1303"/>
    <w:rsid w:val="23DA7B95"/>
    <w:rsid w:val="24027986"/>
    <w:rsid w:val="241C1F5B"/>
    <w:rsid w:val="24245C24"/>
    <w:rsid w:val="244020ED"/>
    <w:rsid w:val="247A1DBE"/>
    <w:rsid w:val="25262461"/>
    <w:rsid w:val="25284930"/>
    <w:rsid w:val="25A52E2F"/>
    <w:rsid w:val="25AA1ED9"/>
    <w:rsid w:val="25ED5C53"/>
    <w:rsid w:val="25EE5B79"/>
    <w:rsid w:val="2607591B"/>
    <w:rsid w:val="26393298"/>
    <w:rsid w:val="26431A21"/>
    <w:rsid w:val="26632AEE"/>
    <w:rsid w:val="26A010EB"/>
    <w:rsid w:val="26D949F2"/>
    <w:rsid w:val="271D423A"/>
    <w:rsid w:val="27582398"/>
    <w:rsid w:val="27C45C71"/>
    <w:rsid w:val="27E92A9C"/>
    <w:rsid w:val="283047C2"/>
    <w:rsid w:val="284161B2"/>
    <w:rsid w:val="2852419D"/>
    <w:rsid w:val="28836A4D"/>
    <w:rsid w:val="28A77E19"/>
    <w:rsid w:val="29724270"/>
    <w:rsid w:val="298C6C06"/>
    <w:rsid w:val="29A535AC"/>
    <w:rsid w:val="29BE4B50"/>
    <w:rsid w:val="2A202079"/>
    <w:rsid w:val="2A391522"/>
    <w:rsid w:val="2A614B6C"/>
    <w:rsid w:val="2AD22A18"/>
    <w:rsid w:val="2B1123A4"/>
    <w:rsid w:val="2B2D4A4E"/>
    <w:rsid w:val="2B414DD8"/>
    <w:rsid w:val="2B523154"/>
    <w:rsid w:val="2B74700E"/>
    <w:rsid w:val="2B7663F5"/>
    <w:rsid w:val="2B9176D3"/>
    <w:rsid w:val="2BA271EA"/>
    <w:rsid w:val="2BC944D4"/>
    <w:rsid w:val="2C1F5F06"/>
    <w:rsid w:val="2C217445"/>
    <w:rsid w:val="2CD21D51"/>
    <w:rsid w:val="2CDB33F0"/>
    <w:rsid w:val="2D216834"/>
    <w:rsid w:val="2D2D2ACF"/>
    <w:rsid w:val="2D486FD4"/>
    <w:rsid w:val="2D8017AD"/>
    <w:rsid w:val="2E2959A0"/>
    <w:rsid w:val="2E56250D"/>
    <w:rsid w:val="2EB163B6"/>
    <w:rsid w:val="2EC12425"/>
    <w:rsid w:val="2ECC4E73"/>
    <w:rsid w:val="2EEF4086"/>
    <w:rsid w:val="2EFE0BDB"/>
    <w:rsid w:val="2F566C69"/>
    <w:rsid w:val="2F7B5388"/>
    <w:rsid w:val="2F9974C1"/>
    <w:rsid w:val="2FA268B6"/>
    <w:rsid w:val="2FB614B6"/>
    <w:rsid w:val="2FD162F0"/>
    <w:rsid w:val="2FE53B49"/>
    <w:rsid w:val="30033681"/>
    <w:rsid w:val="304C5976"/>
    <w:rsid w:val="30FC739C"/>
    <w:rsid w:val="314B0324"/>
    <w:rsid w:val="3153318E"/>
    <w:rsid w:val="315F792B"/>
    <w:rsid w:val="31692558"/>
    <w:rsid w:val="32264E70"/>
    <w:rsid w:val="322E4853"/>
    <w:rsid w:val="32663DBD"/>
    <w:rsid w:val="32B207B9"/>
    <w:rsid w:val="32C80DD7"/>
    <w:rsid w:val="33025375"/>
    <w:rsid w:val="335A65FC"/>
    <w:rsid w:val="336A2CE3"/>
    <w:rsid w:val="343E0D32"/>
    <w:rsid w:val="344C23E9"/>
    <w:rsid w:val="344E6918"/>
    <w:rsid w:val="34CA77B1"/>
    <w:rsid w:val="35181063"/>
    <w:rsid w:val="35F44C18"/>
    <w:rsid w:val="360A2973"/>
    <w:rsid w:val="366F318F"/>
    <w:rsid w:val="367E6177"/>
    <w:rsid w:val="36BF2DA8"/>
    <w:rsid w:val="386B4E07"/>
    <w:rsid w:val="388F4F9A"/>
    <w:rsid w:val="38ED3A6E"/>
    <w:rsid w:val="38ED7091"/>
    <w:rsid w:val="38F22AD8"/>
    <w:rsid w:val="398268AC"/>
    <w:rsid w:val="3A176FF5"/>
    <w:rsid w:val="3A5C0EAC"/>
    <w:rsid w:val="3AB64FB9"/>
    <w:rsid w:val="3AF13BD5"/>
    <w:rsid w:val="3AF70BD4"/>
    <w:rsid w:val="3B070942"/>
    <w:rsid w:val="3B5E600E"/>
    <w:rsid w:val="3B76760F"/>
    <w:rsid w:val="3B91470C"/>
    <w:rsid w:val="3BCC49BB"/>
    <w:rsid w:val="3C593FF1"/>
    <w:rsid w:val="3D033860"/>
    <w:rsid w:val="3D052859"/>
    <w:rsid w:val="3D09356D"/>
    <w:rsid w:val="3DA037A5"/>
    <w:rsid w:val="3DB37C8C"/>
    <w:rsid w:val="3DBC63C8"/>
    <w:rsid w:val="3DBF3C2B"/>
    <w:rsid w:val="3E06781D"/>
    <w:rsid w:val="3E2415A4"/>
    <w:rsid w:val="3E3D4D65"/>
    <w:rsid w:val="3EAA1996"/>
    <w:rsid w:val="3F6C7DE3"/>
    <w:rsid w:val="3F7E55F7"/>
    <w:rsid w:val="3FC714BD"/>
    <w:rsid w:val="3FF027C2"/>
    <w:rsid w:val="40844CB8"/>
    <w:rsid w:val="40867316"/>
    <w:rsid w:val="40A03950"/>
    <w:rsid w:val="41815CE5"/>
    <w:rsid w:val="41B811FB"/>
    <w:rsid w:val="426A6552"/>
    <w:rsid w:val="42914BDB"/>
    <w:rsid w:val="42A53C7E"/>
    <w:rsid w:val="42CB6105"/>
    <w:rsid w:val="42CE4911"/>
    <w:rsid w:val="42ED6BF8"/>
    <w:rsid w:val="438576C5"/>
    <w:rsid w:val="43942C85"/>
    <w:rsid w:val="43DA1404"/>
    <w:rsid w:val="43E14954"/>
    <w:rsid w:val="43E21A8F"/>
    <w:rsid w:val="43FA3C0F"/>
    <w:rsid w:val="446631CB"/>
    <w:rsid w:val="448434D9"/>
    <w:rsid w:val="458B5722"/>
    <w:rsid w:val="466A6C06"/>
    <w:rsid w:val="46A27178"/>
    <w:rsid w:val="46BD44B2"/>
    <w:rsid w:val="46F72688"/>
    <w:rsid w:val="471A6376"/>
    <w:rsid w:val="47213A74"/>
    <w:rsid w:val="474B0BEF"/>
    <w:rsid w:val="48030BB8"/>
    <w:rsid w:val="48BB0146"/>
    <w:rsid w:val="48E43FA6"/>
    <w:rsid w:val="491921AD"/>
    <w:rsid w:val="49646ED5"/>
    <w:rsid w:val="49FC38B2"/>
    <w:rsid w:val="4A0D6E90"/>
    <w:rsid w:val="4A515565"/>
    <w:rsid w:val="4A527BD5"/>
    <w:rsid w:val="4A9A4826"/>
    <w:rsid w:val="4AC9433B"/>
    <w:rsid w:val="4AEE3DA2"/>
    <w:rsid w:val="4B014931"/>
    <w:rsid w:val="4B1F21AD"/>
    <w:rsid w:val="4B7E07A8"/>
    <w:rsid w:val="4C03387D"/>
    <w:rsid w:val="4C0373D9"/>
    <w:rsid w:val="4C9951AF"/>
    <w:rsid w:val="4CCB6F4E"/>
    <w:rsid w:val="4CD35BF3"/>
    <w:rsid w:val="4DD57C4D"/>
    <w:rsid w:val="4DD7273C"/>
    <w:rsid w:val="4E0421B0"/>
    <w:rsid w:val="4E233CBF"/>
    <w:rsid w:val="4E5856AA"/>
    <w:rsid w:val="4E7D5888"/>
    <w:rsid w:val="4EDA3103"/>
    <w:rsid w:val="4EE80B08"/>
    <w:rsid w:val="4F022943"/>
    <w:rsid w:val="4FBE0907"/>
    <w:rsid w:val="4FDC1719"/>
    <w:rsid w:val="50395ABF"/>
    <w:rsid w:val="50766903"/>
    <w:rsid w:val="50B578CC"/>
    <w:rsid w:val="50C866AA"/>
    <w:rsid w:val="51381F48"/>
    <w:rsid w:val="5154578A"/>
    <w:rsid w:val="51566F29"/>
    <w:rsid w:val="517938A2"/>
    <w:rsid w:val="51854803"/>
    <w:rsid w:val="518A40F8"/>
    <w:rsid w:val="521D1BB2"/>
    <w:rsid w:val="5281374D"/>
    <w:rsid w:val="52D7336D"/>
    <w:rsid w:val="53187698"/>
    <w:rsid w:val="531F50D5"/>
    <w:rsid w:val="53436CB1"/>
    <w:rsid w:val="53952A93"/>
    <w:rsid w:val="543547EF"/>
    <w:rsid w:val="54C3004D"/>
    <w:rsid w:val="54F77CF7"/>
    <w:rsid w:val="554A66D1"/>
    <w:rsid w:val="55527E63"/>
    <w:rsid w:val="555C1044"/>
    <w:rsid w:val="556C114B"/>
    <w:rsid w:val="55A81719"/>
    <w:rsid w:val="55AE6DC0"/>
    <w:rsid w:val="55B055AD"/>
    <w:rsid w:val="55CE2806"/>
    <w:rsid w:val="566E0A07"/>
    <w:rsid w:val="57753A2B"/>
    <w:rsid w:val="579D6934"/>
    <w:rsid w:val="579E08FE"/>
    <w:rsid w:val="57C42DA3"/>
    <w:rsid w:val="57DB56AE"/>
    <w:rsid w:val="58781513"/>
    <w:rsid w:val="58EC00A8"/>
    <w:rsid w:val="59491BA9"/>
    <w:rsid w:val="59966531"/>
    <w:rsid w:val="59B8500D"/>
    <w:rsid w:val="5A026F22"/>
    <w:rsid w:val="5A731374"/>
    <w:rsid w:val="5B101B12"/>
    <w:rsid w:val="5B5715DD"/>
    <w:rsid w:val="5B663282"/>
    <w:rsid w:val="5BD668B8"/>
    <w:rsid w:val="5BE51D65"/>
    <w:rsid w:val="5C050F4B"/>
    <w:rsid w:val="5C1418CB"/>
    <w:rsid w:val="5CAE513F"/>
    <w:rsid w:val="5D174927"/>
    <w:rsid w:val="5D1F428F"/>
    <w:rsid w:val="5D494E68"/>
    <w:rsid w:val="5E06203F"/>
    <w:rsid w:val="5E0D6978"/>
    <w:rsid w:val="5E251431"/>
    <w:rsid w:val="5E7B3747"/>
    <w:rsid w:val="5EBB730F"/>
    <w:rsid w:val="5EFB1854"/>
    <w:rsid w:val="5F16521D"/>
    <w:rsid w:val="5F4E49B7"/>
    <w:rsid w:val="5F7C7103"/>
    <w:rsid w:val="5F8A5914"/>
    <w:rsid w:val="5F8B0E4E"/>
    <w:rsid w:val="5FD42E21"/>
    <w:rsid w:val="5FDE21DF"/>
    <w:rsid w:val="6005776C"/>
    <w:rsid w:val="60233244"/>
    <w:rsid w:val="60765F74"/>
    <w:rsid w:val="607F233F"/>
    <w:rsid w:val="60C3761D"/>
    <w:rsid w:val="60D30A29"/>
    <w:rsid w:val="61136F37"/>
    <w:rsid w:val="61483DB4"/>
    <w:rsid w:val="614E735B"/>
    <w:rsid w:val="61AF71AB"/>
    <w:rsid w:val="61C40F61"/>
    <w:rsid w:val="61D92C5E"/>
    <w:rsid w:val="620121B5"/>
    <w:rsid w:val="62080D87"/>
    <w:rsid w:val="62966D01"/>
    <w:rsid w:val="62BD39A0"/>
    <w:rsid w:val="63193333"/>
    <w:rsid w:val="63194313"/>
    <w:rsid w:val="635F3637"/>
    <w:rsid w:val="63AB062A"/>
    <w:rsid w:val="63F54691"/>
    <w:rsid w:val="6403447F"/>
    <w:rsid w:val="649D47BF"/>
    <w:rsid w:val="64EB75BC"/>
    <w:rsid w:val="65921AA2"/>
    <w:rsid w:val="65A92947"/>
    <w:rsid w:val="66F26570"/>
    <w:rsid w:val="671D183F"/>
    <w:rsid w:val="671D35ED"/>
    <w:rsid w:val="67377C6F"/>
    <w:rsid w:val="675D691F"/>
    <w:rsid w:val="67692327"/>
    <w:rsid w:val="67C25F42"/>
    <w:rsid w:val="683429E1"/>
    <w:rsid w:val="68B871DB"/>
    <w:rsid w:val="69452B57"/>
    <w:rsid w:val="69CE0BCF"/>
    <w:rsid w:val="69D266E2"/>
    <w:rsid w:val="6A22429B"/>
    <w:rsid w:val="6A486BD3"/>
    <w:rsid w:val="6A972321"/>
    <w:rsid w:val="6B390558"/>
    <w:rsid w:val="6BAB0428"/>
    <w:rsid w:val="6BCB2BFD"/>
    <w:rsid w:val="6BDD239F"/>
    <w:rsid w:val="6C0076EC"/>
    <w:rsid w:val="6CF93441"/>
    <w:rsid w:val="6D804DF8"/>
    <w:rsid w:val="6DA41799"/>
    <w:rsid w:val="6DAA3854"/>
    <w:rsid w:val="6DCA3DA3"/>
    <w:rsid w:val="6DD32C57"/>
    <w:rsid w:val="6DDB1B0C"/>
    <w:rsid w:val="6E634029"/>
    <w:rsid w:val="6E931777"/>
    <w:rsid w:val="6E9D3265"/>
    <w:rsid w:val="6EC12BEB"/>
    <w:rsid w:val="6EDC04F7"/>
    <w:rsid w:val="6EE24BC0"/>
    <w:rsid w:val="6EE52D15"/>
    <w:rsid w:val="6F345978"/>
    <w:rsid w:val="6F490CF7"/>
    <w:rsid w:val="6F4D6A39"/>
    <w:rsid w:val="6F8A509E"/>
    <w:rsid w:val="6FB50DC7"/>
    <w:rsid w:val="701E354B"/>
    <w:rsid w:val="706C7393"/>
    <w:rsid w:val="70AB7EBB"/>
    <w:rsid w:val="70FC2E62"/>
    <w:rsid w:val="715A5403"/>
    <w:rsid w:val="717263F6"/>
    <w:rsid w:val="71A861A9"/>
    <w:rsid w:val="71D739AD"/>
    <w:rsid w:val="71EA6226"/>
    <w:rsid w:val="722D66AE"/>
    <w:rsid w:val="72870751"/>
    <w:rsid w:val="72F94F1A"/>
    <w:rsid w:val="73143E91"/>
    <w:rsid w:val="73261A7B"/>
    <w:rsid w:val="73F456D6"/>
    <w:rsid w:val="740C7251"/>
    <w:rsid w:val="746728CF"/>
    <w:rsid w:val="748E72BB"/>
    <w:rsid w:val="751E1170"/>
    <w:rsid w:val="759656D7"/>
    <w:rsid w:val="75FE283B"/>
    <w:rsid w:val="77876243"/>
    <w:rsid w:val="77D870BC"/>
    <w:rsid w:val="77DB72D8"/>
    <w:rsid w:val="784B5AE0"/>
    <w:rsid w:val="7858084F"/>
    <w:rsid w:val="78C14BC1"/>
    <w:rsid w:val="78D10B24"/>
    <w:rsid w:val="78D75B8B"/>
    <w:rsid w:val="790C0652"/>
    <w:rsid w:val="79621F41"/>
    <w:rsid w:val="79FB1AEC"/>
    <w:rsid w:val="7A3121D3"/>
    <w:rsid w:val="7A5C3B37"/>
    <w:rsid w:val="7A821C41"/>
    <w:rsid w:val="7AB61937"/>
    <w:rsid w:val="7ADD378E"/>
    <w:rsid w:val="7AE5476B"/>
    <w:rsid w:val="7B073FEC"/>
    <w:rsid w:val="7B144B9A"/>
    <w:rsid w:val="7BA31974"/>
    <w:rsid w:val="7BB455CD"/>
    <w:rsid w:val="7BDA1F5E"/>
    <w:rsid w:val="7BF22E42"/>
    <w:rsid w:val="7C154C88"/>
    <w:rsid w:val="7C2D4CE7"/>
    <w:rsid w:val="7C49130F"/>
    <w:rsid w:val="7CD12A58"/>
    <w:rsid w:val="7CE00EED"/>
    <w:rsid w:val="7CFD7DE5"/>
    <w:rsid w:val="7D825213"/>
    <w:rsid w:val="7D981286"/>
    <w:rsid w:val="7DAC4FD0"/>
    <w:rsid w:val="7DED61BF"/>
    <w:rsid w:val="7E152E18"/>
    <w:rsid w:val="7E5E320B"/>
    <w:rsid w:val="7E8E6727"/>
    <w:rsid w:val="7EF63676"/>
    <w:rsid w:val="7EF90044"/>
    <w:rsid w:val="7F51362F"/>
    <w:rsid w:val="7F8569F2"/>
    <w:rsid w:val="7FC20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autoRedefine/>
    <w:qFormat/>
    <w:uiPriority w:val="1"/>
    <w:pPr>
      <w:keepNext/>
      <w:keepLines/>
      <w:spacing w:before="260" w:after="260" w:line="416" w:lineRule="auto"/>
      <w:outlineLvl w:val="2"/>
    </w:pPr>
    <w:rPr>
      <w:b/>
      <w:bCs/>
      <w:sz w:val="32"/>
      <w:szCs w:val="3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unhideWhenUsed/>
    <w:qFormat/>
    <w:uiPriority w:val="99"/>
    <w:pPr>
      <w:ind w:firstLine="420" w:firstLineChars="200"/>
    </w:pPr>
    <w:rPr>
      <w:rFonts w:ascii="Times New Roman" w:hAnsi="Times New Roman" w:cs="Times New Roman"/>
      <w:sz w:val="21"/>
      <w:szCs w:val="21"/>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6">
    <w:name w:val="Body Text"/>
    <w:basedOn w:val="1"/>
    <w:autoRedefine/>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7">
    <w:name w:val="Body Text Indent"/>
    <w:basedOn w:val="1"/>
    <w:next w:val="8"/>
    <w:autoRedefine/>
    <w:qFormat/>
    <w:uiPriority w:val="0"/>
    <w:pPr>
      <w:spacing w:line="440" w:lineRule="exact"/>
      <w:ind w:firstLine="480" w:firstLineChars="200"/>
    </w:pPr>
    <w:rPr>
      <w:sz w:val="24"/>
    </w:rPr>
  </w:style>
  <w:style w:type="paragraph" w:styleId="8">
    <w:name w:val="Normal (Web)"/>
    <w:basedOn w:val="1"/>
    <w:next w:val="1"/>
    <w:autoRedefine/>
    <w:qFormat/>
    <w:uiPriority w:val="0"/>
    <w:pPr>
      <w:spacing w:before="100" w:beforeAutospacing="1" w:after="100" w:afterAutospacing="1"/>
      <w:jc w:val="left"/>
    </w:pPr>
    <w:rPr>
      <w:kern w:val="0"/>
      <w:sz w:val="24"/>
    </w:rPr>
  </w:style>
  <w:style w:type="paragraph" w:styleId="9">
    <w:name w:val="Plain Text"/>
    <w:basedOn w:val="1"/>
    <w:autoRedefine/>
    <w:qFormat/>
    <w:uiPriority w:val="0"/>
    <w:rPr>
      <w:rFonts w:ascii="宋体" w:hAnsi="Courier New" w:cs="宋体"/>
      <w:szCs w:val="21"/>
    </w:rPr>
  </w:style>
  <w:style w:type="paragraph" w:styleId="10">
    <w:name w:val="Body Text Indent 2"/>
    <w:basedOn w:val="1"/>
    <w:autoRedefine/>
    <w:qFormat/>
    <w:uiPriority w:val="0"/>
    <w:pPr>
      <w:spacing w:after="120" w:line="480" w:lineRule="auto"/>
      <w:ind w:left="420" w:leftChars="200"/>
    </w:p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style>
  <w:style w:type="paragraph" w:styleId="14">
    <w:name w:val="footnote text"/>
    <w:basedOn w:val="1"/>
    <w:autoRedefine/>
    <w:qFormat/>
    <w:uiPriority w:val="99"/>
    <w:pPr>
      <w:adjustRightInd w:val="0"/>
      <w:snapToGrid w:val="0"/>
      <w:spacing w:line="360" w:lineRule="atLeast"/>
      <w:jc w:val="left"/>
      <w:textAlignment w:val="baseline"/>
    </w:pPr>
    <w:rPr>
      <w:kern w:val="0"/>
      <w:sz w:val="18"/>
      <w:szCs w:val="18"/>
    </w:rPr>
  </w:style>
  <w:style w:type="paragraph" w:styleId="15">
    <w:name w:val="toc 2"/>
    <w:basedOn w:val="1"/>
    <w:next w:val="1"/>
    <w:autoRedefine/>
    <w:qFormat/>
    <w:uiPriority w:val="0"/>
    <w:pPr>
      <w:ind w:left="420" w:leftChars="200"/>
    </w:p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17">
    <w:name w:val="Body Text First Indent 2"/>
    <w:basedOn w:val="7"/>
    <w:next w:val="1"/>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正文格式"/>
    <w:basedOn w:val="1"/>
    <w:autoRedefine/>
    <w:unhideWhenUsed/>
    <w:qFormat/>
    <w:uiPriority w:val="99"/>
    <w:pPr>
      <w:widowControl/>
      <w:adjustRightInd w:val="0"/>
      <w:snapToGrid w:val="0"/>
      <w:spacing w:beforeLines="0" w:afterLines="0" w:line="400" w:lineRule="atLeast"/>
      <w:ind w:firstLine="482"/>
      <w:textAlignment w:val="baseline"/>
    </w:pPr>
    <w:rPr>
      <w:rFonts w:hint="default" w:ascii="Times New Roman" w:hAnsi="Times New Roman"/>
      <w:kern w:val="0"/>
      <w:sz w:val="24"/>
      <w:szCs w:val="24"/>
    </w:rPr>
  </w:style>
  <w:style w:type="paragraph" w:styleId="22">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23">
    <w:name w:val="Table Paragraph"/>
    <w:basedOn w:val="1"/>
    <w:autoRedefine/>
    <w:qFormat/>
    <w:uiPriority w:val="1"/>
    <w:pPr>
      <w:jc w:val="left"/>
    </w:pPr>
    <w:rPr>
      <w:rFonts w:ascii="宋体" w:hAnsi="宋体" w:cs="宋体"/>
      <w:sz w:val="22"/>
      <w:szCs w:val="22"/>
      <w:lang w:eastAsia="en-US"/>
    </w:rPr>
  </w:style>
  <w:style w:type="character" w:customStyle="1" w:styleId="24">
    <w:name w:val="样式 仿宋"/>
    <w:autoRedefine/>
    <w:qFormat/>
    <w:uiPriority w:val="0"/>
    <w:rPr>
      <w:rFonts w:ascii="仿宋" w:hAnsi="仿宋" w:eastAsia="仿宋"/>
      <w:kern w:val="1"/>
    </w:rPr>
  </w:style>
  <w:style w:type="paragraph" w:customStyle="1" w:styleId="25">
    <w:name w:val="列表段落1"/>
    <w:basedOn w:val="1"/>
    <w:autoRedefine/>
    <w:qFormat/>
    <w:uiPriority w:val="34"/>
    <w:pPr>
      <w:ind w:firstLine="420" w:firstLineChars="200"/>
    </w:pPr>
  </w:style>
  <w:style w:type="paragraph" w:customStyle="1" w:styleId="26">
    <w:name w:val="Default"/>
    <w:autoRedefine/>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27">
    <w:name w:val="图例"/>
    <w:basedOn w:val="1"/>
    <w:autoRedefine/>
    <w:qFormat/>
    <w:uiPriority w:val="0"/>
    <w:pPr>
      <w:spacing w:before="120" w:after="120" w:line="360" w:lineRule="auto"/>
      <w:jc w:val="center"/>
    </w:pPr>
    <w:rPr>
      <w:rFonts w:eastAsia="仿宋_GB2312"/>
      <w:b/>
      <w:sz w:val="24"/>
    </w:rPr>
  </w:style>
  <w:style w:type="paragraph" w:customStyle="1" w:styleId="28">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29">
    <w:name w:val="Normal_11"/>
    <w:autoRedefine/>
    <w:qFormat/>
    <w:uiPriority w:val="0"/>
    <w:rPr>
      <w:rFonts w:ascii="黑体" w:hAnsi="黑体" w:eastAsia="黑体" w:cs="Times New Roman"/>
      <w:b/>
      <w:sz w:val="32"/>
      <w:szCs w:val="24"/>
      <w:lang w:bidi="ar-SA"/>
    </w:rPr>
  </w:style>
  <w:style w:type="character" w:customStyle="1" w:styleId="30">
    <w:name w:val="font01"/>
    <w:basedOn w:val="20"/>
    <w:autoRedefine/>
    <w:qFormat/>
    <w:uiPriority w:val="0"/>
    <w:rPr>
      <w:rFonts w:hint="eastAsia" w:ascii="宋体" w:hAnsi="宋体" w:eastAsia="宋体" w:cs="宋体"/>
      <w:color w:val="000000"/>
      <w:sz w:val="20"/>
      <w:szCs w:val="20"/>
      <w:u w:val="none"/>
    </w:rPr>
  </w:style>
  <w:style w:type="character" w:customStyle="1" w:styleId="31">
    <w:name w:val="font21"/>
    <w:basedOn w:val="20"/>
    <w:autoRedefine/>
    <w:qFormat/>
    <w:uiPriority w:val="0"/>
    <w:rPr>
      <w:rFonts w:hint="eastAsia" w:ascii="宋体" w:hAnsi="宋体" w:eastAsia="宋体" w:cs="宋体"/>
      <w:color w:val="000000"/>
      <w:sz w:val="20"/>
      <w:szCs w:val="20"/>
      <w:u w:val="none"/>
    </w:rPr>
  </w:style>
  <w:style w:type="character" w:customStyle="1" w:styleId="32">
    <w:name w:val="font91"/>
    <w:basedOn w:val="20"/>
    <w:autoRedefine/>
    <w:qFormat/>
    <w:uiPriority w:val="0"/>
    <w:rPr>
      <w:rFonts w:ascii="MS Gothic" w:hAnsi="MS Gothic" w:eastAsia="MS Gothic" w:cs="MS Gothic"/>
      <w:color w:val="000000"/>
      <w:sz w:val="20"/>
      <w:szCs w:val="20"/>
      <w:u w:val="none"/>
    </w:rPr>
  </w:style>
  <w:style w:type="character" w:customStyle="1" w:styleId="33">
    <w:name w:val="font101"/>
    <w:basedOn w:val="20"/>
    <w:autoRedefine/>
    <w:qFormat/>
    <w:uiPriority w:val="0"/>
    <w:rPr>
      <w:rFonts w:ascii="Arial" w:hAnsi="Arial" w:cs="Arial"/>
      <w:color w:val="000000"/>
      <w:sz w:val="20"/>
      <w:szCs w:val="20"/>
      <w:u w:val="none"/>
    </w:rPr>
  </w:style>
  <w:style w:type="character" w:customStyle="1" w:styleId="34">
    <w:name w:val="font11"/>
    <w:basedOn w:val="20"/>
    <w:autoRedefine/>
    <w:qFormat/>
    <w:uiPriority w:val="0"/>
    <w:rPr>
      <w:rFonts w:hint="eastAsia" w:ascii="宋体" w:hAnsi="宋体" w:eastAsia="宋体" w:cs="宋体"/>
      <w:color w:val="000000"/>
      <w:sz w:val="40"/>
      <w:szCs w:val="40"/>
      <w:u w:val="none"/>
    </w:rPr>
  </w:style>
  <w:style w:type="character" w:customStyle="1" w:styleId="35">
    <w:name w:val="font31"/>
    <w:basedOn w:val="20"/>
    <w:autoRedefine/>
    <w:qFormat/>
    <w:uiPriority w:val="0"/>
    <w:rPr>
      <w:rFonts w:hint="eastAsia" w:ascii="宋体" w:hAnsi="宋体" w:eastAsia="宋体" w:cs="宋体"/>
      <w:color w:val="000000"/>
      <w:sz w:val="20"/>
      <w:szCs w:val="20"/>
      <w:u w:val="none"/>
    </w:rPr>
  </w:style>
  <w:style w:type="character" w:customStyle="1" w:styleId="36">
    <w:name w:val="font41"/>
    <w:basedOn w:val="20"/>
    <w:autoRedefine/>
    <w:qFormat/>
    <w:uiPriority w:val="0"/>
    <w:rPr>
      <w:rFonts w:hint="eastAsia" w:ascii="宋体" w:hAnsi="宋体" w:eastAsia="宋体" w:cs="宋体"/>
      <w:b/>
      <w:bCs/>
      <w:color w:val="000000"/>
      <w:sz w:val="20"/>
      <w:szCs w:val="20"/>
      <w:u w:val="none"/>
    </w:rPr>
  </w:style>
  <w:style w:type="paragraph" w:customStyle="1" w:styleId="37">
    <w:name w:val="WPS Plain"/>
    <w:autoRedefine/>
    <w:unhideWhenUsed/>
    <w:qFormat/>
    <w:uiPriority w:val="0"/>
    <w:pPr>
      <w:spacing w:beforeLines="0" w:afterLines="0"/>
    </w:pPr>
    <w:rPr>
      <w:rFonts w:hint="default" w:ascii="Times New Roman" w:hAnsi="Times New Roman" w:eastAsia="宋体" w:cs="Times New Roman"/>
      <w:sz w:val="24"/>
      <w:szCs w:val="24"/>
      <w:lang w:val="en-US" w:eastAsia="zh-CN" w:bidi="ar-SA"/>
    </w:rPr>
  </w:style>
  <w:style w:type="paragraph" w:customStyle="1" w:styleId="38">
    <w:name w:val="标书正文"/>
    <w:basedOn w:val="1"/>
    <w:autoRedefine/>
    <w:unhideWhenUsed/>
    <w:qFormat/>
    <w:uiPriority w:val="0"/>
    <w:pPr>
      <w:spacing w:beforeLines="0" w:afterLines="0" w:line="360" w:lineRule="auto"/>
      <w:ind w:firstLine="497" w:firstLineChars="207"/>
    </w:pPr>
    <w:rPr>
      <w:rFonts w:hint="default"/>
      <w:sz w:val="24"/>
      <w:szCs w:val="20"/>
    </w:rPr>
  </w:style>
  <w:style w:type="paragraph" w:customStyle="1" w:styleId="39">
    <w:name w:val="样式 样式 样式 左侧:  2 字符1 + 首行缩进:  2 字符1 + 首行缩进:  2 字符"/>
    <w:basedOn w:val="1"/>
    <w:autoRedefine/>
    <w:unhideWhenUsed/>
    <w:qFormat/>
    <w:uiPriority w:val="0"/>
    <w:pPr>
      <w:widowControl/>
      <w:spacing w:before="60" w:beforeLines="0" w:after="120" w:afterLines="0" w:line="440" w:lineRule="atLeast"/>
      <w:ind w:firstLine="480"/>
    </w:pPr>
    <w:rPr>
      <w:rFonts w:hint="eastAsia"/>
      <w:sz w:val="24"/>
      <w:szCs w:val="24"/>
    </w:rPr>
  </w:style>
  <w:style w:type="paragraph" w:customStyle="1" w:styleId="40">
    <w:name w:val="Default Text"/>
    <w:autoRedefine/>
    <w:unhideWhenUsed/>
    <w:qFormat/>
    <w:uiPriority w:val="0"/>
    <w:pPr>
      <w:widowControl w:val="0"/>
      <w:autoSpaceDE w:val="0"/>
      <w:autoSpaceDN w:val="0"/>
      <w:adjustRightInd w:val="0"/>
      <w:spacing w:beforeLines="0" w:afterLines="0"/>
    </w:pPr>
    <w:rPr>
      <w:rFonts w:hint="default" w:ascii="Times New Roman" w:hAnsi="Times New Roman" w:eastAsia="宋体" w:cs="Times New Roman"/>
      <w:color w:val="000000"/>
      <w:sz w:val="24"/>
      <w:szCs w:val="24"/>
      <w:lang w:val="en-US" w:eastAsia="zh-CN" w:bidi="ar-SA"/>
    </w:rPr>
  </w:style>
  <w:style w:type="character" w:customStyle="1" w:styleId="41">
    <w:name w:val="font121"/>
    <w:basedOn w:val="20"/>
    <w:qFormat/>
    <w:uiPriority w:val="0"/>
    <w:rPr>
      <w:rFonts w:hint="eastAsia" w:ascii="宋体" w:hAnsi="宋体" w:eastAsia="宋体" w:cs="宋体"/>
      <w:b/>
      <w:bCs/>
      <w:color w:val="FF0000"/>
      <w:sz w:val="20"/>
      <w:szCs w:val="20"/>
      <w:u w:val="none"/>
    </w:rPr>
  </w:style>
  <w:style w:type="character" w:customStyle="1" w:styleId="42">
    <w:name w:val="font71"/>
    <w:basedOn w:val="20"/>
    <w:qFormat/>
    <w:uiPriority w:val="0"/>
    <w:rPr>
      <w:rFonts w:hint="eastAsia" w:ascii="宋体" w:hAnsi="宋体" w:eastAsia="宋体" w:cs="宋体"/>
      <w:b/>
      <w:bCs/>
      <w:color w:val="000000"/>
      <w:sz w:val="20"/>
      <w:szCs w:val="20"/>
      <w:u w:val="none"/>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18355</Words>
  <Characters>19713</Characters>
  <Lines>0</Lines>
  <Paragraphs>0</Paragraphs>
  <TotalTime>4</TotalTime>
  <ScaleCrop>false</ScaleCrop>
  <LinksUpToDate>false</LinksUpToDate>
  <CharactersWithSpaces>19902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2023-01-17T01:23:00Z</dcterms:created>
  <dc:creator>Administrator</dc:creator>
  <cp:lastModifiedBy>Administrator</cp:lastModifiedBy>
  <cp:lastPrinted>2024-03-12T14:37:00Z</cp:lastPrinted>
  <dcterms:modified xsi:type="dcterms:W3CDTF">2024-11-12T09:00:39Z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07C37554DE0641C3A8094B3D84495ABB_13</vt:lpwstr>
  </property>
</Properties>
</file>