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90322">
      <w:pPr>
        <w:pStyle w:val="4"/>
        <w:pageBreakBefore w:val="0"/>
        <w:kinsoku/>
        <w:topLinePunct w:val="0"/>
        <w:bidi w:val="0"/>
        <w:spacing w:line="265" w:lineRule="auto"/>
        <w:rPr>
          <w:sz w:val="20"/>
          <w:szCs w:val="20"/>
        </w:rPr>
      </w:pPr>
      <w:r>
        <w:rPr>
          <w:rFonts w:hint="eastAsia" w:ascii="宋体" w:hAnsi="宋体" w:eastAsia="宋体" w:cs="宋体"/>
          <w:spacing w:val="9"/>
          <w:sz w:val="44"/>
          <w:szCs w:val="44"/>
          <w:lang w:eastAsia="zh-CN"/>
          <w14:textOutline w14:w="8717" w14:cap="sq" w14:cmpd="sng">
            <w14:solidFill>
              <w14:srgbClr w14:val="000000"/>
            </w14:solidFill>
            <w14:prstDash w14:val="solid"/>
            <w14:bevel/>
          </w14:textOutline>
        </w:rPr>
        <w:t>2024年驻阿某部队营区基础设施建设项目</w:t>
      </w:r>
    </w:p>
    <w:p w14:paraId="61B1AEE7">
      <w:pPr>
        <w:pStyle w:val="4"/>
        <w:pageBreakBefore w:val="0"/>
        <w:kinsoku/>
        <w:topLinePunct w:val="0"/>
        <w:bidi w:val="0"/>
        <w:spacing w:line="265" w:lineRule="auto"/>
      </w:pPr>
    </w:p>
    <w:p w14:paraId="5D9E7672">
      <w:pPr>
        <w:pStyle w:val="4"/>
        <w:pageBreakBefore w:val="0"/>
        <w:kinsoku/>
        <w:topLinePunct w:val="0"/>
        <w:bidi w:val="0"/>
        <w:spacing w:line="265" w:lineRule="auto"/>
      </w:pPr>
    </w:p>
    <w:p w14:paraId="511A19FB">
      <w:pPr>
        <w:pStyle w:val="4"/>
        <w:pageBreakBefore w:val="0"/>
        <w:kinsoku/>
        <w:topLinePunct w:val="0"/>
        <w:bidi w:val="0"/>
        <w:spacing w:line="265" w:lineRule="auto"/>
      </w:pPr>
    </w:p>
    <w:p w14:paraId="6BBB8255">
      <w:pPr>
        <w:pStyle w:val="4"/>
        <w:pageBreakBefore w:val="0"/>
        <w:kinsoku/>
        <w:topLinePunct w:val="0"/>
        <w:bidi w:val="0"/>
        <w:spacing w:line="265" w:lineRule="auto"/>
      </w:pPr>
    </w:p>
    <w:p w14:paraId="3C101398">
      <w:pPr>
        <w:pStyle w:val="4"/>
        <w:pageBreakBefore w:val="0"/>
        <w:kinsoku/>
        <w:topLinePunct w:val="0"/>
        <w:bidi w:val="0"/>
        <w:spacing w:line="265" w:lineRule="auto"/>
      </w:pPr>
    </w:p>
    <w:p w14:paraId="6DF51E8D">
      <w:pPr>
        <w:pStyle w:val="4"/>
        <w:pageBreakBefore w:val="0"/>
        <w:kinsoku/>
        <w:topLinePunct w:val="0"/>
        <w:bidi w:val="0"/>
        <w:spacing w:line="265" w:lineRule="auto"/>
      </w:pPr>
    </w:p>
    <w:p w14:paraId="326322D0">
      <w:pPr>
        <w:pStyle w:val="4"/>
        <w:pageBreakBefore w:val="0"/>
        <w:kinsoku/>
        <w:topLinePunct w:val="0"/>
        <w:bidi w:val="0"/>
        <w:spacing w:line="265" w:lineRule="auto"/>
      </w:pPr>
    </w:p>
    <w:p w14:paraId="7DE3109F">
      <w:pPr>
        <w:pStyle w:val="4"/>
        <w:pageBreakBefore w:val="0"/>
        <w:kinsoku/>
        <w:topLinePunct w:val="0"/>
        <w:bidi w:val="0"/>
        <w:spacing w:line="265" w:lineRule="auto"/>
      </w:pPr>
    </w:p>
    <w:p w14:paraId="75696930">
      <w:pPr>
        <w:pageBreakBefore w:val="0"/>
        <w:kinsoku/>
        <w:topLinePunct w:val="0"/>
        <w:bidi w:val="0"/>
        <w:spacing w:before="179" w:line="222" w:lineRule="auto"/>
        <w:jc w:val="center"/>
        <w:outlineLvl w:val="0"/>
        <w:rPr>
          <w:rFonts w:ascii="宋体" w:hAnsi="宋体" w:eastAsia="宋体" w:cs="宋体"/>
          <w:sz w:val="55"/>
          <w:szCs w:val="55"/>
        </w:rPr>
      </w:pPr>
      <w:r>
        <w:rPr>
          <w:rFonts w:ascii="宋体" w:hAnsi="宋体" w:eastAsia="宋体" w:cs="宋体"/>
          <w:spacing w:val="7"/>
          <w:sz w:val="55"/>
          <w:szCs w:val="55"/>
          <w14:textOutline w14:w="10151" w14:cap="sq" w14:cmpd="sng">
            <w14:solidFill>
              <w14:srgbClr w14:val="000000"/>
            </w14:solidFill>
            <w14:prstDash w14:val="solid"/>
            <w14:bevel/>
          </w14:textOutline>
        </w:rPr>
        <w:t>竞争性磋商文件</w:t>
      </w:r>
    </w:p>
    <w:p w14:paraId="6C3DE7BD">
      <w:pPr>
        <w:pStyle w:val="4"/>
        <w:pageBreakBefore w:val="0"/>
        <w:kinsoku/>
        <w:topLinePunct w:val="0"/>
        <w:bidi w:val="0"/>
        <w:spacing w:line="266" w:lineRule="auto"/>
      </w:pPr>
    </w:p>
    <w:p w14:paraId="65B3D340">
      <w:pPr>
        <w:pStyle w:val="4"/>
        <w:pageBreakBefore w:val="0"/>
        <w:kinsoku/>
        <w:topLinePunct w:val="0"/>
        <w:bidi w:val="0"/>
        <w:spacing w:line="267" w:lineRule="auto"/>
      </w:pPr>
    </w:p>
    <w:p w14:paraId="3F6211D5">
      <w:pPr>
        <w:pStyle w:val="4"/>
        <w:pageBreakBefore w:val="0"/>
        <w:kinsoku/>
        <w:topLinePunct w:val="0"/>
        <w:bidi w:val="0"/>
        <w:spacing w:line="267" w:lineRule="auto"/>
      </w:pPr>
    </w:p>
    <w:p w14:paraId="1BFDA386">
      <w:pPr>
        <w:pStyle w:val="4"/>
        <w:pageBreakBefore w:val="0"/>
        <w:kinsoku/>
        <w:topLinePunct w:val="0"/>
        <w:bidi w:val="0"/>
        <w:spacing w:line="267" w:lineRule="auto"/>
      </w:pPr>
    </w:p>
    <w:p w14:paraId="2CC57593">
      <w:pPr>
        <w:pStyle w:val="4"/>
        <w:pageBreakBefore w:val="0"/>
        <w:kinsoku/>
        <w:topLinePunct w:val="0"/>
        <w:bidi w:val="0"/>
        <w:spacing w:line="267" w:lineRule="auto"/>
      </w:pPr>
    </w:p>
    <w:p w14:paraId="4453615F">
      <w:pPr>
        <w:pageBreakBefore w:val="0"/>
        <w:kinsoku/>
        <w:topLinePunct w:val="0"/>
        <w:bidi w:val="0"/>
        <w:spacing w:line="2592" w:lineRule="exact"/>
        <w:ind w:firstLine="2642"/>
      </w:pPr>
    </w:p>
    <w:p w14:paraId="737BB8D4">
      <w:pPr>
        <w:pStyle w:val="4"/>
        <w:pageBreakBefore w:val="0"/>
        <w:kinsoku/>
        <w:topLinePunct w:val="0"/>
        <w:bidi w:val="0"/>
        <w:spacing w:line="261" w:lineRule="auto"/>
      </w:pPr>
    </w:p>
    <w:p w14:paraId="7A19C9B8">
      <w:pPr>
        <w:pStyle w:val="4"/>
        <w:pageBreakBefore w:val="0"/>
        <w:kinsoku/>
        <w:topLinePunct w:val="0"/>
        <w:bidi w:val="0"/>
        <w:spacing w:line="261" w:lineRule="auto"/>
      </w:pPr>
    </w:p>
    <w:p w14:paraId="1A799511">
      <w:pPr>
        <w:pStyle w:val="4"/>
        <w:pageBreakBefore w:val="0"/>
        <w:kinsoku/>
        <w:topLinePunct w:val="0"/>
        <w:bidi w:val="0"/>
        <w:spacing w:line="261" w:lineRule="auto"/>
      </w:pPr>
    </w:p>
    <w:p w14:paraId="7CBDD5AA">
      <w:pPr>
        <w:pStyle w:val="4"/>
        <w:pageBreakBefore w:val="0"/>
        <w:kinsoku/>
        <w:topLinePunct w:val="0"/>
        <w:bidi w:val="0"/>
        <w:spacing w:line="262" w:lineRule="auto"/>
      </w:pPr>
    </w:p>
    <w:p w14:paraId="72C90D76">
      <w:pPr>
        <w:pageBreakBefore w:val="0"/>
        <w:kinsoku/>
        <w:topLinePunct w:val="0"/>
        <w:bidi w:val="0"/>
        <w:spacing w:before="114" w:line="226" w:lineRule="auto"/>
        <w:rPr>
          <w:rFonts w:hint="default" w:ascii="黑体" w:hAnsi="黑体" w:eastAsia="黑体" w:cs="黑体"/>
          <w:sz w:val="35"/>
          <w:szCs w:val="35"/>
          <w:lang w:val="en-US" w:eastAsia="zh-CN"/>
        </w:rPr>
      </w:pPr>
      <w:r>
        <w:rPr>
          <w:rFonts w:ascii="黑体" w:hAnsi="黑体" w:eastAsia="黑体" w:cs="黑体"/>
          <w:spacing w:val="5"/>
          <w:sz w:val="35"/>
          <w:szCs w:val="35"/>
        </w:rPr>
        <w:t>项目编号：</w:t>
      </w:r>
      <w:bookmarkStart w:id="0" w:name="OLE_LINK9"/>
      <w:r>
        <w:rPr>
          <w:rFonts w:hint="eastAsia" w:ascii="黑体" w:hAnsi="黑体" w:eastAsia="黑体" w:cs="黑体"/>
          <w:spacing w:val="8"/>
          <w:sz w:val="35"/>
          <w:szCs w:val="35"/>
          <w:lang w:eastAsia="zh-CN"/>
        </w:rPr>
        <w:t>2024-B-4</w:t>
      </w:r>
      <w:bookmarkEnd w:id="0"/>
      <w:r>
        <w:rPr>
          <w:rFonts w:hint="eastAsia" w:ascii="黑体" w:hAnsi="黑体" w:eastAsia="黑体" w:cs="黑体"/>
          <w:spacing w:val="8"/>
          <w:sz w:val="35"/>
          <w:szCs w:val="35"/>
          <w:lang w:val="en-US" w:eastAsia="zh-CN"/>
        </w:rPr>
        <w:t>8</w:t>
      </w:r>
    </w:p>
    <w:p w14:paraId="036838A5">
      <w:pPr>
        <w:pStyle w:val="4"/>
        <w:pageBreakBefore w:val="0"/>
        <w:kinsoku/>
        <w:topLinePunct w:val="0"/>
        <w:bidi w:val="0"/>
        <w:spacing w:line="390" w:lineRule="auto"/>
      </w:pPr>
    </w:p>
    <w:p w14:paraId="0C799E2E">
      <w:pPr>
        <w:pageBreakBefore w:val="0"/>
        <w:kinsoku/>
        <w:topLinePunct w:val="0"/>
        <w:bidi w:val="0"/>
        <w:spacing w:before="115" w:line="227" w:lineRule="auto"/>
        <w:rPr>
          <w:rFonts w:ascii="黑体" w:hAnsi="黑体" w:eastAsia="黑体" w:cs="黑体"/>
          <w:spacing w:val="8"/>
          <w:sz w:val="35"/>
          <w:szCs w:val="35"/>
        </w:rPr>
      </w:pPr>
    </w:p>
    <w:p w14:paraId="385C9721">
      <w:pPr>
        <w:pageBreakBefore w:val="0"/>
        <w:kinsoku/>
        <w:topLinePunct w:val="0"/>
        <w:bidi w:val="0"/>
        <w:spacing w:before="115" w:line="227" w:lineRule="auto"/>
        <w:rPr>
          <w:rFonts w:hint="eastAsia" w:ascii="黑体" w:hAnsi="黑体" w:eastAsia="黑体" w:cs="黑体"/>
          <w:sz w:val="35"/>
          <w:szCs w:val="35"/>
          <w:lang w:eastAsia="zh-CN"/>
        </w:rPr>
      </w:pPr>
      <w:r>
        <w:rPr>
          <w:rFonts w:ascii="黑体" w:hAnsi="黑体" w:eastAsia="黑体" w:cs="黑体"/>
          <w:spacing w:val="8"/>
          <w:sz w:val="35"/>
          <w:szCs w:val="35"/>
        </w:rPr>
        <w:t>采 购 人：</w:t>
      </w:r>
      <w:r>
        <w:rPr>
          <w:rFonts w:hint="eastAsia" w:ascii="黑体" w:hAnsi="黑体" w:eastAsia="黑体" w:cs="黑体"/>
          <w:spacing w:val="8"/>
          <w:sz w:val="35"/>
          <w:szCs w:val="35"/>
          <w:lang w:eastAsia="zh-CN"/>
        </w:rPr>
        <w:t>阿克苏市退役军人事务局</w:t>
      </w:r>
    </w:p>
    <w:p w14:paraId="46789817">
      <w:pPr>
        <w:pageBreakBefore w:val="0"/>
        <w:kinsoku/>
        <w:topLinePunct w:val="0"/>
        <w:bidi w:val="0"/>
        <w:spacing w:before="114" w:line="226" w:lineRule="auto"/>
        <w:rPr>
          <w:rFonts w:ascii="黑体" w:hAnsi="黑体" w:eastAsia="黑体" w:cs="黑体"/>
          <w:spacing w:val="9"/>
          <w:sz w:val="35"/>
          <w:szCs w:val="35"/>
        </w:rPr>
      </w:pPr>
    </w:p>
    <w:p w14:paraId="65864276">
      <w:pPr>
        <w:pageBreakBefore w:val="0"/>
        <w:kinsoku/>
        <w:topLinePunct w:val="0"/>
        <w:bidi w:val="0"/>
        <w:spacing w:before="114" w:line="226" w:lineRule="auto"/>
        <w:rPr>
          <w:rFonts w:ascii="黑体" w:hAnsi="黑体" w:eastAsia="黑体" w:cs="黑体"/>
          <w:spacing w:val="9"/>
          <w:sz w:val="35"/>
          <w:szCs w:val="35"/>
        </w:rPr>
      </w:pPr>
    </w:p>
    <w:p w14:paraId="17F5798A">
      <w:pPr>
        <w:pageBreakBefore w:val="0"/>
        <w:kinsoku/>
        <w:topLinePunct w:val="0"/>
        <w:bidi w:val="0"/>
        <w:spacing w:before="114" w:line="226" w:lineRule="auto"/>
        <w:rPr>
          <w:rFonts w:hint="eastAsia" w:ascii="黑体" w:hAnsi="黑体" w:eastAsia="黑体" w:cs="黑体"/>
          <w:sz w:val="35"/>
          <w:szCs w:val="35"/>
          <w:lang w:eastAsia="zh-CN"/>
        </w:rPr>
      </w:pPr>
      <w:r>
        <w:rPr>
          <w:rFonts w:ascii="黑体" w:hAnsi="黑体" w:eastAsia="黑体" w:cs="黑体"/>
          <w:spacing w:val="9"/>
          <w:sz w:val="35"/>
          <w:szCs w:val="35"/>
        </w:rPr>
        <w:t>代理机构：</w:t>
      </w:r>
      <w:r>
        <w:rPr>
          <w:rFonts w:hint="eastAsia" w:ascii="黑体" w:hAnsi="黑体" w:eastAsia="黑体" w:cs="黑体"/>
          <w:spacing w:val="9"/>
          <w:sz w:val="35"/>
          <w:szCs w:val="35"/>
          <w:lang w:eastAsia="zh-CN"/>
        </w:rPr>
        <w:t>阿克苏疆山项目管理有限公司</w:t>
      </w:r>
    </w:p>
    <w:p w14:paraId="66CD5DC3">
      <w:pPr>
        <w:pStyle w:val="4"/>
        <w:pageBreakBefore w:val="0"/>
        <w:kinsoku/>
        <w:topLinePunct w:val="0"/>
        <w:bidi w:val="0"/>
        <w:spacing w:line="391" w:lineRule="auto"/>
      </w:pPr>
    </w:p>
    <w:p w14:paraId="34F3C126">
      <w:pPr>
        <w:pageBreakBefore w:val="0"/>
        <w:kinsoku/>
        <w:topLinePunct w:val="0"/>
        <w:bidi w:val="0"/>
        <w:spacing w:before="114" w:line="228" w:lineRule="auto"/>
        <w:rPr>
          <w:rFonts w:ascii="黑体" w:hAnsi="黑体" w:eastAsia="黑体" w:cs="黑体"/>
          <w:spacing w:val="-5"/>
          <w:sz w:val="35"/>
          <w:szCs w:val="35"/>
        </w:rPr>
      </w:pPr>
    </w:p>
    <w:p w14:paraId="3C5F0898">
      <w:pPr>
        <w:pageBreakBefore w:val="0"/>
        <w:kinsoku/>
        <w:topLinePunct w:val="0"/>
        <w:bidi w:val="0"/>
        <w:spacing w:before="114" w:line="228" w:lineRule="auto"/>
        <w:rPr>
          <w:rFonts w:ascii="黑体" w:hAnsi="黑体" w:eastAsia="黑体" w:cs="黑体"/>
          <w:sz w:val="35"/>
          <w:szCs w:val="35"/>
        </w:rPr>
      </w:pPr>
      <w:r>
        <w:rPr>
          <w:rFonts w:ascii="黑体" w:hAnsi="黑体" w:eastAsia="黑体" w:cs="黑体"/>
          <w:spacing w:val="-5"/>
          <w:sz w:val="35"/>
          <w:szCs w:val="35"/>
        </w:rPr>
        <w:t>日</w:t>
      </w:r>
      <w:r>
        <w:rPr>
          <w:rFonts w:ascii="黑体" w:hAnsi="黑体" w:eastAsia="黑体" w:cs="黑体"/>
          <w:spacing w:val="8"/>
          <w:sz w:val="35"/>
          <w:szCs w:val="35"/>
        </w:rPr>
        <w:t xml:space="preserve">    </w:t>
      </w:r>
      <w:r>
        <w:rPr>
          <w:rFonts w:ascii="黑体" w:hAnsi="黑体" w:eastAsia="黑体" w:cs="黑体"/>
          <w:spacing w:val="-5"/>
          <w:sz w:val="35"/>
          <w:szCs w:val="35"/>
        </w:rPr>
        <w:t>期：2024</w:t>
      </w:r>
      <w:r>
        <w:rPr>
          <w:rFonts w:ascii="黑体" w:hAnsi="黑体" w:eastAsia="黑体" w:cs="黑体"/>
          <w:spacing w:val="-69"/>
          <w:sz w:val="35"/>
          <w:szCs w:val="35"/>
        </w:rPr>
        <w:t xml:space="preserve"> </w:t>
      </w:r>
      <w:r>
        <w:rPr>
          <w:rFonts w:ascii="黑体" w:hAnsi="黑体" w:eastAsia="黑体" w:cs="黑体"/>
          <w:spacing w:val="-5"/>
          <w:sz w:val="35"/>
          <w:szCs w:val="35"/>
        </w:rPr>
        <w:t>年</w:t>
      </w:r>
      <w:r>
        <w:rPr>
          <w:rFonts w:hint="eastAsia" w:ascii="黑体" w:hAnsi="黑体" w:eastAsia="黑体" w:cs="黑体"/>
          <w:spacing w:val="-5"/>
          <w:sz w:val="35"/>
          <w:szCs w:val="35"/>
          <w:lang w:val="en-US" w:eastAsia="zh-CN"/>
        </w:rPr>
        <w:t>10</w:t>
      </w:r>
      <w:r>
        <w:rPr>
          <w:rFonts w:ascii="黑体" w:hAnsi="黑体" w:eastAsia="黑体" w:cs="黑体"/>
          <w:spacing w:val="-5"/>
          <w:sz w:val="35"/>
          <w:szCs w:val="35"/>
        </w:rPr>
        <w:t>月</w:t>
      </w:r>
    </w:p>
    <w:p w14:paraId="51FE1200">
      <w:pPr>
        <w:pageBreakBefore w:val="0"/>
        <w:kinsoku/>
        <w:topLinePunct w:val="0"/>
        <w:bidi w:val="0"/>
        <w:spacing w:line="228" w:lineRule="auto"/>
        <w:rPr>
          <w:rFonts w:ascii="黑体" w:hAnsi="黑体" w:eastAsia="黑体" w:cs="黑体"/>
          <w:sz w:val="35"/>
          <w:szCs w:val="35"/>
        </w:rPr>
        <w:sectPr>
          <w:headerReference r:id="rId5" w:type="default"/>
          <w:pgSz w:w="11905" w:h="16838"/>
          <w:pgMar w:top="1276" w:right="1814" w:bottom="1276" w:left="1814" w:header="567" w:footer="567" w:gutter="0"/>
          <w:cols w:space="0" w:num="1"/>
          <w:rtlGutter w:val="0"/>
          <w:docGrid w:linePitch="0" w:charSpace="0"/>
        </w:sectPr>
      </w:pPr>
    </w:p>
    <w:p w14:paraId="36964B36">
      <w:pPr>
        <w:pageBreakBefore w:val="0"/>
        <w:kinsoku/>
        <w:topLinePunct w:val="0"/>
        <w:bidi w:val="0"/>
        <w:spacing w:before="171" w:line="1253" w:lineRule="exact"/>
        <w:ind w:left="209"/>
        <w:rPr>
          <w:rFonts w:ascii="宋体" w:hAnsi="宋体" w:eastAsia="宋体" w:cs="宋体"/>
          <w:sz w:val="30"/>
          <w:szCs w:val="30"/>
        </w:rPr>
      </w:pPr>
      <w:r>
        <w:rPr>
          <w:rFonts w:ascii="宋体" w:hAnsi="宋体" w:eastAsia="宋体" w:cs="宋体"/>
          <w:spacing w:val="2"/>
          <w:position w:val="-18"/>
          <w:sz w:val="30"/>
          <w:szCs w:val="30"/>
        </w:rPr>
        <w:t xml:space="preserve">                 </w:t>
      </w:r>
      <w:r>
        <w:rPr>
          <w:rFonts w:ascii="宋体" w:hAnsi="宋体" w:eastAsia="宋体" w:cs="宋体"/>
          <w:spacing w:val="-35"/>
          <w:position w:val="-18"/>
          <w:sz w:val="30"/>
          <w:szCs w:val="30"/>
        </w:rPr>
        <w:t>目</w:t>
      </w:r>
      <w:r>
        <w:rPr>
          <w:rFonts w:ascii="宋体" w:hAnsi="宋体" w:eastAsia="宋体" w:cs="宋体"/>
          <w:spacing w:val="26"/>
          <w:position w:val="-18"/>
          <w:sz w:val="30"/>
          <w:szCs w:val="30"/>
        </w:rPr>
        <w:t xml:space="preserve"> </w:t>
      </w:r>
      <w:r>
        <w:rPr>
          <w:rFonts w:ascii="宋体" w:hAnsi="宋体" w:eastAsia="宋体" w:cs="宋体"/>
          <w:spacing w:val="-35"/>
          <w:position w:val="-18"/>
          <w:sz w:val="30"/>
          <w:szCs w:val="30"/>
        </w:rPr>
        <w:t>录</w:t>
      </w:r>
    </w:p>
    <w:p w14:paraId="245BBB85">
      <w:pPr>
        <w:pStyle w:val="4"/>
        <w:pageBreakBefore w:val="0"/>
        <w:kinsoku/>
        <w:topLinePunct w:val="0"/>
        <w:bidi w:val="0"/>
        <w:spacing w:line="291" w:lineRule="auto"/>
      </w:pPr>
    </w:p>
    <w:sdt>
      <w:sdtPr>
        <w:rPr>
          <w:rFonts w:ascii="黑体" w:hAnsi="黑体" w:eastAsia="黑体" w:cs="黑体"/>
          <w:sz w:val="24"/>
          <w:szCs w:val="24"/>
        </w:rPr>
        <w:id w:val="1"/>
        <w:docPartObj>
          <w:docPartGallery w:val="Table of Contents"/>
          <w:docPartUnique/>
        </w:docPartObj>
      </w:sdtPr>
      <w:sdtEndPr>
        <w:rPr>
          <w:rFonts w:ascii="黑体" w:hAnsi="黑体" w:eastAsia="黑体" w:cs="黑体"/>
          <w:sz w:val="24"/>
          <w:szCs w:val="24"/>
        </w:rPr>
      </w:sdtEndPr>
      <w:sdtContent>
        <w:p w14:paraId="496ABBF3">
          <w:pPr>
            <w:pageBreakBefore w:val="0"/>
            <w:tabs>
              <w:tab w:val="right" w:leader="dot" w:pos="9512"/>
            </w:tabs>
            <w:kinsoku/>
            <w:topLinePunct w:val="0"/>
            <w:bidi w:val="0"/>
            <w:spacing w:before="78" w:line="187" w:lineRule="auto"/>
            <w:rPr>
              <w:rFonts w:ascii="黑体" w:hAnsi="黑体" w:eastAsia="黑体" w:cs="黑体"/>
              <w:sz w:val="24"/>
              <w:szCs w:val="24"/>
            </w:rPr>
          </w:pPr>
          <w:r>
            <w:fldChar w:fldCharType="begin"/>
          </w:r>
          <w:r>
            <w:instrText xml:space="preserve"> HYPERLINK \l "bookmark1" </w:instrText>
          </w:r>
          <w:r>
            <w:fldChar w:fldCharType="separate"/>
          </w:r>
          <w:r>
            <w:rPr>
              <w:rFonts w:ascii="黑体" w:hAnsi="黑体" w:eastAsia="黑体" w:cs="黑体"/>
              <w:spacing w:val="-1"/>
              <w:sz w:val="24"/>
              <w:szCs w:val="24"/>
            </w:rPr>
            <w:t>第一章  竞争性磋商公告</w:t>
          </w:r>
          <w:r>
            <w:rPr>
              <w:rFonts w:ascii="黑体" w:hAnsi="黑体" w:eastAsia="黑体" w:cs="黑体"/>
              <w:spacing w:val="-40"/>
              <w:sz w:val="24"/>
              <w:szCs w:val="24"/>
            </w:rPr>
            <w:t xml:space="preserve"> </w:t>
          </w:r>
          <w:r>
            <w:rPr>
              <w:rFonts w:ascii="黑体" w:hAnsi="黑体" w:eastAsia="黑体" w:cs="黑体"/>
              <w:spacing w:val="24"/>
              <w:sz w:val="24"/>
              <w:szCs w:val="24"/>
            </w:rPr>
            <w:fldChar w:fldCharType="end"/>
          </w:r>
        </w:p>
        <w:p w14:paraId="2E0AD3A3">
          <w:pPr>
            <w:pageBreakBefore w:val="0"/>
            <w:tabs>
              <w:tab w:val="right" w:leader="dot" w:pos="9512"/>
            </w:tabs>
            <w:kinsoku/>
            <w:topLinePunct w:val="0"/>
            <w:bidi w:val="0"/>
            <w:spacing w:before="258" w:line="187" w:lineRule="auto"/>
            <w:rPr>
              <w:rFonts w:ascii="黑体" w:hAnsi="黑体" w:eastAsia="黑体" w:cs="黑体"/>
              <w:sz w:val="24"/>
              <w:szCs w:val="24"/>
            </w:rPr>
          </w:pPr>
          <w:r>
            <w:fldChar w:fldCharType="begin"/>
          </w:r>
          <w:r>
            <w:instrText xml:space="preserve"> HYPERLINK \l "bookmark2" </w:instrText>
          </w:r>
          <w:r>
            <w:fldChar w:fldCharType="separate"/>
          </w:r>
          <w:r>
            <w:rPr>
              <w:rFonts w:ascii="黑体" w:hAnsi="黑体" w:eastAsia="黑体" w:cs="黑体"/>
              <w:spacing w:val="-1"/>
              <w:sz w:val="24"/>
              <w:szCs w:val="24"/>
            </w:rPr>
            <w:t>第二章  供应商须知及前附表</w:t>
          </w:r>
          <w:r>
            <w:rPr>
              <w:rFonts w:ascii="黑体" w:hAnsi="黑体" w:eastAsia="黑体" w:cs="黑体"/>
              <w:spacing w:val="-38"/>
              <w:sz w:val="24"/>
              <w:szCs w:val="24"/>
            </w:rPr>
            <w:t xml:space="preserve"> </w:t>
          </w:r>
          <w:r>
            <w:rPr>
              <w:rFonts w:ascii="黑体" w:hAnsi="黑体" w:eastAsia="黑体" w:cs="黑体"/>
              <w:spacing w:val="8"/>
              <w:w w:val="120"/>
              <w:sz w:val="24"/>
              <w:szCs w:val="24"/>
            </w:rPr>
            <w:fldChar w:fldCharType="end"/>
          </w:r>
        </w:p>
        <w:p w14:paraId="5BAD2E19">
          <w:pPr>
            <w:pageBreakBefore w:val="0"/>
            <w:tabs>
              <w:tab w:val="right" w:leader="dot" w:pos="9512"/>
            </w:tabs>
            <w:kinsoku/>
            <w:topLinePunct w:val="0"/>
            <w:bidi w:val="0"/>
            <w:spacing w:before="256" w:line="187" w:lineRule="auto"/>
            <w:rPr>
              <w:rFonts w:ascii="黑体" w:hAnsi="黑体" w:eastAsia="黑体" w:cs="黑体"/>
              <w:sz w:val="24"/>
              <w:szCs w:val="24"/>
            </w:rPr>
          </w:pPr>
          <w:r>
            <w:fldChar w:fldCharType="begin"/>
          </w:r>
          <w:r>
            <w:instrText xml:space="preserve"> HYPERLINK \l "bookmark3" </w:instrText>
          </w:r>
          <w:r>
            <w:fldChar w:fldCharType="separate"/>
          </w:r>
          <w:r>
            <w:rPr>
              <w:rFonts w:ascii="黑体" w:hAnsi="黑体" w:eastAsia="黑体" w:cs="黑体"/>
              <w:spacing w:val="-2"/>
              <w:sz w:val="24"/>
              <w:szCs w:val="24"/>
            </w:rPr>
            <w:t xml:space="preserve">第三章  </w:t>
          </w:r>
          <w:r>
            <w:rPr>
              <w:rFonts w:hint="eastAsia" w:ascii="黑体" w:hAnsi="黑体" w:eastAsia="黑体" w:cs="黑体"/>
              <w:spacing w:val="-2"/>
              <w:sz w:val="24"/>
              <w:szCs w:val="24"/>
              <w:lang w:eastAsia="zh-CN"/>
            </w:rPr>
            <w:t>评审</w:t>
          </w:r>
          <w:r>
            <w:rPr>
              <w:rFonts w:ascii="黑体" w:hAnsi="黑体" w:eastAsia="黑体" w:cs="黑体"/>
              <w:spacing w:val="-2"/>
              <w:sz w:val="24"/>
              <w:szCs w:val="24"/>
            </w:rPr>
            <w:t>办法</w:t>
          </w:r>
          <w:r>
            <w:rPr>
              <w:rFonts w:ascii="黑体" w:hAnsi="黑体" w:eastAsia="黑体" w:cs="黑体"/>
              <w:spacing w:val="-34"/>
              <w:sz w:val="24"/>
              <w:szCs w:val="24"/>
            </w:rPr>
            <w:t xml:space="preserve"> </w:t>
          </w:r>
          <w:r>
            <w:rPr>
              <w:rFonts w:ascii="黑体" w:hAnsi="黑体" w:eastAsia="黑体" w:cs="黑体"/>
              <w:spacing w:val="22"/>
              <w:sz w:val="24"/>
              <w:szCs w:val="24"/>
            </w:rPr>
            <w:fldChar w:fldCharType="end"/>
          </w:r>
        </w:p>
        <w:p w14:paraId="2B2D81DA">
          <w:pPr>
            <w:pageBreakBefore w:val="0"/>
            <w:tabs>
              <w:tab w:val="right" w:leader="dot" w:pos="9512"/>
            </w:tabs>
            <w:kinsoku/>
            <w:topLinePunct w:val="0"/>
            <w:bidi w:val="0"/>
            <w:spacing w:before="256" w:line="187" w:lineRule="auto"/>
            <w:rPr>
              <w:rFonts w:ascii="黑体" w:hAnsi="黑体" w:eastAsia="黑体" w:cs="黑体"/>
              <w:sz w:val="24"/>
              <w:szCs w:val="24"/>
            </w:rPr>
          </w:pPr>
          <w:r>
            <w:fldChar w:fldCharType="begin"/>
          </w:r>
          <w:r>
            <w:instrText xml:space="preserve"> HYPERLINK \l "bookmark4" </w:instrText>
          </w:r>
          <w:r>
            <w:fldChar w:fldCharType="separate"/>
          </w:r>
          <w:r>
            <w:rPr>
              <w:rFonts w:ascii="黑体" w:hAnsi="黑体" w:eastAsia="黑体" w:cs="黑体"/>
              <w:spacing w:val="-1"/>
              <w:sz w:val="24"/>
              <w:szCs w:val="24"/>
            </w:rPr>
            <w:t xml:space="preserve">第四章  </w:t>
          </w:r>
          <w:r>
            <w:rPr>
              <w:rFonts w:hint="eastAsia" w:ascii="黑体" w:hAnsi="黑体" w:eastAsia="黑体" w:cs="黑体"/>
              <w:spacing w:val="-1"/>
              <w:sz w:val="24"/>
              <w:szCs w:val="24"/>
              <w:lang w:eastAsia="zh-CN"/>
            </w:rPr>
            <w:t>采购</w:t>
          </w:r>
          <w:r>
            <w:rPr>
              <w:rFonts w:ascii="黑体" w:hAnsi="黑体" w:eastAsia="黑体" w:cs="黑体"/>
              <w:spacing w:val="-1"/>
              <w:sz w:val="24"/>
              <w:szCs w:val="24"/>
            </w:rPr>
            <w:t>内容及需求</w:t>
          </w:r>
          <w:r>
            <w:rPr>
              <w:rFonts w:ascii="黑体" w:hAnsi="黑体" w:eastAsia="黑体" w:cs="黑体"/>
              <w:spacing w:val="-40"/>
              <w:sz w:val="24"/>
              <w:szCs w:val="24"/>
            </w:rPr>
            <w:t xml:space="preserve"> </w:t>
          </w:r>
          <w:r>
            <w:rPr>
              <w:rFonts w:ascii="黑体" w:hAnsi="黑体" w:eastAsia="黑体" w:cs="黑体"/>
              <w:spacing w:val="22"/>
              <w:sz w:val="24"/>
              <w:szCs w:val="24"/>
            </w:rPr>
            <w:fldChar w:fldCharType="end"/>
          </w:r>
        </w:p>
        <w:p w14:paraId="597D1668">
          <w:pPr>
            <w:pageBreakBefore w:val="0"/>
            <w:tabs>
              <w:tab w:val="right" w:leader="dot" w:pos="9512"/>
            </w:tabs>
            <w:kinsoku/>
            <w:topLinePunct w:val="0"/>
            <w:bidi w:val="0"/>
            <w:spacing w:before="258" w:line="187" w:lineRule="auto"/>
            <w:rPr>
              <w:rFonts w:ascii="黑体" w:hAnsi="黑体" w:eastAsia="黑体" w:cs="黑体"/>
              <w:sz w:val="24"/>
              <w:szCs w:val="24"/>
            </w:rPr>
          </w:pPr>
          <w:r>
            <w:fldChar w:fldCharType="begin"/>
          </w:r>
          <w:r>
            <w:instrText xml:space="preserve"> HYPERLINK \l "bookmark5" </w:instrText>
          </w:r>
          <w:r>
            <w:fldChar w:fldCharType="separate"/>
          </w:r>
          <w:r>
            <w:rPr>
              <w:rFonts w:ascii="黑体" w:hAnsi="黑体" w:eastAsia="黑体" w:cs="黑体"/>
              <w:spacing w:val="-1"/>
              <w:sz w:val="24"/>
              <w:szCs w:val="24"/>
            </w:rPr>
            <w:t>第五章 磋商响应文件格式</w:t>
          </w:r>
          <w:r>
            <w:rPr>
              <w:rFonts w:ascii="黑体" w:hAnsi="黑体" w:eastAsia="黑体" w:cs="黑体"/>
              <w:spacing w:val="-40"/>
              <w:sz w:val="24"/>
              <w:szCs w:val="24"/>
            </w:rPr>
            <w:t xml:space="preserve"> </w:t>
          </w:r>
          <w:r>
            <w:rPr>
              <w:rFonts w:ascii="黑体" w:hAnsi="黑体" w:eastAsia="黑体" w:cs="黑体"/>
              <w:spacing w:val="22"/>
              <w:sz w:val="24"/>
              <w:szCs w:val="24"/>
            </w:rPr>
            <w:fldChar w:fldCharType="end"/>
          </w:r>
        </w:p>
        <w:p w14:paraId="3CB9CD91">
          <w:pPr>
            <w:pageBreakBefore w:val="0"/>
            <w:tabs>
              <w:tab w:val="right" w:leader="dot" w:pos="9512"/>
            </w:tabs>
            <w:kinsoku/>
            <w:topLinePunct w:val="0"/>
            <w:bidi w:val="0"/>
            <w:spacing w:before="255" w:line="222" w:lineRule="auto"/>
            <w:rPr>
              <w:rFonts w:ascii="黑体" w:hAnsi="黑体" w:eastAsia="黑体" w:cs="黑体"/>
              <w:sz w:val="24"/>
              <w:szCs w:val="24"/>
            </w:rPr>
          </w:pPr>
          <w:r>
            <w:fldChar w:fldCharType="begin"/>
          </w:r>
          <w:r>
            <w:instrText xml:space="preserve"> HYPERLINK \l "bookmark6" </w:instrText>
          </w:r>
          <w:r>
            <w:fldChar w:fldCharType="separate"/>
          </w:r>
          <w:r>
            <w:rPr>
              <w:rFonts w:ascii="黑体" w:hAnsi="黑体" w:eastAsia="黑体" w:cs="黑体"/>
              <w:spacing w:val="-2"/>
              <w:sz w:val="24"/>
              <w:szCs w:val="24"/>
            </w:rPr>
            <w:t>第六章  合同条款</w:t>
          </w:r>
          <w:r>
            <w:rPr>
              <w:rFonts w:ascii="黑体" w:hAnsi="黑体" w:eastAsia="黑体" w:cs="黑体"/>
              <w:spacing w:val="-34"/>
              <w:sz w:val="24"/>
              <w:szCs w:val="24"/>
            </w:rPr>
            <w:t xml:space="preserve"> </w:t>
          </w:r>
          <w:r>
            <w:rPr>
              <w:rFonts w:ascii="黑体" w:hAnsi="黑体" w:eastAsia="黑体" w:cs="黑体"/>
              <w:spacing w:val="23"/>
              <w:sz w:val="24"/>
              <w:szCs w:val="24"/>
            </w:rPr>
            <w:fldChar w:fldCharType="end"/>
          </w:r>
        </w:p>
      </w:sdtContent>
    </w:sdt>
    <w:p w14:paraId="3CFCC391">
      <w:pPr>
        <w:pageBreakBefore w:val="0"/>
        <w:kinsoku/>
        <w:topLinePunct w:val="0"/>
        <w:bidi w:val="0"/>
        <w:spacing w:line="222" w:lineRule="auto"/>
        <w:rPr>
          <w:rFonts w:ascii="黑体" w:hAnsi="黑体" w:eastAsia="黑体" w:cs="黑体"/>
          <w:sz w:val="24"/>
          <w:szCs w:val="24"/>
        </w:rPr>
      </w:pPr>
    </w:p>
    <w:p w14:paraId="1E260A42">
      <w:pPr>
        <w:pageBreakBefore w:val="0"/>
        <w:kinsoku/>
        <w:topLinePunct w:val="0"/>
        <w:bidi w:val="0"/>
        <w:rPr>
          <w:rFonts w:ascii="Arial" w:hAnsi="Arial" w:eastAsia="Arial" w:cs="Arial"/>
          <w:snapToGrid w:val="0"/>
          <w:color w:val="000000"/>
          <w:kern w:val="0"/>
          <w:sz w:val="21"/>
          <w:szCs w:val="21"/>
          <w:lang w:val="en-US" w:eastAsia="en-US" w:bidi="ar-SA"/>
        </w:rPr>
      </w:pPr>
    </w:p>
    <w:p w14:paraId="1D6D1334">
      <w:pPr>
        <w:pageBreakBefore w:val="0"/>
        <w:kinsoku/>
        <w:topLinePunct w:val="0"/>
        <w:bidi w:val="0"/>
        <w:rPr>
          <w:lang w:val="en-US" w:eastAsia="en-US"/>
        </w:rPr>
      </w:pPr>
    </w:p>
    <w:p w14:paraId="286329D5">
      <w:pPr>
        <w:pageBreakBefore w:val="0"/>
        <w:kinsoku/>
        <w:topLinePunct w:val="0"/>
        <w:bidi w:val="0"/>
        <w:rPr>
          <w:lang w:val="en-US" w:eastAsia="en-US"/>
        </w:rPr>
      </w:pPr>
    </w:p>
    <w:p w14:paraId="0D494DEF">
      <w:pPr>
        <w:pageBreakBefore w:val="0"/>
        <w:kinsoku/>
        <w:topLinePunct w:val="0"/>
        <w:bidi w:val="0"/>
        <w:rPr>
          <w:lang w:val="en-US" w:eastAsia="en-US"/>
        </w:rPr>
      </w:pPr>
    </w:p>
    <w:p w14:paraId="07BE150B">
      <w:pPr>
        <w:pageBreakBefore w:val="0"/>
        <w:kinsoku/>
        <w:topLinePunct w:val="0"/>
        <w:bidi w:val="0"/>
        <w:rPr>
          <w:lang w:val="en-US" w:eastAsia="en-US"/>
        </w:rPr>
      </w:pPr>
    </w:p>
    <w:p w14:paraId="7B071965">
      <w:pPr>
        <w:pageBreakBefore w:val="0"/>
        <w:kinsoku/>
        <w:topLinePunct w:val="0"/>
        <w:bidi w:val="0"/>
        <w:rPr>
          <w:lang w:val="en-US" w:eastAsia="en-US"/>
        </w:rPr>
      </w:pPr>
    </w:p>
    <w:p w14:paraId="56F8D988">
      <w:pPr>
        <w:pageBreakBefore w:val="0"/>
        <w:kinsoku/>
        <w:topLinePunct w:val="0"/>
        <w:bidi w:val="0"/>
        <w:rPr>
          <w:lang w:val="en-US" w:eastAsia="en-US"/>
        </w:rPr>
      </w:pPr>
    </w:p>
    <w:p w14:paraId="2A9FC0EE">
      <w:pPr>
        <w:pageBreakBefore w:val="0"/>
        <w:kinsoku/>
        <w:topLinePunct w:val="0"/>
        <w:bidi w:val="0"/>
        <w:rPr>
          <w:lang w:val="en-US" w:eastAsia="en-US"/>
        </w:rPr>
      </w:pPr>
    </w:p>
    <w:p w14:paraId="69AD3B9F">
      <w:pPr>
        <w:pageBreakBefore w:val="0"/>
        <w:kinsoku/>
        <w:topLinePunct w:val="0"/>
        <w:bidi w:val="0"/>
        <w:rPr>
          <w:lang w:val="en-US" w:eastAsia="en-US"/>
        </w:rPr>
      </w:pPr>
    </w:p>
    <w:p w14:paraId="40EDC8F2">
      <w:pPr>
        <w:pageBreakBefore w:val="0"/>
        <w:kinsoku/>
        <w:topLinePunct w:val="0"/>
        <w:bidi w:val="0"/>
        <w:rPr>
          <w:lang w:val="en-US" w:eastAsia="en-US"/>
        </w:rPr>
      </w:pPr>
    </w:p>
    <w:p w14:paraId="380444EC">
      <w:pPr>
        <w:pageBreakBefore w:val="0"/>
        <w:kinsoku/>
        <w:topLinePunct w:val="0"/>
        <w:bidi w:val="0"/>
        <w:rPr>
          <w:lang w:val="en-US" w:eastAsia="en-US"/>
        </w:rPr>
      </w:pPr>
    </w:p>
    <w:p w14:paraId="689F8C15">
      <w:pPr>
        <w:pageBreakBefore w:val="0"/>
        <w:kinsoku/>
        <w:topLinePunct w:val="0"/>
        <w:bidi w:val="0"/>
        <w:rPr>
          <w:lang w:val="en-US" w:eastAsia="en-US"/>
        </w:rPr>
      </w:pPr>
    </w:p>
    <w:p w14:paraId="09C98E5A">
      <w:pPr>
        <w:pageBreakBefore w:val="0"/>
        <w:kinsoku/>
        <w:topLinePunct w:val="0"/>
        <w:bidi w:val="0"/>
        <w:rPr>
          <w:lang w:val="en-US" w:eastAsia="en-US"/>
        </w:rPr>
      </w:pPr>
    </w:p>
    <w:p w14:paraId="13176496">
      <w:pPr>
        <w:pageBreakBefore w:val="0"/>
        <w:kinsoku/>
        <w:topLinePunct w:val="0"/>
        <w:bidi w:val="0"/>
        <w:rPr>
          <w:lang w:val="en-US" w:eastAsia="en-US"/>
        </w:rPr>
      </w:pPr>
    </w:p>
    <w:p w14:paraId="563DD156">
      <w:pPr>
        <w:pageBreakBefore w:val="0"/>
        <w:kinsoku/>
        <w:topLinePunct w:val="0"/>
        <w:bidi w:val="0"/>
        <w:rPr>
          <w:lang w:val="en-US" w:eastAsia="en-US"/>
        </w:rPr>
      </w:pPr>
    </w:p>
    <w:p w14:paraId="6EC26C55">
      <w:pPr>
        <w:pageBreakBefore w:val="0"/>
        <w:kinsoku/>
        <w:topLinePunct w:val="0"/>
        <w:bidi w:val="0"/>
        <w:rPr>
          <w:lang w:val="en-US" w:eastAsia="en-US"/>
        </w:rPr>
      </w:pPr>
    </w:p>
    <w:p w14:paraId="0939E547">
      <w:pPr>
        <w:pageBreakBefore w:val="0"/>
        <w:kinsoku/>
        <w:topLinePunct w:val="0"/>
        <w:bidi w:val="0"/>
        <w:rPr>
          <w:lang w:val="en-US" w:eastAsia="en-US"/>
        </w:rPr>
      </w:pPr>
    </w:p>
    <w:p w14:paraId="21EA4F37">
      <w:pPr>
        <w:pageBreakBefore w:val="0"/>
        <w:kinsoku/>
        <w:topLinePunct w:val="0"/>
        <w:bidi w:val="0"/>
        <w:rPr>
          <w:lang w:val="en-US" w:eastAsia="en-US"/>
        </w:rPr>
      </w:pPr>
    </w:p>
    <w:p w14:paraId="75965393">
      <w:pPr>
        <w:pageBreakBefore w:val="0"/>
        <w:kinsoku/>
        <w:topLinePunct w:val="0"/>
        <w:bidi w:val="0"/>
        <w:rPr>
          <w:lang w:val="en-US" w:eastAsia="en-US"/>
        </w:rPr>
      </w:pPr>
    </w:p>
    <w:p w14:paraId="0853E069">
      <w:pPr>
        <w:pageBreakBefore w:val="0"/>
        <w:kinsoku/>
        <w:topLinePunct w:val="0"/>
        <w:bidi w:val="0"/>
        <w:rPr>
          <w:lang w:val="en-US" w:eastAsia="en-US"/>
        </w:rPr>
      </w:pPr>
    </w:p>
    <w:p w14:paraId="4D4CCF2B">
      <w:pPr>
        <w:pageBreakBefore w:val="0"/>
        <w:kinsoku/>
        <w:topLinePunct w:val="0"/>
        <w:bidi w:val="0"/>
        <w:rPr>
          <w:lang w:val="en-US" w:eastAsia="en-US"/>
        </w:rPr>
      </w:pPr>
    </w:p>
    <w:p w14:paraId="6B7EC689">
      <w:pPr>
        <w:pageBreakBefore w:val="0"/>
        <w:kinsoku/>
        <w:topLinePunct w:val="0"/>
        <w:bidi w:val="0"/>
        <w:rPr>
          <w:lang w:val="en-US" w:eastAsia="en-US"/>
        </w:rPr>
      </w:pPr>
    </w:p>
    <w:p w14:paraId="337C318C">
      <w:pPr>
        <w:pageBreakBefore w:val="0"/>
        <w:kinsoku/>
        <w:topLinePunct w:val="0"/>
        <w:bidi w:val="0"/>
        <w:rPr>
          <w:lang w:val="en-US" w:eastAsia="en-US"/>
        </w:rPr>
      </w:pPr>
    </w:p>
    <w:p w14:paraId="01CE4BEB">
      <w:pPr>
        <w:pageBreakBefore w:val="0"/>
        <w:kinsoku/>
        <w:topLinePunct w:val="0"/>
        <w:bidi w:val="0"/>
        <w:rPr>
          <w:lang w:val="en-US" w:eastAsia="en-US"/>
        </w:rPr>
      </w:pPr>
    </w:p>
    <w:p w14:paraId="5A2604E1">
      <w:pPr>
        <w:pageBreakBefore w:val="0"/>
        <w:kinsoku/>
        <w:topLinePunct w:val="0"/>
        <w:bidi w:val="0"/>
        <w:rPr>
          <w:lang w:val="en-US" w:eastAsia="en-US"/>
        </w:rPr>
      </w:pPr>
    </w:p>
    <w:p w14:paraId="7F6BB7DE">
      <w:pPr>
        <w:pageBreakBefore w:val="0"/>
        <w:kinsoku/>
        <w:topLinePunct w:val="0"/>
        <w:bidi w:val="0"/>
        <w:rPr>
          <w:lang w:val="en-US" w:eastAsia="en-US"/>
        </w:rPr>
      </w:pPr>
    </w:p>
    <w:p w14:paraId="7BF24145">
      <w:pPr>
        <w:pageBreakBefore w:val="0"/>
        <w:kinsoku/>
        <w:topLinePunct w:val="0"/>
        <w:bidi w:val="0"/>
        <w:rPr>
          <w:lang w:val="en-US" w:eastAsia="en-US"/>
        </w:rPr>
      </w:pPr>
    </w:p>
    <w:p w14:paraId="01BA4920">
      <w:pPr>
        <w:pageBreakBefore w:val="0"/>
        <w:kinsoku/>
        <w:topLinePunct w:val="0"/>
        <w:bidi w:val="0"/>
        <w:rPr>
          <w:lang w:val="en-US" w:eastAsia="en-US"/>
        </w:rPr>
      </w:pPr>
    </w:p>
    <w:p w14:paraId="632F8453">
      <w:pPr>
        <w:pageBreakBefore w:val="0"/>
        <w:kinsoku/>
        <w:topLinePunct w:val="0"/>
        <w:bidi w:val="0"/>
        <w:rPr>
          <w:lang w:val="en-US" w:eastAsia="en-US"/>
        </w:rPr>
      </w:pPr>
    </w:p>
    <w:p w14:paraId="1DB6E215">
      <w:pPr>
        <w:pageBreakBefore w:val="0"/>
        <w:kinsoku/>
        <w:topLinePunct w:val="0"/>
        <w:bidi w:val="0"/>
        <w:rPr>
          <w:lang w:val="en-US" w:eastAsia="en-US"/>
        </w:rPr>
      </w:pPr>
    </w:p>
    <w:p w14:paraId="49A0EF67">
      <w:pPr>
        <w:pageBreakBefore w:val="0"/>
        <w:kinsoku/>
        <w:topLinePunct w:val="0"/>
        <w:bidi w:val="0"/>
        <w:rPr>
          <w:lang w:val="en-US" w:eastAsia="en-US"/>
        </w:rPr>
      </w:pPr>
    </w:p>
    <w:p w14:paraId="25E21AAB">
      <w:pPr>
        <w:pageBreakBefore w:val="0"/>
        <w:kinsoku/>
        <w:topLinePunct w:val="0"/>
        <w:bidi w:val="0"/>
        <w:rPr>
          <w:lang w:val="en-US" w:eastAsia="en-US"/>
        </w:rPr>
      </w:pPr>
    </w:p>
    <w:p w14:paraId="405970D2">
      <w:pPr>
        <w:pageBreakBefore w:val="0"/>
        <w:kinsoku/>
        <w:topLinePunct w:val="0"/>
        <w:bidi w:val="0"/>
        <w:rPr>
          <w:lang w:val="en-US" w:eastAsia="en-US"/>
        </w:rPr>
      </w:pPr>
    </w:p>
    <w:p w14:paraId="4A6755C1">
      <w:pPr>
        <w:pageBreakBefore w:val="0"/>
        <w:kinsoku/>
        <w:topLinePunct w:val="0"/>
        <w:bidi w:val="0"/>
        <w:rPr>
          <w:lang w:val="en-US" w:eastAsia="en-US"/>
        </w:rPr>
      </w:pPr>
    </w:p>
    <w:p w14:paraId="76476F7C">
      <w:pPr>
        <w:pageBreakBefore w:val="0"/>
        <w:kinsoku/>
        <w:topLinePunct w:val="0"/>
        <w:bidi w:val="0"/>
        <w:rPr>
          <w:lang w:val="en-US" w:eastAsia="en-US"/>
        </w:rPr>
      </w:pPr>
    </w:p>
    <w:p w14:paraId="18DA8AF7">
      <w:pPr>
        <w:pageBreakBefore w:val="0"/>
        <w:kinsoku/>
        <w:topLinePunct w:val="0"/>
        <w:bidi w:val="0"/>
        <w:rPr>
          <w:lang w:val="en-US" w:eastAsia="en-US"/>
        </w:rPr>
      </w:pPr>
    </w:p>
    <w:p w14:paraId="2DC5421A">
      <w:pPr>
        <w:pageBreakBefore w:val="0"/>
        <w:kinsoku/>
        <w:topLinePunct w:val="0"/>
        <w:bidi w:val="0"/>
        <w:rPr>
          <w:lang w:val="en-US" w:eastAsia="en-US"/>
        </w:rPr>
      </w:pPr>
    </w:p>
    <w:p w14:paraId="41B41978">
      <w:pPr>
        <w:pageBreakBefore w:val="0"/>
        <w:kinsoku/>
        <w:topLinePunct w:val="0"/>
        <w:bidi w:val="0"/>
        <w:rPr>
          <w:lang w:val="en-US" w:eastAsia="en-US"/>
        </w:rPr>
      </w:pPr>
    </w:p>
    <w:p w14:paraId="250DD3A1">
      <w:pPr>
        <w:pageBreakBefore w:val="0"/>
        <w:kinsoku/>
        <w:topLinePunct w:val="0"/>
        <w:bidi w:val="0"/>
        <w:rPr>
          <w:lang w:val="en-US" w:eastAsia="en-US"/>
        </w:rPr>
      </w:pPr>
    </w:p>
    <w:p w14:paraId="64CF14BF">
      <w:pPr>
        <w:pageBreakBefore w:val="0"/>
        <w:kinsoku/>
        <w:topLinePunct w:val="0"/>
        <w:bidi w:val="0"/>
        <w:spacing w:before="1" w:line="203" w:lineRule="auto"/>
        <w:ind w:left="2799"/>
        <w:outlineLvl w:val="0"/>
        <w:rPr>
          <w:rFonts w:ascii="黑体" w:hAnsi="黑体" w:eastAsia="黑体" w:cs="黑体"/>
          <w:sz w:val="35"/>
          <w:szCs w:val="35"/>
        </w:rPr>
      </w:pPr>
      <w:bookmarkStart w:id="1" w:name="bookmark1"/>
      <w:bookmarkEnd w:id="1"/>
      <w:r>
        <w:rPr>
          <w:rFonts w:ascii="黑体" w:hAnsi="黑体" w:eastAsia="黑体" w:cs="黑体"/>
          <w:spacing w:val="9"/>
          <w:sz w:val="35"/>
          <w:szCs w:val="35"/>
          <w14:textOutline w14:w="6537" w14:cap="sq" w14:cmpd="sng">
            <w14:solidFill>
              <w14:srgbClr w14:val="000000"/>
            </w14:solidFill>
            <w14:prstDash w14:val="solid"/>
            <w14:bevel/>
          </w14:textOutline>
        </w:rPr>
        <w:t>第一章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竞争性磋商公告</w:t>
      </w:r>
    </w:p>
    <w:tbl>
      <w:tblPr>
        <w:tblStyle w:val="15"/>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14:paraId="4C91BFA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9" w:hRule="atLeast"/>
        </w:trPr>
        <w:tc>
          <w:tcPr>
            <w:tcW w:w="8479" w:type="dxa"/>
            <w:vAlign w:val="top"/>
          </w:tcPr>
          <w:p w14:paraId="7A87AFD1">
            <w:pPr>
              <w:pStyle w:val="16"/>
              <w:pageBreakBefore w:val="0"/>
              <w:kinsoku/>
              <w:topLinePunct w:val="0"/>
              <w:bidi w:val="0"/>
              <w:spacing w:before="200" w:line="222" w:lineRule="auto"/>
              <w:ind w:left="202"/>
            </w:pPr>
            <w:r>
              <w:rPr>
                <w:spacing w:val="-5"/>
              </w:rPr>
              <w:t>项目概况</w:t>
            </w:r>
          </w:p>
          <w:p w14:paraId="1B90E6F5">
            <w:pPr>
              <w:pStyle w:val="16"/>
              <w:pageBreakBefore w:val="0"/>
              <w:kinsoku/>
              <w:topLinePunct w:val="0"/>
              <w:bidi w:val="0"/>
              <w:spacing w:before="210" w:line="501" w:lineRule="exact"/>
              <w:ind w:right="4"/>
              <w:jc w:val="left"/>
            </w:pPr>
            <w:r>
              <w:rPr>
                <w:rFonts w:hint="eastAsia"/>
                <w:spacing w:val="-3"/>
                <w:position w:val="19"/>
                <w:lang w:val="en-US" w:eastAsia="zh-CN"/>
              </w:rPr>
              <w:t xml:space="preserve">  2024年驻阿某部队营区基础设施建设项目</w:t>
            </w:r>
            <w:r>
              <w:rPr>
                <w:rFonts w:hint="eastAsia"/>
                <w:spacing w:val="-3"/>
                <w:position w:val="19"/>
                <w:lang w:eastAsia="zh-CN"/>
              </w:rPr>
              <w:t>的潜在供应商应在政采云平台线上获取采购文件，并于2024年</w:t>
            </w:r>
            <w:r>
              <w:rPr>
                <w:rFonts w:hint="eastAsia"/>
                <w:spacing w:val="-3"/>
                <w:position w:val="19"/>
                <w:lang w:val="en-US" w:eastAsia="zh-CN"/>
              </w:rPr>
              <w:t>11</w:t>
            </w:r>
            <w:r>
              <w:rPr>
                <w:rFonts w:hint="eastAsia"/>
                <w:spacing w:val="-3"/>
                <w:position w:val="19"/>
                <w:lang w:eastAsia="zh-CN"/>
              </w:rPr>
              <w:t>月</w:t>
            </w:r>
            <w:r>
              <w:rPr>
                <w:rFonts w:hint="eastAsia"/>
                <w:spacing w:val="-3"/>
                <w:position w:val="19"/>
                <w:lang w:val="en-US" w:eastAsia="zh-CN"/>
              </w:rPr>
              <w:t>12</w:t>
            </w:r>
            <w:r>
              <w:rPr>
                <w:rFonts w:hint="eastAsia"/>
                <w:spacing w:val="-3"/>
                <w:position w:val="19"/>
                <w:lang w:eastAsia="zh-CN"/>
              </w:rPr>
              <w:t>日11时00分（北京时间）前提交响应文件。</w:t>
            </w:r>
          </w:p>
        </w:tc>
      </w:tr>
    </w:tbl>
    <w:p w14:paraId="2D2B3A81">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一、项目基本情况</w:t>
      </w:r>
    </w:p>
    <w:p w14:paraId="579112DE">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项目编号：</w:t>
      </w:r>
      <w:r>
        <w:rPr>
          <w:rFonts w:hint="eastAsia" w:ascii="仿宋" w:hAnsi="仿宋" w:eastAsia="仿宋" w:cs="仿宋"/>
          <w:b w:val="0"/>
          <w:bCs w:val="0"/>
          <w:spacing w:val="-3"/>
          <w:sz w:val="24"/>
          <w:szCs w:val="24"/>
          <w:lang w:eastAsia="zh-CN"/>
        </w:rPr>
        <w:t>2024-B-4</w:t>
      </w:r>
      <w:r>
        <w:rPr>
          <w:rFonts w:hint="eastAsia" w:ascii="仿宋" w:hAnsi="仿宋" w:eastAsia="仿宋" w:cs="仿宋"/>
          <w:b w:val="0"/>
          <w:bCs w:val="0"/>
          <w:spacing w:val="-3"/>
          <w:sz w:val="24"/>
          <w:szCs w:val="24"/>
          <w:lang w:val="en-US" w:eastAsia="zh-CN"/>
        </w:rPr>
        <w:t>8</w:t>
      </w:r>
    </w:p>
    <w:p w14:paraId="7F6D2232">
      <w:pPr>
        <w:pageBreakBefore w:val="0"/>
        <w:kinsoku/>
        <w:topLinePunct w:val="0"/>
        <w:bidi w:val="0"/>
        <w:spacing w:before="195" w:line="222" w:lineRule="auto"/>
        <w:ind w:left="30" w:firstLine="361"/>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项目名称：</w:t>
      </w:r>
      <w:r>
        <w:rPr>
          <w:rFonts w:hint="eastAsia" w:ascii="仿宋" w:hAnsi="仿宋" w:eastAsia="仿宋" w:cs="仿宋"/>
          <w:b w:val="0"/>
          <w:bCs w:val="0"/>
          <w:spacing w:val="-3"/>
          <w:sz w:val="24"/>
          <w:szCs w:val="24"/>
          <w:lang w:val="en-US" w:eastAsia="zh-CN"/>
        </w:rPr>
        <w:t>2024年驻阿某部队营区基础设施建设项目</w:t>
      </w:r>
      <w:r>
        <w:rPr>
          <w:rFonts w:hint="eastAsia" w:ascii="仿宋" w:hAnsi="仿宋" w:eastAsia="仿宋" w:cs="仿宋"/>
          <w:b w:val="0"/>
          <w:bCs w:val="0"/>
          <w:spacing w:val="-3"/>
          <w:sz w:val="24"/>
          <w:szCs w:val="24"/>
        </w:rPr>
        <w:t xml:space="preserve">    </w:t>
      </w:r>
    </w:p>
    <w:p w14:paraId="688CF59A">
      <w:pPr>
        <w:pageBreakBefore w:val="0"/>
        <w:kinsoku/>
        <w:topLinePunct w:val="0"/>
        <w:bidi w:val="0"/>
        <w:spacing w:before="195" w:line="222" w:lineRule="auto"/>
        <w:ind w:left="30" w:firstLine="361"/>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采购方式：竞争性磋商 </w:t>
      </w:r>
    </w:p>
    <w:p w14:paraId="026C87FC">
      <w:pPr>
        <w:pageBreakBefore w:val="0"/>
        <w:kinsoku/>
        <w:topLinePunct w:val="0"/>
        <w:bidi w:val="0"/>
        <w:spacing w:before="195" w:line="222" w:lineRule="auto"/>
        <w:ind w:left="30"/>
        <w:outlineLvl w:val="1"/>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预算金额（元）：</w:t>
      </w:r>
      <w:bookmarkStart w:id="2" w:name="OLE_LINK7"/>
      <w:r>
        <w:rPr>
          <w:rFonts w:hint="eastAsia" w:ascii="仿宋" w:hAnsi="仿宋" w:eastAsia="仿宋" w:cs="仿宋"/>
          <w:b w:val="0"/>
          <w:bCs w:val="0"/>
          <w:spacing w:val="-3"/>
          <w:sz w:val="24"/>
          <w:szCs w:val="24"/>
          <w:lang w:val="en-US" w:eastAsia="zh-CN"/>
        </w:rPr>
        <w:t>995050.36</w:t>
      </w:r>
    </w:p>
    <w:bookmarkEnd w:id="2"/>
    <w:p w14:paraId="16BCBC18">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最高限价（元）：</w:t>
      </w:r>
      <w:r>
        <w:rPr>
          <w:rFonts w:hint="eastAsia" w:ascii="仿宋" w:hAnsi="仿宋" w:eastAsia="仿宋" w:cs="仿宋"/>
          <w:b w:val="0"/>
          <w:bCs w:val="0"/>
          <w:spacing w:val="-3"/>
          <w:sz w:val="24"/>
          <w:szCs w:val="24"/>
          <w:lang w:val="en-US" w:eastAsia="zh-CN"/>
        </w:rPr>
        <w:t>995050.36</w:t>
      </w:r>
    </w:p>
    <w:p w14:paraId="66D0F369">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采购需求：</w:t>
      </w:r>
    </w:p>
    <w:p w14:paraId="6C86F655">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标项名称： </w:t>
      </w:r>
      <w:r>
        <w:rPr>
          <w:rFonts w:hint="eastAsia" w:ascii="仿宋" w:hAnsi="仿宋" w:eastAsia="仿宋" w:cs="仿宋"/>
          <w:b w:val="0"/>
          <w:bCs w:val="0"/>
          <w:spacing w:val="-3"/>
          <w:sz w:val="24"/>
          <w:szCs w:val="24"/>
          <w:lang w:val="en-US" w:eastAsia="zh-CN"/>
        </w:rPr>
        <w:t>2024年驻阿某部队营区基础设施建设项目   </w:t>
      </w:r>
    </w:p>
    <w:p w14:paraId="7564248B">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lang w:val="en-US" w:eastAsia="zh-CN"/>
        </w:rPr>
        <w:t>数量：1     </w:t>
      </w:r>
    </w:p>
    <w:p w14:paraId="76127480">
      <w:pPr>
        <w:pageBreakBefore w:val="0"/>
        <w:kinsoku/>
        <w:topLinePunct w:val="0"/>
        <w:bidi w:val="0"/>
        <w:spacing w:before="195" w:line="222" w:lineRule="auto"/>
        <w:ind w:left="30"/>
        <w:outlineLvl w:val="1"/>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预算金额（元）：</w:t>
      </w:r>
      <w:r>
        <w:rPr>
          <w:rFonts w:hint="eastAsia" w:ascii="仿宋" w:hAnsi="仿宋" w:eastAsia="仿宋" w:cs="仿宋"/>
          <w:b w:val="0"/>
          <w:bCs w:val="0"/>
          <w:spacing w:val="-3"/>
          <w:sz w:val="24"/>
          <w:szCs w:val="24"/>
          <w:lang w:val="en-US" w:eastAsia="zh-CN"/>
        </w:rPr>
        <w:t>995050.36</w:t>
      </w:r>
    </w:p>
    <w:p w14:paraId="281C332B">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单位：项 </w:t>
      </w:r>
    </w:p>
    <w:p w14:paraId="02DA01CD">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eastAsia="zh-CN"/>
        </w:rPr>
      </w:pPr>
      <w:r>
        <w:rPr>
          <w:rFonts w:hint="eastAsia" w:ascii="仿宋" w:hAnsi="仿宋" w:eastAsia="仿宋" w:cs="仿宋"/>
          <w:b w:val="0"/>
          <w:bCs w:val="0"/>
          <w:spacing w:val="-3"/>
          <w:sz w:val="24"/>
          <w:szCs w:val="24"/>
        </w:rPr>
        <w:t>   简要规格描述：</w:t>
      </w:r>
      <w:bookmarkStart w:id="3" w:name="OLE_LINK6"/>
      <w:r>
        <w:rPr>
          <w:rFonts w:hint="eastAsia" w:ascii="仿宋" w:hAnsi="仿宋" w:eastAsia="仿宋" w:cs="仿宋"/>
          <w:b w:val="0"/>
          <w:bCs w:val="0"/>
          <w:spacing w:val="-3"/>
          <w:sz w:val="24"/>
          <w:szCs w:val="24"/>
          <w:lang w:eastAsia="zh-CN"/>
        </w:rPr>
        <w:t>延伸营区路面；改建 1 间保鲜室；新建羽毛球场；营区内地面硬化。（详见竞争性磋商文件及工程量清单）</w:t>
      </w:r>
    </w:p>
    <w:bookmarkEnd w:id="3"/>
    <w:p w14:paraId="2967FD1D">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备注： </w:t>
      </w:r>
    </w:p>
    <w:p w14:paraId="3E38B927">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合同履约期限：标项 1</w:t>
      </w:r>
      <w:r>
        <w:rPr>
          <w:rFonts w:hint="eastAsia" w:ascii="仿宋" w:hAnsi="仿宋" w:eastAsia="仿宋" w:cs="仿宋"/>
          <w:b w:val="0"/>
          <w:bCs w:val="0"/>
          <w:color w:val="auto"/>
          <w:spacing w:val="-3"/>
          <w:sz w:val="24"/>
          <w:szCs w:val="24"/>
        </w:rPr>
        <w:t>，</w:t>
      </w:r>
      <w:r>
        <w:rPr>
          <w:rFonts w:hint="eastAsia" w:ascii="仿宋" w:hAnsi="仿宋" w:eastAsia="仿宋" w:cs="仿宋"/>
          <w:b w:val="0"/>
          <w:bCs w:val="0"/>
          <w:color w:val="auto"/>
          <w:spacing w:val="-3"/>
          <w:sz w:val="24"/>
          <w:szCs w:val="24"/>
          <w:highlight w:val="none"/>
          <w:lang w:eastAsia="zh-CN"/>
        </w:rPr>
        <w:t>合同签订后45天内完成</w:t>
      </w:r>
      <w:r>
        <w:rPr>
          <w:rFonts w:hint="eastAsia" w:ascii="仿宋" w:hAnsi="仿宋" w:eastAsia="仿宋" w:cs="仿宋"/>
          <w:b w:val="0"/>
          <w:bCs w:val="0"/>
          <w:color w:val="auto"/>
          <w:spacing w:val="-3"/>
          <w:sz w:val="24"/>
          <w:szCs w:val="24"/>
          <w:lang w:eastAsia="zh-CN"/>
        </w:rPr>
        <w:t>。</w:t>
      </w:r>
    </w:p>
    <w:p w14:paraId="72482126">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本项目（否）接受联合体投标。  </w:t>
      </w:r>
    </w:p>
    <w:p w14:paraId="1FE16221">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二、申请人的资格要求：</w:t>
      </w:r>
    </w:p>
    <w:p w14:paraId="1B9E3497">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1.满足《中华人民共和国政府采购法》第二十二条规定；</w:t>
      </w:r>
    </w:p>
    <w:p w14:paraId="0A9DEBE0">
      <w:pPr>
        <w:pageBreakBefore w:val="0"/>
        <w:kinsoku/>
        <w:wordWrap/>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2.落实政府采购政策需满足的资格要求：标项1：</w:t>
      </w:r>
      <w:r>
        <w:rPr>
          <w:rFonts w:hint="eastAsia" w:ascii="仿宋" w:hAnsi="仿宋" w:eastAsia="仿宋" w:cs="仿宋"/>
          <w:b w:val="0"/>
          <w:bCs w:val="0"/>
          <w:spacing w:val="-3"/>
          <w:sz w:val="24"/>
          <w:szCs w:val="24"/>
          <w:lang w:val="en-US" w:eastAsia="zh-CN"/>
        </w:rPr>
        <w:t xml:space="preserve">（1）《新疆维吾尔自治区政府采购促进中小企业发展管理实施办法》（新财规〔2021〕6号）； </w:t>
      </w:r>
    </w:p>
    <w:p w14:paraId="1022C24A">
      <w:pPr>
        <w:pageBreakBefore w:val="0"/>
        <w:kinsoku/>
        <w:wordWrap/>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xml:space="preserve">（2）《财政部、司法部关于政府采购支持监狱企业发展有关问题的通知》（财库〔2014〕68号）； </w:t>
      </w:r>
    </w:p>
    <w:p w14:paraId="0431C0CA">
      <w:pPr>
        <w:pageBreakBefore w:val="0"/>
        <w:kinsoku/>
        <w:wordWrap/>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xml:space="preserve">（3）财政部 生态环境部关于印发环境标志产品政府采购品目清单的通知（财库〔2019〕18号）； </w:t>
      </w:r>
    </w:p>
    <w:p w14:paraId="0DDEC317">
      <w:pPr>
        <w:pageBreakBefore w:val="0"/>
        <w:kinsoku/>
        <w:wordWrap/>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（4）《财政部 民政部 中国残疾人联合会关于促进残疾人就业政府采购政策的通知》财库〔2017〕141号。</w:t>
      </w:r>
    </w:p>
    <w:p w14:paraId="6C7A4475">
      <w:pPr>
        <w:pageBreakBefore w:val="0"/>
        <w:kinsoku/>
        <w:wordWrap/>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668355E8">
      <w:pPr>
        <w:pageBreakBefore w:val="0"/>
        <w:kinsoku/>
        <w:topLinePunct w:val="0"/>
        <w:bidi w:val="0"/>
        <w:spacing w:before="195" w:line="222" w:lineRule="auto"/>
        <w:ind w:left="30" w:firstLine="361"/>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lang w:val="en-US" w:eastAsia="zh-CN"/>
        </w:rPr>
        <w:t>6</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rPr>
        <w:t>本项目专门面向中小企业 </w:t>
      </w:r>
      <w:r>
        <w:rPr>
          <w:rFonts w:hint="eastAsia" w:ascii="仿宋" w:hAnsi="仿宋" w:eastAsia="仿宋" w:cs="仿宋"/>
          <w:b w:val="0"/>
          <w:bCs w:val="0"/>
          <w:spacing w:val="-3"/>
          <w:sz w:val="24"/>
          <w:szCs w:val="24"/>
          <w:lang w:eastAsia="zh-CN"/>
        </w:rPr>
        <w:t>。</w:t>
      </w:r>
    </w:p>
    <w:p w14:paraId="28286611">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3.本项目的特定资格要求：</w:t>
      </w:r>
      <w:r>
        <w:rPr>
          <w:rFonts w:hint="eastAsia" w:ascii="仿宋" w:hAnsi="仿宋" w:eastAsia="仿宋" w:cs="仿宋"/>
          <w:b w:val="0"/>
          <w:bCs w:val="0"/>
          <w:spacing w:val="-3"/>
          <w:sz w:val="24"/>
          <w:szCs w:val="24"/>
        </w:rPr>
        <w:br w:type="textWrapping"/>
      </w:r>
      <w:r>
        <w:rPr>
          <w:rFonts w:hint="eastAsia" w:ascii="仿宋" w:hAnsi="仿宋" w:eastAsia="仿宋" w:cs="仿宋"/>
          <w:b w:val="0"/>
          <w:bCs w:val="0"/>
          <w:spacing w:val="-3"/>
          <w:sz w:val="24"/>
          <w:szCs w:val="24"/>
        </w:rPr>
        <w:t>【标项1】</w:t>
      </w:r>
      <w:r>
        <w:rPr>
          <w:rFonts w:hint="eastAsia" w:ascii="仿宋" w:hAnsi="仿宋" w:eastAsia="仿宋" w:cs="仿宋"/>
          <w:b w:val="0"/>
          <w:bCs w:val="0"/>
          <w:spacing w:val="-3"/>
          <w:sz w:val="24"/>
          <w:szCs w:val="24"/>
        </w:rPr>
        <w:br w:type="textWrapping"/>
      </w:r>
      <w:r>
        <w:rPr>
          <w:rFonts w:hint="eastAsia" w:ascii="仿宋" w:hAnsi="仿宋" w:eastAsia="仿宋" w:cs="仿宋"/>
          <w:b w:val="0"/>
          <w:bCs w:val="0"/>
          <w:spacing w:val="-3"/>
          <w:sz w:val="24"/>
          <w:szCs w:val="24"/>
          <w:lang w:eastAsia="zh-CN"/>
        </w:rPr>
        <w:t>具备建筑工程施工总承包叁级及以上资质、有效的安全生产许可证；拟派项目负责人须具备建筑工程专业贰级及以上建造师注册证书、有效的安全考核合格证，且未担任其他在建建设工程项目的项目经理。</w:t>
      </w:r>
    </w:p>
    <w:p w14:paraId="0FFC8677">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三、获取采购文件</w:t>
      </w:r>
    </w:p>
    <w:p w14:paraId="7804472B">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时间：2024年</w:t>
      </w:r>
      <w:r>
        <w:rPr>
          <w:rFonts w:hint="eastAsia" w:ascii="仿宋" w:hAnsi="仿宋" w:eastAsia="仿宋" w:cs="仿宋"/>
          <w:b w:val="0"/>
          <w:bCs w:val="0"/>
          <w:spacing w:val="-3"/>
          <w:sz w:val="24"/>
          <w:szCs w:val="24"/>
          <w:lang w:val="en-US" w:eastAsia="zh-CN"/>
        </w:rPr>
        <w:t>10</w:t>
      </w:r>
      <w:r>
        <w:rPr>
          <w:rFonts w:hint="eastAsia" w:ascii="仿宋" w:hAnsi="仿宋" w:eastAsia="仿宋" w:cs="仿宋"/>
          <w:b w:val="0"/>
          <w:bCs w:val="0"/>
          <w:spacing w:val="-3"/>
          <w:sz w:val="24"/>
          <w:szCs w:val="24"/>
        </w:rPr>
        <w:t>月</w:t>
      </w:r>
      <w:r>
        <w:rPr>
          <w:rFonts w:hint="eastAsia" w:ascii="仿宋" w:hAnsi="仿宋" w:eastAsia="仿宋" w:cs="仿宋"/>
          <w:b w:val="0"/>
          <w:bCs w:val="0"/>
          <w:spacing w:val="-3"/>
          <w:sz w:val="24"/>
          <w:szCs w:val="24"/>
          <w:lang w:val="en-US" w:eastAsia="zh-CN"/>
        </w:rPr>
        <w:t>30</w:t>
      </w:r>
      <w:r>
        <w:rPr>
          <w:rFonts w:hint="eastAsia" w:ascii="仿宋" w:hAnsi="仿宋" w:eastAsia="仿宋" w:cs="仿宋"/>
          <w:b w:val="0"/>
          <w:bCs w:val="0"/>
          <w:spacing w:val="-3"/>
          <w:sz w:val="24"/>
          <w:szCs w:val="24"/>
        </w:rPr>
        <w:t>日至2024年</w:t>
      </w:r>
      <w:r>
        <w:rPr>
          <w:rFonts w:hint="eastAsia" w:ascii="仿宋" w:hAnsi="仿宋" w:eastAsia="仿宋" w:cs="仿宋"/>
          <w:b w:val="0"/>
          <w:bCs w:val="0"/>
          <w:spacing w:val="-3"/>
          <w:sz w:val="24"/>
          <w:szCs w:val="24"/>
          <w:lang w:val="en-US" w:eastAsia="zh-CN"/>
        </w:rPr>
        <w:t>11</w:t>
      </w:r>
      <w:r>
        <w:rPr>
          <w:rFonts w:hint="eastAsia" w:ascii="仿宋" w:hAnsi="仿宋" w:eastAsia="仿宋" w:cs="仿宋"/>
          <w:b w:val="0"/>
          <w:bCs w:val="0"/>
          <w:spacing w:val="-3"/>
          <w:sz w:val="24"/>
          <w:szCs w:val="24"/>
        </w:rPr>
        <w:t>月</w:t>
      </w:r>
      <w:r>
        <w:rPr>
          <w:rFonts w:hint="eastAsia" w:ascii="仿宋" w:hAnsi="仿宋" w:eastAsia="仿宋" w:cs="仿宋"/>
          <w:b w:val="0"/>
          <w:bCs w:val="0"/>
          <w:spacing w:val="-3"/>
          <w:sz w:val="24"/>
          <w:szCs w:val="24"/>
          <w:lang w:val="en-US" w:eastAsia="zh-CN"/>
        </w:rPr>
        <w:t>06</w:t>
      </w:r>
      <w:r>
        <w:rPr>
          <w:rFonts w:hint="eastAsia" w:ascii="仿宋" w:hAnsi="仿宋" w:eastAsia="仿宋" w:cs="仿宋"/>
          <w:b w:val="0"/>
          <w:bCs w:val="0"/>
          <w:spacing w:val="-3"/>
          <w:sz w:val="24"/>
          <w:szCs w:val="24"/>
        </w:rPr>
        <w:t>日，每天上午</w:t>
      </w:r>
      <w:r>
        <w:rPr>
          <w:rFonts w:hint="eastAsia" w:ascii="仿宋" w:hAnsi="仿宋" w:eastAsia="仿宋" w:cs="仿宋"/>
          <w:b w:val="0"/>
          <w:bCs w:val="0"/>
          <w:spacing w:val="-3"/>
          <w:sz w:val="24"/>
          <w:szCs w:val="24"/>
          <w:lang w:val="en-US" w:eastAsia="zh-CN"/>
        </w:rPr>
        <w:t>10</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0</w:t>
      </w:r>
      <w:r>
        <w:rPr>
          <w:rFonts w:hint="eastAsia" w:ascii="仿宋" w:hAnsi="仿宋" w:eastAsia="仿宋" w:cs="仿宋"/>
          <w:b w:val="0"/>
          <w:bCs w:val="0"/>
          <w:spacing w:val="-3"/>
          <w:sz w:val="24"/>
          <w:szCs w:val="24"/>
        </w:rPr>
        <w:t>0至1</w:t>
      </w:r>
      <w:r>
        <w:rPr>
          <w:rFonts w:hint="eastAsia" w:ascii="仿宋" w:hAnsi="仿宋" w:eastAsia="仿宋" w:cs="仿宋"/>
          <w:b w:val="0"/>
          <w:bCs w:val="0"/>
          <w:spacing w:val="-3"/>
          <w:sz w:val="24"/>
          <w:szCs w:val="24"/>
          <w:lang w:val="en-US" w:eastAsia="zh-CN"/>
        </w:rPr>
        <w:t>4</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0</w:t>
      </w:r>
      <w:r>
        <w:rPr>
          <w:rFonts w:hint="eastAsia" w:ascii="仿宋" w:hAnsi="仿宋" w:eastAsia="仿宋" w:cs="仿宋"/>
          <w:b w:val="0"/>
          <w:bCs w:val="0"/>
          <w:spacing w:val="-3"/>
          <w:sz w:val="24"/>
          <w:szCs w:val="24"/>
        </w:rPr>
        <w:t>0，下午1</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0至</w:t>
      </w:r>
      <w:r>
        <w:rPr>
          <w:rFonts w:hint="eastAsia" w:ascii="仿宋" w:hAnsi="仿宋" w:eastAsia="仿宋" w:cs="仿宋"/>
          <w:b w:val="0"/>
          <w:bCs w:val="0"/>
          <w:spacing w:val="-3"/>
          <w:sz w:val="24"/>
          <w:szCs w:val="24"/>
          <w:lang w:val="en-US" w:eastAsia="zh-CN"/>
        </w:rPr>
        <w:t>19</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0（北京时间，法定节假日除外）</w:t>
      </w:r>
    </w:p>
    <w:p w14:paraId="62764932">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地点：政采云平台线上 </w:t>
      </w:r>
    </w:p>
    <w:p w14:paraId="745ECA5E">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40EC065">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售价（元）： 0 </w:t>
      </w:r>
    </w:p>
    <w:p w14:paraId="06027E8A">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四、响应文件提交 </w:t>
      </w:r>
    </w:p>
    <w:p w14:paraId="41D87D31">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截止时间：</w:t>
      </w:r>
      <w:r>
        <w:rPr>
          <w:rFonts w:hint="eastAsia" w:ascii="仿宋" w:hAnsi="仿宋" w:eastAsia="仿宋" w:cs="仿宋"/>
          <w:b w:val="0"/>
          <w:bCs w:val="0"/>
          <w:spacing w:val="-3"/>
          <w:sz w:val="24"/>
          <w:szCs w:val="24"/>
          <w:lang w:eastAsia="zh-CN"/>
        </w:rPr>
        <w:t>2024年</w:t>
      </w:r>
      <w:r>
        <w:rPr>
          <w:rFonts w:hint="eastAsia" w:ascii="仿宋" w:hAnsi="仿宋" w:eastAsia="仿宋" w:cs="仿宋"/>
          <w:b w:val="0"/>
          <w:bCs w:val="0"/>
          <w:spacing w:val="-3"/>
          <w:sz w:val="24"/>
          <w:szCs w:val="24"/>
          <w:lang w:val="en-US" w:eastAsia="zh-CN"/>
        </w:rPr>
        <w:t>11</w:t>
      </w:r>
      <w:r>
        <w:rPr>
          <w:rFonts w:hint="eastAsia" w:ascii="仿宋" w:hAnsi="仿宋" w:eastAsia="仿宋" w:cs="仿宋"/>
          <w:b w:val="0"/>
          <w:bCs w:val="0"/>
          <w:spacing w:val="-3"/>
          <w:sz w:val="24"/>
          <w:szCs w:val="24"/>
          <w:lang w:eastAsia="zh-CN"/>
        </w:rPr>
        <w:t>月</w:t>
      </w:r>
      <w:r>
        <w:rPr>
          <w:rFonts w:hint="eastAsia" w:ascii="仿宋" w:hAnsi="仿宋" w:eastAsia="仿宋" w:cs="仿宋"/>
          <w:b w:val="0"/>
          <w:bCs w:val="0"/>
          <w:spacing w:val="-3"/>
          <w:sz w:val="24"/>
          <w:szCs w:val="24"/>
          <w:lang w:val="en-US" w:eastAsia="zh-CN"/>
        </w:rPr>
        <w:t>12</w:t>
      </w:r>
      <w:r>
        <w:rPr>
          <w:rFonts w:hint="eastAsia" w:ascii="仿宋" w:hAnsi="仿宋" w:eastAsia="仿宋" w:cs="仿宋"/>
          <w:b w:val="0"/>
          <w:bCs w:val="0"/>
          <w:spacing w:val="-3"/>
          <w:sz w:val="24"/>
          <w:szCs w:val="24"/>
          <w:lang w:eastAsia="zh-CN"/>
        </w:rPr>
        <w:t>日 11:00</w:t>
      </w:r>
      <w:r>
        <w:rPr>
          <w:rFonts w:hint="eastAsia" w:ascii="仿宋" w:hAnsi="仿宋" w:eastAsia="仿宋" w:cs="仿宋"/>
          <w:b w:val="0"/>
          <w:bCs w:val="0"/>
          <w:spacing w:val="-3"/>
          <w:sz w:val="24"/>
          <w:szCs w:val="24"/>
        </w:rPr>
        <w:t>（北京时间）</w:t>
      </w:r>
    </w:p>
    <w:p w14:paraId="583201AA">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地点：请登录政采云投标客户端投标 </w:t>
      </w:r>
    </w:p>
    <w:p w14:paraId="03CDB364">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五、响应文件开启 </w:t>
      </w:r>
    </w:p>
    <w:p w14:paraId="228ADD03">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开启时间：</w:t>
      </w:r>
      <w:r>
        <w:rPr>
          <w:rFonts w:hint="eastAsia" w:ascii="仿宋" w:hAnsi="仿宋" w:eastAsia="仿宋" w:cs="仿宋"/>
          <w:b w:val="0"/>
          <w:bCs w:val="0"/>
          <w:spacing w:val="-3"/>
          <w:sz w:val="24"/>
          <w:szCs w:val="24"/>
          <w:lang w:eastAsia="zh-CN"/>
        </w:rPr>
        <w:t>2024年</w:t>
      </w:r>
      <w:r>
        <w:rPr>
          <w:rFonts w:hint="eastAsia" w:ascii="仿宋" w:hAnsi="仿宋" w:eastAsia="仿宋" w:cs="仿宋"/>
          <w:b w:val="0"/>
          <w:bCs w:val="0"/>
          <w:spacing w:val="-3"/>
          <w:sz w:val="24"/>
          <w:szCs w:val="24"/>
          <w:lang w:val="en-US" w:eastAsia="zh-CN"/>
        </w:rPr>
        <w:t>11</w:t>
      </w:r>
      <w:r>
        <w:rPr>
          <w:rFonts w:hint="eastAsia" w:ascii="仿宋" w:hAnsi="仿宋" w:eastAsia="仿宋" w:cs="仿宋"/>
          <w:b w:val="0"/>
          <w:bCs w:val="0"/>
          <w:spacing w:val="-3"/>
          <w:sz w:val="24"/>
          <w:szCs w:val="24"/>
          <w:lang w:eastAsia="zh-CN"/>
        </w:rPr>
        <w:t>月</w:t>
      </w:r>
      <w:r>
        <w:rPr>
          <w:rFonts w:hint="eastAsia" w:ascii="仿宋" w:hAnsi="仿宋" w:eastAsia="仿宋" w:cs="仿宋"/>
          <w:b w:val="0"/>
          <w:bCs w:val="0"/>
          <w:spacing w:val="-3"/>
          <w:sz w:val="24"/>
          <w:szCs w:val="24"/>
          <w:lang w:val="en-US" w:eastAsia="zh-CN"/>
        </w:rPr>
        <w:t>12</w:t>
      </w:r>
      <w:r>
        <w:rPr>
          <w:rFonts w:hint="eastAsia" w:ascii="仿宋" w:hAnsi="仿宋" w:eastAsia="仿宋" w:cs="仿宋"/>
          <w:b w:val="0"/>
          <w:bCs w:val="0"/>
          <w:spacing w:val="-3"/>
          <w:sz w:val="24"/>
          <w:szCs w:val="24"/>
          <w:lang w:eastAsia="zh-CN"/>
        </w:rPr>
        <w:t>日 11:00</w:t>
      </w:r>
      <w:r>
        <w:rPr>
          <w:rFonts w:hint="eastAsia" w:ascii="仿宋" w:hAnsi="仿宋" w:eastAsia="仿宋" w:cs="仿宋"/>
          <w:b w:val="0"/>
          <w:bCs w:val="0"/>
          <w:spacing w:val="-3"/>
          <w:sz w:val="24"/>
          <w:szCs w:val="24"/>
        </w:rPr>
        <w:t> （北京时间）</w:t>
      </w:r>
    </w:p>
    <w:p w14:paraId="196B3F6A">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地点：投标人登录政采云平台https://www.zcygov.cn/，进入“项目采购-开标</w:t>
      </w:r>
      <w:r>
        <w:rPr>
          <w:rFonts w:hint="eastAsia" w:ascii="仿宋" w:hAnsi="仿宋" w:eastAsia="仿宋" w:cs="仿宋"/>
          <w:b w:val="0"/>
          <w:bCs w:val="0"/>
          <w:spacing w:val="-3"/>
          <w:sz w:val="24"/>
          <w:szCs w:val="24"/>
          <w:lang w:eastAsia="zh-CN"/>
        </w:rPr>
        <w:t>评审</w:t>
      </w:r>
      <w:r>
        <w:rPr>
          <w:rFonts w:hint="eastAsia" w:ascii="仿宋" w:hAnsi="仿宋" w:eastAsia="仿宋" w:cs="仿宋"/>
          <w:b w:val="0"/>
          <w:bCs w:val="0"/>
          <w:spacing w:val="-3"/>
          <w:sz w:val="24"/>
          <w:szCs w:val="24"/>
        </w:rPr>
        <w:t>-右边选择对应项目点击“进入项目”进入开标大厅。</w:t>
      </w:r>
    </w:p>
    <w:p w14:paraId="17EC2417">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六、公告期限</w:t>
      </w:r>
    </w:p>
    <w:p w14:paraId="5FB26BEF">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自本公告发布之日起</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个工作日。</w:t>
      </w:r>
    </w:p>
    <w:p w14:paraId="34FF2755">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七、其他补充事宜 </w:t>
      </w:r>
    </w:p>
    <w:p w14:paraId="341A91A0">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w:t>
      </w:r>
      <w:r>
        <w:rPr>
          <w:rFonts w:hint="eastAsia" w:ascii="仿宋" w:hAnsi="仿宋" w:eastAsia="仿宋" w:cs="仿宋"/>
          <w:b w:val="0"/>
          <w:bCs w:val="0"/>
          <w:spacing w:val="-3"/>
          <w:sz w:val="24"/>
          <w:szCs w:val="24"/>
          <w:lang w:val="en-US" w:eastAsia="zh-CN"/>
        </w:rPr>
        <w:t>1、</w:t>
      </w:r>
      <w:r>
        <w:rPr>
          <w:rFonts w:hint="eastAsia" w:ascii="仿宋" w:hAnsi="仿宋" w:eastAsia="仿宋" w:cs="仿宋"/>
          <w:b w:val="0"/>
          <w:bCs w:val="0"/>
          <w:spacing w:val="-3"/>
          <w:sz w:val="24"/>
          <w:szCs w:val="24"/>
        </w:rPr>
        <w:t>本项目实行网上投标，采用电子</w:t>
      </w:r>
      <w:r>
        <w:rPr>
          <w:rFonts w:hint="eastAsia" w:ascii="仿宋" w:hAnsi="仿宋" w:eastAsia="仿宋" w:cs="仿宋"/>
          <w:b w:val="0"/>
          <w:bCs w:val="0"/>
          <w:spacing w:val="-3"/>
          <w:sz w:val="24"/>
          <w:szCs w:val="24"/>
          <w:lang w:eastAsia="zh-CN"/>
        </w:rPr>
        <w:t>响应文件</w:t>
      </w:r>
      <w:r>
        <w:rPr>
          <w:rFonts w:hint="eastAsia" w:ascii="仿宋" w:hAnsi="仿宋" w:eastAsia="仿宋" w:cs="仿宋"/>
          <w:b w:val="0"/>
          <w:bCs w:val="0"/>
          <w:spacing w:val="-3"/>
          <w:sz w:val="24"/>
          <w:szCs w:val="24"/>
        </w:rPr>
        <w:t>； 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w:t>
      </w:r>
      <w:r>
        <w:rPr>
          <w:rFonts w:hint="eastAsia" w:ascii="仿宋" w:hAnsi="仿宋" w:eastAsia="仿宋" w:cs="仿宋"/>
          <w:b w:val="0"/>
          <w:bCs w:val="0"/>
          <w:spacing w:val="-3"/>
          <w:sz w:val="24"/>
          <w:szCs w:val="24"/>
          <w:lang w:eastAsia="zh-CN"/>
        </w:rPr>
        <w:t>评审</w:t>
      </w:r>
      <w:r>
        <w:rPr>
          <w:rFonts w:hint="eastAsia" w:ascii="仿宋" w:hAnsi="仿宋" w:eastAsia="仿宋" w:cs="仿宋"/>
          <w:b w:val="0"/>
          <w:bCs w:val="0"/>
          <w:spacing w:val="-3"/>
          <w:sz w:val="24"/>
          <w:szCs w:val="24"/>
        </w:rPr>
        <w:t>的供应商，可访问新疆数字证书认证中心官方网站（https://www.xjca.com.cn/）或下载“新疆政务通”APP自行进行申领； 3、供应商将政采云电子交易客户端下载、安装完成后，可通过账号密码或CA登录客户端进行</w:t>
      </w:r>
      <w:r>
        <w:rPr>
          <w:rFonts w:hint="eastAsia" w:ascii="仿宋" w:hAnsi="仿宋" w:eastAsia="仿宋" w:cs="仿宋"/>
          <w:b w:val="0"/>
          <w:bCs w:val="0"/>
          <w:spacing w:val="-3"/>
          <w:sz w:val="24"/>
          <w:szCs w:val="24"/>
          <w:lang w:eastAsia="zh-CN"/>
        </w:rPr>
        <w:t>响应文件</w:t>
      </w:r>
      <w:r>
        <w:rPr>
          <w:rFonts w:hint="eastAsia" w:ascii="仿宋" w:hAnsi="仿宋" w:eastAsia="仿宋" w:cs="仿宋"/>
          <w:b w:val="0"/>
          <w:bCs w:val="0"/>
          <w:spacing w:val="-3"/>
          <w:sz w:val="24"/>
          <w:szCs w:val="24"/>
        </w:rPr>
        <w:t>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rPr>
        <w:t xml:space="preserve"> 4、供应商操作指南详见新疆政府采购网（http://www.ccgp-xinjiang.gov.cn/）—办事指南—操作指南。  </w:t>
      </w:r>
    </w:p>
    <w:p w14:paraId="49613B25">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特别提示：</w:t>
      </w:r>
    </w:p>
    <w:p w14:paraId="7F2D8D06">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1、采购限额标准以上，200万元以下的货物和服务采购项目、400万元以下的工程采购项目，适宜由中小企业提供的，采购人应当专门面向中小企业采购。</w:t>
      </w:r>
    </w:p>
    <w:p w14:paraId="56632C26">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2、超过200万元的货物和服务采购项目，预留该部分采购项目预算总额的30%以上专门面向中小企业采购，其中预留给小微企业的比例不低于60%。</w:t>
      </w:r>
    </w:p>
    <w:p w14:paraId="4E591321">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3、超过400万元的工程采购项目中适宜由中小企业提供的，预留该部分采购项目预算总额的40%以上专门面向中小企业采购，其中预留给小微企业的比例不低于60%。</w:t>
      </w:r>
    </w:p>
    <w:p w14:paraId="71B43DEA">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w:t>
      </w:r>
      <w:r>
        <w:rPr>
          <w:rFonts w:hint="eastAsia" w:ascii="仿宋" w:hAnsi="仿宋" w:eastAsia="仿宋" w:cs="仿宋"/>
          <w:b w:val="0"/>
          <w:bCs w:val="0"/>
          <w:spacing w:val="-3"/>
          <w:sz w:val="24"/>
          <w:szCs w:val="24"/>
          <w:lang w:eastAsia="zh-CN"/>
        </w:rPr>
        <w:t>评审</w:t>
      </w:r>
      <w:r>
        <w:rPr>
          <w:rFonts w:hint="eastAsia" w:ascii="仿宋" w:hAnsi="仿宋" w:eastAsia="仿宋" w:cs="仿宋"/>
          <w:b w:val="0"/>
          <w:bCs w:val="0"/>
          <w:spacing w:val="-3"/>
          <w:sz w:val="24"/>
          <w:szCs w:val="24"/>
        </w:rPr>
        <w:t>时应当在采用原报价进行评分的基础上增加其价格得分的3%~5%作为其价格分。</w:t>
      </w:r>
    </w:p>
    <w:p w14:paraId="79460584">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w:t>
      </w:r>
      <w:r>
        <w:rPr>
          <w:rFonts w:hint="eastAsia" w:ascii="仿宋" w:hAnsi="仿宋" w:eastAsia="仿宋" w:cs="仿宋"/>
          <w:b w:val="0"/>
          <w:bCs w:val="0"/>
          <w:spacing w:val="-3"/>
          <w:sz w:val="24"/>
          <w:szCs w:val="24"/>
          <w:lang w:eastAsia="zh-CN"/>
        </w:rPr>
        <w:t>评审</w:t>
      </w:r>
      <w:r>
        <w:rPr>
          <w:rFonts w:hint="eastAsia" w:ascii="仿宋" w:hAnsi="仿宋" w:eastAsia="仿宋" w:cs="仿宋"/>
          <w:b w:val="0"/>
          <w:bCs w:val="0"/>
          <w:spacing w:val="-3"/>
          <w:sz w:val="24"/>
          <w:szCs w:val="24"/>
        </w:rPr>
        <w:t>时应当在采用原报价进行评分的基础上增加其价格得分的1%~2%作为其价格分。</w:t>
      </w:r>
    </w:p>
    <w:p w14:paraId="023A031B">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八、凡对本次采购提出询问，请按以下方式联系。</w:t>
      </w:r>
    </w:p>
    <w:p w14:paraId="236FC075">
      <w:pPr>
        <w:pageBreakBefore w:val="0"/>
        <w:kinsoku/>
        <w:wordWrap/>
        <w:topLinePunct w:val="0"/>
        <w:bidi w:val="0"/>
        <w:spacing w:line="223" w:lineRule="auto"/>
        <w:ind w:firstLine="480" w:firstLineChars="200"/>
        <w:rPr>
          <w:rFonts w:hint="eastAsia" w:ascii="仿宋" w:hAnsi="仿宋" w:eastAsia="仿宋" w:cs="仿宋"/>
          <w:sz w:val="24"/>
          <w:szCs w:val="24"/>
        </w:rPr>
      </w:pPr>
      <w:bookmarkStart w:id="4" w:name="bookmark2"/>
      <w:bookmarkEnd w:id="4"/>
      <w:r>
        <w:rPr>
          <w:rFonts w:hint="eastAsia" w:ascii="仿宋" w:hAnsi="仿宋" w:eastAsia="仿宋" w:cs="仿宋"/>
          <w:sz w:val="24"/>
          <w:szCs w:val="24"/>
        </w:rPr>
        <w:t>1.采购人信息</w:t>
      </w:r>
    </w:p>
    <w:p w14:paraId="1A62A2A2">
      <w:pPr>
        <w:pageBreakBefore w:val="0"/>
        <w:kinsoku/>
        <w:wordWrap/>
        <w:topLinePunct w:val="0"/>
        <w:bidi w:val="0"/>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eastAsia="zh-CN"/>
        </w:rPr>
        <w:t>阿克苏市退役军人事务局</w:t>
      </w:r>
    </w:p>
    <w:p w14:paraId="7544DBEA">
      <w:pPr>
        <w:pageBreakBefore w:val="0"/>
        <w:kinsoku/>
        <w:wordWrap/>
        <w:topLinePunct w:val="0"/>
        <w:bidi w:val="0"/>
        <w:spacing w:line="223"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址：阿克苏市综合办公区</w:t>
      </w:r>
    </w:p>
    <w:p w14:paraId="38D99E76">
      <w:pPr>
        <w:pageBreakBefore w:val="0"/>
        <w:kinsoku/>
        <w:wordWrap/>
        <w:topLinePunct w:val="0"/>
        <w:bidi w:val="0"/>
        <w:spacing w:line="223"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0997-2222925</w:t>
      </w:r>
    </w:p>
    <w:p w14:paraId="6AD5E159">
      <w:pPr>
        <w:pageBreakBefore w:val="0"/>
        <w:kinsoku/>
        <w:wordWrap/>
        <w:topLinePunct w:val="0"/>
        <w:bidi w:val="0"/>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A8A2F07">
      <w:pPr>
        <w:pageBreakBefore w:val="0"/>
        <w:kinsoku/>
        <w:wordWrap/>
        <w:topLinePunct w:val="0"/>
        <w:bidi w:val="0"/>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eastAsia="zh-CN"/>
        </w:rPr>
        <w:t>阿克苏疆山项目管理有限公司</w:t>
      </w:r>
    </w:p>
    <w:p w14:paraId="6AF7DF6C">
      <w:pPr>
        <w:pageBreakBefore w:val="0"/>
        <w:kinsoku/>
        <w:wordWrap/>
        <w:topLinePunct w:val="0"/>
        <w:bidi w:val="0"/>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eastAsia="zh-CN"/>
        </w:rPr>
        <w:t>阿克苏市采荷路1号云山悦府12-2-202室</w:t>
      </w:r>
    </w:p>
    <w:p w14:paraId="01175F73">
      <w:pPr>
        <w:pageBreakBefore w:val="0"/>
        <w:kinsoku/>
        <w:wordWrap/>
        <w:topLinePunct w:val="0"/>
        <w:bidi w:val="0"/>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14719973959</w:t>
      </w:r>
    </w:p>
    <w:p w14:paraId="0641BE3C">
      <w:pPr>
        <w:pageBreakBefore w:val="0"/>
        <w:kinsoku/>
        <w:wordWrap/>
        <w:topLinePunct w:val="0"/>
        <w:bidi w:val="0"/>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3.项目联系方式</w:t>
      </w:r>
    </w:p>
    <w:p w14:paraId="36F452A4">
      <w:pPr>
        <w:pageBreakBefore w:val="0"/>
        <w:kinsoku/>
        <w:wordWrap/>
        <w:topLinePunct w:val="0"/>
        <w:bidi w:val="0"/>
        <w:spacing w:line="223"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罗磊</w:t>
      </w:r>
    </w:p>
    <w:p w14:paraId="12955FF5">
      <w:pPr>
        <w:pageBreakBefore w:val="0"/>
        <w:kinsoku/>
        <w:wordWrap/>
        <w:topLinePunct w:val="0"/>
        <w:bidi w:val="0"/>
        <w:spacing w:line="223" w:lineRule="auto"/>
        <w:ind w:firstLine="480" w:firstLineChars="200"/>
        <w:rPr>
          <w:rFonts w:ascii="仿宋" w:hAnsi="仿宋" w:eastAsia="仿宋" w:cs="仿宋"/>
          <w:sz w:val="24"/>
          <w:szCs w:val="24"/>
        </w:rPr>
        <w:sectPr>
          <w:headerReference r:id="rId6" w:type="default"/>
          <w:footerReference r:id="rId7" w:type="default"/>
          <w:pgSz w:w="11905" w:h="16838"/>
          <w:pgMar w:top="1276" w:right="1814" w:bottom="1276" w:left="1814" w:header="567" w:footer="567" w:gutter="0"/>
          <w:pgNumType w:fmt="decimal" w:start="1"/>
          <w:cols w:space="0" w:num="1"/>
          <w:rtlGutter w:val="0"/>
          <w:docGrid w:linePitch="0" w:charSpace="0"/>
        </w:sectPr>
      </w:pPr>
      <w:r>
        <w:rPr>
          <w:rFonts w:hint="eastAsia" w:ascii="仿宋" w:hAnsi="仿宋" w:eastAsia="仿宋" w:cs="仿宋"/>
          <w:sz w:val="24"/>
          <w:szCs w:val="24"/>
        </w:rPr>
        <w:t>电 话：</w:t>
      </w:r>
      <w:r>
        <w:rPr>
          <w:rFonts w:hint="eastAsia" w:ascii="仿宋" w:hAnsi="仿宋" w:eastAsia="仿宋" w:cs="仿宋"/>
          <w:sz w:val="24"/>
          <w:szCs w:val="24"/>
          <w:lang w:val="en-US" w:eastAsia="zh-CN"/>
        </w:rPr>
        <w:t>14719973959</w:t>
      </w:r>
    </w:p>
    <w:p w14:paraId="41C24139">
      <w:pPr>
        <w:pageBreakBefore w:val="0"/>
        <w:kinsoku/>
        <w:topLinePunct w:val="0"/>
        <w:bidi w:val="0"/>
        <w:spacing w:before="1" w:line="213" w:lineRule="auto"/>
        <w:ind w:left="2437"/>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第二章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供应商须知及前附表</w:t>
      </w:r>
    </w:p>
    <w:p w14:paraId="47978B4B">
      <w:pPr>
        <w:pageBreakBefore w:val="0"/>
        <w:kinsoku/>
        <w:topLinePunct w:val="0"/>
        <w:bidi w:val="0"/>
        <w:spacing w:before="23" w:line="219" w:lineRule="auto"/>
        <w:ind w:left="324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（一）供应商须知前附表</w:t>
      </w:r>
    </w:p>
    <w:p w14:paraId="63251467">
      <w:pPr>
        <w:pageBreakBefore w:val="0"/>
        <w:kinsoku/>
        <w:topLinePunct w:val="0"/>
        <w:bidi w:val="0"/>
        <w:spacing w:line="170" w:lineRule="exact"/>
        <w:jc w:val="center"/>
      </w:pPr>
    </w:p>
    <w:tbl>
      <w:tblPr>
        <w:tblStyle w:val="15"/>
        <w:tblW w:w="931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70"/>
        <w:gridCol w:w="6700"/>
      </w:tblGrid>
      <w:tr w14:paraId="1E1B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42" w:type="dxa"/>
            <w:tcBorders>
              <w:top w:val="single" w:color="000000" w:sz="4" w:space="0"/>
              <w:left w:val="single" w:color="000000" w:sz="4" w:space="0"/>
            </w:tcBorders>
            <w:vAlign w:val="center"/>
          </w:tcPr>
          <w:p w14:paraId="55DC657A">
            <w:pPr>
              <w:pageBreakBefore w:val="0"/>
              <w:kinsoku/>
              <w:topLinePunct w:val="0"/>
              <w:bidi w:val="0"/>
              <w:spacing w:before="78" w:line="221" w:lineRule="auto"/>
              <w:jc w:val="center"/>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1870" w:type="dxa"/>
            <w:tcBorders>
              <w:top w:val="single" w:color="000000" w:sz="4" w:space="0"/>
            </w:tcBorders>
            <w:vAlign w:val="center"/>
          </w:tcPr>
          <w:p w14:paraId="0F53864D">
            <w:pPr>
              <w:pageBreakBefore w:val="0"/>
              <w:kinsoku/>
              <w:topLinePunct w:val="0"/>
              <w:bidi w:val="0"/>
              <w:spacing w:before="78" w:line="219" w:lineRule="auto"/>
              <w:jc w:val="center"/>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条款名称</w:t>
            </w:r>
          </w:p>
        </w:tc>
        <w:tc>
          <w:tcPr>
            <w:tcW w:w="6700" w:type="dxa"/>
            <w:tcBorders>
              <w:top w:val="single" w:color="000000" w:sz="4" w:space="0"/>
              <w:right w:val="single" w:color="000000" w:sz="4" w:space="0"/>
            </w:tcBorders>
            <w:vAlign w:val="center"/>
          </w:tcPr>
          <w:p w14:paraId="37B20E26">
            <w:pPr>
              <w:pageBreakBefore w:val="0"/>
              <w:kinsoku/>
              <w:topLinePunct w:val="0"/>
              <w:bidi w:val="0"/>
              <w:spacing w:before="78" w:line="219" w:lineRule="auto"/>
              <w:jc w:val="center"/>
              <w:rPr>
                <w:rFonts w:ascii="宋体" w:hAnsi="宋体" w:eastAsia="宋体" w:cs="宋体"/>
                <w:color w:val="auto"/>
                <w:sz w:val="24"/>
                <w:szCs w:val="24"/>
              </w:rPr>
            </w:pPr>
            <w:r>
              <w:rPr>
                <w:rFonts w:ascii="宋体" w:hAnsi="宋体" w:eastAsia="宋体" w:cs="宋体"/>
                <w:color w:val="auto"/>
                <w:spacing w:val="-16"/>
                <w:sz w:val="24"/>
                <w:szCs w:val="24"/>
                <w14:textOutline w14:w="4358" w14:cap="sq" w14:cmpd="sng">
                  <w14:solidFill>
                    <w14:srgbClr w14:val="000000"/>
                  </w14:solidFill>
                  <w14:prstDash w14:val="solid"/>
                  <w14:bevel/>
                </w14:textOutline>
              </w:rPr>
              <w:t>内</w:t>
            </w:r>
            <w:r>
              <w:rPr>
                <w:rFonts w:ascii="宋体" w:hAnsi="宋体" w:eastAsia="宋体" w:cs="宋体"/>
                <w:color w:val="auto"/>
                <w:spacing w:val="5"/>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容</w:t>
            </w:r>
            <w:r>
              <w:rPr>
                <w:rFonts w:ascii="宋体" w:hAnsi="宋体" w:eastAsia="宋体" w:cs="宋体"/>
                <w:color w:val="auto"/>
                <w:spacing w:val="4"/>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规</w:t>
            </w:r>
            <w:r>
              <w:rPr>
                <w:rFonts w:ascii="宋体" w:hAnsi="宋体" w:eastAsia="宋体" w:cs="宋体"/>
                <w:color w:val="auto"/>
                <w:spacing w:val="6"/>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定</w:t>
            </w:r>
          </w:p>
        </w:tc>
      </w:tr>
      <w:tr w14:paraId="25C2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42" w:type="dxa"/>
            <w:tcBorders>
              <w:left w:val="single" w:color="000000" w:sz="4" w:space="0"/>
            </w:tcBorders>
            <w:vAlign w:val="top"/>
          </w:tcPr>
          <w:p w14:paraId="22416B30">
            <w:pPr>
              <w:pageBreakBefore w:val="0"/>
              <w:kinsoku/>
              <w:topLinePunct w:val="0"/>
              <w:bidi w:val="0"/>
              <w:spacing w:before="207" w:line="184" w:lineRule="auto"/>
              <w:ind w:left="338"/>
              <w:rPr>
                <w:rFonts w:ascii="宋体" w:hAnsi="宋体" w:eastAsia="宋体" w:cs="宋体"/>
                <w:color w:val="auto"/>
                <w:sz w:val="24"/>
                <w:szCs w:val="24"/>
              </w:rPr>
            </w:pPr>
            <w:r>
              <w:rPr>
                <w:rFonts w:ascii="宋体" w:hAnsi="宋体" w:eastAsia="宋体" w:cs="宋体"/>
                <w:color w:val="auto"/>
                <w:sz w:val="24"/>
                <w:szCs w:val="24"/>
              </w:rPr>
              <w:t>1</w:t>
            </w:r>
          </w:p>
        </w:tc>
        <w:tc>
          <w:tcPr>
            <w:tcW w:w="1870" w:type="dxa"/>
            <w:vAlign w:val="top"/>
          </w:tcPr>
          <w:p w14:paraId="130D910E">
            <w:pPr>
              <w:pageBreakBefore w:val="0"/>
              <w:kinsoku/>
              <w:topLinePunct w:val="0"/>
              <w:bidi w:val="0"/>
              <w:spacing w:before="170" w:line="220" w:lineRule="auto"/>
              <w:ind w:left="55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项目名称</w:t>
            </w:r>
          </w:p>
        </w:tc>
        <w:tc>
          <w:tcPr>
            <w:tcW w:w="6700" w:type="dxa"/>
            <w:tcBorders>
              <w:right w:val="single" w:color="000000" w:sz="4" w:space="0"/>
            </w:tcBorders>
            <w:vAlign w:val="top"/>
          </w:tcPr>
          <w:p w14:paraId="0F399C8B">
            <w:pPr>
              <w:pageBreakBefore w:val="0"/>
              <w:kinsoku/>
              <w:topLinePunct w:val="0"/>
              <w:bidi w:val="0"/>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2024年驻阿某部队营区基础设施建设项目</w:t>
            </w:r>
          </w:p>
        </w:tc>
      </w:tr>
      <w:tr w14:paraId="722F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42" w:type="dxa"/>
            <w:tcBorders>
              <w:left w:val="single" w:color="000000" w:sz="4" w:space="0"/>
            </w:tcBorders>
            <w:vAlign w:val="top"/>
          </w:tcPr>
          <w:p w14:paraId="2EB9BB53">
            <w:pPr>
              <w:pageBreakBefore w:val="0"/>
              <w:kinsoku/>
              <w:topLinePunct w:val="0"/>
              <w:bidi w:val="0"/>
              <w:spacing w:before="242" w:line="183" w:lineRule="auto"/>
              <w:ind w:left="323"/>
              <w:rPr>
                <w:rFonts w:ascii="宋体" w:hAnsi="宋体" w:eastAsia="宋体" w:cs="宋体"/>
                <w:color w:val="auto"/>
                <w:sz w:val="24"/>
                <w:szCs w:val="24"/>
              </w:rPr>
            </w:pPr>
            <w:r>
              <w:rPr>
                <w:rFonts w:ascii="宋体" w:hAnsi="宋体" w:eastAsia="宋体" w:cs="宋体"/>
                <w:color w:val="auto"/>
                <w:sz w:val="24"/>
                <w:szCs w:val="24"/>
              </w:rPr>
              <w:t>2</w:t>
            </w:r>
          </w:p>
        </w:tc>
        <w:tc>
          <w:tcPr>
            <w:tcW w:w="1870" w:type="dxa"/>
            <w:vAlign w:val="top"/>
          </w:tcPr>
          <w:p w14:paraId="6E8033FF">
            <w:pPr>
              <w:pageBreakBefore w:val="0"/>
              <w:kinsoku/>
              <w:topLinePunct w:val="0"/>
              <w:bidi w:val="0"/>
              <w:spacing w:before="205" w:line="219" w:lineRule="auto"/>
              <w:ind w:left="55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项目编号</w:t>
            </w:r>
          </w:p>
        </w:tc>
        <w:tc>
          <w:tcPr>
            <w:tcW w:w="6700" w:type="dxa"/>
            <w:tcBorders>
              <w:right w:val="single" w:color="000000" w:sz="4" w:space="0"/>
            </w:tcBorders>
            <w:vAlign w:val="top"/>
          </w:tcPr>
          <w:p w14:paraId="3A601A26">
            <w:pPr>
              <w:pageBreakBefore w:val="0"/>
              <w:kinsoku/>
              <w:topLinePunct w:val="0"/>
              <w:bidi w:val="0"/>
              <w:spacing w:before="226" w:line="220" w:lineRule="auto"/>
              <w:ind w:left="115"/>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2024-B-48</w:t>
            </w:r>
          </w:p>
        </w:tc>
      </w:tr>
      <w:tr w14:paraId="31B6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42" w:type="dxa"/>
            <w:tcBorders>
              <w:left w:val="single" w:color="000000" w:sz="4" w:space="0"/>
            </w:tcBorders>
            <w:vAlign w:val="top"/>
          </w:tcPr>
          <w:p w14:paraId="4E9EDD1F">
            <w:pPr>
              <w:pageBreakBefore w:val="0"/>
              <w:kinsoku/>
              <w:topLinePunct w:val="0"/>
              <w:bidi w:val="0"/>
              <w:spacing w:line="303" w:lineRule="auto"/>
              <w:rPr>
                <w:rFonts w:ascii="Arial"/>
                <w:color w:val="auto"/>
                <w:sz w:val="21"/>
              </w:rPr>
            </w:pPr>
          </w:p>
          <w:p w14:paraId="06C53579">
            <w:pPr>
              <w:pageBreakBefore w:val="0"/>
              <w:kinsoku/>
              <w:topLinePunct w:val="0"/>
              <w:bidi w:val="0"/>
              <w:spacing w:line="304" w:lineRule="auto"/>
              <w:rPr>
                <w:rFonts w:ascii="Arial"/>
                <w:color w:val="auto"/>
                <w:sz w:val="21"/>
              </w:rPr>
            </w:pPr>
          </w:p>
          <w:p w14:paraId="384BDBF9">
            <w:pPr>
              <w:pageBreakBefore w:val="0"/>
              <w:kinsoku/>
              <w:topLinePunct w:val="0"/>
              <w:bidi w:val="0"/>
              <w:spacing w:before="78" w:line="183" w:lineRule="auto"/>
              <w:ind w:left="325"/>
              <w:rPr>
                <w:rFonts w:ascii="宋体" w:hAnsi="宋体" w:eastAsia="宋体" w:cs="宋体"/>
                <w:color w:val="auto"/>
                <w:sz w:val="24"/>
                <w:szCs w:val="24"/>
              </w:rPr>
            </w:pPr>
            <w:r>
              <w:rPr>
                <w:rFonts w:ascii="宋体" w:hAnsi="宋体" w:eastAsia="宋体" w:cs="宋体"/>
                <w:color w:val="auto"/>
                <w:sz w:val="24"/>
                <w:szCs w:val="24"/>
              </w:rPr>
              <w:t>3</w:t>
            </w:r>
          </w:p>
        </w:tc>
        <w:tc>
          <w:tcPr>
            <w:tcW w:w="1870" w:type="dxa"/>
            <w:vAlign w:val="top"/>
          </w:tcPr>
          <w:p w14:paraId="1BBE57FF">
            <w:pPr>
              <w:pageBreakBefore w:val="0"/>
              <w:kinsoku/>
              <w:topLinePunct w:val="0"/>
              <w:bidi w:val="0"/>
              <w:spacing w:line="284" w:lineRule="auto"/>
              <w:rPr>
                <w:rFonts w:ascii="Arial"/>
                <w:color w:val="auto"/>
                <w:sz w:val="21"/>
              </w:rPr>
            </w:pPr>
          </w:p>
          <w:p w14:paraId="1283BA9F">
            <w:pPr>
              <w:pageBreakBefore w:val="0"/>
              <w:kinsoku/>
              <w:topLinePunct w:val="0"/>
              <w:bidi w:val="0"/>
              <w:spacing w:line="285" w:lineRule="auto"/>
              <w:rPr>
                <w:rFonts w:ascii="Arial"/>
                <w:color w:val="auto"/>
                <w:sz w:val="21"/>
              </w:rPr>
            </w:pPr>
          </w:p>
          <w:p w14:paraId="2AEF2D2E">
            <w:pPr>
              <w:pageBreakBefore w:val="0"/>
              <w:kinsoku/>
              <w:topLinePunct w:val="0"/>
              <w:bidi w:val="0"/>
              <w:spacing w:before="78" w:line="219" w:lineRule="auto"/>
              <w:ind w:left="674"/>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采购人</w:t>
            </w:r>
          </w:p>
        </w:tc>
        <w:tc>
          <w:tcPr>
            <w:tcW w:w="6700" w:type="dxa"/>
            <w:tcBorders>
              <w:right w:val="single" w:color="000000" w:sz="4" w:space="0"/>
            </w:tcBorders>
            <w:vAlign w:val="top"/>
          </w:tcPr>
          <w:p w14:paraId="3A3EBFF1">
            <w:pPr>
              <w:pageBreakBefore w:val="0"/>
              <w:kinsoku/>
              <w:topLinePunct w:val="0"/>
              <w:bidi w:val="0"/>
              <w:spacing w:before="114" w:line="219" w:lineRule="auto"/>
              <w:ind w:left="115"/>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阿克苏市退役军人事务局</w:t>
            </w:r>
          </w:p>
          <w:p w14:paraId="3864568E">
            <w:pPr>
              <w:pageBreakBefore w:val="0"/>
              <w:kinsoku/>
              <w:topLinePunct w:val="0"/>
              <w:bidi w:val="0"/>
              <w:spacing w:before="72" w:line="219" w:lineRule="auto"/>
              <w:ind w:left="1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rPr>
              <w:t>地 址：</w:t>
            </w:r>
            <w:r>
              <w:rPr>
                <w:rFonts w:hint="eastAsia" w:ascii="宋体" w:hAnsi="宋体" w:eastAsia="宋体" w:cs="宋体"/>
                <w:color w:val="auto"/>
                <w:spacing w:val="-2"/>
                <w:sz w:val="24"/>
                <w:szCs w:val="24"/>
                <w:highlight w:val="none"/>
                <w:lang w:eastAsia="zh-CN"/>
              </w:rPr>
              <w:t>阿克苏市综合办公区</w:t>
            </w:r>
          </w:p>
          <w:p w14:paraId="27EAC80A">
            <w:pPr>
              <w:pageBreakBefore w:val="0"/>
              <w:kinsoku/>
              <w:topLinePunct w:val="0"/>
              <w:bidi w:val="0"/>
              <w:spacing w:before="73" w:line="221" w:lineRule="auto"/>
              <w:ind w:left="113"/>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联系人：</w:t>
            </w:r>
            <w:r>
              <w:rPr>
                <w:rFonts w:hint="eastAsia" w:ascii="宋体" w:hAnsi="宋体" w:eastAsia="宋体" w:cs="宋体"/>
                <w:color w:val="auto"/>
                <w:spacing w:val="-2"/>
                <w:sz w:val="24"/>
                <w:szCs w:val="24"/>
                <w:lang w:eastAsia="zh-CN"/>
              </w:rPr>
              <w:t>屈大勇</w:t>
            </w:r>
          </w:p>
          <w:p w14:paraId="381A0443">
            <w:pPr>
              <w:pageBreakBefore w:val="0"/>
              <w:kinsoku/>
              <w:topLinePunct w:val="0"/>
              <w:bidi w:val="0"/>
              <w:spacing w:before="70" w:line="221" w:lineRule="auto"/>
              <w:ind w:left="140"/>
              <w:rPr>
                <w:rFonts w:hint="eastAsia" w:ascii="宋体" w:hAnsi="宋体" w:eastAsia="宋体" w:cs="宋体"/>
                <w:color w:val="auto"/>
                <w:sz w:val="24"/>
                <w:szCs w:val="24"/>
                <w:lang w:eastAsia="zh-CN"/>
              </w:rPr>
            </w:pPr>
            <w:r>
              <w:rPr>
                <w:rFonts w:ascii="宋体" w:hAnsi="宋体" w:eastAsia="宋体" w:cs="宋体"/>
                <w:color w:val="auto"/>
                <w:spacing w:val="-3"/>
                <w:sz w:val="24"/>
                <w:szCs w:val="24"/>
              </w:rPr>
              <w:t>电 话：</w:t>
            </w:r>
            <w:r>
              <w:rPr>
                <w:rFonts w:hint="eastAsia" w:ascii="宋体" w:hAnsi="宋体" w:eastAsia="宋体" w:cs="宋体"/>
                <w:color w:val="auto"/>
                <w:spacing w:val="-3"/>
                <w:sz w:val="24"/>
                <w:szCs w:val="24"/>
                <w:lang w:eastAsia="zh-CN"/>
              </w:rPr>
              <w:t>0997-2222925</w:t>
            </w:r>
          </w:p>
        </w:tc>
      </w:tr>
      <w:tr w14:paraId="24B3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4EE17152">
            <w:pPr>
              <w:pageBreakBefore w:val="0"/>
              <w:kinsoku/>
              <w:topLinePunct w:val="0"/>
              <w:bidi w:val="0"/>
              <w:spacing w:line="354" w:lineRule="auto"/>
              <w:rPr>
                <w:rFonts w:ascii="Arial"/>
                <w:color w:val="auto"/>
                <w:sz w:val="21"/>
              </w:rPr>
            </w:pPr>
          </w:p>
          <w:p w14:paraId="2E5D79F9">
            <w:pPr>
              <w:pageBreakBefore w:val="0"/>
              <w:kinsoku/>
              <w:topLinePunct w:val="0"/>
              <w:bidi w:val="0"/>
              <w:spacing w:line="354" w:lineRule="auto"/>
              <w:rPr>
                <w:rFonts w:ascii="Arial"/>
                <w:color w:val="auto"/>
                <w:sz w:val="21"/>
              </w:rPr>
            </w:pPr>
          </w:p>
          <w:p w14:paraId="63E13316">
            <w:pPr>
              <w:pageBreakBefore w:val="0"/>
              <w:kinsoku/>
              <w:topLinePunct w:val="0"/>
              <w:bidi w:val="0"/>
              <w:spacing w:before="78" w:line="183" w:lineRule="auto"/>
              <w:ind w:left="319"/>
              <w:rPr>
                <w:rFonts w:ascii="宋体" w:hAnsi="宋体" w:eastAsia="宋体" w:cs="宋体"/>
                <w:color w:val="auto"/>
                <w:sz w:val="24"/>
                <w:szCs w:val="24"/>
              </w:rPr>
            </w:pPr>
            <w:r>
              <w:rPr>
                <w:rFonts w:ascii="宋体" w:hAnsi="宋体" w:eastAsia="宋体" w:cs="宋体"/>
                <w:color w:val="auto"/>
                <w:sz w:val="24"/>
                <w:szCs w:val="24"/>
              </w:rPr>
              <w:t>4</w:t>
            </w:r>
          </w:p>
        </w:tc>
        <w:tc>
          <w:tcPr>
            <w:tcW w:w="1870" w:type="dxa"/>
            <w:vAlign w:val="top"/>
          </w:tcPr>
          <w:p w14:paraId="520A9382">
            <w:pPr>
              <w:pageBreakBefore w:val="0"/>
              <w:kinsoku/>
              <w:topLinePunct w:val="0"/>
              <w:bidi w:val="0"/>
              <w:spacing w:line="335" w:lineRule="auto"/>
              <w:rPr>
                <w:rFonts w:ascii="Arial"/>
                <w:color w:val="auto"/>
                <w:sz w:val="21"/>
              </w:rPr>
            </w:pPr>
          </w:p>
          <w:p w14:paraId="02B8DA51">
            <w:pPr>
              <w:pageBreakBefore w:val="0"/>
              <w:kinsoku/>
              <w:topLinePunct w:val="0"/>
              <w:bidi w:val="0"/>
              <w:spacing w:line="335" w:lineRule="auto"/>
              <w:rPr>
                <w:rFonts w:ascii="Arial"/>
                <w:color w:val="auto"/>
                <w:sz w:val="21"/>
              </w:rPr>
            </w:pPr>
          </w:p>
          <w:p w14:paraId="18463099">
            <w:pPr>
              <w:pageBreakBefore w:val="0"/>
              <w:kinsoku/>
              <w:topLinePunct w:val="0"/>
              <w:bidi w:val="0"/>
              <w:spacing w:before="78" w:line="219" w:lineRule="auto"/>
              <w:ind w:firstLine="236" w:firstLineChars="100"/>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采购</w:t>
            </w:r>
            <w:r>
              <w:rPr>
                <w:rFonts w:ascii="宋体" w:hAnsi="宋体" w:eastAsia="宋体" w:cs="宋体"/>
                <w:color w:val="auto"/>
                <w:spacing w:val="-2"/>
                <w:sz w:val="24"/>
                <w:szCs w:val="24"/>
                <w14:textOutline w14:w="4358" w14:cap="sq" w14:cmpd="sng">
                  <w14:solidFill>
                    <w14:srgbClr w14:val="000000"/>
                  </w14:solidFill>
                  <w14:prstDash w14:val="solid"/>
                  <w14:bevel/>
                </w14:textOutline>
              </w:rPr>
              <w:t>代理机构</w:t>
            </w:r>
          </w:p>
        </w:tc>
        <w:tc>
          <w:tcPr>
            <w:tcW w:w="6700" w:type="dxa"/>
            <w:tcBorders>
              <w:right w:val="single" w:color="000000" w:sz="4" w:space="0"/>
            </w:tcBorders>
            <w:vAlign w:val="top"/>
          </w:tcPr>
          <w:p w14:paraId="3CF3F86C">
            <w:pPr>
              <w:pageBreakBefore w:val="0"/>
              <w:kinsoku/>
              <w:topLinePunct w:val="0"/>
              <w:bidi w:val="0"/>
              <w:spacing w:before="38" w:line="219" w:lineRule="auto"/>
              <w:ind w:left="115"/>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阿克苏疆山项目管理有限公司</w:t>
            </w:r>
          </w:p>
          <w:p w14:paraId="160B7879">
            <w:pPr>
              <w:pageBreakBefore w:val="0"/>
              <w:kinsoku/>
              <w:topLinePunct w:val="0"/>
              <w:bidi w:val="0"/>
              <w:spacing w:before="72" w:line="219" w:lineRule="auto"/>
              <w:ind w:left="112"/>
              <w:rPr>
                <w:rFonts w:hint="eastAsia" w:ascii="宋体" w:hAnsi="宋体" w:eastAsia="宋体" w:cs="宋体"/>
                <w:color w:val="auto"/>
                <w:sz w:val="24"/>
                <w:szCs w:val="24"/>
                <w:lang w:eastAsia="zh-CN"/>
              </w:rPr>
            </w:pPr>
            <w:r>
              <w:rPr>
                <w:rFonts w:ascii="宋体" w:hAnsi="宋体" w:eastAsia="宋体" w:cs="宋体"/>
                <w:color w:val="auto"/>
                <w:spacing w:val="-3"/>
                <w:sz w:val="24"/>
                <w:szCs w:val="24"/>
              </w:rPr>
              <w:t>地 址：</w:t>
            </w:r>
            <w:r>
              <w:rPr>
                <w:rFonts w:hint="eastAsia" w:ascii="宋体" w:hAnsi="宋体" w:eastAsia="宋体" w:cs="宋体"/>
                <w:color w:val="auto"/>
                <w:spacing w:val="-3"/>
                <w:sz w:val="24"/>
                <w:szCs w:val="24"/>
                <w:lang w:eastAsia="zh-CN"/>
              </w:rPr>
              <w:t>阿克苏市采荷路1号云山悦府12-2-202室</w:t>
            </w:r>
          </w:p>
          <w:p w14:paraId="7A926F50">
            <w:pPr>
              <w:pageBreakBefore w:val="0"/>
              <w:kinsoku/>
              <w:topLinePunct w:val="0"/>
              <w:bidi w:val="0"/>
              <w:spacing w:before="72" w:line="219" w:lineRule="auto"/>
              <w:ind w:left="113"/>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联系人：</w:t>
            </w:r>
            <w:r>
              <w:rPr>
                <w:rFonts w:hint="eastAsia" w:ascii="宋体" w:hAnsi="宋体" w:eastAsia="宋体" w:cs="宋体"/>
                <w:color w:val="auto"/>
                <w:spacing w:val="-2"/>
                <w:sz w:val="24"/>
                <w:szCs w:val="24"/>
                <w:lang w:eastAsia="zh-CN"/>
              </w:rPr>
              <w:t>罗磊</w:t>
            </w:r>
          </w:p>
          <w:p w14:paraId="66E39BFD">
            <w:pPr>
              <w:pageBreakBefore w:val="0"/>
              <w:kinsoku/>
              <w:topLinePunct w:val="0"/>
              <w:bidi w:val="0"/>
              <w:spacing w:before="73" w:line="221" w:lineRule="auto"/>
              <w:ind w:left="113"/>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联系电话：</w:t>
            </w:r>
            <w:r>
              <w:rPr>
                <w:rFonts w:hint="eastAsia" w:ascii="宋体" w:hAnsi="宋体" w:eastAsia="宋体" w:cs="宋体"/>
                <w:color w:val="auto"/>
                <w:spacing w:val="-1"/>
                <w:sz w:val="24"/>
                <w:szCs w:val="24"/>
                <w:lang w:eastAsia="zh-CN"/>
              </w:rPr>
              <w:t>14719973959</w:t>
            </w:r>
          </w:p>
          <w:p w14:paraId="04ACA01F">
            <w:pPr>
              <w:pageBreakBefore w:val="0"/>
              <w:kinsoku/>
              <w:topLinePunct w:val="0"/>
              <w:bidi w:val="0"/>
              <w:spacing w:before="70" w:line="214" w:lineRule="auto"/>
              <w:ind w:left="130"/>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邮箱：</w:t>
            </w:r>
            <w:r>
              <w:rPr>
                <w:rFonts w:hint="eastAsia" w:ascii="宋体" w:hAnsi="宋体" w:eastAsia="宋体" w:cs="宋体"/>
                <w:color w:val="auto"/>
                <w:spacing w:val="-2"/>
                <w:sz w:val="24"/>
                <w:szCs w:val="24"/>
                <w:lang w:eastAsia="zh-CN"/>
              </w:rPr>
              <w:t>2874182286@qq.com</w:t>
            </w:r>
          </w:p>
        </w:tc>
      </w:tr>
      <w:tr w14:paraId="2993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2" w:type="dxa"/>
            <w:tcBorders>
              <w:left w:val="single" w:color="000000" w:sz="4" w:space="0"/>
            </w:tcBorders>
            <w:vAlign w:val="top"/>
          </w:tcPr>
          <w:p w14:paraId="78512AB1">
            <w:pPr>
              <w:pageBreakBefore w:val="0"/>
              <w:kinsoku/>
              <w:topLinePunct w:val="0"/>
              <w:bidi w:val="0"/>
              <w:spacing w:before="283" w:line="182" w:lineRule="auto"/>
              <w:ind w:left="325"/>
              <w:rPr>
                <w:rFonts w:ascii="宋体" w:hAnsi="宋体" w:eastAsia="宋体" w:cs="宋体"/>
                <w:color w:val="auto"/>
                <w:sz w:val="24"/>
                <w:szCs w:val="24"/>
              </w:rPr>
            </w:pPr>
            <w:r>
              <w:rPr>
                <w:rFonts w:ascii="宋体" w:hAnsi="宋体" w:eastAsia="宋体" w:cs="宋体"/>
                <w:color w:val="auto"/>
                <w:sz w:val="24"/>
                <w:szCs w:val="24"/>
              </w:rPr>
              <w:t>5</w:t>
            </w:r>
          </w:p>
        </w:tc>
        <w:tc>
          <w:tcPr>
            <w:tcW w:w="1870" w:type="dxa"/>
            <w:vAlign w:val="top"/>
          </w:tcPr>
          <w:p w14:paraId="0548EEC8">
            <w:pPr>
              <w:pageBreakBefore w:val="0"/>
              <w:kinsoku/>
              <w:topLinePunct w:val="0"/>
              <w:bidi w:val="0"/>
              <w:spacing w:before="243"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采购内容</w:t>
            </w:r>
          </w:p>
        </w:tc>
        <w:tc>
          <w:tcPr>
            <w:tcW w:w="6700" w:type="dxa"/>
            <w:tcBorders>
              <w:right w:val="single" w:color="000000" w:sz="4" w:space="0"/>
            </w:tcBorders>
            <w:vAlign w:val="top"/>
          </w:tcPr>
          <w:p w14:paraId="2F76108C">
            <w:pPr>
              <w:pageBreakBefore w:val="0"/>
              <w:kinsoku/>
              <w:topLinePunct w:val="0"/>
              <w:bidi w:val="0"/>
              <w:spacing w:before="243" w:line="219" w:lineRule="auto"/>
              <w:ind w:left="11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延伸营区路面；改建 1 间保鲜室；新建羽毛球场；营区内地面硬化。（详见竞争性磋商文件及工程量清单）</w:t>
            </w:r>
          </w:p>
        </w:tc>
      </w:tr>
      <w:tr w14:paraId="2F28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42" w:type="dxa"/>
            <w:tcBorders>
              <w:left w:val="single" w:color="000000" w:sz="4" w:space="0"/>
            </w:tcBorders>
            <w:vAlign w:val="top"/>
          </w:tcPr>
          <w:p w14:paraId="7BCF4CD2">
            <w:pPr>
              <w:pageBreakBefore w:val="0"/>
              <w:kinsoku/>
              <w:topLinePunct w:val="0"/>
              <w:bidi w:val="0"/>
              <w:spacing w:before="251" w:line="183" w:lineRule="auto"/>
              <w:ind w:left="322"/>
              <w:rPr>
                <w:rFonts w:ascii="宋体" w:hAnsi="宋体" w:eastAsia="宋体" w:cs="宋体"/>
                <w:color w:val="auto"/>
                <w:sz w:val="24"/>
                <w:szCs w:val="24"/>
              </w:rPr>
            </w:pPr>
            <w:r>
              <w:rPr>
                <w:rFonts w:ascii="宋体" w:hAnsi="宋体" w:eastAsia="宋体" w:cs="宋体"/>
                <w:color w:val="auto"/>
                <w:sz w:val="24"/>
                <w:szCs w:val="24"/>
              </w:rPr>
              <w:t>6</w:t>
            </w:r>
          </w:p>
        </w:tc>
        <w:tc>
          <w:tcPr>
            <w:tcW w:w="1870" w:type="dxa"/>
            <w:vAlign w:val="top"/>
          </w:tcPr>
          <w:p w14:paraId="7CC45A9B">
            <w:pPr>
              <w:pageBreakBefore w:val="0"/>
              <w:kinsoku/>
              <w:topLinePunct w:val="0"/>
              <w:bidi w:val="0"/>
              <w:spacing w:before="213" w:line="219"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合同履约</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期限</w:t>
            </w:r>
          </w:p>
        </w:tc>
        <w:tc>
          <w:tcPr>
            <w:tcW w:w="6700" w:type="dxa"/>
            <w:tcBorders>
              <w:right w:val="single" w:color="000000" w:sz="4" w:space="0"/>
            </w:tcBorders>
            <w:vAlign w:val="top"/>
          </w:tcPr>
          <w:p w14:paraId="0BAB1FC9">
            <w:pPr>
              <w:pageBreakBefore w:val="0"/>
              <w:kinsoku/>
              <w:topLinePunct w:val="0"/>
              <w:bidi w:val="0"/>
              <w:spacing w:before="245" w:line="219" w:lineRule="auto"/>
              <w:ind w:left="112"/>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合同签订后45天内完成。</w:t>
            </w:r>
          </w:p>
        </w:tc>
      </w:tr>
      <w:tr w14:paraId="5485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0FB17F25">
            <w:pPr>
              <w:pageBreakBefore w:val="0"/>
              <w:kinsoku/>
              <w:topLinePunct w:val="0"/>
              <w:bidi w:val="0"/>
              <w:spacing w:line="258" w:lineRule="auto"/>
              <w:rPr>
                <w:rFonts w:ascii="Arial"/>
                <w:color w:val="auto"/>
                <w:sz w:val="21"/>
              </w:rPr>
            </w:pPr>
          </w:p>
          <w:p w14:paraId="1B09F2D7">
            <w:pPr>
              <w:pageBreakBefore w:val="0"/>
              <w:kinsoku/>
              <w:topLinePunct w:val="0"/>
              <w:bidi w:val="0"/>
              <w:spacing w:before="78" w:line="182" w:lineRule="auto"/>
              <w:ind w:left="326"/>
              <w:rPr>
                <w:rFonts w:ascii="宋体" w:hAnsi="宋体" w:eastAsia="宋体" w:cs="宋体"/>
                <w:color w:val="auto"/>
                <w:sz w:val="24"/>
                <w:szCs w:val="24"/>
              </w:rPr>
            </w:pPr>
            <w:r>
              <w:rPr>
                <w:rFonts w:ascii="宋体" w:hAnsi="宋体" w:eastAsia="宋体" w:cs="宋体"/>
                <w:color w:val="auto"/>
                <w:sz w:val="24"/>
                <w:szCs w:val="24"/>
              </w:rPr>
              <w:t>7</w:t>
            </w:r>
          </w:p>
        </w:tc>
        <w:tc>
          <w:tcPr>
            <w:tcW w:w="1870" w:type="dxa"/>
            <w:vAlign w:val="top"/>
          </w:tcPr>
          <w:p w14:paraId="791D0824">
            <w:pPr>
              <w:pageBreakBefore w:val="0"/>
              <w:kinsoku/>
              <w:topLinePunct w:val="0"/>
              <w:bidi w:val="0"/>
              <w:spacing w:before="298" w:line="218" w:lineRule="auto"/>
              <w:ind w:left="558"/>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最高限价</w:t>
            </w:r>
          </w:p>
        </w:tc>
        <w:tc>
          <w:tcPr>
            <w:tcW w:w="6700" w:type="dxa"/>
            <w:tcBorders>
              <w:right w:val="single" w:color="000000" w:sz="4" w:space="0"/>
            </w:tcBorders>
            <w:vAlign w:val="top"/>
          </w:tcPr>
          <w:p w14:paraId="4C8F139A">
            <w:pPr>
              <w:pageBreakBefore w:val="0"/>
              <w:kinsoku/>
              <w:topLinePunct w:val="0"/>
              <w:bidi w:val="0"/>
              <w:spacing w:before="119" w:line="246" w:lineRule="auto"/>
              <w:ind w:left="115" w:right="121" w:firstLine="14"/>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lang w:val="en-US" w:eastAsia="zh-CN"/>
                <w14:textOutline w14:w="4358" w14:cap="sq" w14:cmpd="sng">
                  <w14:solidFill>
                    <w14:srgbClr w14:val="000000"/>
                  </w14:solidFill>
                  <w14:prstDash w14:val="solid"/>
                  <w14:bevel/>
                </w14:textOutline>
              </w:rPr>
              <w:t>995050.36</w:t>
            </w:r>
            <w:r>
              <w:rPr>
                <w:rFonts w:ascii="宋体" w:hAnsi="宋体" w:eastAsia="宋体" w:cs="宋体"/>
                <w:color w:val="auto"/>
                <w:spacing w:val="-2"/>
                <w:sz w:val="24"/>
                <w:szCs w:val="24"/>
                <w14:textOutline w14:w="4358" w14:cap="sq" w14:cmpd="sng">
                  <w14:solidFill>
                    <w14:srgbClr w14:val="000000"/>
                  </w14:solidFill>
                  <w14:prstDash w14:val="solid"/>
                  <w14:bevel/>
                </w14:textOutline>
              </w:rPr>
              <w:t>元</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（玖拾玖万伍仟零伍拾元叁角陆分）</w:t>
            </w:r>
          </w:p>
          <w:p w14:paraId="5FB6CE3A">
            <w:pPr>
              <w:pageBreakBefore w:val="0"/>
              <w:kinsoku/>
              <w:topLinePunct w:val="0"/>
              <w:bidi w:val="0"/>
              <w:spacing w:before="119" w:line="246" w:lineRule="auto"/>
              <w:ind w:left="115" w:right="121" w:firstLine="14"/>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磋商报价</w:t>
            </w:r>
            <w:r>
              <w:rPr>
                <w:rFonts w:ascii="宋体" w:hAnsi="宋体" w:eastAsia="宋体" w:cs="宋体"/>
                <w:color w:val="auto"/>
                <w:spacing w:val="-2"/>
                <w:sz w:val="24"/>
                <w:szCs w:val="24"/>
                <w14:textOutline w14:w="4358" w14:cap="sq" w14:cmpd="sng">
                  <w14:solidFill>
                    <w14:srgbClr w14:val="000000"/>
                  </w14:solidFill>
                  <w14:prstDash w14:val="solid"/>
                  <w14:bevel/>
                </w14:textOutline>
              </w:rPr>
              <w:t>不得高于</w:t>
            </w:r>
            <w:r>
              <w:rPr>
                <w:rFonts w:ascii="宋体" w:hAnsi="宋体" w:eastAsia="宋体" w:cs="宋体"/>
                <w:color w:val="auto"/>
                <w:spacing w:val="-1"/>
                <w:sz w:val="24"/>
                <w:szCs w:val="24"/>
                <w14:textOutline w14:w="4358" w14:cap="sq" w14:cmpd="sng">
                  <w14:solidFill>
                    <w14:srgbClr w14:val="000000"/>
                  </w14:solidFill>
                  <w14:prstDash w14:val="solid"/>
                  <w14:bevel/>
                </w14:textOutline>
              </w:rPr>
              <w:t>最高限价，否则视为无效</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1"/>
                <w:sz w:val="24"/>
                <w:szCs w:val="24"/>
                <w14:textOutline w14:w="4358" w14:cap="sq" w14:cmpd="sng">
                  <w14:solidFill>
                    <w14:srgbClr w14:val="000000"/>
                  </w14:solidFill>
                  <w14:prstDash w14:val="solid"/>
                  <w14:bevel/>
                </w14:textOutline>
              </w:rPr>
              <w:t>。</w:t>
            </w:r>
          </w:p>
        </w:tc>
      </w:tr>
      <w:tr w14:paraId="4EADF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42" w:type="dxa"/>
            <w:tcBorders>
              <w:left w:val="single" w:color="000000" w:sz="4" w:space="0"/>
            </w:tcBorders>
            <w:vAlign w:val="top"/>
          </w:tcPr>
          <w:p w14:paraId="6865DA24">
            <w:pPr>
              <w:pageBreakBefore w:val="0"/>
              <w:kinsoku/>
              <w:topLinePunct w:val="0"/>
              <w:bidi w:val="0"/>
              <w:spacing w:line="267" w:lineRule="auto"/>
              <w:rPr>
                <w:rFonts w:ascii="Arial"/>
                <w:color w:val="auto"/>
                <w:sz w:val="21"/>
              </w:rPr>
            </w:pPr>
          </w:p>
          <w:p w14:paraId="57780B65">
            <w:pPr>
              <w:pageBreakBefore w:val="0"/>
              <w:kinsoku/>
              <w:topLinePunct w:val="0"/>
              <w:bidi w:val="0"/>
              <w:spacing w:line="267" w:lineRule="auto"/>
              <w:rPr>
                <w:rFonts w:ascii="Arial"/>
                <w:color w:val="auto"/>
                <w:sz w:val="21"/>
              </w:rPr>
            </w:pPr>
          </w:p>
          <w:p w14:paraId="30D6E6A7">
            <w:pPr>
              <w:pageBreakBefore w:val="0"/>
              <w:kinsoku/>
              <w:topLinePunct w:val="0"/>
              <w:bidi w:val="0"/>
              <w:spacing w:line="267" w:lineRule="auto"/>
              <w:rPr>
                <w:rFonts w:ascii="Arial"/>
                <w:color w:val="auto"/>
                <w:sz w:val="21"/>
              </w:rPr>
            </w:pPr>
          </w:p>
          <w:p w14:paraId="117AA2DE">
            <w:pPr>
              <w:pageBreakBefore w:val="0"/>
              <w:kinsoku/>
              <w:topLinePunct w:val="0"/>
              <w:bidi w:val="0"/>
              <w:spacing w:line="267" w:lineRule="auto"/>
              <w:rPr>
                <w:rFonts w:ascii="Arial"/>
                <w:color w:val="auto"/>
                <w:sz w:val="21"/>
              </w:rPr>
            </w:pPr>
          </w:p>
          <w:p w14:paraId="31D5A9F4">
            <w:pPr>
              <w:pageBreakBefore w:val="0"/>
              <w:kinsoku/>
              <w:topLinePunct w:val="0"/>
              <w:bidi w:val="0"/>
              <w:spacing w:line="267" w:lineRule="auto"/>
              <w:rPr>
                <w:rFonts w:ascii="Arial"/>
                <w:color w:val="auto"/>
                <w:sz w:val="21"/>
              </w:rPr>
            </w:pPr>
          </w:p>
          <w:p w14:paraId="50E8BF29">
            <w:pPr>
              <w:pageBreakBefore w:val="0"/>
              <w:kinsoku/>
              <w:topLinePunct w:val="0"/>
              <w:bidi w:val="0"/>
              <w:spacing w:line="267" w:lineRule="auto"/>
              <w:rPr>
                <w:rFonts w:ascii="Arial"/>
                <w:color w:val="auto"/>
                <w:sz w:val="21"/>
              </w:rPr>
            </w:pPr>
          </w:p>
          <w:p w14:paraId="0F3C68ED">
            <w:pPr>
              <w:pageBreakBefore w:val="0"/>
              <w:kinsoku/>
              <w:topLinePunct w:val="0"/>
              <w:bidi w:val="0"/>
              <w:spacing w:line="267" w:lineRule="auto"/>
              <w:rPr>
                <w:rFonts w:ascii="Arial"/>
                <w:color w:val="auto"/>
                <w:sz w:val="21"/>
              </w:rPr>
            </w:pPr>
          </w:p>
          <w:p w14:paraId="3FEC8094">
            <w:pPr>
              <w:pageBreakBefore w:val="0"/>
              <w:kinsoku/>
              <w:topLinePunct w:val="0"/>
              <w:bidi w:val="0"/>
              <w:spacing w:line="267" w:lineRule="auto"/>
              <w:rPr>
                <w:rFonts w:ascii="Arial"/>
                <w:color w:val="auto"/>
                <w:sz w:val="21"/>
              </w:rPr>
            </w:pPr>
          </w:p>
          <w:p w14:paraId="4988CF36">
            <w:pPr>
              <w:pageBreakBefore w:val="0"/>
              <w:kinsoku/>
              <w:topLinePunct w:val="0"/>
              <w:bidi w:val="0"/>
              <w:spacing w:before="78" w:line="183" w:lineRule="auto"/>
              <w:ind w:left="321" w:leftChars="0"/>
              <w:rPr>
                <w:rFonts w:ascii="宋体" w:hAnsi="宋体" w:eastAsia="宋体" w:cs="宋体"/>
                <w:color w:val="auto"/>
                <w:sz w:val="24"/>
                <w:szCs w:val="24"/>
              </w:rPr>
            </w:pPr>
            <w:r>
              <w:rPr>
                <w:rFonts w:ascii="宋体" w:hAnsi="宋体" w:eastAsia="宋体" w:cs="宋体"/>
                <w:color w:val="auto"/>
                <w:sz w:val="24"/>
                <w:szCs w:val="24"/>
              </w:rPr>
              <w:t>8</w:t>
            </w:r>
          </w:p>
        </w:tc>
        <w:tc>
          <w:tcPr>
            <w:tcW w:w="1870" w:type="dxa"/>
            <w:vAlign w:val="top"/>
          </w:tcPr>
          <w:p w14:paraId="68E6E768">
            <w:pPr>
              <w:pageBreakBefore w:val="0"/>
              <w:kinsoku/>
              <w:topLinePunct w:val="0"/>
              <w:bidi w:val="0"/>
              <w:spacing w:line="260" w:lineRule="auto"/>
              <w:rPr>
                <w:rFonts w:ascii="Arial"/>
                <w:color w:val="auto"/>
                <w:sz w:val="21"/>
              </w:rPr>
            </w:pPr>
          </w:p>
          <w:p w14:paraId="254F437B">
            <w:pPr>
              <w:pageBreakBefore w:val="0"/>
              <w:kinsoku/>
              <w:topLinePunct w:val="0"/>
              <w:bidi w:val="0"/>
              <w:spacing w:line="260" w:lineRule="auto"/>
              <w:rPr>
                <w:rFonts w:ascii="Arial"/>
                <w:color w:val="auto"/>
                <w:sz w:val="21"/>
              </w:rPr>
            </w:pPr>
          </w:p>
          <w:p w14:paraId="4321E202">
            <w:pPr>
              <w:pageBreakBefore w:val="0"/>
              <w:kinsoku/>
              <w:topLinePunct w:val="0"/>
              <w:bidi w:val="0"/>
              <w:spacing w:line="260" w:lineRule="auto"/>
              <w:rPr>
                <w:rFonts w:ascii="Arial"/>
                <w:color w:val="auto"/>
                <w:sz w:val="21"/>
              </w:rPr>
            </w:pPr>
          </w:p>
          <w:p w14:paraId="5D3E12D7">
            <w:pPr>
              <w:pageBreakBefore w:val="0"/>
              <w:kinsoku/>
              <w:topLinePunct w:val="0"/>
              <w:bidi w:val="0"/>
              <w:spacing w:line="261" w:lineRule="auto"/>
              <w:rPr>
                <w:rFonts w:ascii="Arial"/>
                <w:color w:val="auto"/>
                <w:sz w:val="21"/>
              </w:rPr>
            </w:pPr>
          </w:p>
          <w:p w14:paraId="3ED03A1A">
            <w:pPr>
              <w:pageBreakBefore w:val="0"/>
              <w:kinsoku/>
              <w:topLinePunct w:val="0"/>
              <w:bidi w:val="0"/>
              <w:spacing w:line="261" w:lineRule="auto"/>
              <w:rPr>
                <w:rFonts w:ascii="Arial"/>
                <w:color w:val="auto"/>
                <w:sz w:val="21"/>
              </w:rPr>
            </w:pPr>
          </w:p>
          <w:p w14:paraId="0E5ED501">
            <w:pPr>
              <w:pageBreakBefore w:val="0"/>
              <w:kinsoku/>
              <w:topLinePunct w:val="0"/>
              <w:bidi w:val="0"/>
              <w:spacing w:line="261" w:lineRule="auto"/>
              <w:rPr>
                <w:rFonts w:ascii="Arial"/>
                <w:color w:val="auto"/>
                <w:sz w:val="21"/>
              </w:rPr>
            </w:pPr>
          </w:p>
          <w:p w14:paraId="238DB65C">
            <w:pPr>
              <w:pageBreakBefore w:val="0"/>
              <w:kinsoku/>
              <w:topLinePunct w:val="0"/>
              <w:bidi w:val="0"/>
              <w:spacing w:before="78" w:line="219" w:lineRule="auto"/>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供应商资格、能</w:t>
            </w:r>
          </w:p>
          <w:p w14:paraId="3C3747EB">
            <w:pPr>
              <w:pageBreakBefore w:val="0"/>
              <w:kinsoku/>
              <w:topLinePunct w:val="0"/>
              <w:bidi w:val="0"/>
              <w:spacing w:before="72" w:line="219" w:lineRule="auto"/>
              <w:ind w:left="115"/>
              <w:rPr>
                <w:rFonts w:ascii="宋体" w:hAnsi="宋体" w:eastAsia="宋体" w:cs="宋体"/>
                <w:color w:val="auto"/>
                <w:spacing w:val="-3"/>
                <w:sz w:val="24"/>
                <w:szCs w:val="24"/>
                <w14:textOutline w14:w="4358" w14:cap="sq" w14:cmpd="sng">
                  <w14:solidFill>
                    <w14:srgbClr w14:val="000000"/>
                  </w14:solidFill>
                  <w14:prstDash w14:val="solid"/>
                  <w14:bevel/>
                </w14:textOutline>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力、信誉</w:t>
            </w:r>
            <w:r>
              <w:rPr>
                <w:rFonts w:hint="eastAsia" w:ascii="宋体" w:hAnsi="宋体" w:eastAsia="宋体" w:cs="宋体"/>
                <w:color w:val="auto"/>
                <w:spacing w:val="-11"/>
                <w:sz w:val="24"/>
                <w:szCs w:val="24"/>
                <w:lang w:eastAsia="zh-CN"/>
                <w14:textOutline w14:w="4358" w14:cap="sq" w14:cmpd="sng">
                  <w14:solidFill>
                    <w14:srgbClr w14:val="000000"/>
                  </w14:solidFill>
                  <w14:prstDash w14:val="solid"/>
                  <w14:bevel/>
                </w14:textOutline>
              </w:rPr>
              <w:t>及其他</w:t>
            </w:r>
            <w:r>
              <w:rPr>
                <w:rFonts w:ascii="宋体" w:hAnsi="宋体" w:eastAsia="宋体" w:cs="宋体"/>
                <w:color w:val="auto"/>
                <w:spacing w:val="-11"/>
                <w:sz w:val="24"/>
                <w:szCs w:val="24"/>
                <w14:textOutline w14:w="4358" w14:cap="sq" w14:cmpd="sng">
                  <w14:solidFill>
                    <w14:srgbClr w14:val="000000"/>
                  </w14:solidFill>
                  <w14:prstDash w14:val="solid"/>
                  <w14:bevel/>
                </w14:textOutline>
              </w:rPr>
              <w:t>要</w:t>
            </w:r>
            <w:r>
              <w:rPr>
                <w:rFonts w:ascii="宋体" w:hAnsi="宋体" w:eastAsia="宋体" w:cs="宋体"/>
                <w:color w:val="auto"/>
                <w:sz w:val="24"/>
                <w:szCs w:val="24"/>
                <w14:textOutline w14:w="4358" w14:cap="sq" w14:cmpd="sng">
                  <w14:solidFill>
                    <w14:srgbClr w14:val="000000"/>
                  </w14:solidFill>
                  <w14:prstDash w14:val="solid"/>
                  <w14:bevel/>
                </w14:textOutline>
              </w:rPr>
              <w:t>求</w:t>
            </w:r>
          </w:p>
        </w:tc>
        <w:tc>
          <w:tcPr>
            <w:tcW w:w="6700" w:type="dxa"/>
            <w:tcBorders>
              <w:right w:val="single" w:color="000000" w:sz="4" w:space="0"/>
            </w:tcBorders>
            <w:vAlign w:val="top"/>
          </w:tcPr>
          <w:p w14:paraId="7DCFE8F4">
            <w:pPr>
              <w:pageBreakBefore w:val="0"/>
              <w:kinsoku/>
              <w:topLinePunct w:val="0"/>
              <w:bidi w:val="0"/>
              <w:spacing w:before="43" w:line="219" w:lineRule="auto"/>
              <w:ind w:left="130"/>
              <w:rPr>
                <w:rFonts w:ascii="宋体" w:hAnsi="宋体" w:eastAsia="宋体" w:cs="宋体"/>
                <w:b/>
                <w:bCs/>
                <w:color w:val="auto"/>
                <w:sz w:val="24"/>
                <w:szCs w:val="24"/>
              </w:rPr>
            </w:pPr>
            <w:r>
              <w:rPr>
                <w:rFonts w:ascii="宋体" w:hAnsi="宋体" w:eastAsia="宋体" w:cs="宋体"/>
                <w:b/>
                <w:bCs/>
                <w:color w:val="auto"/>
                <w:spacing w:val="-1"/>
                <w:sz w:val="24"/>
                <w:szCs w:val="24"/>
              </w:rPr>
              <w:t>1.满足《中华人民共和国政府采购法》第二十二条</w:t>
            </w:r>
            <w:r>
              <w:rPr>
                <w:rFonts w:ascii="宋体" w:hAnsi="宋体" w:eastAsia="宋体" w:cs="宋体"/>
                <w:b/>
                <w:bCs/>
                <w:color w:val="auto"/>
                <w:spacing w:val="-2"/>
                <w:sz w:val="24"/>
                <w:szCs w:val="24"/>
              </w:rPr>
              <w:t>规定；</w:t>
            </w:r>
          </w:p>
          <w:p w14:paraId="20E6EB8F">
            <w:pPr>
              <w:pageBreakBefore w:val="0"/>
              <w:kinsoku/>
              <w:topLinePunct w:val="0"/>
              <w:bidi w:val="0"/>
              <w:spacing w:before="70" w:line="266" w:lineRule="auto"/>
              <w:ind w:left="112" w:right="118" w:firstLine="11"/>
              <w:rPr>
                <w:rFonts w:ascii="宋体" w:hAnsi="宋体" w:eastAsia="宋体" w:cs="宋体"/>
                <w:color w:val="auto"/>
                <w:sz w:val="24"/>
                <w:szCs w:val="24"/>
              </w:rPr>
            </w:pPr>
            <w:r>
              <w:rPr>
                <w:rFonts w:ascii="宋体" w:hAnsi="宋体" w:eastAsia="宋体" w:cs="宋体"/>
                <w:color w:val="auto"/>
                <w:spacing w:val="-5"/>
                <w:sz w:val="24"/>
                <w:szCs w:val="24"/>
              </w:rPr>
              <w:t>（1）</w:t>
            </w:r>
            <w:r>
              <w:rPr>
                <w:rFonts w:hint="eastAsia" w:ascii="宋体" w:hAnsi="宋体" w:eastAsia="宋体" w:cs="宋体"/>
                <w:color w:val="auto"/>
                <w:spacing w:val="-5"/>
                <w:sz w:val="24"/>
                <w:szCs w:val="24"/>
                <w:lang w:eastAsia="zh-CN"/>
              </w:rPr>
              <w:t>具有有效经年检的三证合一营业执照原件扫描件（若供应商是企业（包括合伙企业）应提供营业执照；若供应商是事业单位应提供事业单位法人证书；若供应商是个体工商户应提供个体工商户营业执照；若供应商是自然人应提供自然人身份证明）</w:t>
            </w:r>
            <w:r>
              <w:rPr>
                <w:rFonts w:ascii="宋体" w:hAnsi="宋体" w:eastAsia="宋体" w:cs="宋体"/>
                <w:color w:val="auto"/>
                <w:sz w:val="24"/>
                <w:szCs w:val="24"/>
              </w:rPr>
              <w:t>；</w:t>
            </w:r>
          </w:p>
          <w:p w14:paraId="70F996A1">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pacing w:val="-5"/>
                <w:sz w:val="24"/>
                <w:szCs w:val="24"/>
                <w:lang w:eastAsia="zh-CN"/>
              </w:rPr>
              <w:t>具有良好的商业信誉和健全的财务会计制度（提供202</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lang w:eastAsia="zh-CN"/>
              </w:rPr>
              <w:t>年经审计的财务报告，企业成立不足一年的，须提供企业成立以来的财务报表加盖单位公章）；</w:t>
            </w:r>
          </w:p>
          <w:p w14:paraId="7169A125">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lang w:eastAsia="zh-CN"/>
              </w:rPr>
              <w:t>）提供近期依法缴纳税收的证明；（出具2024年1月至今任意连续三个月的）完税证明；新成立企业须提供企业成立以来的完税证明；</w:t>
            </w:r>
          </w:p>
          <w:p w14:paraId="56906E6C">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4</w:t>
            </w:r>
            <w:r>
              <w:rPr>
                <w:rFonts w:hint="eastAsia" w:ascii="宋体" w:hAnsi="宋体" w:eastAsia="宋体" w:cs="宋体"/>
                <w:color w:val="auto"/>
                <w:spacing w:val="-5"/>
                <w:sz w:val="24"/>
                <w:szCs w:val="24"/>
                <w:lang w:eastAsia="zh-CN"/>
              </w:rPr>
              <w:t>）提供近期依法缴纳社会保险的证明；（提供2024年1月至今任意连续三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p w14:paraId="46A28EAC">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5</w:t>
            </w:r>
            <w:r>
              <w:rPr>
                <w:rFonts w:hint="eastAsia" w:ascii="宋体" w:hAnsi="宋体" w:eastAsia="宋体" w:cs="宋体"/>
                <w:color w:val="auto"/>
                <w:spacing w:val="-5"/>
                <w:sz w:val="24"/>
                <w:szCs w:val="24"/>
                <w:lang w:eastAsia="zh-CN"/>
              </w:rPr>
              <w:t>）法定代表人参加应上传法定代表人身份证明和本人身份证；</w:t>
            </w:r>
            <w:r>
              <w:rPr>
                <w:rFonts w:hint="eastAsia" w:ascii="宋体" w:hAnsi="宋体" w:eastAsia="宋体" w:cs="宋体"/>
                <w:color w:val="auto"/>
                <w:spacing w:val="-5"/>
                <w:sz w:val="24"/>
                <w:szCs w:val="24"/>
                <w:lang w:val="en-US" w:eastAsia="zh-CN"/>
              </w:rPr>
              <w:t>委托代理人参加应上传法定代表人身份证明、授权委托书、本人身份证；</w:t>
            </w:r>
          </w:p>
          <w:p w14:paraId="6DCE386D">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6</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供应商如在“信用中国”网站、中国政府采购网被列入严重违法失信行为记录名单的（尚在处罚期内的），将拒绝其参加本次政府采购活动。</w:t>
            </w:r>
          </w:p>
          <w:p w14:paraId="0A5F7ADA">
            <w:pPr>
              <w:pageBreakBefore w:val="0"/>
              <w:kinsoku/>
              <w:topLinePunct w:val="0"/>
              <w:bidi w:val="0"/>
              <w:spacing w:before="70" w:line="266" w:lineRule="auto"/>
              <w:ind w:left="112" w:right="118" w:firstLine="11"/>
              <w:rPr>
                <w:rFonts w:hint="eastAsia" w:ascii="宋体" w:hAnsi="宋体" w:eastAsia="宋体" w:cs="宋体"/>
                <w:snapToGrid w:val="0"/>
                <w:color w:val="auto"/>
                <w:spacing w:val="-5"/>
                <w:kern w:val="0"/>
                <w:sz w:val="24"/>
                <w:szCs w:val="24"/>
                <w:lang w:val="en-US" w:eastAsia="zh-CN" w:bidi="ar-SA"/>
              </w:rPr>
            </w:pPr>
            <w:r>
              <w:rPr>
                <w:rFonts w:hint="eastAsia" w:ascii="宋体" w:hAnsi="宋体" w:eastAsia="宋体" w:cs="宋体"/>
                <w:color w:val="auto"/>
                <w:spacing w:val="-5"/>
                <w:sz w:val="24"/>
                <w:szCs w:val="24"/>
                <w:lang w:val="en-US" w:eastAsia="zh-CN"/>
              </w:rPr>
              <w:t>（7）本项目专门面向中小企业，按磋商文件格式提供《中小企业声明函》；</w:t>
            </w:r>
          </w:p>
          <w:p w14:paraId="127F5FA7">
            <w:pPr>
              <w:pageBreakBefore w:val="0"/>
              <w:kinsoku/>
              <w:topLinePunct w:val="0"/>
              <w:bidi w:val="0"/>
              <w:spacing w:before="72" w:line="257" w:lineRule="auto"/>
              <w:ind w:left="114" w:right="133"/>
              <w:rPr>
                <w:rFonts w:ascii="宋体" w:hAnsi="宋体" w:eastAsia="宋体" w:cs="宋体"/>
                <w:b/>
                <w:bCs/>
                <w:color w:val="auto"/>
                <w:sz w:val="24"/>
                <w:szCs w:val="24"/>
              </w:rPr>
            </w:pPr>
            <w:r>
              <w:rPr>
                <w:rFonts w:ascii="宋体" w:hAnsi="宋体" w:eastAsia="宋体" w:cs="宋体"/>
                <w:b/>
                <w:bCs/>
                <w:color w:val="auto"/>
                <w:spacing w:val="-1"/>
                <w:sz w:val="24"/>
                <w:szCs w:val="24"/>
              </w:rPr>
              <w:t>2.落实政府采购政策需满足的资格要求：</w:t>
            </w:r>
          </w:p>
          <w:p w14:paraId="6DDD75FC">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（1）财政部、国家发展改革委、生态环境部、市场监管总局《关于调整优化节能产品、环境标志产品政府采购执行机制的通知》（财库[2019]9号文）；</w:t>
            </w:r>
          </w:p>
          <w:p w14:paraId="1CD1599F">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（2）财政部、生态环境部《关于印发环境标志产品政府采购品目清单的通知》（财库[2019]18号文）；</w:t>
            </w:r>
          </w:p>
          <w:p w14:paraId="5288097C">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（3）财政部、发展改革委《关于印发节能产品政府采购品目清单的通知》（财库[2019]19号文）；</w:t>
            </w:r>
          </w:p>
          <w:p w14:paraId="4D7ED605">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（4）市场监管总局《市场监管总局关于发布参与实施政府采购节能产品、环境标志产品认证机构名录的公告》（2019年第16号）；</w:t>
            </w:r>
          </w:p>
          <w:p w14:paraId="3F4E745A">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（5）财政部、工业和信息化部《关于印发《政府采购促进中小企业发展管理办法》的通知》（财库[2020]46号文）；</w:t>
            </w:r>
          </w:p>
          <w:p w14:paraId="0448B008">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（6）财政部、民政部、中国残疾人联合会《关于促进残疾人就业政府采购政策的通知》（财库[2017]141号）；</w:t>
            </w:r>
          </w:p>
          <w:p w14:paraId="1C6A470A">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（7）财政部、司法部《关于政府采购支持监狱企业发展有关问题的通知》（财库[2014]68号文）。</w:t>
            </w:r>
          </w:p>
          <w:p w14:paraId="048BAA4E">
            <w:pPr>
              <w:pageBreakBefore w:val="0"/>
              <w:kinsoku/>
              <w:topLinePunct w:val="0"/>
              <w:bidi w:val="0"/>
              <w:spacing w:before="74" w:line="248" w:lineRule="auto"/>
              <w:ind w:left="114" w:right="133" w:firstLine="2"/>
              <w:rPr>
                <w:rFonts w:ascii="宋体" w:hAnsi="宋体" w:eastAsia="宋体" w:cs="宋体"/>
                <w:b/>
                <w:bCs/>
                <w:color w:val="auto"/>
                <w:spacing w:val="-1"/>
                <w:sz w:val="24"/>
                <w:szCs w:val="24"/>
              </w:rPr>
            </w:pPr>
            <w:r>
              <w:rPr>
                <w:rFonts w:ascii="宋体" w:hAnsi="宋体" w:eastAsia="宋体" w:cs="宋体"/>
                <w:b/>
                <w:bCs/>
                <w:color w:val="auto"/>
                <w:spacing w:val="-1"/>
                <w:sz w:val="24"/>
                <w:szCs w:val="24"/>
              </w:rPr>
              <w:t>3.本项目的特定资格要求：</w:t>
            </w:r>
          </w:p>
          <w:p w14:paraId="090D1D93">
            <w:pPr>
              <w:pageBreakBefore w:val="0"/>
              <w:kinsoku/>
              <w:topLinePunct w:val="0"/>
              <w:bidi w:val="0"/>
              <w:spacing w:before="74" w:line="248" w:lineRule="auto"/>
              <w:ind w:left="114" w:right="133" w:firstLine="2"/>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具备建筑工程施工总承包叁级及以上资质、有效的安全生产许可证；拟派项目负责人须具备建筑工程专业贰级及以上建造师注册证书、有效的安全考核合格证，且未担任其他在建建设工程项目的项目经理。</w:t>
            </w:r>
          </w:p>
          <w:p w14:paraId="42BFB15E">
            <w:pPr>
              <w:pageBreakBefore w:val="0"/>
              <w:kinsoku/>
              <w:topLinePunct w:val="0"/>
              <w:bidi w:val="0"/>
              <w:spacing w:before="69" w:line="219" w:lineRule="auto"/>
              <w:ind w:left="111"/>
              <w:rPr>
                <w:rFonts w:ascii="宋体" w:hAnsi="宋体" w:eastAsia="宋体" w:cs="宋体"/>
                <w:b/>
                <w:bCs/>
                <w:color w:val="auto"/>
                <w:sz w:val="24"/>
                <w:szCs w:val="24"/>
              </w:rPr>
            </w:pPr>
            <w:r>
              <w:rPr>
                <w:rFonts w:ascii="宋体" w:hAnsi="宋体" w:eastAsia="宋体" w:cs="宋体"/>
                <w:b/>
                <w:bCs/>
                <w:color w:val="auto"/>
                <w:spacing w:val="-1"/>
                <w:sz w:val="24"/>
                <w:szCs w:val="24"/>
              </w:rPr>
              <w:t>4.本项目不接受联合体参加。</w:t>
            </w:r>
          </w:p>
          <w:p w14:paraId="4C33B376">
            <w:pPr>
              <w:pageBreakBefore w:val="0"/>
              <w:kinsoku/>
              <w:topLinePunct w:val="0"/>
              <w:bidi w:val="0"/>
              <w:spacing w:before="73" w:line="219" w:lineRule="auto"/>
              <w:jc w:val="left"/>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ascii="宋体" w:hAnsi="宋体" w:eastAsia="宋体" w:cs="宋体"/>
                <w:b/>
                <w:bCs/>
                <w:color w:val="auto"/>
                <w:spacing w:val="-6"/>
                <w:sz w:val="24"/>
                <w:szCs w:val="24"/>
              </w:rPr>
              <w:t>注：供应商提交的所有证明文件及材料必须清晰、准确、真实</w:t>
            </w:r>
            <w:r>
              <w:rPr>
                <w:rFonts w:ascii="宋体" w:hAnsi="宋体" w:eastAsia="宋体" w:cs="宋体"/>
                <w:color w:val="auto"/>
                <w:spacing w:val="-6"/>
                <w:sz w:val="24"/>
                <w:szCs w:val="24"/>
              </w:rPr>
              <w:t>。</w:t>
            </w:r>
          </w:p>
        </w:tc>
      </w:tr>
      <w:tr w14:paraId="4E31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42" w:type="dxa"/>
            <w:tcBorders>
              <w:top w:val="single" w:color="000000" w:sz="4" w:space="0"/>
              <w:left w:val="single" w:color="000000" w:sz="4" w:space="0"/>
            </w:tcBorders>
            <w:vAlign w:val="top"/>
          </w:tcPr>
          <w:p w14:paraId="2DC8FD43">
            <w:pPr>
              <w:pageBreakBefore w:val="0"/>
              <w:kinsoku/>
              <w:topLinePunct w:val="0"/>
              <w:bidi w:val="0"/>
              <w:spacing w:before="202" w:line="183" w:lineRule="auto"/>
              <w:ind w:left="321"/>
              <w:rPr>
                <w:rFonts w:ascii="宋体" w:hAnsi="宋体" w:eastAsia="宋体" w:cs="宋体"/>
                <w:color w:val="auto"/>
                <w:sz w:val="24"/>
                <w:szCs w:val="24"/>
              </w:rPr>
            </w:pPr>
            <w:r>
              <w:rPr>
                <w:rFonts w:ascii="宋体" w:hAnsi="宋体" w:eastAsia="宋体" w:cs="宋体"/>
                <w:color w:val="auto"/>
                <w:sz w:val="24"/>
                <w:szCs w:val="24"/>
              </w:rPr>
              <w:t>9</w:t>
            </w:r>
          </w:p>
        </w:tc>
        <w:tc>
          <w:tcPr>
            <w:tcW w:w="1870" w:type="dxa"/>
            <w:tcBorders>
              <w:top w:val="single" w:color="000000" w:sz="4" w:space="0"/>
            </w:tcBorders>
            <w:vAlign w:val="top"/>
          </w:tcPr>
          <w:p w14:paraId="7F66BC15">
            <w:pPr>
              <w:pageBreakBefore w:val="0"/>
              <w:kinsoku/>
              <w:topLinePunct w:val="0"/>
              <w:bidi w:val="0"/>
              <w:spacing w:before="164" w:line="219" w:lineRule="auto"/>
              <w:ind w:left="325"/>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资格审查方式</w:t>
            </w:r>
          </w:p>
        </w:tc>
        <w:tc>
          <w:tcPr>
            <w:tcW w:w="6700" w:type="dxa"/>
            <w:tcBorders>
              <w:top w:val="single" w:color="000000" w:sz="4" w:space="0"/>
              <w:right w:val="single" w:color="000000" w:sz="4" w:space="0"/>
            </w:tcBorders>
            <w:vAlign w:val="top"/>
          </w:tcPr>
          <w:p w14:paraId="705756C6">
            <w:pPr>
              <w:pageBreakBefore w:val="0"/>
              <w:kinsoku/>
              <w:topLinePunct w:val="0"/>
              <w:bidi w:val="0"/>
              <w:spacing w:before="164" w:line="219" w:lineRule="auto"/>
              <w:ind w:left="122"/>
              <w:rPr>
                <w:rFonts w:ascii="宋体" w:hAnsi="宋体" w:eastAsia="宋体" w:cs="宋体"/>
                <w:color w:val="auto"/>
                <w:sz w:val="24"/>
                <w:szCs w:val="24"/>
              </w:rPr>
            </w:pPr>
            <w:r>
              <w:rPr>
                <w:rFonts w:ascii="宋体" w:hAnsi="宋体" w:eastAsia="宋体" w:cs="宋体"/>
                <w:color w:val="auto"/>
                <w:spacing w:val="-5"/>
                <w:sz w:val="24"/>
                <w:szCs w:val="24"/>
              </w:rPr>
              <w:t>资格后审</w:t>
            </w:r>
          </w:p>
        </w:tc>
      </w:tr>
      <w:tr w14:paraId="7202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vAlign w:val="top"/>
          </w:tcPr>
          <w:p w14:paraId="39834073">
            <w:pPr>
              <w:pageBreakBefore w:val="0"/>
              <w:kinsoku/>
              <w:topLinePunct w:val="0"/>
              <w:bidi w:val="0"/>
              <w:spacing w:before="155"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10</w:t>
            </w:r>
          </w:p>
        </w:tc>
        <w:tc>
          <w:tcPr>
            <w:tcW w:w="1870" w:type="dxa"/>
            <w:vAlign w:val="top"/>
          </w:tcPr>
          <w:p w14:paraId="03565C65">
            <w:pPr>
              <w:pageBreakBefore w:val="0"/>
              <w:kinsoku/>
              <w:topLinePunct w:val="0"/>
              <w:bidi w:val="0"/>
              <w:spacing w:before="118" w:line="220" w:lineRule="auto"/>
              <w:ind w:left="558"/>
              <w:rPr>
                <w:rFonts w:ascii="宋体" w:hAnsi="宋体" w:eastAsia="宋体" w:cs="宋体"/>
                <w:color w:val="auto"/>
                <w:sz w:val="24"/>
                <w:szCs w:val="24"/>
              </w:rPr>
            </w:pPr>
            <w:r>
              <w:rPr>
                <w:rFonts w:hint="eastAsia" w:ascii="宋体" w:hAnsi="宋体" w:eastAsia="宋体" w:cs="宋体"/>
                <w:color w:val="auto"/>
                <w:spacing w:val="-3"/>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3"/>
                <w:sz w:val="24"/>
                <w:szCs w:val="24"/>
                <w14:textOutline w14:w="4358" w14:cap="sq" w14:cmpd="sng">
                  <w14:solidFill>
                    <w14:srgbClr w14:val="000000"/>
                  </w14:solidFill>
                  <w14:prstDash w14:val="solid"/>
                  <w14:bevel/>
                </w14:textOutline>
              </w:rPr>
              <w:t>语言</w:t>
            </w:r>
          </w:p>
        </w:tc>
        <w:tc>
          <w:tcPr>
            <w:tcW w:w="6700" w:type="dxa"/>
            <w:tcBorders>
              <w:right w:val="single" w:color="000000" w:sz="4" w:space="0"/>
            </w:tcBorders>
            <w:vAlign w:val="top"/>
          </w:tcPr>
          <w:p w14:paraId="2693DD4C">
            <w:pPr>
              <w:pageBreakBefore w:val="0"/>
              <w:kinsoku/>
              <w:topLinePunct w:val="0"/>
              <w:bidi w:val="0"/>
              <w:spacing w:before="118" w:line="220" w:lineRule="auto"/>
              <w:ind w:left="135"/>
              <w:rPr>
                <w:rFonts w:ascii="宋体" w:hAnsi="宋体" w:eastAsia="宋体" w:cs="宋体"/>
                <w:color w:val="auto"/>
                <w:sz w:val="24"/>
                <w:szCs w:val="24"/>
              </w:rPr>
            </w:pPr>
            <w:r>
              <w:rPr>
                <w:rFonts w:ascii="宋体" w:hAnsi="宋体" w:eastAsia="宋体" w:cs="宋体"/>
                <w:color w:val="auto"/>
                <w:spacing w:val="-16"/>
                <w:sz w:val="24"/>
                <w:szCs w:val="24"/>
              </w:rPr>
              <w:t>中文</w:t>
            </w:r>
          </w:p>
        </w:tc>
      </w:tr>
      <w:tr w14:paraId="469C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42" w:type="dxa"/>
            <w:tcBorders>
              <w:left w:val="single" w:color="000000" w:sz="4" w:space="0"/>
            </w:tcBorders>
            <w:vAlign w:val="top"/>
          </w:tcPr>
          <w:p w14:paraId="16F3F519">
            <w:pPr>
              <w:pageBreakBefore w:val="0"/>
              <w:kinsoku/>
              <w:topLinePunct w:val="0"/>
              <w:bidi w:val="0"/>
              <w:spacing w:before="272"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11</w:t>
            </w:r>
          </w:p>
        </w:tc>
        <w:tc>
          <w:tcPr>
            <w:tcW w:w="1870" w:type="dxa"/>
            <w:vAlign w:val="top"/>
          </w:tcPr>
          <w:p w14:paraId="0A9B5FDE">
            <w:pPr>
              <w:pageBreakBefore w:val="0"/>
              <w:kinsoku/>
              <w:topLinePunct w:val="0"/>
              <w:bidi w:val="0"/>
              <w:spacing w:before="235" w:line="220" w:lineRule="auto"/>
              <w:ind w:left="438"/>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有效期</w:t>
            </w:r>
          </w:p>
        </w:tc>
        <w:tc>
          <w:tcPr>
            <w:tcW w:w="6700" w:type="dxa"/>
            <w:tcBorders>
              <w:right w:val="single" w:color="000000" w:sz="4" w:space="0"/>
            </w:tcBorders>
            <w:vAlign w:val="top"/>
          </w:tcPr>
          <w:p w14:paraId="0C5230D9">
            <w:pPr>
              <w:pageBreakBefore w:val="0"/>
              <w:kinsoku/>
              <w:topLinePunct w:val="0"/>
              <w:bidi w:val="0"/>
              <w:spacing w:before="236" w:line="219" w:lineRule="auto"/>
              <w:ind w:left="113"/>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60</w:t>
            </w:r>
            <w:r>
              <w:rPr>
                <w:rFonts w:ascii="宋体" w:hAnsi="宋体" w:eastAsia="宋体" w:cs="宋体"/>
                <w:color w:val="auto"/>
                <w:spacing w:val="-3"/>
                <w:sz w:val="24"/>
                <w:szCs w:val="24"/>
              </w:rPr>
              <w:t>日历天</w:t>
            </w:r>
            <w:r>
              <w:rPr>
                <w:rFonts w:ascii="宋体" w:hAnsi="宋体" w:eastAsia="宋体" w:cs="宋体"/>
                <w:color w:val="auto"/>
                <w:spacing w:val="-12"/>
                <w:sz w:val="24"/>
                <w:szCs w:val="24"/>
              </w:rPr>
              <w:t>；（</w:t>
            </w:r>
            <w:r>
              <w:rPr>
                <w:rFonts w:ascii="宋体" w:hAnsi="宋体" w:eastAsia="宋体" w:cs="宋体"/>
                <w:color w:val="auto"/>
                <w:spacing w:val="-3"/>
                <w:sz w:val="24"/>
                <w:szCs w:val="24"/>
              </w:rPr>
              <w:t>从</w:t>
            </w:r>
            <w:r>
              <w:rPr>
                <w:rFonts w:ascii="宋体" w:hAnsi="宋体" w:eastAsia="宋体" w:cs="宋体"/>
                <w:sz w:val="24"/>
                <w:szCs w:val="24"/>
              </w:rPr>
              <w:t>提交响应文件截止</w:t>
            </w:r>
            <w:r>
              <w:rPr>
                <w:rFonts w:hint="eastAsia" w:ascii="宋体" w:hAnsi="宋体" w:eastAsia="宋体" w:cs="宋体"/>
                <w:sz w:val="24"/>
                <w:szCs w:val="24"/>
                <w:lang w:eastAsia="zh-CN"/>
              </w:rPr>
              <w:t>之日</w:t>
            </w:r>
            <w:r>
              <w:rPr>
                <w:rFonts w:ascii="宋体" w:hAnsi="宋体" w:eastAsia="宋体" w:cs="宋体"/>
                <w:color w:val="auto"/>
                <w:spacing w:val="-3"/>
                <w:sz w:val="24"/>
                <w:szCs w:val="24"/>
              </w:rPr>
              <w:t>算起）</w:t>
            </w:r>
          </w:p>
        </w:tc>
      </w:tr>
      <w:tr w14:paraId="7CA6A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79C8100E">
            <w:pPr>
              <w:pageBreakBefore w:val="0"/>
              <w:kinsoku/>
              <w:topLinePunct w:val="0"/>
              <w:bidi w:val="0"/>
              <w:spacing w:before="21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12</w:t>
            </w:r>
          </w:p>
        </w:tc>
        <w:tc>
          <w:tcPr>
            <w:tcW w:w="1870" w:type="dxa"/>
            <w:vAlign w:val="top"/>
          </w:tcPr>
          <w:p w14:paraId="094CA715">
            <w:pPr>
              <w:pageBreakBefore w:val="0"/>
              <w:kinsoku/>
              <w:topLinePunct w:val="0"/>
              <w:bidi w:val="0"/>
              <w:spacing w:before="177"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采购方式</w:t>
            </w:r>
          </w:p>
        </w:tc>
        <w:tc>
          <w:tcPr>
            <w:tcW w:w="6700" w:type="dxa"/>
            <w:tcBorders>
              <w:right w:val="single" w:color="000000" w:sz="4" w:space="0"/>
            </w:tcBorders>
            <w:vAlign w:val="top"/>
          </w:tcPr>
          <w:p w14:paraId="18CF008C">
            <w:pPr>
              <w:pageBreakBefore w:val="0"/>
              <w:kinsoku/>
              <w:topLinePunct w:val="0"/>
              <w:bidi w:val="0"/>
              <w:spacing w:before="178" w:line="219" w:lineRule="auto"/>
              <w:ind w:left="115"/>
              <w:rPr>
                <w:rFonts w:ascii="宋体" w:hAnsi="宋体" w:eastAsia="宋体" w:cs="宋体"/>
                <w:color w:val="auto"/>
                <w:sz w:val="24"/>
                <w:szCs w:val="24"/>
              </w:rPr>
            </w:pPr>
            <w:r>
              <w:rPr>
                <w:rFonts w:ascii="宋体" w:hAnsi="宋体" w:eastAsia="宋体" w:cs="宋体"/>
                <w:color w:val="auto"/>
                <w:spacing w:val="-3"/>
                <w:sz w:val="24"/>
                <w:szCs w:val="24"/>
              </w:rPr>
              <w:t>竞争性磋商</w:t>
            </w:r>
          </w:p>
        </w:tc>
      </w:tr>
      <w:tr w14:paraId="4431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42" w:type="dxa"/>
            <w:tcBorders>
              <w:left w:val="single" w:color="000000" w:sz="4" w:space="0"/>
            </w:tcBorders>
            <w:vAlign w:val="top"/>
          </w:tcPr>
          <w:p w14:paraId="5ED80A56">
            <w:pPr>
              <w:pageBreakBefore w:val="0"/>
              <w:kinsoku/>
              <w:topLinePunct w:val="0"/>
              <w:bidi w:val="0"/>
              <w:spacing w:before="259"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13</w:t>
            </w:r>
          </w:p>
        </w:tc>
        <w:tc>
          <w:tcPr>
            <w:tcW w:w="1870" w:type="dxa"/>
            <w:vAlign w:val="top"/>
          </w:tcPr>
          <w:p w14:paraId="4B080C13">
            <w:pPr>
              <w:pageBreakBefore w:val="0"/>
              <w:kinsoku/>
              <w:topLinePunct w:val="0"/>
              <w:bidi w:val="0"/>
              <w:spacing w:before="223" w:line="219" w:lineRule="auto"/>
              <w:ind w:left="554"/>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评审</w:t>
            </w:r>
            <w:r>
              <w:rPr>
                <w:rFonts w:ascii="宋体" w:hAnsi="宋体" w:eastAsia="宋体" w:cs="宋体"/>
                <w:color w:val="auto"/>
                <w:spacing w:val="-2"/>
                <w:sz w:val="24"/>
                <w:szCs w:val="24"/>
                <w14:textOutline w14:w="4358" w14:cap="sq" w14:cmpd="sng">
                  <w14:solidFill>
                    <w14:srgbClr w14:val="000000"/>
                  </w14:solidFill>
                  <w14:prstDash w14:val="solid"/>
                  <w14:bevel/>
                </w14:textOutline>
              </w:rPr>
              <w:t>办法</w:t>
            </w:r>
          </w:p>
        </w:tc>
        <w:tc>
          <w:tcPr>
            <w:tcW w:w="6700" w:type="dxa"/>
            <w:tcBorders>
              <w:right w:val="single" w:color="000000" w:sz="4" w:space="0"/>
            </w:tcBorders>
            <w:vAlign w:val="top"/>
          </w:tcPr>
          <w:p w14:paraId="1E48E9D5">
            <w:pPr>
              <w:pageBreakBefore w:val="0"/>
              <w:kinsoku/>
              <w:topLinePunct w:val="0"/>
              <w:bidi w:val="0"/>
              <w:spacing w:before="222" w:line="220" w:lineRule="auto"/>
              <w:ind w:left="115"/>
              <w:rPr>
                <w:rFonts w:ascii="宋体" w:hAnsi="宋体" w:eastAsia="宋体" w:cs="宋体"/>
                <w:color w:val="auto"/>
                <w:sz w:val="24"/>
                <w:szCs w:val="24"/>
              </w:rPr>
            </w:pPr>
            <w:r>
              <w:rPr>
                <w:rFonts w:ascii="宋体" w:hAnsi="宋体" w:eastAsia="宋体" w:cs="宋体"/>
                <w:color w:val="auto"/>
                <w:spacing w:val="-3"/>
                <w:sz w:val="24"/>
                <w:szCs w:val="24"/>
              </w:rPr>
              <w:t>综合评分法</w:t>
            </w:r>
          </w:p>
        </w:tc>
      </w:tr>
      <w:tr w14:paraId="2271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vAlign w:val="top"/>
          </w:tcPr>
          <w:p w14:paraId="1A5ABCDB">
            <w:pPr>
              <w:pageBreakBefore w:val="0"/>
              <w:kinsoku/>
              <w:topLinePunct w:val="0"/>
              <w:bidi w:val="0"/>
              <w:spacing w:before="260"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14</w:t>
            </w:r>
          </w:p>
        </w:tc>
        <w:tc>
          <w:tcPr>
            <w:tcW w:w="1870" w:type="dxa"/>
            <w:vAlign w:val="top"/>
          </w:tcPr>
          <w:p w14:paraId="7530527E">
            <w:pPr>
              <w:pageBreakBefore w:val="0"/>
              <w:kinsoku/>
              <w:topLinePunct w:val="0"/>
              <w:bidi w:val="0"/>
              <w:spacing w:before="223" w:line="219" w:lineRule="auto"/>
              <w:ind w:left="196"/>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本项目所属行业</w:t>
            </w:r>
          </w:p>
        </w:tc>
        <w:tc>
          <w:tcPr>
            <w:tcW w:w="6700" w:type="dxa"/>
            <w:tcBorders>
              <w:right w:val="single" w:color="000000" w:sz="4" w:space="0"/>
            </w:tcBorders>
            <w:vAlign w:val="top"/>
          </w:tcPr>
          <w:p w14:paraId="37CC2FC8">
            <w:pPr>
              <w:pageBreakBefore w:val="0"/>
              <w:kinsoku/>
              <w:topLinePunct w:val="0"/>
              <w:bidi w:val="0"/>
              <w:spacing w:before="224" w:line="219" w:lineRule="auto"/>
              <w:ind w:left="11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建筑业</w:t>
            </w:r>
          </w:p>
        </w:tc>
      </w:tr>
      <w:tr w14:paraId="56DCA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42" w:type="dxa"/>
            <w:tcBorders>
              <w:left w:val="single" w:color="000000" w:sz="4" w:space="0"/>
            </w:tcBorders>
            <w:vAlign w:val="top"/>
          </w:tcPr>
          <w:p w14:paraId="45EE1766">
            <w:pPr>
              <w:pageBreakBefore w:val="0"/>
              <w:kinsoku/>
              <w:topLinePunct w:val="0"/>
              <w:bidi w:val="0"/>
              <w:spacing w:before="261"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15</w:t>
            </w:r>
          </w:p>
        </w:tc>
        <w:tc>
          <w:tcPr>
            <w:tcW w:w="1870" w:type="dxa"/>
            <w:vAlign w:val="center"/>
          </w:tcPr>
          <w:p w14:paraId="6691ED73">
            <w:pPr>
              <w:pageBreakBefore w:val="0"/>
              <w:kinsoku/>
              <w:topLinePunct w:val="0"/>
              <w:bidi w:val="0"/>
              <w:spacing w:before="44"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是否允许采购进</w:t>
            </w:r>
            <w:r>
              <w:rPr>
                <w:rFonts w:ascii="宋体" w:hAnsi="宋体" w:eastAsia="宋体" w:cs="宋体"/>
                <w:color w:val="auto"/>
                <w:spacing w:val="-15"/>
                <w:sz w:val="24"/>
                <w:szCs w:val="24"/>
                <w14:textOutline w14:w="4358" w14:cap="sq" w14:cmpd="sng">
                  <w14:solidFill>
                    <w14:srgbClr w14:val="000000"/>
                  </w14:solidFill>
                  <w14:prstDash w14:val="solid"/>
                  <w14:bevel/>
                </w14:textOutline>
              </w:rPr>
              <w:t>口产品</w:t>
            </w:r>
          </w:p>
        </w:tc>
        <w:tc>
          <w:tcPr>
            <w:tcW w:w="6700" w:type="dxa"/>
            <w:tcBorders>
              <w:right w:val="single" w:color="000000" w:sz="4" w:space="0"/>
            </w:tcBorders>
            <w:vAlign w:val="top"/>
          </w:tcPr>
          <w:p w14:paraId="7AB4CD65">
            <w:pPr>
              <w:pageBreakBefore w:val="0"/>
              <w:kinsoku/>
              <w:topLinePunct w:val="0"/>
              <w:bidi w:val="0"/>
              <w:spacing w:before="223" w:line="219" w:lineRule="auto"/>
              <w:ind w:left="113"/>
              <w:rPr>
                <w:rFonts w:ascii="宋体" w:hAnsi="宋体" w:eastAsia="宋体" w:cs="宋体"/>
                <w:color w:val="auto"/>
                <w:sz w:val="24"/>
                <w:szCs w:val="24"/>
              </w:rPr>
            </w:pPr>
            <w:r>
              <w:rPr>
                <w:rFonts w:ascii="宋体" w:hAnsi="宋体" w:eastAsia="宋体" w:cs="宋体"/>
                <w:color w:val="auto"/>
                <w:spacing w:val="-3"/>
                <w:sz w:val="24"/>
                <w:szCs w:val="24"/>
              </w:rPr>
              <w:t>本项目不允许</w:t>
            </w:r>
            <w:r>
              <w:rPr>
                <w:rFonts w:hint="eastAsia" w:ascii="宋体" w:hAnsi="宋体" w:eastAsia="宋体" w:cs="宋体"/>
                <w:color w:val="auto"/>
                <w:spacing w:val="-3"/>
                <w:sz w:val="24"/>
                <w:szCs w:val="24"/>
                <w:lang w:eastAsia="zh-CN"/>
              </w:rPr>
              <w:t>采购</w:t>
            </w:r>
            <w:r>
              <w:rPr>
                <w:rFonts w:ascii="宋体" w:hAnsi="宋体" w:eastAsia="宋体" w:cs="宋体"/>
                <w:color w:val="auto"/>
                <w:spacing w:val="-3"/>
                <w:sz w:val="24"/>
                <w:szCs w:val="24"/>
              </w:rPr>
              <w:t>进口产品。</w:t>
            </w:r>
          </w:p>
        </w:tc>
      </w:tr>
      <w:tr w14:paraId="6573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42" w:type="dxa"/>
            <w:tcBorders>
              <w:left w:val="single" w:color="000000" w:sz="4" w:space="0"/>
            </w:tcBorders>
            <w:vAlign w:val="top"/>
          </w:tcPr>
          <w:p w14:paraId="7211E4E3">
            <w:pPr>
              <w:pageBreakBefore w:val="0"/>
              <w:kinsoku/>
              <w:topLinePunct w:val="0"/>
              <w:bidi w:val="0"/>
              <w:spacing w:line="332" w:lineRule="auto"/>
              <w:rPr>
                <w:rFonts w:ascii="Arial"/>
                <w:color w:val="auto"/>
                <w:sz w:val="21"/>
              </w:rPr>
            </w:pPr>
          </w:p>
          <w:p w14:paraId="126E0409">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16</w:t>
            </w:r>
          </w:p>
        </w:tc>
        <w:tc>
          <w:tcPr>
            <w:tcW w:w="1870" w:type="dxa"/>
            <w:vAlign w:val="center"/>
          </w:tcPr>
          <w:p w14:paraId="61D6A674">
            <w:pPr>
              <w:pageBreakBefore w:val="0"/>
              <w:kinsoku/>
              <w:topLinePunct w:val="0"/>
              <w:bidi w:val="0"/>
              <w:spacing w:line="295" w:lineRule="auto"/>
              <w:jc w:val="center"/>
              <w:rPr>
                <w:rFonts w:ascii="Arial"/>
                <w:color w:val="auto"/>
                <w:sz w:val="21"/>
              </w:rPr>
            </w:pPr>
          </w:p>
          <w:p w14:paraId="13654694">
            <w:pPr>
              <w:pageBreakBefore w:val="0"/>
              <w:kinsoku/>
              <w:topLinePunct w:val="0"/>
              <w:bidi w:val="0"/>
              <w:spacing w:before="7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磋商小组的建</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立</w:t>
            </w:r>
          </w:p>
        </w:tc>
        <w:tc>
          <w:tcPr>
            <w:tcW w:w="6700" w:type="dxa"/>
            <w:tcBorders>
              <w:right w:val="single" w:color="000000" w:sz="4" w:space="0"/>
            </w:tcBorders>
            <w:vAlign w:val="top"/>
          </w:tcPr>
          <w:p w14:paraId="17AD21BA">
            <w:pPr>
              <w:pageBreakBefore w:val="0"/>
              <w:kinsoku/>
              <w:topLinePunct w:val="0"/>
              <w:bidi w:val="0"/>
              <w:spacing w:before="198" w:line="219" w:lineRule="auto"/>
              <w:ind w:left="111"/>
              <w:rPr>
                <w:rFonts w:ascii="宋体" w:hAnsi="宋体" w:eastAsia="宋体" w:cs="宋体"/>
                <w:color w:val="auto"/>
                <w:sz w:val="24"/>
                <w:szCs w:val="24"/>
              </w:rPr>
            </w:pPr>
            <w:r>
              <w:rPr>
                <w:rFonts w:ascii="宋体" w:hAnsi="宋体" w:eastAsia="宋体" w:cs="宋体"/>
                <w:color w:val="auto"/>
                <w:spacing w:val="-2"/>
                <w:sz w:val="24"/>
                <w:szCs w:val="24"/>
              </w:rPr>
              <w:t>磋商小组构成：磋商小组</w:t>
            </w:r>
            <w:r>
              <w:rPr>
                <w:rFonts w:ascii="宋体" w:hAnsi="宋体" w:eastAsia="宋体" w:cs="宋体"/>
                <w:color w:val="auto"/>
                <w:spacing w:val="-31"/>
                <w:sz w:val="24"/>
                <w:szCs w:val="24"/>
              </w:rPr>
              <w:t xml:space="preserve"> </w:t>
            </w:r>
            <w:r>
              <w:rPr>
                <w:rFonts w:hint="eastAsia" w:ascii="宋体" w:hAnsi="宋体" w:eastAsia="宋体" w:cs="宋体"/>
                <w:color w:val="auto"/>
                <w:spacing w:val="-2"/>
                <w:sz w:val="24"/>
                <w:szCs w:val="24"/>
                <w:lang w:val="en-US" w:eastAsia="zh-CN"/>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人评审专家组成。</w:t>
            </w:r>
            <w:bookmarkStart w:id="11" w:name="_GoBack"/>
            <w:bookmarkEnd w:id="11"/>
          </w:p>
          <w:p w14:paraId="28557B46">
            <w:pPr>
              <w:pageBreakBefore w:val="0"/>
              <w:kinsoku/>
              <w:topLinePunct w:val="0"/>
              <w:bidi w:val="0"/>
              <w:spacing w:before="69" w:line="219" w:lineRule="auto"/>
              <w:ind w:left="111"/>
              <w:rPr>
                <w:rFonts w:ascii="宋体" w:hAnsi="宋体" w:eastAsia="宋体" w:cs="宋体"/>
                <w:color w:val="auto"/>
                <w:sz w:val="24"/>
                <w:szCs w:val="24"/>
              </w:rPr>
            </w:pPr>
            <w:r>
              <w:rPr>
                <w:rFonts w:ascii="宋体" w:hAnsi="宋体" w:eastAsia="宋体" w:cs="宋体"/>
                <w:color w:val="auto"/>
                <w:spacing w:val="-1"/>
                <w:sz w:val="24"/>
                <w:szCs w:val="24"/>
              </w:rPr>
              <w:t>评</w:t>
            </w:r>
            <w:r>
              <w:rPr>
                <w:rFonts w:hint="eastAsia" w:ascii="宋体" w:hAnsi="宋体" w:eastAsia="宋体" w:cs="宋体"/>
                <w:color w:val="auto"/>
                <w:spacing w:val="-1"/>
                <w:sz w:val="24"/>
                <w:szCs w:val="24"/>
                <w:lang w:eastAsia="zh-CN"/>
              </w:rPr>
              <w:t>审</w:t>
            </w:r>
            <w:r>
              <w:rPr>
                <w:rFonts w:ascii="宋体" w:hAnsi="宋体" w:eastAsia="宋体" w:cs="宋体"/>
                <w:color w:val="auto"/>
                <w:spacing w:val="-1"/>
                <w:sz w:val="24"/>
                <w:szCs w:val="24"/>
              </w:rPr>
              <w:t>专家确定方式：政采云专家库中随机抽取</w:t>
            </w:r>
          </w:p>
        </w:tc>
      </w:tr>
      <w:tr w14:paraId="317F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42" w:type="dxa"/>
            <w:tcBorders>
              <w:left w:val="single" w:color="000000" w:sz="4" w:space="0"/>
            </w:tcBorders>
            <w:vAlign w:val="top"/>
          </w:tcPr>
          <w:p w14:paraId="3E55A464">
            <w:pPr>
              <w:pageBreakBefore w:val="0"/>
              <w:kinsoku/>
              <w:topLinePunct w:val="0"/>
              <w:bidi w:val="0"/>
              <w:spacing w:line="355" w:lineRule="auto"/>
              <w:rPr>
                <w:rFonts w:ascii="Arial"/>
                <w:color w:val="auto"/>
                <w:sz w:val="21"/>
              </w:rPr>
            </w:pPr>
          </w:p>
          <w:p w14:paraId="25E53CEE">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17</w:t>
            </w:r>
          </w:p>
        </w:tc>
        <w:tc>
          <w:tcPr>
            <w:tcW w:w="1870" w:type="dxa"/>
            <w:vAlign w:val="center"/>
          </w:tcPr>
          <w:p w14:paraId="39090FB7">
            <w:pPr>
              <w:pageBreakBefore w:val="0"/>
              <w:kinsoku/>
              <w:topLinePunct w:val="0"/>
              <w:bidi w:val="0"/>
              <w:spacing w:before="41" w:line="219"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是否授权磋商小组确定成交供应</w:t>
            </w:r>
            <w:r>
              <w:rPr>
                <w:rFonts w:ascii="宋体" w:hAnsi="宋体" w:eastAsia="宋体" w:cs="宋体"/>
                <w:color w:val="auto"/>
                <w:sz w:val="24"/>
                <w:szCs w:val="24"/>
                <w14:textOutline w14:w="4358" w14:cap="sq" w14:cmpd="sng">
                  <w14:solidFill>
                    <w14:srgbClr w14:val="000000"/>
                  </w14:solidFill>
                  <w14:prstDash w14:val="solid"/>
                  <w14:bevel/>
                </w14:textOutline>
              </w:rPr>
              <w:t>商</w:t>
            </w:r>
          </w:p>
        </w:tc>
        <w:tc>
          <w:tcPr>
            <w:tcW w:w="6700" w:type="dxa"/>
            <w:tcBorders>
              <w:right w:val="single" w:color="000000" w:sz="4" w:space="0"/>
            </w:tcBorders>
            <w:vAlign w:val="top"/>
          </w:tcPr>
          <w:p w14:paraId="12EE2078">
            <w:pPr>
              <w:pageBreakBefore w:val="0"/>
              <w:kinsoku/>
              <w:topLinePunct w:val="0"/>
              <w:bidi w:val="0"/>
              <w:spacing w:before="218" w:line="223" w:lineRule="auto"/>
              <w:ind w:left="137"/>
              <w:rPr>
                <w:rFonts w:ascii="宋体" w:hAnsi="宋体" w:eastAsia="宋体" w:cs="宋体"/>
                <w:color w:val="auto"/>
                <w:sz w:val="24"/>
                <w:szCs w:val="24"/>
              </w:rPr>
            </w:pPr>
            <w:r>
              <w:rPr>
                <w:rFonts w:ascii="宋体" w:hAnsi="宋体" w:eastAsia="宋体" w:cs="宋体"/>
                <w:color w:val="auto"/>
                <w:spacing w:val="-17"/>
                <w:sz w:val="24"/>
                <w:szCs w:val="24"/>
              </w:rPr>
              <w:t>□是</w:t>
            </w:r>
          </w:p>
          <w:p w14:paraId="720702AE">
            <w:pPr>
              <w:pageBreakBefore w:val="0"/>
              <w:kinsoku/>
              <w:topLinePunct w:val="0"/>
              <w:bidi w:val="0"/>
              <w:spacing w:before="67" w:line="219" w:lineRule="auto"/>
              <w:ind w:left="122"/>
              <w:rPr>
                <w:rFonts w:ascii="宋体" w:hAnsi="宋体" w:eastAsia="宋体" w:cs="宋体"/>
                <w:color w:val="auto"/>
                <w:sz w:val="24"/>
                <w:szCs w:val="24"/>
              </w:rPr>
            </w:pPr>
            <w:r>
              <w:rPr>
                <w:rFonts w:ascii="MS Gothic" w:hAnsi="MS Gothic" w:eastAsia="MS Gothic" w:cs="MS Gothic"/>
                <w:color w:val="auto"/>
                <w:spacing w:val="-1"/>
                <w:sz w:val="24"/>
                <w:szCs w:val="24"/>
              </w:rPr>
              <w:t>☑</w:t>
            </w:r>
            <w:r>
              <w:rPr>
                <w:rFonts w:ascii="宋体" w:hAnsi="宋体" w:eastAsia="宋体" w:cs="宋体"/>
                <w:color w:val="auto"/>
                <w:spacing w:val="-1"/>
                <w:sz w:val="24"/>
                <w:szCs w:val="24"/>
              </w:rPr>
              <w:t>否，推荐的成交候选人数：3 人</w:t>
            </w:r>
          </w:p>
        </w:tc>
      </w:tr>
      <w:tr w14:paraId="4493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42" w:type="dxa"/>
            <w:tcBorders>
              <w:left w:val="single" w:color="000000" w:sz="4" w:space="0"/>
            </w:tcBorders>
            <w:vAlign w:val="top"/>
          </w:tcPr>
          <w:p w14:paraId="43D721CB">
            <w:pPr>
              <w:pageBreakBefore w:val="0"/>
              <w:kinsoku/>
              <w:topLinePunct w:val="0"/>
              <w:bidi w:val="0"/>
              <w:spacing w:before="25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18</w:t>
            </w:r>
          </w:p>
        </w:tc>
        <w:tc>
          <w:tcPr>
            <w:tcW w:w="1870" w:type="dxa"/>
            <w:vAlign w:val="center"/>
          </w:tcPr>
          <w:p w14:paraId="46A36615">
            <w:pPr>
              <w:pageBreakBefore w:val="0"/>
              <w:kinsoku/>
              <w:topLinePunct w:val="0"/>
              <w:bidi w:val="0"/>
              <w:spacing w:before="40" w:line="247" w:lineRule="auto"/>
              <w:ind w:right="107"/>
              <w:jc w:val="center"/>
              <w:rPr>
                <w:rFonts w:ascii="宋体" w:hAnsi="宋体" w:eastAsia="宋体" w:cs="宋体"/>
                <w:color w:val="auto"/>
                <w:sz w:val="24"/>
                <w:szCs w:val="24"/>
              </w:rPr>
            </w:pPr>
            <w:r>
              <w:rPr>
                <w:rFonts w:ascii="宋体" w:hAnsi="宋体" w:eastAsia="宋体" w:cs="宋体"/>
                <w:color w:val="auto"/>
                <w:spacing w:val="-10"/>
                <w:sz w:val="24"/>
                <w:szCs w:val="24"/>
                <w14:textOutline w14:w="4358" w14:cap="sq" w14:cmpd="sng">
                  <w14:solidFill>
                    <w14:srgbClr w14:val="000000"/>
                  </w14:solidFill>
                  <w14:prstDash w14:val="solid"/>
                  <w14:bevel/>
                </w14:textOutline>
              </w:rPr>
              <w:t>考察现场、标前答</w:t>
            </w:r>
            <w:r>
              <w:rPr>
                <w:rFonts w:ascii="宋体" w:hAnsi="宋体" w:eastAsia="宋体" w:cs="宋体"/>
                <w:color w:val="auto"/>
                <w:spacing w:val="-7"/>
                <w:sz w:val="24"/>
                <w:szCs w:val="24"/>
                <w14:textOutline w14:w="4358" w14:cap="sq" w14:cmpd="sng">
                  <w14:solidFill>
                    <w14:srgbClr w14:val="000000"/>
                  </w14:solidFill>
                  <w14:prstDash w14:val="solid"/>
                  <w14:bevel/>
                </w14:textOutline>
              </w:rPr>
              <w:t>疑会</w:t>
            </w:r>
          </w:p>
        </w:tc>
        <w:tc>
          <w:tcPr>
            <w:tcW w:w="6700" w:type="dxa"/>
            <w:tcBorders>
              <w:right w:val="single" w:color="000000" w:sz="4" w:space="0"/>
            </w:tcBorders>
            <w:vAlign w:val="top"/>
          </w:tcPr>
          <w:p w14:paraId="41F99CF1">
            <w:pPr>
              <w:pageBreakBefore w:val="0"/>
              <w:kinsoku/>
              <w:topLinePunct w:val="0"/>
              <w:bidi w:val="0"/>
              <w:spacing w:before="217" w:line="219" w:lineRule="auto"/>
              <w:ind w:left="113"/>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不组织</w:t>
            </w:r>
            <w:r>
              <w:rPr>
                <w:rFonts w:ascii="宋体" w:hAnsi="宋体" w:eastAsia="宋体" w:cs="宋体"/>
                <w:color w:val="auto"/>
                <w:spacing w:val="-1"/>
                <w:sz w:val="24"/>
                <w:szCs w:val="24"/>
              </w:rPr>
              <w:t>。</w:t>
            </w:r>
          </w:p>
        </w:tc>
      </w:tr>
      <w:tr w14:paraId="37F3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42" w:type="dxa"/>
            <w:tcBorders>
              <w:left w:val="single" w:color="000000" w:sz="4" w:space="0"/>
            </w:tcBorders>
            <w:vAlign w:val="top"/>
          </w:tcPr>
          <w:p w14:paraId="1F3E0141">
            <w:pPr>
              <w:pageBreakBefore w:val="0"/>
              <w:kinsoku/>
              <w:topLinePunct w:val="0"/>
              <w:bidi w:val="0"/>
              <w:spacing w:line="353" w:lineRule="auto"/>
              <w:rPr>
                <w:rFonts w:ascii="Arial"/>
                <w:color w:val="auto"/>
                <w:sz w:val="21"/>
              </w:rPr>
            </w:pPr>
          </w:p>
          <w:p w14:paraId="76BA9610">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19</w:t>
            </w:r>
          </w:p>
        </w:tc>
        <w:tc>
          <w:tcPr>
            <w:tcW w:w="1870" w:type="dxa"/>
            <w:vAlign w:val="center"/>
          </w:tcPr>
          <w:p w14:paraId="77559D66">
            <w:pPr>
              <w:pageBreakBefore w:val="0"/>
              <w:kinsoku/>
              <w:topLinePunct w:val="0"/>
              <w:bidi w:val="0"/>
              <w:spacing w:before="41" w:line="219" w:lineRule="auto"/>
              <w:ind w:left="111"/>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供应商提出问题、采购人书面澄清</w:t>
            </w:r>
            <w:r>
              <w:rPr>
                <w:rFonts w:ascii="宋体" w:hAnsi="宋体" w:eastAsia="宋体" w:cs="宋体"/>
                <w:color w:val="auto"/>
                <w:spacing w:val="-9"/>
                <w:sz w:val="24"/>
                <w:szCs w:val="24"/>
                <w14:textOutline w14:w="4358" w14:cap="sq" w14:cmpd="sng">
                  <w14:solidFill>
                    <w14:srgbClr w14:val="000000"/>
                  </w14:solidFill>
                  <w14:prstDash w14:val="solid"/>
                  <w14:bevel/>
                </w14:textOutline>
              </w:rPr>
              <w:t>的时间</w:t>
            </w:r>
          </w:p>
        </w:tc>
        <w:tc>
          <w:tcPr>
            <w:tcW w:w="6700" w:type="dxa"/>
            <w:tcBorders>
              <w:right w:val="single" w:color="000000" w:sz="4" w:space="0"/>
            </w:tcBorders>
            <w:vAlign w:val="top"/>
          </w:tcPr>
          <w:p w14:paraId="3928EA5F">
            <w:pPr>
              <w:pageBreakBefore w:val="0"/>
              <w:kinsoku/>
              <w:topLinePunct w:val="0"/>
              <w:bidi w:val="0"/>
              <w:spacing w:before="218" w:line="219" w:lineRule="auto"/>
              <w:ind w:left="112"/>
              <w:rPr>
                <w:rFonts w:ascii="宋体" w:hAnsi="宋体" w:eastAsia="宋体" w:cs="宋体"/>
                <w:color w:val="auto"/>
                <w:sz w:val="24"/>
                <w:szCs w:val="24"/>
              </w:rPr>
            </w:pPr>
            <w:r>
              <w:rPr>
                <w:rFonts w:ascii="宋体" w:hAnsi="宋体" w:eastAsia="宋体" w:cs="宋体"/>
                <w:color w:val="auto"/>
                <w:spacing w:val="-4"/>
                <w:sz w:val="24"/>
                <w:szCs w:val="24"/>
              </w:rPr>
              <w:t>供应商提出问题的截止时间：</w:t>
            </w:r>
            <w:r>
              <w:rPr>
                <w:rFonts w:ascii="宋体" w:hAnsi="宋体" w:eastAsia="宋体" w:cs="宋体"/>
                <w:sz w:val="24"/>
                <w:szCs w:val="24"/>
              </w:rPr>
              <w:t>提交</w:t>
            </w:r>
            <w:r>
              <w:rPr>
                <w:rFonts w:hint="eastAsia" w:ascii="宋体" w:hAnsi="宋体" w:eastAsia="宋体" w:cs="宋体"/>
                <w:sz w:val="24"/>
                <w:szCs w:val="24"/>
                <w:lang w:eastAsia="zh-CN"/>
              </w:rPr>
              <w:t>首次</w:t>
            </w:r>
            <w:r>
              <w:rPr>
                <w:rFonts w:ascii="宋体" w:hAnsi="宋体" w:eastAsia="宋体" w:cs="宋体"/>
                <w:sz w:val="24"/>
                <w:szCs w:val="24"/>
              </w:rPr>
              <w:t>响应文件截止</w:t>
            </w:r>
            <w:r>
              <w:rPr>
                <w:rFonts w:ascii="宋体" w:hAnsi="宋体" w:eastAsia="宋体" w:cs="宋体"/>
                <w:color w:val="auto"/>
                <w:spacing w:val="-4"/>
                <w:sz w:val="24"/>
                <w:szCs w:val="24"/>
              </w:rPr>
              <w:t>日期前</w:t>
            </w:r>
            <w:r>
              <w:rPr>
                <w:rFonts w:hint="eastAsia" w:ascii="宋体" w:hAnsi="宋体" w:eastAsia="宋体" w:cs="宋体"/>
                <w:color w:val="auto"/>
                <w:spacing w:val="-4"/>
                <w:sz w:val="24"/>
                <w:szCs w:val="24"/>
                <w:lang w:val="en-US" w:eastAsia="zh-CN"/>
              </w:rPr>
              <w:t>7</w:t>
            </w:r>
            <w:r>
              <w:rPr>
                <w:rFonts w:ascii="宋体" w:hAnsi="宋体" w:eastAsia="宋体" w:cs="宋体"/>
                <w:color w:val="auto"/>
                <w:spacing w:val="-4"/>
                <w:sz w:val="24"/>
                <w:szCs w:val="24"/>
              </w:rPr>
              <w:t>日</w:t>
            </w:r>
          </w:p>
          <w:p w14:paraId="05960CC2">
            <w:pPr>
              <w:pageBreakBefore w:val="0"/>
              <w:kinsoku/>
              <w:topLinePunct w:val="0"/>
              <w:bidi w:val="0"/>
              <w:spacing w:before="72" w:line="219" w:lineRule="auto"/>
              <w:ind w:left="111"/>
              <w:rPr>
                <w:rFonts w:ascii="宋体" w:hAnsi="宋体" w:eastAsia="宋体" w:cs="宋体"/>
                <w:color w:val="auto"/>
                <w:sz w:val="24"/>
                <w:szCs w:val="24"/>
              </w:rPr>
            </w:pPr>
            <w:r>
              <w:rPr>
                <w:rFonts w:ascii="宋体" w:hAnsi="宋体" w:eastAsia="宋体" w:cs="宋体"/>
                <w:color w:val="auto"/>
                <w:spacing w:val="-4"/>
                <w:sz w:val="24"/>
                <w:szCs w:val="24"/>
              </w:rPr>
              <w:t>采购人书面澄清的截止时间：</w:t>
            </w:r>
            <w:r>
              <w:rPr>
                <w:rFonts w:ascii="宋体" w:hAnsi="宋体" w:eastAsia="宋体" w:cs="宋体"/>
                <w:sz w:val="24"/>
                <w:szCs w:val="24"/>
              </w:rPr>
              <w:t>提交</w:t>
            </w:r>
            <w:r>
              <w:rPr>
                <w:rFonts w:hint="eastAsia" w:ascii="宋体" w:hAnsi="宋体" w:eastAsia="宋体" w:cs="宋体"/>
                <w:sz w:val="24"/>
                <w:szCs w:val="24"/>
                <w:lang w:eastAsia="zh-CN"/>
              </w:rPr>
              <w:t>首次</w:t>
            </w:r>
            <w:r>
              <w:rPr>
                <w:rFonts w:ascii="宋体" w:hAnsi="宋体" w:eastAsia="宋体" w:cs="宋体"/>
                <w:sz w:val="24"/>
                <w:szCs w:val="24"/>
              </w:rPr>
              <w:t>响应文件截止</w:t>
            </w:r>
            <w:r>
              <w:rPr>
                <w:rFonts w:ascii="宋体" w:hAnsi="宋体" w:eastAsia="宋体" w:cs="宋体"/>
                <w:color w:val="auto"/>
                <w:spacing w:val="-4"/>
                <w:sz w:val="24"/>
                <w:szCs w:val="24"/>
              </w:rPr>
              <w:t>日期前5日</w:t>
            </w:r>
          </w:p>
        </w:tc>
      </w:tr>
      <w:tr w14:paraId="7EA70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5D462751">
            <w:pPr>
              <w:pageBreakBefore w:val="0"/>
              <w:kinsoku/>
              <w:topLinePunct w:val="0"/>
              <w:bidi w:val="0"/>
              <w:spacing w:before="287"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20</w:t>
            </w:r>
          </w:p>
        </w:tc>
        <w:tc>
          <w:tcPr>
            <w:tcW w:w="1870" w:type="dxa"/>
            <w:vAlign w:val="center"/>
          </w:tcPr>
          <w:p w14:paraId="7C068489">
            <w:pPr>
              <w:pageBreakBefore w:val="0"/>
              <w:kinsoku/>
              <w:topLinePunct w:val="0"/>
              <w:bidi w:val="0"/>
              <w:spacing w:before="70"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构成磋商文件的其他文件</w:t>
            </w:r>
          </w:p>
        </w:tc>
        <w:tc>
          <w:tcPr>
            <w:tcW w:w="6700" w:type="dxa"/>
            <w:tcBorders>
              <w:right w:val="single" w:color="000000" w:sz="4" w:space="0"/>
            </w:tcBorders>
            <w:vAlign w:val="top"/>
          </w:tcPr>
          <w:p w14:paraId="2BE985A1">
            <w:pPr>
              <w:pageBreakBefore w:val="0"/>
              <w:kinsoku/>
              <w:topLinePunct w:val="0"/>
              <w:bidi w:val="0"/>
              <w:spacing w:before="70" w:line="247" w:lineRule="auto"/>
              <w:ind w:left="113" w:right="133" w:hanging="2"/>
              <w:rPr>
                <w:rFonts w:ascii="宋体" w:hAnsi="宋体" w:eastAsia="宋体" w:cs="宋体"/>
                <w:color w:val="auto"/>
                <w:sz w:val="24"/>
                <w:szCs w:val="24"/>
              </w:rPr>
            </w:pPr>
            <w:r>
              <w:rPr>
                <w:rFonts w:ascii="宋体" w:hAnsi="宋体" w:eastAsia="宋体" w:cs="宋体"/>
                <w:color w:val="auto"/>
                <w:spacing w:val="-1"/>
                <w:sz w:val="24"/>
                <w:szCs w:val="24"/>
              </w:rPr>
              <w:t>磋商文件的澄清、修改及有关补充通知为磋商文件的有效组</w:t>
            </w:r>
            <w:r>
              <w:rPr>
                <w:rFonts w:ascii="宋体" w:hAnsi="宋体" w:eastAsia="宋体" w:cs="宋体"/>
                <w:color w:val="auto"/>
                <w:spacing w:val="-3"/>
                <w:sz w:val="24"/>
                <w:szCs w:val="24"/>
              </w:rPr>
              <w:t>成部分。</w:t>
            </w:r>
          </w:p>
        </w:tc>
      </w:tr>
      <w:tr w14:paraId="6FCFA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tcBorders>
              <w:left w:val="single" w:color="000000" w:sz="4" w:space="0"/>
            </w:tcBorders>
            <w:vAlign w:val="top"/>
          </w:tcPr>
          <w:p w14:paraId="66274E8C">
            <w:pPr>
              <w:pageBreakBefore w:val="0"/>
              <w:kinsoku/>
              <w:topLinePunct w:val="0"/>
              <w:bidi w:val="0"/>
              <w:spacing w:before="169" w:line="184" w:lineRule="auto"/>
              <w:ind w:left="263"/>
              <w:rPr>
                <w:rFonts w:ascii="宋体" w:hAnsi="宋体" w:eastAsia="宋体" w:cs="宋体"/>
                <w:color w:val="auto"/>
                <w:sz w:val="24"/>
                <w:szCs w:val="24"/>
              </w:rPr>
            </w:pPr>
            <w:r>
              <w:rPr>
                <w:rFonts w:ascii="宋体" w:hAnsi="宋体" w:eastAsia="宋体" w:cs="宋体"/>
                <w:color w:val="auto"/>
                <w:spacing w:val="-7"/>
                <w:sz w:val="24"/>
                <w:szCs w:val="24"/>
              </w:rPr>
              <w:t>21</w:t>
            </w:r>
          </w:p>
        </w:tc>
        <w:tc>
          <w:tcPr>
            <w:tcW w:w="1870" w:type="dxa"/>
            <w:vAlign w:val="center"/>
          </w:tcPr>
          <w:p w14:paraId="0D1F7F94">
            <w:pPr>
              <w:pageBreakBefore w:val="0"/>
              <w:kinsoku/>
              <w:topLinePunct w:val="0"/>
              <w:bidi w:val="0"/>
              <w:spacing w:before="132"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分包（转让）</w:t>
            </w:r>
          </w:p>
        </w:tc>
        <w:tc>
          <w:tcPr>
            <w:tcW w:w="6700" w:type="dxa"/>
            <w:tcBorders>
              <w:right w:val="single" w:color="000000" w:sz="4" w:space="0"/>
            </w:tcBorders>
            <w:vAlign w:val="top"/>
          </w:tcPr>
          <w:p w14:paraId="5AF037C9">
            <w:pPr>
              <w:pageBreakBefore w:val="0"/>
              <w:kinsoku/>
              <w:topLinePunct w:val="0"/>
              <w:bidi w:val="0"/>
              <w:spacing w:before="133" w:line="219" w:lineRule="auto"/>
              <w:ind w:left="116"/>
              <w:rPr>
                <w:rFonts w:ascii="宋体" w:hAnsi="宋体" w:eastAsia="宋体" w:cs="宋体"/>
                <w:color w:val="auto"/>
                <w:sz w:val="24"/>
                <w:szCs w:val="24"/>
              </w:rPr>
            </w:pPr>
            <w:r>
              <w:rPr>
                <w:rFonts w:ascii="宋体" w:hAnsi="宋体" w:eastAsia="宋体" w:cs="宋体"/>
                <w:color w:val="auto"/>
                <w:spacing w:val="-4"/>
                <w:sz w:val="24"/>
                <w:szCs w:val="24"/>
              </w:rPr>
              <w:t>不允许。</w:t>
            </w:r>
          </w:p>
        </w:tc>
      </w:tr>
      <w:tr w14:paraId="5785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7F44E8F2">
            <w:pPr>
              <w:pageBreakBefore w:val="0"/>
              <w:kinsoku/>
              <w:topLinePunct w:val="0"/>
              <w:bidi w:val="0"/>
              <w:spacing w:before="186"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22</w:t>
            </w:r>
          </w:p>
        </w:tc>
        <w:tc>
          <w:tcPr>
            <w:tcW w:w="1870" w:type="dxa"/>
            <w:vAlign w:val="center"/>
          </w:tcPr>
          <w:p w14:paraId="09545EBD">
            <w:pPr>
              <w:pageBreakBefore w:val="0"/>
              <w:kinsoku/>
              <w:topLinePunct w:val="0"/>
              <w:bidi w:val="0"/>
              <w:spacing w:before="14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联合</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体</w:t>
            </w:r>
          </w:p>
        </w:tc>
        <w:tc>
          <w:tcPr>
            <w:tcW w:w="6700" w:type="dxa"/>
            <w:tcBorders>
              <w:right w:val="single" w:color="000000" w:sz="4" w:space="0"/>
            </w:tcBorders>
            <w:vAlign w:val="top"/>
          </w:tcPr>
          <w:p w14:paraId="192C856A">
            <w:pPr>
              <w:pageBreakBefore w:val="0"/>
              <w:kinsoku/>
              <w:topLinePunct w:val="0"/>
              <w:bidi w:val="0"/>
              <w:spacing w:before="148" w:line="219" w:lineRule="auto"/>
              <w:ind w:left="113"/>
              <w:rPr>
                <w:rFonts w:ascii="宋体" w:hAnsi="宋体" w:eastAsia="宋体" w:cs="宋体"/>
                <w:color w:val="auto"/>
                <w:sz w:val="24"/>
                <w:szCs w:val="24"/>
              </w:rPr>
            </w:pPr>
            <w:r>
              <w:rPr>
                <w:rFonts w:ascii="宋体" w:hAnsi="宋体" w:eastAsia="宋体" w:cs="宋体"/>
                <w:color w:val="auto"/>
                <w:spacing w:val="-1"/>
                <w:sz w:val="24"/>
                <w:szCs w:val="24"/>
              </w:rPr>
              <w:t>本项目不接受联合体。</w:t>
            </w:r>
          </w:p>
        </w:tc>
      </w:tr>
      <w:tr w14:paraId="2187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42" w:type="dxa"/>
            <w:tcBorders>
              <w:left w:val="single" w:color="000000" w:sz="4" w:space="0"/>
            </w:tcBorders>
            <w:vAlign w:val="top"/>
          </w:tcPr>
          <w:p w14:paraId="6CDA7428">
            <w:pPr>
              <w:pageBreakBefore w:val="0"/>
              <w:kinsoku/>
              <w:topLinePunct w:val="0"/>
              <w:bidi w:val="0"/>
              <w:spacing w:before="25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23</w:t>
            </w:r>
          </w:p>
        </w:tc>
        <w:tc>
          <w:tcPr>
            <w:tcW w:w="1870" w:type="dxa"/>
            <w:vAlign w:val="center"/>
          </w:tcPr>
          <w:p w14:paraId="6059FECF">
            <w:pPr>
              <w:pageBreakBefore w:val="0"/>
              <w:kinsoku/>
              <w:topLinePunct w:val="0"/>
              <w:bidi w:val="0"/>
              <w:spacing w:before="43"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是否退还磋商响</w:t>
            </w:r>
            <w:r>
              <w:rPr>
                <w:rFonts w:ascii="宋体" w:hAnsi="宋体" w:eastAsia="宋体" w:cs="宋体"/>
                <w:color w:val="auto"/>
                <w:spacing w:val="-3"/>
                <w:sz w:val="24"/>
                <w:szCs w:val="24"/>
                <w14:textOutline w14:w="4358" w14:cap="sq" w14:cmpd="sng">
                  <w14:solidFill>
                    <w14:srgbClr w14:val="000000"/>
                  </w14:solidFill>
                  <w14:prstDash w14:val="solid"/>
                  <w14:bevel/>
                </w14:textOutline>
              </w:rPr>
              <w:t>应文件</w:t>
            </w:r>
          </w:p>
        </w:tc>
        <w:tc>
          <w:tcPr>
            <w:tcW w:w="6700" w:type="dxa"/>
            <w:tcBorders>
              <w:right w:val="single" w:color="000000" w:sz="4" w:space="0"/>
            </w:tcBorders>
            <w:vAlign w:val="top"/>
          </w:tcPr>
          <w:p w14:paraId="670D03A7">
            <w:pPr>
              <w:pageBreakBefore w:val="0"/>
              <w:kinsoku/>
              <w:topLinePunct w:val="0"/>
              <w:bidi w:val="0"/>
              <w:spacing w:before="220" w:line="220" w:lineRule="auto"/>
              <w:ind w:left="120"/>
              <w:rPr>
                <w:rFonts w:ascii="宋体" w:hAnsi="宋体" w:eastAsia="宋体" w:cs="宋体"/>
                <w:color w:val="auto"/>
                <w:sz w:val="24"/>
                <w:szCs w:val="24"/>
              </w:rPr>
            </w:pPr>
            <w:r>
              <w:rPr>
                <w:rFonts w:ascii="宋体" w:hAnsi="宋体" w:eastAsia="宋体" w:cs="宋体"/>
                <w:color w:val="auto"/>
                <w:sz w:val="24"/>
                <w:szCs w:val="24"/>
              </w:rPr>
              <w:t>否</w:t>
            </w:r>
          </w:p>
        </w:tc>
      </w:tr>
      <w:tr w14:paraId="1389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38DC547C">
            <w:pPr>
              <w:pageBreakBefore w:val="0"/>
              <w:kinsoku/>
              <w:topLinePunct w:val="0"/>
              <w:bidi w:val="0"/>
              <w:spacing w:before="310"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24</w:t>
            </w:r>
          </w:p>
        </w:tc>
        <w:tc>
          <w:tcPr>
            <w:tcW w:w="1870" w:type="dxa"/>
            <w:vAlign w:val="center"/>
          </w:tcPr>
          <w:p w14:paraId="23CE4160">
            <w:pPr>
              <w:pageBreakBefore w:val="0"/>
              <w:kinsoku/>
              <w:topLinePunct w:val="0"/>
              <w:bidi w:val="0"/>
              <w:spacing w:before="27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磋商保证金</w:t>
            </w:r>
          </w:p>
        </w:tc>
        <w:tc>
          <w:tcPr>
            <w:tcW w:w="6700" w:type="dxa"/>
            <w:tcBorders>
              <w:right w:val="single" w:color="000000" w:sz="4" w:space="0"/>
            </w:tcBorders>
            <w:vAlign w:val="top"/>
          </w:tcPr>
          <w:p w14:paraId="7451A177">
            <w:pPr>
              <w:pageBreakBefore w:val="0"/>
              <w:kinsoku/>
              <w:topLinePunct w:val="0"/>
              <w:bidi w:val="0"/>
              <w:spacing w:before="272" w:line="219" w:lineRule="auto"/>
              <w:ind w:left="11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本项目无须缴纳保证金</w:t>
            </w:r>
          </w:p>
        </w:tc>
      </w:tr>
      <w:tr w14:paraId="487BF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42" w:type="dxa"/>
            <w:tcBorders>
              <w:left w:val="single" w:color="000000" w:sz="4" w:space="0"/>
            </w:tcBorders>
            <w:vAlign w:val="top"/>
          </w:tcPr>
          <w:p w14:paraId="017C0537">
            <w:pPr>
              <w:pageBreakBefore w:val="0"/>
              <w:kinsoku/>
              <w:topLinePunct w:val="0"/>
              <w:bidi w:val="0"/>
              <w:spacing w:before="313"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25</w:t>
            </w:r>
          </w:p>
        </w:tc>
        <w:tc>
          <w:tcPr>
            <w:tcW w:w="1870" w:type="dxa"/>
            <w:vAlign w:val="center"/>
          </w:tcPr>
          <w:p w14:paraId="621A3E14">
            <w:pPr>
              <w:pageBreakBefore w:val="0"/>
              <w:kinsoku/>
              <w:topLinePunct w:val="0"/>
              <w:bidi w:val="0"/>
              <w:spacing w:before="134" w:line="261" w:lineRule="auto"/>
              <w:ind w:right="110"/>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《响应文件》的编</w:t>
            </w:r>
            <w:r>
              <w:rPr>
                <w:rFonts w:ascii="宋体" w:hAnsi="宋体" w:eastAsia="宋体" w:cs="宋体"/>
                <w:color w:val="auto"/>
                <w:spacing w:val="-4"/>
                <w:sz w:val="24"/>
                <w:szCs w:val="24"/>
                <w14:textOutline w14:w="4358" w14:cap="sq" w14:cmpd="sng">
                  <w14:solidFill>
                    <w14:srgbClr w14:val="000000"/>
                  </w14:solidFill>
                  <w14:prstDash w14:val="solid"/>
                  <w14:bevel/>
                </w14:textOutline>
              </w:rPr>
              <w:t>制要求</w:t>
            </w:r>
          </w:p>
        </w:tc>
        <w:tc>
          <w:tcPr>
            <w:tcW w:w="6700" w:type="dxa"/>
            <w:tcBorders>
              <w:right w:val="single" w:color="000000" w:sz="4" w:space="0"/>
            </w:tcBorders>
            <w:vAlign w:val="top"/>
          </w:tcPr>
          <w:p w14:paraId="3F400978">
            <w:pPr>
              <w:pageBreakBefore w:val="0"/>
              <w:kinsoku/>
              <w:topLinePunct w:val="0"/>
              <w:bidi w:val="0"/>
              <w:spacing w:before="296" w:line="219" w:lineRule="auto"/>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具体详见供应商须知：四、《磋商响应文件》的编制要求</w:t>
            </w:r>
          </w:p>
        </w:tc>
      </w:tr>
      <w:tr w14:paraId="5806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5" w:hRule="atLeast"/>
        </w:trPr>
        <w:tc>
          <w:tcPr>
            <w:tcW w:w="742" w:type="dxa"/>
            <w:tcBorders>
              <w:left w:val="single" w:color="000000" w:sz="4" w:space="0"/>
            </w:tcBorders>
            <w:vAlign w:val="center"/>
          </w:tcPr>
          <w:p w14:paraId="10E5195E">
            <w:pPr>
              <w:pageBreakBefore w:val="0"/>
              <w:kinsoku/>
              <w:topLinePunct w:val="0"/>
              <w:bidi w:val="0"/>
              <w:spacing w:before="260" w:line="183" w:lineRule="auto"/>
              <w:ind w:left="263"/>
              <w:jc w:val="center"/>
              <w:rPr>
                <w:rFonts w:ascii="宋体" w:hAnsi="宋体" w:eastAsia="宋体" w:cs="宋体"/>
                <w:color w:val="auto"/>
                <w:sz w:val="24"/>
                <w:szCs w:val="24"/>
              </w:rPr>
            </w:pPr>
            <w:r>
              <w:rPr>
                <w:rFonts w:ascii="宋体" w:hAnsi="宋体" w:eastAsia="宋体" w:cs="宋体"/>
                <w:color w:val="auto"/>
                <w:spacing w:val="-7"/>
                <w:sz w:val="24"/>
                <w:szCs w:val="24"/>
              </w:rPr>
              <w:t>26</w:t>
            </w:r>
          </w:p>
        </w:tc>
        <w:tc>
          <w:tcPr>
            <w:tcW w:w="1870" w:type="dxa"/>
            <w:vAlign w:val="center"/>
          </w:tcPr>
          <w:p w14:paraId="7F2D6938">
            <w:pPr>
              <w:pageBreakBefore w:val="0"/>
              <w:kinsoku/>
              <w:topLinePunct w:val="0"/>
              <w:bidi w:val="0"/>
              <w:spacing w:before="45" w:line="247" w:lineRule="auto"/>
              <w:ind w:left="111" w:right="107" w:firstLine="5"/>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《响应文件》递交</w:t>
            </w:r>
            <w:r>
              <w:rPr>
                <w:rFonts w:ascii="宋体" w:hAnsi="宋体" w:eastAsia="宋体" w:cs="宋体"/>
                <w:color w:val="auto"/>
                <w:spacing w:val="-10"/>
                <w:sz w:val="24"/>
                <w:szCs w:val="24"/>
                <w14:textOutline w14:w="4358" w14:cap="sq" w14:cmpd="sng">
                  <w14:solidFill>
                    <w14:srgbClr w14:val="000000"/>
                  </w14:solidFill>
                  <w14:prstDash w14:val="solid"/>
                  <w14:bevel/>
                </w14:textOutline>
              </w:rPr>
              <w:t>份数、</w:t>
            </w:r>
            <w:r>
              <w:rPr>
                <w:rFonts w:hint="eastAsia" w:ascii="宋体" w:hAnsi="宋体" w:eastAsia="宋体" w:cs="宋体"/>
                <w:color w:val="auto"/>
                <w:spacing w:val="-10"/>
                <w:sz w:val="24"/>
                <w:szCs w:val="24"/>
                <w:lang w:eastAsia="zh-CN"/>
                <w14:textOutline w14:w="4358" w14:cap="sq" w14:cmpd="sng">
                  <w14:solidFill>
                    <w14:srgbClr w14:val="000000"/>
                  </w14:solidFill>
                  <w14:prstDash w14:val="solid"/>
                  <w14:bevel/>
                </w14:textOutline>
              </w:rPr>
              <w:t>截止</w:t>
            </w:r>
            <w:r>
              <w:rPr>
                <w:rFonts w:ascii="宋体" w:hAnsi="宋体" w:eastAsia="宋体" w:cs="宋体"/>
                <w:color w:val="auto"/>
                <w:spacing w:val="-10"/>
                <w:sz w:val="24"/>
                <w:szCs w:val="24"/>
                <w14:textOutline w14:w="4358" w14:cap="sq" w14:cmpd="sng">
                  <w14:solidFill>
                    <w14:srgbClr w14:val="000000"/>
                  </w14:solidFill>
                  <w14:prstDash w14:val="solid"/>
                  <w14:bevel/>
                </w14:textOutline>
              </w:rPr>
              <w:t>时间及地点</w:t>
            </w:r>
          </w:p>
        </w:tc>
        <w:tc>
          <w:tcPr>
            <w:tcW w:w="6700" w:type="dxa"/>
            <w:tcBorders>
              <w:right w:val="single" w:color="000000" w:sz="4" w:space="0"/>
            </w:tcBorders>
            <w:vAlign w:val="top"/>
          </w:tcPr>
          <w:p w14:paraId="0189E521">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1.响应文件电子版要求：按照本</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磋商文件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“第五章 响应文件格式 ”编写 （第五章未附格式的，由供应商自行拟定），不可涂改并在规定加盖公章处加盖电子公章，否则响应文件按无效响应处理。</w:t>
            </w:r>
          </w:p>
          <w:p w14:paraId="781E8641">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2.响应文件电子版密封方式：电子响应文件通过平台有效 CA</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加密后在 “政采云”平台投送。（操作方式见公告要求“电子响应文件制作与投送教程”）</w:t>
            </w:r>
          </w:p>
          <w:p w14:paraId="4114183F">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3.（1）份数：本项目采用电子招投标，</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现场无需提供纸质版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供应商</w:t>
            </w:r>
            <w:r>
              <w:rPr>
                <w:rFonts w:ascii="宋体" w:hAnsi="宋体" w:eastAsia="宋体" w:cs="宋体"/>
                <w:color w:val="auto"/>
                <w:spacing w:val="3"/>
                <w:sz w:val="22"/>
                <w:szCs w:val="22"/>
                <w14:textOutline w14:w="4013" w14:cap="sq" w14:cmpd="sng">
                  <w14:solidFill>
                    <w14:srgbClr w14:val="000000"/>
                  </w14:solidFill>
                  <w14:prstDash w14:val="solid"/>
                  <w14:bevel/>
                </w14:textOutline>
              </w:rPr>
              <w:t>在</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成交结果</w:t>
            </w:r>
            <w:r>
              <w:rPr>
                <w:rFonts w:ascii="宋体" w:hAnsi="宋体" w:eastAsia="宋体" w:cs="宋体"/>
                <w:color w:val="auto"/>
                <w:spacing w:val="3"/>
                <w:sz w:val="22"/>
                <w:szCs w:val="22"/>
                <w14:textOutline w14:w="4013" w14:cap="sq" w14:cmpd="sng">
                  <w14:solidFill>
                    <w14:srgbClr w14:val="000000"/>
                  </w14:solidFill>
                  <w14:prstDash w14:val="solid"/>
                  <w14:bevel/>
                </w14:textOutline>
              </w:rPr>
              <w:t>公示期满后提交三套纸质版响应文件给代理机构存档备案。</w:t>
            </w:r>
          </w:p>
          <w:p w14:paraId="132CFCDF">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特别提示：提交的纸质版《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》内容与</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时电子</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应完全一致。</w:t>
            </w:r>
          </w:p>
          <w:p w14:paraId="4D5CC4B5">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（2）政采云</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递交截止时间：</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2024年</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11</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月</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12</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日11时00分</w:t>
            </w:r>
            <w:r>
              <w:rPr>
                <w:rFonts w:ascii="宋体" w:hAnsi="宋体" w:eastAsia="宋体" w:cs="宋体"/>
                <w:color w:val="auto"/>
                <w:spacing w:val="3"/>
                <w:sz w:val="22"/>
                <w:szCs w:val="22"/>
                <w14:textOutline w14:w="4013" w14:cap="sq" w14:cmpd="sng">
                  <w14:solidFill>
                    <w14:srgbClr w14:val="000000"/>
                  </w14:solidFill>
                  <w14:prstDash w14:val="solid"/>
                  <w14:bevel/>
                </w14:textOutline>
              </w:rPr>
              <w:t>（北京时间）</w:t>
            </w:r>
          </w:p>
          <w:p w14:paraId="2B609185">
            <w:pPr>
              <w:pageBreakBefore w:val="0"/>
              <w:kinsoku/>
              <w:topLinePunct w:val="0"/>
              <w:bidi w:val="0"/>
              <w:spacing w:before="37" w:line="280" w:lineRule="auto"/>
              <w:ind w:left="111" w:right="118" w:firstLine="16"/>
              <w:jc w:val="both"/>
              <w:rPr>
                <w:rFonts w:ascii="宋体" w:hAnsi="宋体" w:eastAsia="宋体" w:cs="宋体"/>
                <w:color w:val="auto"/>
                <w:sz w:val="20"/>
                <w:szCs w:val="20"/>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（3）递交地点：政采云平台（www.zcygov.com）</w:t>
            </w:r>
          </w:p>
        </w:tc>
      </w:tr>
      <w:tr w14:paraId="0F9D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42" w:type="dxa"/>
            <w:tcBorders>
              <w:left w:val="single" w:color="000000" w:sz="4" w:space="0"/>
            </w:tcBorders>
            <w:vAlign w:val="top"/>
          </w:tcPr>
          <w:p w14:paraId="02450969">
            <w:pPr>
              <w:pageBreakBefore w:val="0"/>
              <w:kinsoku/>
              <w:topLinePunct w:val="0"/>
              <w:bidi w:val="0"/>
              <w:spacing w:line="266" w:lineRule="auto"/>
              <w:rPr>
                <w:rFonts w:ascii="Arial"/>
                <w:color w:val="auto"/>
                <w:sz w:val="21"/>
              </w:rPr>
            </w:pPr>
          </w:p>
          <w:p w14:paraId="39D0A786">
            <w:pPr>
              <w:pageBreakBefore w:val="0"/>
              <w:kinsoku/>
              <w:topLinePunct w:val="0"/>
              <w:bidi w:val="0"/>
              <w:spacing w:line="266" w:lineRule="auto"/>
              <w:rPr>
                <w:rFonts w:ascii="Arial"/>
                <w:color w:val="auto"/>
                <w:sz w:val="21"/>
              </w:rPr>
            </w:pPr>
          </w:p>
          <w:p w14:paraId="1E0F4F1D">
            <w:pPr>
              <w:pageBreakBefore w:val="0"/>
              <w:kinsoku/>
              <w:topLinePunct w:val="0"/>
              <w:bidi w:val="0"/>
              <w:spacing w:before="7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27</w:t>
            </w:r>
          </w:p>
        </w:tc>
        <w:tc>
          <w:tcPr>
            <w:tcW w:w="1870" w:type="dxa"/>
            <w:vAlign w:val="top"/>
          </w:tcPr>
          <w:p w14:paraId="5D6545C6">
            <w:pPr>
              <w:pageBreakBefore w:val="0"/>
              <w:kinsoku/>
              <w:topLinePunct w:val="0"/>
              <w:bidi w:val="0"/>
              <w:spacing w:line="247" w:lineRule="auto"/>
              <w:rPr>
                <w:rFonts w:ascii="Arial"/>
                <w:color w:val="auto"/>
                <w:sz w:val="21"/>
              </w:rPr>
            </w:pPr>
          </w:p>
          <w:p w14:paraId="28BAF725">
            <w:pPr>
              <w:pageBreakBefore w:val="0"/>
              <w:kinsoku/>
              <w:topLinePunct w:val="0"/>
              <w:bidi w:val="0"/>
              <w:spacing w:line="247" w:lineRule="auto"/>
              <w:rPr>
                <w:rFonts w:ascii="Arial"/>
                <w:color w:val="auto"/>
                <w:sz w:val="21"/>
              </w:rPr>
            </w:pPr>
          </w:p>
          <w:p w14:paraId="71CBB08F">
            <w:pPr>
              <w:pageBreakBefore w:val="0"/>
              <w:kinsoku/>
              <w:topLinePunct w:val="0"/>
              <w:bidi w:val="0"/>
              <w:spacing w:before="78" w:line="220" w:lineRule="auto"/>
              <w:rPr>
                <w:rFonts w:ascii="宋体" w:hAnsi="宋体" w:eastAsia="宋体" w:cs="宋体"/>
                <w:color w:val="auto"/>
                <w:sz w:val="24"/>
                <w:szCs w:val="24"/>
              </w:rPr>
            </w:pP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磋商会议</w:t>
            </w:r>
            <w:r>
              <w:rPr>
                <w:rFonts w:ascii="宋体" w:hAnsi="宋体" w:eastAsia="宋体" w:cs="宋体"/>
                <w:color w:val="auto"/>
                <w:spacing w:val="-1"/>
                <w:sz w:val="24"/>
                <w:szCs w:val="24"/>
                <w14:textOutline w14:w="4358" w14:cap="sq" w14:cmpd="sng">
                  <w14:solidFill>
                    <w14:srgbClr w14:val="000000"/>
                  </w14:solidFill>
                  <w14:prstDash w14:val="solid"/>
                  <w14:bevel/>
                </w14:textOutline>
              </w:rPr>
              <w:t>时间及地点</w:t>
            </w:r>
          </w:p>
        </w:tc>
        <w:tc>
          <w:tcPr>
            <w:tcW w:w="6700" w:type="dxa"/>
            <w:tcBorders>
              <w:right w:val="single" w:color="000000" w:sz="4" w:space="0"/>
            </w:tcBorders>
            <w:vAlign w:val="top"/>
          </w:tcPr>
          <w:p w14:paraId="2FC84CA3">
            <w:pPr>
              <w:pageBreakBefore w:val="0"/>
              <w:kinsoku/>
              <w:topLinePunct w:val="0"/>
              <w:bidi w:val="0"/>
              <w:spacing w:before="41" w:line="219" w:lineRule="auto"/>
              <w:ind w:left="113"/>
              <w:rPr>
                <w:rFonts w:ascii="宋体" w:hAnsi="宋体" w:eastAsia="宋体" w:cs="宋体"/>
                <w:color w:val="auto"/>
                <w:sz w:val="24"/>
                <w:szCs w:val="24"/>
              </w:rPr>
            </w:pPr>
            <w:r>
              <w:rPr>
                <w:rFonts w:ascii="宋体" w:hAnsi="宋体" w:eastAsia="宋体" w:cs="宋体"/>
                <w:color w:val="auto"/>
                <w:spacing w:val="-6"/>
                <w:sz w:val="24"/>
                <w:szCs w:val="24"/>
                <w14:textOutline w14:w="4358" w14:cap="sq" w14:cmpd="sng">
                  <w14:solidFill>
                    <w14:srgbClr w14:val="000000"/>
                  </w14:solidFill>
                  <w14:prstDash w14:val="solid"/>
                  <w14:bevel/>
                </w14:textOutline>
              </w:rPr>
              <w:t>提交首次响应文件截止时间：</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2024年</w:t>
            </w:r>
            <w:r>
              <w:rPr>
                <w:rFonts w:hint="eastAsia" w:ascii="宋体" w:hAnsi="宋体" w:eastAsia="宋体" w:cs="宋体"/>
                <w:color w:val="auto"/>
                <w:spacing w:val="-6"/>
                <w:sz w:val="24"/>
                <w:szCs w:val="24"/>
                <w:lang w:val="en-US" w:eastAsia="zh-CN"/>
                <w14:textOutline w14:w="4358" w14:cap="sq" w14:cmpd="sng">
                  <w14:solidFill>
                    <w14:srgbClr w14:val="000000"/>
                  </w14:solidFill>
                  <w14:prstDash w14:val="solid"/>
                  <w14:bevel/>
                </w14:textOutline>
              </w:rPr>
              <w:t>11</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月</w:t>
            </w:r>
            <w:r>
              <w:rPr>
                <w:rFonts w:hint="eastAsia" w:ascii="宋体" w:hAnsi="宋体" w:eastAsia="宋体" w:cs="宋体"/>
                <w:color w:val="auto"/>
                <w:spacing w:val="-6"/>
                <w:sz w:val="24"/>
                <w:szCs w:val="24"/>
                <w:lang w:val="en-US" w:eastAsia="zh-CN"/>
                <w14:textOutline w14:w="4358" w14:cap="sq" w14:cmpd="sng">
                  <w14:solidFill>
                    <w14:srgbClr w14:val="000000"/>
                  </w14:solidFill>
                  <w14:prstDash w14:val="solid"/>
                  <w14:bevel/>
                </w14:textOutline>
              </w:rPr>
              <w:t>12</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日11时00分</w:t>
            </w:r>
            <w:r>
              <w:rPr>
                <w:rFonts w:ascii="宋体" w:hAnsi="宋体" w:eastAsia="宋体" w:cs="宋体"/>
                <w:color w:val="auto"/>
                <w:spacing w:val="-7"/>
                <w:sz w:val="24"/>
                <w:szCs w:val="24"/>
                <w14:textOutline w14:w="4358" w14:cap="sq" w14:cmpd="sng">
                  <w14:solidFill>
                    <w14:srgbClr w14:val="000000"/>
                  </w14:solidFill>
                  <w14:prstDash w14:val="solid"/>
                  <w14:bevel/>
                </w14:textOutline>
              </w:rPr>
              <w:t>（北京时间）</w:t>
            </w:r>
          </w:p>
          <w:p w14:paraId="2EA80438">
            <w:pPr>
              <w:pageBreakBefore w:val="0"/>
              <w:kinsoku/>
              <w:topLinePunct w:val="0"/>
              <w:bidi w:val="0"/>
              <w:spacing w:before="71" w:line="257" w:lineRule="auto"/>
              <w:ind w:left="110" w:firstLine="2"/>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提交首次响应文件地点：</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供应商</w:t>
            </w:r>
            <w:r>
              <w:rPr>
                <w:rFonts w:ascii="宋体" w:hAnsi="宋体" w:eastAsia="宋体" w:cs="宋体"/>
                <w:color w:val="auto"/>
                <w:spacing w:val="-2"/>
                <w:sz w:val="24"/>
                <w:szCs w:val="24"/>
                <w14:textOutline w14:w="4358" w14:cap="sq" w14:cmpd="sng">
                  <w14:solidFill>
                    <w14:srgbClr w14:val="000000"/>
                  </w14:solidFill>
                  <w14:prstDash w14:val="solid"/>
                  <w14:bevel/>
                </w14:textOutline>
              </w:rPr>
              <w:t>登录政采云平台</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https://www.zcygov.cn/，</w:t>
            </w:r>
            <w:r>
              <w:rPr>
                <w:rFonts w:ascii="宋体" w:hAnsi="宋体" w:eastAsia="宋体" w:cs="宋体"/>
                <w:color w:val="auto"/>
                <w:spacing w:val="-5"/>
                <w:sz w:val="24"/>
                <w:szCs w:val="24"/>
                <w14:textOutline w14:w="4358" w14:cap="sq" w14:cmpd="sng">
                  <w14:solidFill>
                    <w14:srgbClr w14:val="000000"/>
                  </w14:solidFill>
                  <w14:prstDash w14:val="solid"/>
                  <w14:bevel/>
                </w14:textOutline>
              </w:rPr>
              <w:t>进入“项目采购-开标</w:t>
            </w:r>
            <w:r>
              <w:rPr>
                <w:rFonts w:hint="eastAsia" w:ascii="宋体" w:hAnsi="宋体" w:eastAsia="宋体" w:cs="宋体"/>
                <w:color w:val="auto"/>
                <w:spacing w:val="-5"/>
                <w:sz w:val="24"/>
                <w:szCs w:val="24"/>
                <w:lang w:eastAsia="zh-CN"/>
                <w14:textOutline w14:w="4358" w14:cap="sq" w14:cmpd="sng">
                  <w14:solidFill>
                    <w14:srgbClr w14:val="000000"/>
                  </w14:solidFill>
                  <w14:prstDash w14:val="solid"/>
                  <w14:bevel/>
                </w14:textOutline>
              </w:rPr>
              <w:t>评审</w:t>
            </w:r>
            <w:r>
              <w:rPr>
                <w:rFonts w:ascii="宋体" w:hAnsi="宋体" w:eastAsia="宋体" w:cs="宋体"/>
                <w:color w:val="auto"/>
                <w:spacing w:val="-5"/>
                <w:sz w:val="24"/>
                <w:szCs w:val="24"/>
                <w14:textOutline w14:w="4358" w14:cap="sq" w14:cmpd="sng">
                  <w14:solidFill>
                    <w14:srgbClr w14:val="000000"/>
                  </w14:solidFill>
                  <w14:prstDash w14:val="solid"/>
                  <w14:bevel/>
                </w14:textOutline>
              </w:rPr>
              <w:t>-右边选择对应项目点击“进入项</w:t>
            </w:r>
            <w:r>
              <w:rPr>
                <w:rFonts w:ascii="宋体" w:hAnsi="宋体" w:eastAsia="宋体" w:cs="宋体"/>
                <w:color w:val="auto"/>
                <w:spacing w:val="-6"/>
                <w:sz w:val="24"/>
                <w:szCs w:val="24"/>
                <w14:textOutline w14:w="4358" w14:cap="sq" w14:cmpd="sng">
                  <w14:solidFill>
                    <w14:srgbClr w14:val="000000"/>
                  </w14:solidFill>
                  <w14:prstDash w14:val="solid"/>
                  <w14:bevel/>
                </w14:textOutline>
              </w:rPr>
              <w:t>目</w:t>
            </w:r>
            <w:r>
              <w:rPr>
                <w:rFonts w:ascii="宋体" w:hAnsi="宋体" w:eastAsia="宋体" w:cs="宋体"/>
                <w:color w:val="auto"/>
                <w:spacing w:val="-89"/>
                <w:sz w:val="24"/>
                <w:szCs w:val="24"/>
              </w:rPr>
              <w:t xml:space="preserve"> </w:t>
            </w:r>
            <w:r>
              <w:rPr>
                <w:rFonts w:ascii="宋体" w:hAnsi="宋体" w:eastAsia="宋体" w:cs="宋体"/>
                <w:color w:val="auto"/>
                <w:spacing w:val="-6"/>
                <w:sz w:val="24"/>
                <w:szCs w:val="24"/>
                <w14:textOutline w14:w="4358" w14:cap="sq" w14:cmpd="sng">
                  <w14:solidFill>
                    <w14:srgbClr w14:val="000000"/>
                  </w14:solidFill>
                  <w14:prstDash w14:val="solid"/>
                  <w14:bevel/>
                </w14:textOutline>
              </w:rPr>
              <w:t>”</w:t>
            </w:r>
            <w:r>
              <w:rPr>
                <w:rFonts w:ascii="宋体" w:hAnsi="宋体" w:eastAsia="宋体" w:cs="宋体"/>
                <w:color w:val="auto"/>
                <w:spacing w:val="-4"/>
                <w:sz w:val="24"/>
                <w:szCs w:val="24"/>
                <w14:textOutline w14:w="4358" w14:cap="sq" w14:cmpd="sng">
                  <w14:solidFill>
                    <w14:srgbClr w14:val="000000"/>
                  </w14:solidFill>
                  <w14:prstDash w14:val="solid"/>
                  <w14:bevel/>
                </w14:textOutline>
              </w:rPr>
              <w:t>进入开标大厅。</w:t>
            </w:r>
          </w:p>
        </w:tc>
      </w:tr>
      <w:tr w14:paraId="2121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tcBorders>
              <w:left w:val="single" w:color="000000" w:sz="4" w:space="0"/>
            </w:tcBorders>
            <w:vAlign w:val="center"/>
          </w:tcPr>
          <w:p w14:paraId="34853625">
            <w:pPr>
              <w:pageBreakBefore w:val="0"/>
              <w:kinsoku/>
              <w:topLinePunct w:val="0"/>
              <w:bidi w:val="0"/>
              <w:spacing w:before="78" w:line="183" w:lineRule="auto"/>
              <w:jc w:val="center"/>
              <w:rPr>
                <w:rFonts w:ascii="宋体" w:hAnsi="宋体" w:eastAsia="宋体" w:cs="宋体"/>
                <w:color w:val="auto"/>
                <w:sz w:val="24"/>
                <w:szCs w:val="24"/>
              </w:rPr>
            </w:pPr>
            <w:r>
              <w:rPr>
                <w:rFonts w:ascii="宋体" w:hAnsi="宋体" w:eastAsia="宋体" w:cs="宋体"/>
                <w:color w:val="auto"/>
                <w:spacing w:val="-7"/>
                <w:sz w:val="24"/>
                <w:szCs w:val="24"/>
              </w:rPr>
              <w:t>28</w:t>
            </w:r>
          </w:p>
        </w:tc>
        <w:tc>
          <w:tcPr>
            <w:tcW w:w="1870" w:type="dxa"/>
            <w:vAlign w:val="center"/>
          </w:tcPr>
          <w:p w14:paraId="5179B2F7">
            <w:pPr>
              <w:pageBreakBefore w:val="0"/>
              <w:kinsoku/>
              <w:topLinePunct w:val="0"/>
              <w:bidi w:val="0"/>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履约保证金</w:t>
            </w:r>
          </w:p>
        </w:tc>
        <w:tc>
          <w:tcPr>
            <w:tcW w:w="6700" w:type="dxa"/>
            <w:tcBorders>
              <w:right w:val="single" w:color="000000" w:sz="4" w:space="0"/>
            </w:tcBorders>
            <w:vAlign w:val="center"/>
          </w:tcPr>
          <w:p w14:paraId="536B9B69">
            <w:pPr>
              <w:pageBreakBefore w:val="0"/>
              <w:kinsoku/>
              <w:topLinePunct w:val="0"/>
              <w:bidi w:val="0"/>
              <w:spacing w:before="71" w:line="257" w:lineRule="auto"/>
              <w:ind w:left="114" w:right="133" w:firstLine="22"/>
              <w:jc w:val="both"/>
              <w:rPr>
                <w:rFonts w:hint="eastAsia" w:ascii="宋体" w:hAnsi="宋体" w:eastAsia="宋体" w:cs="宋体"/>
                <w:color w:val="auto"/>
                <w:sz w:val="24"/>
                <w:szCs w:val="24"/>
                <w:lang w:eastAsia="zh-CN"/>
              </w:rPr>
            </w:pPr>
            <w:r>
              <w:rPr>
                <w:rFonts w:hint="eastAsia" w:ascii="MS Gothic" w:hAnsi="MS Gothic" w:eastAsia="宋体" w:cs="MS Gothic"/>
                <w:color w:val="auto"/>
                <w:spacing w:val="-9"/>
                <w:sz w:val="24"/>
                <w:szCs w:val="24"/>
                <w:lang w:eastAsia="zh-CN"/>
              </w:rPr>
              <w:t>甲乙双方自行约定</w:t>
            </w:r>
          </w:p>
        </w:tc>
      </w:tr>
      <w:tr w14:paraId="79135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2" w:type="dxa"/>
            <w:tcBorders>
              <w:left w:val="single" w:color="000000" w:sz="4" w:space="0"/>
              <w:bottom w:val="single" w:color="000000" w:sz="4" w:space="0"/>
            </w:tcBorders>
            <w:vAlign w:val="top"/>
          </w:tcPr>
          <w:p w14:paraId="1FA5A794">
            <w:pPr>
              <w:pageBreakBefore w:val="0"/>
              <w:kinsoku/>
              <w:topLinePunct w:val="0"/>
              <w:bidi w:val="0"/>
              <w:spacing w:line="253" w:lineRule="auto"/>
              <w:rPr>
                <w:rFonts w:ascii="Arial"/>
                <w:color w:val="auto"/>
                <w:sz w:val="21"/>
              </w:rPr>
            </w:pPr>
          </w:p>
          <w:p w14:paraId="3ECF754D">
            <w:pPr>
              <w:pageBreakBefore w:val="0"/>
              <w:kinsoku/>
              <w:topLinePunct w:val="0"/>
              <w:bidi w:val="0"/>
              <w:spacing w:line="253" w:lineRule="auto"/>
              <w:rPr>
                <w:rFonts w:ascii="Arial"/>
                <w:color w:val="auto"/>
                <w:sz w:val="21"/>
              </w:rPr>
            </w:pPr>
          </w:p>
          <w:p w14:paraId="547617AB">
            <w:pPr>
              <w:pageBreakBefore w:val="0"/>
              <w:kinsoku/>
              <w:topLinePunct w:val="0"/>
              <w:bidi w:val="0"/>
              <w:spacing w:line="253" w:lineRule="auto"/>
              <w:rPr>
                <w:rFonts w:ascii="Arial"/>
                <w:color w:val="auto"/>
                <w:sz w:val="21"/>
              </w:rPr>
            </w:pPr>
          </w:p>
          <w:p w14:paraId="52DF2DCC">
            <w:pPr>
              <w:pageBreakBefore w:val="0"/>
              <w:kinsoku/>
              <w:topLinePunct w:val="0"/>
              <w:bidi w:val="0"/>
              <w:spacing w:line="253" w:lineRule="auto"/>
              <w:rPr>
                <w:rFonts w:ascii="Arial"/>
                <w:color w:val="auto"/>
                <w:sz w:val="21"/>
              </w:rPr>
            </w:pPr>
          </w:p>
          <w:p w14:paraId="54EABA9D">
            <w:pPr>
              <w:pageBreakBefore w:val="0"/>
              <w:kinsoku/>
              <w:topLinePunct w:val="0"/>
              <w:bidi w:val="0"/>
              <w:spacing w:line="253" w:lineRule="auto"/>
              <w:rPr>
                <w:rFonts w:ascii="Arial"/>
                <w:color w:val="auto"/>
                <w:sz w:val="21"/>
              </w:rPr>
            </w:pPr>
          </w:p>
          <w:p w14:paraId="4B8BF0CF">
            <w:pPr>
              <w:pageBreakBefore w:val="0"/>
              <w:kinsoku/>
              <w:topLinePunct w:val="0"/>
              <w:bidi w:val="0"/>
              <w:spacing w:line="253" w:lineRule="auto"/>
              <w:rPr>
                <w:rFonts w:ascii="Arial"/>
                <w:color w:val="auto"/>
                <w:sz w:val="21"/>
              </w:rPr>
            </w:pPr>
          </w:p>
          <w:p w14:paraId="67EE54D9">
            <w:pPr>
              <w:pageBreakBefore w:val="0"/>
              <w:kinsoku/>
              <w:topLinePunct w:val="0"/>
              <w:bidi w:val="0"/>
              <w:spacing w:line="253" w:lineRule="auto"/>
              <w:rPr>
                <w:rFonts w:ascii="Arial"/>
                <w:color w:val="auto"/>
                <w:sz w:val="21"/>
              </w:rPr>
            </w:pPr>
          </w:p>
          <w:p w14:paraId="4C3DF499">
            <w:pPr>
              <w:pageBreakBefore w:val="0"/>
              <w:kinsoku/>
              <w:topLinePunct w:val="0"/>
              <w:bidi w:val="0"/>
              <w:spacing w:line="253" w:lineRule="auto"/>
              <w:rPr>
                <w:rFonts w:ascii="Arial"/>
                <w:color w:val="auto"/>
                <w:sz w:val="21"/>
              </w:rPr>
            </w:pPr>
          </w:p>
          <w:p w14:paraId="5FD0D471">
            <w:pPr>
              <w:pageBreakBefore w:val="0"/>
              <w:kinsoku/>
              <w:topLinePunct w:val="0"/>
              <w:bidi w:val="0"/>
              <w:spacing w:line="253" w:lineRule="auto"/>
              <w:rPr>
                <w:rFonts w:ascii="Arial"/>
                <w:color w:val="auto"/>
                <w:sz w:val="21"/>
              </w:rPr>
            </w:pPr>
          </w:p>
          <w:p w14:paraId="7ACE78FD">
            <w:pPr>
              <w:pageBreakBefore w:val="0"/>
              <w:kinsoku/>
              <w:topLinePunct w:val="0"/>
              <w:bidi w:val="0"/>
              <w:spacing w:line="253" w:lineRule="auto"/>
              <w:rPr>
                <w:rFonts w:ascii="Arial"/>
                <w:color w:val="auto"/>
                <w:sz w:val="21"/>
              </w:rPr>
            </w:pPr>
          </w:p>
          <w:p w14:paraId="6C938D19">
            <w:pPr>
              <w:pageBreakBefore w:val="0"/>
              <w:kinsoku/>
              <w:topLinePunct w:val="0"/>
              <w:bidi w:val="0"/>
              <w:spacing w:line="254" w:lineRule="auto"/>
              <w:rPr>
                <w:rFonts w:ascii="Arial"/>
                <w:color w:val="auto"/>
                <w:sz w:val="21"/>
              </w:rPr>
            </w:pPr>
          </w:p>
          <w:p w14:paraId="5A20B06E">
            <w:pPr>
              <w:pageBreakBefore w:val="0"/>
              <w:kinsoku/>
              <w:topLinePunct w:val="0"/>
              <w:bidi w:val="0"/>
              <w:spacing w:before="7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29</w:t>
            </w:r>
          </w:p>
        </w:tc>
        <w:tc>
          <w:tcPr>
            <w:tcW w:w="1870" w:type="dxa"/>
            <w:tcBorders>
              <w:bottom w:val="single" w:color="000000" w:sz="4" w:space="0"/>
            </w:tcBorders>
            <w:vAlign w:val="center"/>
          </w:tcPr>
          <w:p w14:paraId="49610264">
            <w:pPr>
              <w:pageBreakBefore w:val="0"/>
              <w:kinsoku/>
              <w:topLinePunct w:val="0"/>
              <w:bidi w:val="0"/>
              <w:spacing w:line="255" w:lineRule="auto"/>
              <w:jc w:val="center"/>
              <w:rPr>
                <w:rFonts w:ascii="Arial"/>
                <w:color w:val="auto"/>
                <w:sz w:val="21"/>
              </w:rPr>
            </w:pPr>
          </w:p>
          <w:p w14:paraId="40D733F6">
            <w:pPr>
              <w:pageBreakBefore w:val="0"/>
              <w:kinsoku/>
              <w:topLinePunct w:val="0"/>
              <w:bidi w:val="0"/>
              <w:spacing w:line="255" w:lineRule="auto"/>
              <w:jc w:val="center"/>
              <w:rPr>
                <w:rFonts w:ascii="Arial"/>
                <w:color w:val="auto"/>
                <w:sz w:val="21"/>
              </w:rPr>
            </w:pPr>
          </w:p>
          <w:p w14:paraId="02735796">
            <w:pPr>
              <w:pageBreakBefore w:val="0"/>
              <w:kinsoku/>
              <w:topLinePunct w:val="0"/>
              <w:bidi w:val="0"/>
              <w:spacing w:line="255" w:lineRule="auto"/>
              <w:jc w:val="center"/>
              <w:rPr>
                <w:rFonts w:ascii="Arial"/>
                <w:color w:val="auto"/>
                <w:sz w:val="21"/>
              </w:rPr>
            </w:pPr>
          </w:p>
          <w:p w14:paraId="3A80C35E">
            <w:pPr>
              <w:pageBreakBefore w:val="0"/>
              <w:kinsoku/>
              <w:topLinePunct w:val="0"/>
              <w:bidi w:val="0"/>
              <w:spacing w:line="255" w:lineRule="auto"/>
              <w:jc w:val="center"/>
              <w:rPr>
                <w:rFonts w:ascii="Arial"/>
                <w:color w:val="auto"/>
                <w:sz w:val="21"/>
              </w:rPr>
            </w:pPr>
          </w:p>
          <w:p w14:paraId="39C0FBF0">
            <w:pPr>
              <w:pageBreakBefore w:val="0"/>
              <w:kinsoku/>
              <w:topLinePunct w:val="0"/>
              <w:bidi w:val="0"/>
              <w:spacing w:line="255" w:lineRule="auto"/>
              <w:jc w:val="center"/>
              <w:rPr>
                <w:rFonts w:ascii="Arial"/>
                <w:color w:val="auto"/>
                <w:sz w:val="21"/>
              </w:rPr>
            </w:pPr>
          </w:p>
          <w:p w14:paraId="5D798F4E">
            <w:pPr>
              <w:pageBreakBefore w:val="0"/>
              <w:kinsoku/>
              <w:topLinePunct w:val="0"/>
              <w:bidi w:val="0"/>
              <w:spacing w:line="255" w:lineRule="auto"/>
              <w:jc w:val="center"/>
              <w:rPr>
                <w:rFonts w:ascii="Arial"/>
                <w:color w:val="auto"/>
                <w:sz w:val="21"/>
              </w:rPr>
            </w:pPr>
          </w:p>
          <w:p w14:paraId="2899F54C">
            <w:pPr>
              <w:pageBreakBefore w:val="0"/>
              <w:kinsoku/>
              <w:topLinePunct w:val="0"/>
              <w:bidi w:val="0"/>
              <w:spacing w:line="255" w:lineRule="auto"/>
              <w:jc w:val="center"/>
              <w:rPr>
                <w:rFonts w:ascii="Arial"/>
                <w:color w:val="auto"/>
                <w:sz w:val="21"/>
              </w:rPr>
            </w:pPr>
          </w:p>
          <w:p w14:paraId="747F26DE">
            <w:pPr>
              <w:pageBreakBefore w:val="0"/>
              <w:kinsoku/>
              <w:topLinePunct w:val="0"/>
              <w:bidi w:val="0"/>
              <w:spacing w:line="255" w:lineRule="auto"/>
              <w:jc w:val="center"/>
              <w:rPr>
                <w:rFonts w:ascii="Arial"/>
                <w:color w:val="auto"/>
                <w:sz w:val="21"/>
              </w:rPr>
            </w:pPr>
          </w:p>
          <w:p w14:paraId="3AC127EC">
            <w:pPr>
              <w:pageBreakBefore w:val="0"/>
              <w:kinsoku/>
              <w:topLinePunct w:val="0"/>
              <w:bidi w:val="0"/>
              <w:spacing w:line="255" w:lineRule="auto"/>
              <w:jc w:val="center"/>
              <w:rPr>
                <w:rFonts w:ascii="Arial"/>
                <w:color w:val="auto"/>
                <w:sz w:val="21"/>
              </w:rPr>
            </w:pPr>
          </w:p>
          <w:p w14:paraId="54ADCF7B">
            <w:pPr>
              <w:pageBreakBefore w:val="0"/>
              <w:kinsoku/>
              <w:topLinePunct w:val="0"/>
              <w:bidi w:val="0"/>
              <w:spacing w:line="255" w:lineRule="auto"/>
              <w:jc w:val="center"/>
              <w:rPr>
                <w:rFonts w:ascii="Arial"/>
                <w:color w:val="auto"/>
                <w:sz w:val="21"/>
              </w:rPr>
            </w:pPr>
          </w:p>
          <w:p w14:paraId="7FD23321">
            <w:pPr>
              <w:pageBreakBefore w:val="0"/>
              <w:kinsoku/>
              <w:topLinePunct w:val="0"/>
              <w:bidi w:val="0"/>
              <w:spacing w:line="256" w:lineRule="auto"/>
              <w:jc w:val="center"/>
              <w:rPr>
                <w:rFonts w:ascii="Arial"/>
                <w:color w:val="auto"/>
                <w:sz w:val="21"/>
              </w:rPr>
            </w:pPr>
          </w:p>
          <w:p w14:paraId="0FCFC871">
            <w:pPr>
              <w:pageBreakBefore w:val="0"/>
              <w:kinsoku/>
              <w:topLinePunct w:val="0"/>
              <w:bidi w:val="0"/>
              <w:spacing w:before="78" w:line="220"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w:t>
            </w:r>
            <w:r>
              <w:rPr>
                <w:rFonts w:ascii="宋体" w:hAnsi="宋体" w:eastAsia="宋体" w:cs="宋体"/>
                <w:color w:val="auto"/>
                <w:spacing w:val="-2"/>
                <w:sz w:val="24"/>
                <w:szCs w:val="24"/>
                <w14:textOutline w14:w="4358" w14:cap="sq" w14:cmpd="sng">
                  <w14:solidFill>
                    <w14:srgbClr w14:val="000000"/>
                  </w14:solidFill>
                  <w14:prstDash w14:val="solid"/>
                  <w14:bevel/>
                </w14:textOutline>
              </w:rPr>
              <w:t>程序</w:t>
            </w:r>
          </w:p>
        </w:tc>
        <w:tc>
          <w:tcPr>
            <w:tcW w:w="6700" w:type="dxa"/>
            <w:tcBorders>
              <w:bottom w:val="single" w:color="000000" w:sz="4" w:space="0"/>
              <w:right w:val="single" w:color="000000" w:sz="4" w:space="0"/>
            </w:tcBorders>
            <w:vAlign w:val="top"/>
          </w:tcPr>
          <w:p w14:paraId="5FB66763">
            <w:pPr>
              <w:pageBreakBefore w:val="0"/>
              <w:kinsoku/>
              <w:topLinePunct w:val="0"/>
              <w:bidi w:val="0"/>
              <w:spacing w:before="37" w:line="280" w:lineRule="auto"/>
              <w:ind w:left="111" w:right="118" w:firstLine="16"/>
              <w:jc w:val="both"/>
              <w:rPr>
                <w:rFonts w:ascii="宋体" w:hAnsi="宋体" w:eastAsia="宋体" w:cs="宋体"/>
                <w:color w:val="auto"/>
                <w:sz w:val="22"/>
                <w:szCs w:val="22"/>
              </w:rPr>
            </w:pPr>
            <w:r>
              <w:rPr>
                <w:rFonts w:ascii="宋体" w:hAnsi="宋体" w:eastAsia="宋体" w:cs="宋体"/>
                <w:color w:val="auto"/>
                <w:spacing w:val="-1"/>
                <w:sz w:val="22"/>
                <w:szCs w:val="22"/>
                <w14:textOutline w14:w="4013" w14:cap="sq" w14:cmpd="sng">
                  <w14:solidFill>
                    <w14:srgbClr w14:val="000000"/>
                  </w14:solidFill>
                  <w14:prstDash w14:val="solid"/>
                  <w14:bevel/>
                </w14:textOutline>
              </w:rPr>
              <w:t>1.在</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磋商文件</w:t>
            </w:r>
            <w:r>
              <w:rPr>
                <w:rFonts w:ascii="宋体" w:hAnsi="宋体" w:eastAsia="宋体" w:cs="宋体"/>
                <w:color w:val="auto"/>
                <w:spacing w:val="-1"/>
                <w:sz w:val="22"/>
                <w:szCs w:val="22"/>
                <w14:textOutline w14:w="4013" w14:cap="sq" w14:cmpd="sng">
                  <w14:solidFill>
                    <w14:srgbClr w14:val="000000"/>
                  </w14:solidFill>
                  <w14:prstDash w14:val="solid"/>
                  <w14:bevel/>
                </w14:textOutline>
              </w:rPr>
              <w:t>确定的响应文件提交截止时间停止接受</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1"/>
                <w:sz w:val="22"/>
                <w:szCs w:val="22"/>
                <w14:textOutline w14:w="4013" w14:cap="sq" w14:cmpd="sng">
                  <w14:solidFill>
                    <w14:srgbClr w14:val="000000"/>
                  </w14:solidFill>
                  <w14:prstDash w14:val="solid"/>
                  <w14:bevel/>
                </w14:textOutline>
              </w:rPr>
              <w:t>。</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主持人确定</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w:t>
            </w:r>
            <w:r>
              <w:rPr>
                <w:rFonts w:ascii="宋体" w:hAnsi="宋体" w:eastAsia="宋体" w:cs="宋体"/>
                <w:color w:val="auto"/>
                <w:spacing w:val="3"/>
                <w:sz w:val="22"/>
                <w:szCs w:val="22"/>
                <w14:textOutline w14:w="4013" w14:cap="sq" w14:cmpd="sng">
                  <w14:solidFill>
                    <w14:srgbClr w14:val="000000"/>
                  </w14:solidFill>
                  <w14:prstDash w14:val="solid"/>
                  <w14:bevel/>
                </w14:textOutline>
              </w:rPr>
              <w:t>供应商数量是否符合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要求（要求所有</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w:t>
            </w:r>
            <w:r>
              <w:rPr>
                <w:rFonts w:ascii="宋体" w:hAnsi="宋体" w:eastAsia="宋体" w:cs="宋体"/>
                <w:color w:val="auto"/>
                <w:spacing w:val="17"/>
                <w:sz w:val="22"/>
                <w:szCs w:val="22"/>
              </w:rPr>
              <w:t xml:space="preserve"> </w:t>
            </w:r>
            <w:r>
              <w:rPr>
                <w:rFonts w:ascii="宋体" w:hAnsi="宋体" w:eastAsia="宋体" w:cs="宋体"/>
                <w:color w:val="auto"/>
                <w:spacing w:val="1"/>
                <w:sz w:val="22"/>
                <w:szCs w:val="22"/>
                <w14:textOutline w14:w="4013" w14:cap="sq" w14:cmpd="sng">
                  <w14:solidFill>
                    <w14:srgbClr w14:val="000000"/>
                  </w14:solidFill>
                  <w14:prstDash w14:val="solid"/>
                  <w14:bevel/>
                </w14:textOutline>
              </w:rPr>
              <w:t>供应商提前一小时准备好相关资料，调试好电脑设备</w:t>
            </w:r>
            <w:r>
              <w:rPr>
                <w:rFonts w:ascii="宋体" w:hAnsi="宋体" w:eastAsia="宋体" w:cs="宋体"/>
                <w:color w:val="auto"/>
                <w:spacing w:val="-8"/>
                <w:sz w:val="22"/>
                <w:szCs w:val="22"/>
                <w14:textOutline w14:w="4013" w14:cap="sq" w14:cmpd="sng">
                  <w14:solidFill>
                    <w14:srgbClr w14:val="000000"/>
                  </w14:solidFill>
                  <w14:prstDash w14:val="solid"/>
                  <w14:bevel/>
                </w14:textOutline>
              </w:rPr>
              <w:t>）；</w:t>
            </w:r>
          </w:p>
          <w:p w14:paraId="7C12FED0">
            <w:pPr>
              <w:pageBreakBefore w:val="0"/>
              <w:kinsoku/>
              <w:topLinePunct w:val="0"/>
              <w:bidi w:val="0"/>
              <w:spacing w:before="111" w:line="262" w:lineRule="auto"/>
              <w:ind w:left="114" w:right="121"/>
              <w:rPr>
                <w:rFonts w:ascii="宋体" w:hAnsi="宋体" w:eastAsia="宋体" w:cs="宋体"/>
                <w:color w:val="auto"/>
                <w:sz w:val="22"/>
                <w:szCs w:val="22"/>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2.本项目采用“政采云不见面</w:t>
            </w:r>
            <w:r>
              <w:rPr>
                <w:rFonts w:ascii="宋体" w:hAnsi="宋体" w:eastAsia="宋体" w:cs="宋体"/>
                <w:color w:val="auto"/>
                <w:spacing w:val="-73"/>
                <w:sz w:val="22"/>
                <w:szCs w:val="22"/>
              </w:rPr>
              <w:t xml:space="preserve"> </w:t>
            </w:r>
            <w:r>
              <w:rPr>
                <w:rFonts w:ascii="宋体" w:hAnsi="宋体" w:eastAsia="宋体" w:cs="宋体"/>
                <w:color w:val="auto"/>
                <w:spacing w:val="2"/>
                <w:sz w:val="22"/>
                <w:szCs w:val="22"/>
                <w14:textOutline w14:w="4013" w14:cap="sq" w14:cmpd="sng">
                  <w14:solidFill>
                    <w14:srgbClr w14:val="000000"/>
                  </w14:solidFill>
                  <w14:prstDash w14:val="solid"/>
                  <w14:bevel/>
                </w14:textOutline>
              </w:rPr>
              <w:t>”</w:t>
            </w:r>
            <w:r>
              <w:rPr>
                <w:rFonts w:hint="eastAsia" w:ascii="宋体" w:hAnsi="宋体" w:eastAsia="宋体" w:cs="宋体"/>
                <w:color w:val="auto"/>
                <w:spacing w:val="2"/>
                <w:sz w:val="22"/>
                <w:szCs w:val="22"/>
                <w:lang w:eastAsia="zh-CN"/>
                <w14:textOutline w14:w="4013" w14:cap="sq" w14:cmpd="sng">
                  <w14:solidFill>
                    <w14:srgbClr w14:val="000000"/>
                  </w14:solidFill>
                  <w14:prstDash w14:val="solid"/>
                  <w14:bevel/>
                </w14:textOutline>
              </w:rPr>
              <w:t>流程</w:t>
            </w:r>
            <w:r>
              <w:rPr>
                <w:rFonts w:ascii="宋体" w:hAnsi="宋体" w:eastAsia="宋体" w:cs="宋体"/>
                <w:color w:val="auto"/>
                <w:spacing w:val="2"/>
                <w:sz w:val="22"/>
                <w:szCs w:val="22"/>
                <w14:textOutline w14:w="4013" w14:cap="sq" w14:cmpd="sng">
                  <w14:solidFill>
                    <w14:srgbClr w14:val="000000"/>
                  </w14:solidFill>
                  <w14:prstDash w14:val="solid"/>
                  <w14:bevel/>
                </w14:textOutline>
              </w:rPr>
              <w:t>，供应商须在提交首次响应文件截止时间</w:t>
            </w:r>
            <w:r>
              <w:rPr>
                <w:rFonts w:ascii="宋体" w:hAnsi="宋体" w:eastAsia="宋体" w:cs="宋体"/>
                <w:color w:val="auto"/>
                <w:sz w:val="22"/>
                <w:szCs w:val="22"/>
                <w14:textOutline w14:w="4013" w14:cap="sq" w14:cmpd="sng">
                  <w14:solidFill>
                    <w14:srgbClr w14:val="000000"/>
                  </w14:solidFill>
                  <w14:prstDash w14:val="solid"/>
                  <w14:bevel/>
                </w14:textOutline>
              </w:rPr>
              <w:t>前登录政采云平台</w:t>
            </w:r>
            <w:r>
              <w:rPr>
                <w:color w:val="auto"/>
              </w:rPr>
              <w:fldChar w:fldCharType="begin"/>
            </w:r>
            <w:r>
              <w:rPr>
                <w:color w:val="auto"/>
              </w:rPr>
              <w:instrText xml:space="preserve"> HYPERLINK "http://www.zcygov.cn/" </w:instrText>
            </w:r>
            <w:r>
              <w:rPr>
                <w:color w:val="auto"/>
              </w:rPr>
              <w:fldChar w:fldCharType="separate"/>
            </w:r>
            <w:r>
              <w:rPr>
                <w:rFonts w:ascii="宋体" w:hAnsi="宋体" w:eastAsia="宋体" w:cs="宋体"/>
                <w:color w:val="auto"/>
                <w:sz w:val="22"/>
                <w:szCs w:val="22"/>
                <w14:textOutline w14:w="4013" w14:cap="sq" w14:cmpd="sng">
                  <w14:solidFill>
                    <w14:srgbClr w14:val="000000"/>
                  </w14:solidFill>
                  <w14:prstDash w14:val="solid"/>
                  <w14:bevel/>
                </w14:textOutline>
              </w:rPr>
              <w:t>http://www.zcygov.cn/</w:t>
            </w:r>
            <w:r>
              <w:rPr>
                <w:rFonts w:ascii="宋体" w:hAnsi="宋体" w:eastAsia="宋体" w:cs="宋体"/>
                <w:color w:val="auto"/>
                <w:sz w:val="22"/>
                <w:szCs w:val="22"/>
                <w14:textOutline w14:w="4013" w14:cap="sq" w14:cmpd="sng">
                  <w14:solidFill>
                    <w14:srgbClr w14:val="000000"/>
                  </w14:solidFill>
                  <w14:prstDash w14:val="solid"/>
                  <w14:bevel/>
                </w14:textOutline>
              </w:rPr>
              <w:fldChar w:fldCharType="end"/>
            </w:r>
            <w:r>
              <w:rPr>
                <w:rFonts w:ascii="宋体" w:hAnsi="宋体" w:eastAsia="宋体" w:cs="宋体"/>
                <w:color w:val="auto"/>
                <w:sz w:val="22"/>
                <w:szCs w:val="22"/>
                <w14:textOutline w14:w="4013" w14:cap="sq" w14:cmpd="sng">
                  <w14:solidFill>
                    <w14:srgbClr w14:val="000000"/>
                  </w14:solidFill>
                  <w14:prstDash w14:val="solid"/>
                  <w14:bevel/>
                </w14:textOutline>
              </w:rPr>
              <w:t>进行签到。</w:t>
            </w:r>
          </w:p>
          <w:p w14:paraId="55560002">
            <w:pPr>
              <w:pageBreakBefore w:val="0"/>
              <w:kinsoku/>
              <w:topLinePunct w:val="0"/>
              <w:bidi w:val="0"/>
              <w:spacing w:before="117" w:line="219" w:lineRule="auto"/>
              <w:ind w:left="116"/>
              <w:rPr>
                <w:rFonts w:ascii="宋体" w:hAnsi="宋体" w:eastAsia="宋体" w:cs="宋体"/>
                <w:color w:val="auto"/>
                <w:sz w:val="22"/>
                <w:szCs w:val="22"/>
              </w:rPr>
            </w:pPr>
            <w:r>
              <w:rPr>
                <w:rFonts w:ascii="宋体" w:hAnsi="宋体" w:eastAsia="宋体" w:cs="宋体"/>
                <w:color w:val="auto"/>
                <w:sz w:val="22"/>
                <w:szCs w:val="22"/>
                <w14:textOutline w14:w="4013" w14:cap="sq" w14:cmpd="sng">
                  <w14:solidFill>
                    <w14:srgbClr w14:val="000000"/>
                  </w14:solidFill>
                  <w14:prstDash w14:val="solid"/>
                  <w14:bevel/>
                </w14:textOutline>
              </w:rPr>
              <w:t>3.主持人宣布</w:t>
            </w:r>
            <w:r>
              <w:rPr>
                <w:rFonts w:hint="eastAsia" w:ascii="宋体" w:hAnsi="宋体" w:eastAsia="宋体" w:cs="宋体"/>
                <w:color w:val="auto"/>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z w:val="22"/>
                <w:szCs w:val="22"/>
                <w14:textOutline w14:w="4013" w14:cap="sq" w14:cmpd="sng">
                  <w14:solidFill>
                    <w14:srgbClr w14:val="000000"/>
                  </w14:solidFill>
                  <w14:prstDash w14:val="solid"/>
                  <w14:bevel/>
                </w14:textOutline>
              </w:rPr>
              <w:t>开始，宣布</w:t>
            </w:r>
            <w:r>
              <w:rPr>
                <w:rFonts w:hint="eastAsia" w:ascii="宋体" w:hAnsi="宋体" w:eastAsia="宋体" w:cs="宋体"/>
                <w:color w:val="auto"/>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z w:val="22"/>
                <w:szCs w:val="22"/>
                <w14:textOutline w14:w="4013" w14:cap="sq" w14:cmpd="sng">
                  <w14:solidFill>
                    <w14:srgbClr w14:val="000000"/>
                  </w14:solidFill>
                  <w14:prstDash w14:val="solid"/>
                  <w14:bevel/>
                </w14:textOutline>
              </w:rPr>
              <w:t>纪律；</w:t>
            </w:r>
          </w:p>
          <w:p w14:paraId="0DEF0CCA">
            <w:pPr>
              <w:pageBreakBefore w:val="0"/>
              <w:kinsoku/>
              <w:topLinePunct w:val="0"/>
              <w:bidi w:val="0"/>
              <w:spacing w:before="109" w:line="281" w:lineRule="auto"/>
              <w:ind w:left="115" w:right="62" w:hanging="4"/>
              <w:jc w:val="both"/>
              <w:rPr>
                <w:rFonts w:ascii="宋体" w:hAnsi="宋体" w:eastAsia="宋体" w:cs="宋体"/>
                <w:color w:val="auto"/>
                <w:spacing w:val="-2"/>
                <w:sz w:val="22"/>
                <w:szCs w:val="22"/>
                <w14:textOutline w14:w="4013" w14:cap="sq" w14:cmpd="sng">
                  <w14:solidFill>
                    <w14:srgbClr w14:val="000000"/>
                  </w14:solidFill>
                  <w14:prstDash w14:val="solid"/>
                  <w14:bevel/>
                </w14:textOutline>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4.宣布主持人、</w:t>
            </w:r>
            <w:r>
              <w:rPr>
                <w:rFonts w:hint="eastAsia" w:ascii="宋体" w:hAnsi="宋体" w:eastAsia="宋体" w:cs="宋体"/>
                <w:color w:val="auto"/>
                <w:spacing w:val="-2"/>
                <w:sz w:val="22"/>
                <w:szCs w:val="22"/>
                <w:lang w:eastAsia="zh-CN"/>
                <w14:textOutline w14:w="4013" w14:cap="sq" w14:cmpd="sng">
                  <w14:solidFill>
                    <w14:srgbClr w14:val="000000"/>
                  </w14:solidFill>
                  <w14:prstDash w14:val="solid"/>
                  <w14:bevel/>
                </w14:textOutline>
              </w:rPr>
              <w:t>采购</w:t>
            </w:r>
            <w:r>
              <w:rPr>
                <w:rFonts w:ascii="宋体" w:hAnsi="宋体" w:eastAsia="宋体" w:cs="宋体"/>
                <w:color w:val="auto"/>
                <w:spacing w:val="-2"/>
                <w:sz w:val="22"/>
                <w:szCs w:val="22"/>
                <w14:textOutline w14:w="4013" w14:cap="sq" w14:cmpd="sng">
                  <w14:solidFill>
                    <w14:srgbClr w14:val="000000"/>
                  </w14:solidFill>
                  <w14:prstDash w14:val="solid"/>
                  <w14:bevel/>
                </w14:textOutline>
              </w:rPr>
              <w:t>人、唱标人、记录人、监督人等工作人员姓名；</w:t>
            </w:r>
          </w:p>
          <w:p w14:paraId="7E9D793B">
            <w:pPr>
              <w:pageBreakBefore w:val="0"/>
              <w:kinsoku/>
              <w:topLinePunct w:val="0"/>
              <w:bidi w:val="0"/>
              <w:spacing w:before="109" w:line="281" w:lineRule="auto"/>
              <w:ind w:left="115" w:right="62" w:hanging="4"/>
              <w:jc w:val="both"/>
              <w:rPr>
                <w:rFonts w:ascii="宋体" w:hAnsi="宋体" w:eastAsia="宋体" w:cs="宋体"/>
                <w:color w:val="auto"/>
                <w:sz w:val="22"/>
                <w:szCs w:val="22"/>
              </w:rPr>
            </w:pPr>
            <w:r>
              <w:rPr>
                <w:rFonts w:ascii="宋体" w:hAnsi="宋体" w:eastAsia="宋体" w:cs="宋体"/>
                <w:color w:val="auto"/>
                <w:spacing w:val="3"/>
                <w:sz w:val="22"/>
                <w:szCs w:val="22"/>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5.解密：法定代表人或授权委托人须全程在线准时参加</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活动进</w:t>
            </w:r>
            <w:r>
              <w:rPr>
                <w:rFonts w:ascii="宋体" w:hAnsi="宋体" w:eastAsia="宋体" w:cs="宋体"/>
                <w:color w:val="auto"/>
                <w:sz w:val="22"/>
                <w:szCs w:val="22"/>
                <w14:textOutline w14:w="4013" w14:cap="sq" w14:cmpd="sng">
                  <w14:solidFill>
                    <w14:srgbClr w14:val="000000"/>
                  </w14:solidFill>
                  <w14:prstDash w14:val="solid"/>
                  <w14:bevel/>
                </w14:textOutline>
              </w:rPr>
              <w:t>行文件解密、异议、质疑及澄清等。</w:t>
            </w:r>
          </w:p>
          <w:p w14:paraId="0B2D219A">
            <w:pPr>
              <w:pageBreakBefore w:val="0"/>
              <w:kinsoku/>
              <w:topLinePunct w:val="0"/>
              <w:bidi w:val="0"/>
              <w:spacing w:before="109" w:line="288" w:lineRule="auto"/>
              <w:ind w:left="111" w:right="118" w:firstLine="1"/>
              <w:jc w:val="both"/>
              <w:rPr>
                <w:rFonts w:ascii="宋体" w:hAnsi="宋体" w:eastAsia="宋体" w:cs="宋体"/>
                <w:color w:val="auto"/>
                <w:sz w:val="22"/>
                <w:szCs w:val="22"/>
              </w:rPr>
            </w:pPr>
            <w:r>
              <w:rPr>
                <w:rFonts w:ascii="宋体" w:hAnsi="宋体" w:eastAsia="宋体" w:cs="宋体"/>
                <w:color w:val="auto"/>
                <w:spacing w:val="-1"/>
                <w:sz w:val="22"/>
                <w:szCs w:val="22"/>
                <w14:textOutline w14:w="4013" w14:cap="sq" w14:cmpd="sng">
                  <w14:solidFill>
                    <w14:srgbClr w14:val="000000"/>
                  </w14:solidFill>
                  <w14:prstDash w14:val="solid"/>
                  <w14:bevel/>
                </w14:textOutline>
              </w:rPr>
              <w:t>6</w:t>
            </w:r>
            <w:r>
              <w:rPr>
                <w:rFonts w:ascii="宋体" w:hAnsi="宋体" w:eastAsia="宋体" w:cs="宋体"/>
                <w:color w:val="auto"/>
                <w:spacing w:val="-1"/>
                <w:sz w:val="22"/>
                <w:szCs w:val="22"/>
              </w:rPr>
              <w:t xml:space="preserve"> </w:t>
            </w:r>
            <w:r>
              <w:rPr>
                <w:rFonts w:ascii="宋体" w:hAnsi="宋体" w:eastAsia="宋体" w:cs="宋体"/>
                <w:color w:val="auto"/>
                <w:spacing w:val="-1"/>
                <w:sz w:val="22"/>
                <w:szCs w:val="22"/>
                <w14:textOutline w14:w="4013" w14:cap="sq" w14:cmpd="sng">
                  <w14:solidFill>
                    <w14:srgbClr w14:val="000000"/>
                  </w14:solidFill>
                  <w14:prstDash w14:val="solid"/>
                  <w14:bevel/>
                </w14:textOutline>
              </w:rPr>
              <w:t>.参与“政采云不见面</w:t>
            </w:r>
            <w:r>
              <w:rPr>
                <w:rFonts w:ascii="宋体" w:hAnsi="宋体" w:eastAsia="宋体" w:cs="宋体"/>
                <w:color w:val="auto"/>
                <w:spacing w:val="-81"/>
                <w:sz w:val="22"/>
                <w:szCs w:val="22"/>
              </w:rPr>
              <w:t xml:space="preserve"> </w:t>
            </w:r>
            <w:r>
              <w:rPr>
                <w:rFonts w:ascii="宋体" w:hAnsi="宋体" w:eastAsia="宋体" w:cs="宋体"/>
                <w:color w:val="auto"/>
                <w:spacing w:val="-1"/>
                <w:sz w:val="22"/>
                <w:szCs w:val="22"/>
                <w14:textOutline w14:w="4013" w14:cap="sq" w14:cmpd="sng">
                  <w14:solidFill>
                    <w14:srgbClr w14:val="000000"/>
                  </w14:solidFill>
                  <w14:prstDash w14:val="solid"/>
                  <w14:bevel/>
                </w14:textOutline>
              </w:rPr>
              <w:t>”开标的各供应商，请在</w:t>
            </w:r>
            <w:r>
              <w:rPr>
                <w:rFonts w:ascii="宋体" w:hAnsi="宋体" w:eastAsia="宋体" w:cs="宋体"/>
                <w:color w:val="auto"/>
                <w:spacing w:val="-2"/>
                <w:sz w:val="22"/>
                <w:szCs w:val="22"/>
                <w14:textOutline w14:w="4013" w14:cap="sq" w14:cmpd="sng">
                  <w14:solidFill>
                    <w14:srgbClr w14:val="000000"/>
                  </w14:solidFill>
                  <w14:prstDash w14:val="solid"/>
                  <w14:bevel/>
                </w14:textOutline>
              </w:rPr>
              <w:t>互联网网络环境较</w:t>
            </w:r>
            <w:r>
              <w:rPr>
                <w:rFonts w:ascii="宋体" w:hAnsi="宋体" w:eastAsia="宋体" w:cs="宋体"/>
                <w:color w:val="auto"/>
                <w:sz w:val="22"/>
                <w:szCs w:val="22"/>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好的电脑端登录政采云不见面开标大厅参与</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；不要在电</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脑上</w:t>
            </w:r>
            <w:r>
              <w:rPr>
                <w:rFonts w:ascii="宋体" w:hAnsi="宋体" w:eastAsia="宋体" w:cs="宋体"/>
                <w:color w:val="auto"/>
                <w:spacing w:val="3"/>
                <w:sz w:val="22"/>
                <w:szCs w:val="22"/>
                <w14:textOutline w14:w="4013" w14:cap="sq" w14:cmpd="sng">
                  <w14:solidFill>
                    <w14:srgbClr w14:val="000000"/>
                  </w14:solidFill>
                  <w14:prstDash w14:val="solid"/>
                  <w14:bevel/>
                </w14:textOutline>
              </w:rPr>
              <w:t>进行下载、安装等工作，认真耐心等待指令并及时操作，并保持手机畅通；因供应商网络环境或硬件配备不达标等原因，影响</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的，造成的后果由供应商自行承担。</w:t>
            </w:r>
          </w:p>
          <w:p w14:paraId="4E7AB8CC">
            <w:pPr>
              <w:pageBreakBefore w:val="0"/>
              <w:kinsoku/>
              <w:topLinePunct w:val="0"/>
              <w:bidi w:val="0"/>
              <w:spacing w:line="220" w:lineRule="auto"/>
              <w:ind w:left="117"/>
              <w:rPr>
                <w:rFonts w:ascii="宋体" w:hAnsi="宋体" w:eastAsia="宋体" w:cs="宋体"/>
                <w:color w:val="auto"/>
                <w:sz w:val="22"/>
                <w:szCs w:val="22"/>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7.</w:t>
            </w:r>
            <w:r>
              <w:rPr>
                <w:rFonts w:hint="eastAsia" w:ascii="宋体" w:hAnsi="宋体" w:eastAsia="宋体" w:cs="宋体"/>
                <w:color w:val="auto"/>
                <w:spacing w:val="-2"/>
                <w:sz w:val="22"/>
                <w:szCs w:val="22"/>
                <w:lang w:eastAsia="zh-CN"/>
                <w14:textOutline w14:w="4013" w14:cap="sq" w14:cmpd="sng">
                  <w14:solidFill>
                    <w14:srgbClr w14:val="000000"/>
                  </w14:solidFill>
                  <w14:prstDash w14:val="solid"/>
                  <w14:bevel/>
                </w14:textOutline>
              </w:rPr>
              <w:t>磋商会议</w:t>
            </w:r>
            <w:r>
              <w:rPr>
                <w:rFonts w:ascii="宋体" w:hAnsi="宋体" w:eastAsia="宋体" w:cs="宋体"/>
                <w:color w:val="auto"/>
                <w:spacing w:val="-2"/>
                <w:sz w:val="22"/>
                <w:szCs w:val="22"/>
                <w14:textOutline w14:w="4013" w14:cap="sq" w14:cmpd="sng">
                  <w14:solidFill>
                    <w14:srgbClr w14:val="000000"/>
                  </w14:solidFill>
                  <w14:prstDash w14:val="solid"/>
                  <w14:bevel/>
                </w14:textOutline>
              </w:rPr>
              <w:t>结束。</w:t>
            </w:r>
          </w:p>
          <w:p w14:paraId="63A1DA1C">
            <w:pPr>
              <w:pageBreakBefore w:val="0"/>
              <w:kinsoku/>
              <w:topLinePunct w:val="0"/>
              <w:bidi w:val="0"/>
              <w:spacing w:before="209" w:line="219" w:lineRule="auto"/>
              <w:ind w:left="112"/>
              <w:rPr>
                <w:rFonts w:ascii="宋体" w:hAnsi="宋体" w:eastAsia="宋体" w:cs="宋体"/>
                <w:color w:val="auto"/>
                <w:sz w:val="22"/>
                <w:szCs w:val="22"/>
              </w:rPr>
            </w:pPr>
            <w:r>
              <w:rPr>
                <w:rFonts w:hint="eastAsia" w:ascii="宋体" w:hAnsi="宋体" w:eastAsia="宋体" w:cs="宋体"/>
                <w:color w:val="auto"/>
                <w:sz w:val="22"/>
                <w:szCs w:val="22"/>
                <w:lang w:eastAsia="zh-CN"/>
                <w14:textOutline w14:w="4013" w14:cap="sq" w14:cmpd="sng">
                  <w14:solidFill>
                    <w14:srgbClr w14:val="000000"/>
                  </w14:solidFill>
                  <w14:prstDash w14:val="solid"/>
                  <w14:bevel/>
                </w14:textOutline>
              </w:rPr>
              <w:t>采购代理机构</w:t>
            </w:r>
            <w:r>
              <w:rPr>
                <w:rFonts w:ascii="宋体" w:hAnsi="宋体" w:eastAsia="宋体" w:cs="宋体"/>
                <w:color w:val="auto"/>
                <w:sz w:val="22"/>
                <w:szCs w:val="22"/>
                <w14:textOutline w14:w="4013" w14:cap="sq" w14:cmpd="sng">
                  <w14:solidFill>
                    <w14:srgbClr w14:val="000000"/>
                  </w14:solidFill>
                  <w14:prstDash w14:val="solid"/>
                  <w14:bevel/>
                </w14:textOutline>
              </w:rPr>
              <w:t>应当对上述开标过程做好记录，存档备查。</w:t>
            </w:r>
          </w:p>
        </w:tc>
      </w:tr>
      <w:tr w14:paraId="6773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42" w:type="dxa"/>
            <w:tcBorders>
              <w:top w:val="single" w:color="000000" w:sz="4" w:space="0"/>
              <w:left w:val="single" w:color="000000" w:sz="4" w:space="0"/>
            </w:tcBorders>
            <w:vAlign w:val="top"/>
          </w:tcPr>
          <w:p w14:paraId="02E15702">
            <w:pPr>
              <w:pageBreakBefore w:val="0"/>
              <w:kinsoku/>
              <w:topLinePunct w:val="0"/>
              <w:bidi w:val="0"/>
              <w:spacing w:line="364" w:lineRule="auto"/>
              <w:rPr>
                <w:rFonts w:ascii="Arial"/>
                <w:color w:val="auto"/>
                <w:sz w:val="21"/>
              </w:rPr>
            </w:pPr>
          </w:p>
          <w:p w14:paraId="013983CA">
            <w:pPr>
              <w:pageBreakBefore w:val="0"/>
              <w:kinsoku/>
              <w:topLinePunct w:val="0"/>
              <w:bidi w:val="0"/>
              <w:spacing w:before="78" w:line="183" w:lineRule="auto"/>
              <w:ind w:left="265"/>
              <w:rPr>
                <w:rFonts w:ascii="宋体" w:hAnsi="宋体" w:eastAsia="宋体" w:cs="宋体"/>
                <w:color w:val="auto"/>
                <w:sz w:val="24"/>
                <w:szCs w:val="24"/>
              </w:rPr>
            </w:pPr>
            <w:r>
              <w:rPr>
                <w:rFonts w:ascii="宋体" w:hAnsi="宋体" w:eastAsia="宋体" w:cs="宋体"/>
                <w:color w:val="auto"/>
                <w:spacing w:val="-8"/>
                <w:sz w:val="24"/>
                <w:szCs w:val="24"/>
              </w:rPr>
              <w:t>30</w:t>
            </w:r>
          </w:p>
        </w:tc>
        <w:tc>
          <w:tcPr>
            <w:tcW w:w="1870" w:type="dxa"/>
            <w:tcBorders>
              <w:top w:val="single" w:color="000000" w:sz="4" w:space="0"/>
            </w:tcBorders>
            <w:vAlign w:val="center"/>
          </w:tcPr>
          <w:p w14:paraId="05F11F5D">
            <w:pPr>
              <w:pageBreakBefore w:val="0"/>
              <w:kinsoku/>
              <w:topLinePunct w:val="0"/>
              <w:bidi w:val="0"/>
              <w:spacing w:before="265" w:line="262" w:lineRule="auto"/>
              <w:ind w:right="194"/>
              <w:jc w:val="center"/>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成交结果公</w:t>
            </w:r>
            <w:r>
              <w:rPr>
                <w:rFonts w:ascii="宋体" w:hAnsi="宋体" w:eastAsia="宋体" w:cs="宋体"/>
                <w:color w:val="auto"/>
                <w:sz w:val="24"/>
                <w:szCs w:val="24"/>
                <w14:textOutline w14:w="4358" w14:cap="sq" w14:cmpd="sng">
                  <w14:solidFill>
                    <w14:srgbClr w14:val="000000"/>
                  </w14:solidFill>
                  <w14:prstDash w14:val="solid"/>
                  <w14:bevel/>
                </w14:textOutline>
              </w:rPr>
              <w:t>告</w:t>
            </w:r>
          </w:p>
        </w:tc>
        <w:tc>
          <w:tcPr>
            <w:tcW w:w="6700" w:type="dxa"/>
            <w:tcBorders>
              <w:top w:val="single" w:color="000000" w:sz="4" w:space="0"/>
              <w:right w:val="single" w:color="000000" w:sz="4" w:space="0"/>
            </w:tcBorders>
            <w:vAlign w:val="top"/>
          </w:tcPr>
          <w:p w14:paraId="15A50A5D">
            <w:pPr>
              <w:pageBreakBefore w:val="0"/>
              <w:kinsoku/>
              <w:topLinePunct w:val="0"/>
              <w:bidi w:val="0"/>
              <w:spacing w:before="265" w:line="263" w:lineRule="auto"/>
              <w:ind w:left="114" w:right="133"/>
              <w:rPr>
                <w:rFonts w:ascii="宋体" w:hAnsi="宋体" w:eastAsia="宋体" w:cs="宋体"/>
                <w:color w:val="auto"/>
                <w:sz w:val="24"/>
                <w:szCs w:val="24"/>
              </w:rPr>
            </w:pPr>
            <w:r>
              <w:rPr>
                <w:rFonts w:ascii="宋体" w:hAnsi="宋体" w:eastAsia="宋体" w:cs="宋体"/>
                <w:color w:val="auto"/>
                <w:spacing w:val="-2"/>
                <w:sz w:val="24"/>
                <w:szCs w:val="24"/>
              </w:rPr>
              <w:t>成交结果公告在新疆政府采购网予以公告，公告期不少于</w:t>
            </w:r>
            <w:r>
              <w:rPr>
                <w:rFonts w:ascii="宋体" w:hAnsi="宋体" w:eastAsia="宋体" w:cs="宋体"/>
                <w:color w:val="auto"/>
                <w:spacing w:val="-28"/>
                <w:sz w:val="24"/>
                <w:szCs w:val="24"/>
              </w:rPr>
              <w:t xml:space="preserve"> </w:t>
            </w:r>
            <w:r>
              <w:rPr>
                <w:rFonts w:ascii="宋体" w:hAnsi="宋体" w:eastAsia="宋体" w:cs="宋体"/>
                <w:color w:val="auto"/>
                <w:spacing w:val="-2"/>
                <w:sz w:val="24"/>
                <w:szCs w:val="24"/>
              </w:rPr>
              <w:t>1个</w:t>
            </w:r>
            <w:r>
              <w:rPr>
                <w:rFonts w:ascii="宋体" w:hAnsi="宋体" w:eastAsia="宋体" w:cs="宋体"/>
                <w:color w:val="auto"/>
                <w:spacing w:val="-4"/>
                <w:sz w:val="24"/>
                <w:szCs w:val="24"/>
              </w:rPr>
              <w:t>工作日。</w:t>
            </w:r>
          </w:p>
        </w:tc>
      </w:tr>
      <w:tr w14:paraId="53B3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42" w:type="dxa"/>
            <w:tcBorders>
              <w:left w:val="single" w:color="000000" w:sz="4" w:space="0"/>
            </w:tcBorders>
            <w:vAlign w:val="top"/>
          </w:tcPr>
          <w:p w14:paraId="5568D11E">
            <w:pPr>
              <w:pageBreakBefore w:val="0"/>
              <w:kinsoku/>
              <w:topLinePunct w:val="0"/>
              <w:bidi w:val="0"/>
              <w:spacing w:line="413" w:lineRule="auto"/>
              <w:rPr>
                <w:rFonts w:ascii="Arial"/>
                <w:color w:val="auto"/>
                <w:sz w:val="21"/>
              </w:rPr>
            </w:pPr>
          </w:p>
          <w:p w14:paraId="55495A2F">
            <w:pPr>
              <w:pageBreakBefore w:val="0"/>
              <w:kinsoku/>
              <w:topLinePunct w:val="0"/>
              <w:bidi w:val="0"/>
              <w:spacing w:before="78" w:line="184" w:lineRule="auto"/>
              <w:ind w:left="265"/>
              <w:rPr>
                <w:rFonts w:ascii="宋体" w:hAnsi="宋体" w:eastAsia="宋体" w:cs="宋体"/>
                <w:color w:val="auto"/>
                <w:sz w:val="24"/>
                <w:szCs w:val="24"/>
              </w:rPr>
            </w:pPr>
            <w:r>
              <w:rPr>
                <w:rFonts w:ascii="宋体" w:hAnsi="宋体" w:eastAsia="宋体" w:cs="宋体"/>
                <w:color w:val="auto"/>
                <w:spacing w:val="-8"/>
                <w:sz w:val="24"/>
                <w:szCs w:val="24"/>
              </w:rPr>
              <w:t>31</w:t>
            </w:r>
          </w:p>
        </w:tc>
        <w:tc>
          <w:tcPr>
            <w:tcW w:w="1870" w:type="dxa"/>
            <w:vAlign w:val="center"/>
          </w:tcPr>
          <w:p w14:paraId="571943C1">
            <w:pPr>
              <w:pageBreakBefore w:val="0"/>
              <w:kinsoku/>
              <w:topLinePunct w:val="0"/>
              <w:bidi w:val="0"/>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相关费用</w:t>
            </w:r>
          </w:p>
        </w:tc>
        <w:tc>
          <w:tcPr>
            <w:tcW w:w="6700" w:type="dxa"/>
            <w:tcBorders>
              <w:right w:val="single" w:color="000000" w:sz="4" w:space="0"/>
            </w:tcBorders>
            <w:vAlign w:val="top"/>
          </w:tcPr>
          <w:p w14:paraId="72373D7D">
            <w:pPr>
              <w:keepNext w:val="0"/>
              <w:keepLines w:val="0"/>
              <w:pageBreakBefore w:val="0"/>
              <w:widowControl/>
              <w:kinsoku/>
              <w:wordWrap/>
              <w:overflowPunct/>
              <w:topLinePunct w:val="0"/>
              <w:autoSpaceDE w:val="0"/>
              <w:autoSpaceDN w:val="0"/>
              <w:bidi w:val="0"/>
              <w:adjustRightInd w:val="0"/>
              <w:snapToGrid w:val="0"/>
              <w:spacing w:before="1" w:line="360" w:lineRule="auto"/>
              <w:ind w:left="113"/>
              <w:textAlignment w:val="baseline"/>
              <w:rPr>
                <w:rFonts w:ascii="宋体" w:hAnsi="宋体" w:eastAsia="宋体" w:cs="宋体"/>
                <w:color w:val="auto"/>
                <w:sz w:val="24"/>
                <w:szCs w:val="24"/>
              </w:rPr>
            </w:pPr>
            <w:r>
              <w:rPr>
                <w:rFonts w:ascii="宋体" w:hAnsi="宋体" w:eastAsia="宋体" w:cs="宋体"/>
                <w:color w:val="auto"/>
                <w:spacing w:val="-6"/>
                <w:sz w:val="24"/>
                <w:szCs w:val="24"/>
              </w:rPr>
              <w:t>1.代理服务费：</w:t>
            </w:r>
            <w:bookmarkStart w:id="5" w:name="OLE_LINK8"/>
            <w:r>
              <w:rPr>
                <w:rFonts w:hint="eastAsia" w:ascii="宋体" w:hAnsi="宋体" w:eastAsia="宋体" w:cs="宋体"/>
                <w:color w:val="auto"/>
                <w:spacing w:val="-6"/>
                <w:sz w:val="24"/>
                <w:szCs w:val="24"/>
                <w:lang w:eastAsia="zh-CN"/>
              </w:rPr>
              <w:t>参照</w:t>
            </w:r>
            <w:r>
              <w:rPr>
                <w:rFonts w:hint="eastAsia" w:ascii="宋体" w:hAnsi="宋体" w:eastAsia="宋体" w:cs="宋体"/>
                <w:color w:val="auto"/>
                <w:spacing w:val="-6"/>
                <w:sz w:val="24"/>
                <w:szCs w:val="24"/>
                <w:lang w:val="en-US" w:eastAsia="zh-CN"/>
              </w:rPr>
              <w:t>发改价格〔2015〕299号文件，</w:t>
            </w:r>
            <w:r>
              <w:rPr>
                <w:rFonts w:hint="eastAsia" w:ascii="宋体" w:hAnsi="宋体" w:eastAsia="宋体" w:cs="宋体"/>
                <w:color w:val="auto"/>
                <w:spacing w:val="-6"/>
                <w:sz w:val="24"/>
                <w:szCs w:val="24"/>
              </w:rPr>
              <w:t>收取代理服务费</w:t>
            </w:r>
            <w:r>
              <w:rPr>
                <w:rFonts w:ascii="宋体" w:hAnsi="宋体" w:eastAsia="宋体" w:cs="宋体"/>
                <w:color w:val="auto"/>
                <w:spacing w:val="-6"/>
                <w:sz w:val="24"/>
                <w:szCs w:val="24"/>
              </w:rPr>
              <w:t>，由中标（成交）人向采购代理机构交纳代理服务费</w:t>
            </w:r>
            <w:bookmarkEnd w:id="5"/>
            <w:r>
              <w:rPr>
                <w:rFonts w:ascii="宋体" w:hAnsi="宋体" w:eastAsia="宋体" w:cs="宋体"/>
                <w:color w:val="auto"/>
                <w:spacing w:val="-6"/>
                <w:sz w:val="24"/>
                <w:szCs w:val="24"/>
              </w:rPr>
              <w:t>。</w:t>
            </w:r>
          </w:p>
        </w:tc>
      </w:tr>
      <w:tr w14:paraId="08A0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42" w:type="dxa"/>
            <w:tcBorders>
              <w:left w:val="single" w:color="000000" w:sz="4" w:space="0"/>
            </w:tcBorders>
            <w:vAlign w:val="top"/>
          </w:tcPr>
          <w:p w14:paraId="6AB2DC6C">
            <w:pPr>
              <w:pageBreakBefore w:val="0"/>
              <w:kinsoku/>
              <w:topLinePunct w:val="0"/>
              <w:bidi w:val="0"/>
              <w:spacing w:line="243" w:lineRule="auto"/>
              <w:rPr>
                <w:rFonts w:ascii="Arial"/>
                <w:color w:val="auto"/>
                <w:sz w:val="21"/>
              </w:rPr>
            </w:pPr>
          </w:p>
          <w:p w14:paraId="317E7496">
            <w:pPr>
              <w:pageBreakBefore w:val="0"/>
              <w:kinsoku/>
              <w:topLinePunct w:val="0"/>
              <w:bidi w:val="0"/>
              <w:spacing w:line="244" w:lineRule="auto"/>
              <w:rPr>
                <w:rFonts w:ascii="Arial"/>
                <w:color w:val="auto"/>
                <w:sz w:val="21"/>
              </w:rPr>
            </w:pPr>
          </w:p>
          <w:p w14:paraId="092C7B31">
            <w:pPr>
              <w:pageBreakBefore w:val="0"/>
              <w:kinsoku/>
              <w:topLinePunct w:val="0"/>
              <w:bidi w:val="0"/>
              <w:spacing w:line="244" w:lineRule="auto"/>
              <w:rPr>
                <w:rFonts w:ascii="Arial"/>
                <w:color w:val="auto"/>
                <w:sz w:val="21"/>
              </w:rPr>
            </w:pPr>
          </w:p>
          <w:p w14:paraId="468AE1D3">
            <w:pPr>
              <w:pageBreakBefore w:val="0"/>
              <w:kinsoku/>
              <w:topLinePunct w:val="0"/>
              <w:bidi w:val="0"/>
              <w:spacing w:line="244" w:lineRule="auto"/>
              <w:rPr>
                <w:rFonts w:ascii="Arial"/>
                <w:color w:val="auto"/>
                <w:sz w:val="21"/>
              </w:rPr>
            </w:pPr>
          </w:p>
          <w:p w14:paraId="20B13CE3">
            <w:pPr>
              <w:pageBreakBefore w:val="0"/>
              <w:kinsoku/>
              <w:topLinePunct w:val="0"/>
              <w:bidi w:val="0"/>
              <w:spacing w:line="244" w:lineRule="auto"/>
              <w:rPr>
                <w:rFonts w:ascii="Arial"/>
                <w:color w:val="auto"/>
                <w:sz w:val="21"/>
              </w:rPr>
            </w:pPr>
          </w:p>
          <w:p w14:paraId="3B6901CB">
            <w:pPr>
              <w:pageBreakBefore w:val="0"/>
              <w:kinsoku/>
              <w:topLinePunct w:val="0"/>
              <w:bidi w:val="0"/>
              <w:spacing w:line="244" w:lineRule="auto"/>
              <w:rPr>
                <w:rFonts w:ascii="Arial"/>
                <w:color w:val="auto"/>
                <w:sz w:val="21"/>
              </w:rPr>
            </w:pPr>
          </w:p>
          <w:p w14:paraId="04AFFD3E">
            <w:pPr>
              <w:pageBreakBefore w:val="0"/>
              <w:kinsoku/>
              <w:topLinePunct w:val="0"/>
              <w:bidi w:val="0"/>
              <w:spacing w:line="244" w:lineRule="auto"/>
              <w:rPr>
                <w:rFonts w:ascii="Arial"/>
                <w:color w:val="auto"/>
                <w:sz w:val="21"/>
              </w:rPr>
            </w:pPr>
          </w:p>
          <w:p w14:paraId="5A75A451">
            <w:pPr>
              <w:pageBreakBefore w:val="0"/>
              <w:kinsoku/>
              <w:topLinePunct w:val="0"/>
              <w:bidi w:val="0"/>
              <w:spacing w:line="244" w:lineRule="auto"/>
              <w:rPr>
                <w:rFonts w:ascii="Arial"/>
                <w:color w:val="auto"/>
                <w:sz w:val="21"/>
              </w:rPr>
            </w:pPr>
          </w:p>
          <w:p w14:paraId="67597DFC">
            <w:pPr>
              <w:pageBreakBefore w:val="0"/>
              <w:kinsoku/>
              <w:topLinePunct w:val="0"/>
              <w:bidi w:val="0"/>
              <w:spacing w:line="244" w:lineRule="auto"/>
              <w:rPr>
                <w:rFonts w:ascii="Arial"/>
                <w:color w:val="auto"/>
                <w:sz w:val="21"/>
              </w:rPr>
            </w:pPr>
          </w:p>
          <w:p w14:paraId="30049230">
            <w:pPr>
              <w:pageBreakBefore w:val="0"/>
              <w:kinsoku/>
              <w:topLinePunct w:val="0"/>
              <w:bidi w:val="0"/>
              <w:spacing w:line="244" w:lineRule="auto"/>
              <w:rPr>
                <w:rFonts w:ascii="Arial"/>
                <w:color w:val="auto"/>
                <w:sz w:val="21"/>
              </w:rPr>
            </w:pPr>
          </w:p>
          <w:p w14:paraId="1E0FBCBD">
            <w:pPr>
              <w:pageBreakBefore w:val="0"/>
              <w:kinsoku/>
              <w:topLinePunct w:val="0"/>
              <w:bidi w:val="0"/>
              <w:spacing w:line="244" w:lineRule="auto"/>
              <w:rPr>
                <w:rFonts w:ascii="Arial"/>
                <w:color w:val="auto"/>
                <w:sz w:val="21"/>
              </w:rPr>
            </w:pPr>
          </w:p>
          <w:p w14:paraId="26C9C162">
            <w:pPr>
              <w:pageBreakBefore w:val="0"/>
              <w:kinsoku/>
              <w:topLinePunct w:val="0"/>
              <w:bidi w:val="0"/>
              <w:spacing w:line="244" w:lineRule="auto"/>
              <w:rPr>
                <w:rFonts w:ascii="Arial"/>
                <w:color w:val="auto"/>
                <w:sz w:val="21"/>
              </w:rPr>
            </w:pPr>
          </w:p>
          <w:p w14:paraId="3E766931">
            <w:pPr>
              <w:pageBreakBefore w:val="0"/>
              <w:kinsoku/>
              <w:topLinePunct w:val="0"/>
              <w:bidi w:val="0"/>
              <w:spacing w:line="244" w:lineRule="auto"/>
              <w:rPr>
                <w:rFonts w:ascii="Arial"/>
                <w:color w:val="auto"/>
                <w:sz w:val="21"/>
              </w:rPr>
            </w:pPr>
          </w:p>
          <w:p w14:paraId="43D98F50">
            <w:pPr>
              <w:pageBreakBefore w:val="0"/>
              <w:kinsoku/>
              <w:topLinePunct w:val="0"/>
              <w:bidi w:val="0"/>
              <w:spacing w:line="244" w:lineRule="auto"/>
              <w:rPr>
                <w:rFonts w:ascii="Arial"/>
                <w:color w:val="auto"/>
                <w:sz w:val="21"/>
              </w:rPr>
            </w:pPr>
          </w:p>
          <w:p w14:paraId="1B36DFED">
            <w:pPr>
              <w:pageBreakBefore w:val="0"/>
              <w:kinsoku/>
              <w:topLinePunct w:val="0"/>
              <w:bidi w:val="0"/>
              <w:spacing w:line="244" w:lineRule="auto"/>
              <w:rPr>
                <w:rFonts w:ascii="Arial"/>
                <w:color w:val="auto"/>
                <w:sz w:val="21"/>
              </w:rPr>
            </w:pPr>
          </w:p>
          <w:p w14:paraId="54090D73">
            <w:pPr>
              <w:pageBreakBefore w:val="0"/>
              <w:kinsoku/>
              <w:topLinePunct w:val="0"/>
              <w:bidi w:val="0"/>
              <w:spacing w:line="244" w:lineRule="auto"/>
              <w:rPr>
                <w:rFonts w:ascii="Arial"/>
                <w:color w:val="auto"/>
                <w:sz w:val="21"/>
              </w:rPr>
            </w:pPr>
          </w:p>
          <w:p w14:paraId="1AFDE4E7">
            <w:pPr>
              <w:pageBreakBefore w:val="0"/>
              <w:kinsoku/>
              <w:topLinePunct w:val="0"/>
              <w:bidi w:val="0"/>
              <w:spacing w:line="244" w:lineRule="auto"/>
              <w:rPr>
                <w:rFonts w:ascii="Arial"/>
                <w:color w:val="auto"/>
                <w:sz w:val="21"/>
              </w:rPr>
            </w:pPr>
          </w:p>
          <w:p w14:paraId="64367AD4">
            <w:pPr>
              <w:pageBreakBefore w:val="0"/>
              <w:kinsoku/>
              <w:topLinePunct w:val="0"/>
              <w:bidi w:val="0"/>
              <w:spacing w:line="244" w:lineRule="auto"/>
              <w:rPr>
                <w:rFonts w:ascii="Arial"/>
                <w:color w:val="auto"/>
                <w:sz w:val="21"/>
              </w:rPr>
            </w:pPr>
          </w:p>
          <w:p w14:paraId="0F233DE9">
            <w:pPr>
              <w:pageBreakBefore w:val="0"/>
              <w:kinsoku/>
              <w:topLinePunct w:val="0"/>
              <w:bidi w:val="0"/>
              <w:spacing w:before="78" w:line="183" w:lineRule="auto"/>
              <w:ind w:left="265"/>
              <w:rPr>
                <w:rFonts w:ascii="宋体" w:hAnsi="宋体" w:eastAsia="宋体" w:cs="宋体"/>
                <w:color w:val="auto"/>
                <w:sz w:val="24"/>
                <w:szCs w:val="24"/>
              </w:rPr>
            </w:pPr>
            <w:r>
              <w:rPr>
                <w:rFonts w:ascii="宋体" w:hAnsi="宋体" w:eastAsia="宋体" w:cs="宋体"/>
                <w:color w:val="auto"/>
                <w:spacing w:val="-8"/>
                <w:sz w:val="24"/>
                <w:szCs w:val="24"/>
              </w:rPr>
              <w:t>32</w:t>
            </w:r>
          </w:p>
        </w:tc>
        <w:tc>
          <w:tcPr>
            <w:tcW w:w="1870" w:type="dxa"/>
            <w:vAlign w:val="center"/>
          </w:tcPr>
          <w:p w14:paraId="11B476B7">
            <w:pPr>
              <w:pageBreakBefore w:val="0"/>
              <w:kinsoku/>
              <w:topLinePunct w:val="0"/>
              <w:bidi w:val="0"/>
              <w:spacing w:line="247" w:lineRule="auto"/>
              <w:jc w:val="center"/>
              <w:rPr>
                <w:rFonts w:ascii="Arial"/>
                <w:color w:val="auto"/>
                <w:sz w:val="21"/>
              </w:rPr>
            </w:pPr>
          </w:p>
          <w:p w14:paraId="5148F518">
            <w:pPr>
              <w:pageBreakBefore w:val="0"/>
              <w:kinsoku/>
              <w:topLinePunct w:val="0"/>
              <w:bidi w:val="0"/>
              <w:spacing w:line="247" w:lineRule="auto"/>
              <w:jc w:val="center"/>
              <w:rPr>
                <w:rFonts w:ascii="Arial"/>
                <w:color w:val="auto"/>
                <w:sz w:val="21"/>
              </w:rPr>
            </w:pPr>
          </w:p>
          <w:p w14:paraId="22FFBB97">
            <w:pPr>
              <w:pageBreakBefore w:val="0"/>
              <w:kinsoku/>
              <w:topLinePunct w:val="0"/>
              <w:bidi w:val="0"/>
              <w:spacing w:line="247" w:lineRule="auto"/>
              <w:jc w:val="center"/>
              <w:rPr>
                <w:rFonts w:ascii="Arial"/>
                <w:color w:val="auto"/>
                <w:sz w:val="21"/>
              </w:rPr>
            </w:pPr>
          </w:p>
          <w:p w14:paraId="6C1F639C">
            <w:pPr>
              <w:pageBreakBefore w:val="0"/>
              <w:kinsoku/>
              <w:topLinePunct w:val="0"/>
              <w:bidi w:val="0"/>
              <w:spacing w:line="248" w:lineRule="auto"/>
              <w:jc w:val="center"/>
              <w:rPr>
                <w:rFonts w:ascii="Arial"/>
                <w:color w:val="auto"/>
                <w:sz w:val="21"/>
              </w:rPr>
            </w:pPr>
          </w:p>
          <w:p w14:paraId="4CAF17D4">
            <w:pPr>
              <w:pageBreakBefore w:val="0"/>
              <w:kinsoku/>
              <w:topLinePunct w:val="0"/>
              <w:bidi w:val="0"/>
              <w:spacing w:line="248" w:lineRule="auto"/>
              <w:jc w:val="center"/>
              <w:rPr>
                <w:rFonts w:ascii="Arial"/>
                <w:color w:val="auto"/>
                <w:sz w:val="21"/>
              </w:rPr>
            </w:pPr>
          </w:p>
          <w:p w14:paraId="62D34594">
            <w:pPr>
              <w:pageBreakBefore w:val="0"/>
              <w:kinsoku/>
              <w:topLinePunct w:val="0"/>
              <w:bidi w:val="0"/>
              <w:spacing w:line="248" w:lineRule="auto"/>
              <w:jc w:val="center"/>
              <w:rPr>
                <w:rFonts w:ascii="Arial"/>
                <w:color w:val="auto"/>
                <w:sz w:val="21"/>
              </w:rPr>
            </w:pPr>
          </w:p>
          <w:p w14:paraId="219970BB">
            <w:pPr>
              <w:pageBreakBefore w:val="0"/>
              <w:kinsoku/>
              <w:topLinePunct w:val="0"/>
              <w:bidi w:val="0"/>
              <w:spacing w:line="248" w:lineRule="auto"/>
              <w:jc w:val="center"/>
              <w:rPr>
                <w:rFonts w:ascii="Arial"/>
                <w:color w:val="auto"/>
                <w:sz w:val="21"/>
              </w:rPr>
            </w:pPr>
          </w:p>
          <w:p w14:paraId="1833FF84">
            <w:pPr>
              <w:pageBreakBefore w:val="0"/>
              <w:kinsoku/>
              <w:topLinePunct w:val="0"/>
              <w:bidi w:val="0"/>
              <w:spacing w:line="248" w:lineRule="auto"/>
              <w:jc w:val="center"/>
              <w:rPr>
                <w:rFonts w:ascii="Arial"/>
                <w:color w:val="auto"/>
                <w:sz w:val="21"/>
              </w:rPr>
            </w:pPr>
          </w:p>
          <w:p w14:paraId="6CAA032F">
            <w:pPr>
              <w:pageBreakBefore w:val="0"/>
              <w:kinsoku/>
              <w:topLinePunct w:val="0"/>
              <w:bidi w:val="0"/>
              <w:spacing w:line="248" w:lineRule="auto"/>
              <w:jc w:val="center"/>
              <w:rPr>
                <w:rFonts w:ascii="Arial"/>
                <w:color w:val="auto"/>
                <w:sz w:val="21"/>
              </w:rPr>
            </w:pPr>
          </w:p>
          <w:p w14:paraId="21F42E90">
            <w:pPr>
              <w:pageBreakBefore w:val="0"/>
              <w:kinsoku/>
              <w:topLinePunct w:val="0"/>
              <w:bidi w:val="0"/>
              <w:spacing w:line="248" w:lineRule="auto"/>
              <w:jc w:val="center"/>
              <w:rPr>
                <w:rFonts w:ascii="Arial"/>
                <w:color w:val="auto"/>
                <w:sz w:val="21"/>
              </w:rPr>
            </w:pPr>
          </w:p>
          <w:p w14:paraId="3FCE0B41">
            <w:pPr>
              <w:pageBreakBefore w:val="0"/>
              <w:kinsoku/>
              <w:topLinePunct w:val="0"/>
              <w:bidi w:val="0"/>
              <w:spacing w:line="248" w:lineRule="auto"/>
              <w:jc w:val="center"/>
              <w:rPr>
                <w:rFonts w:ascii="Arial"/>
                <w:color w:val="auto"/>
                <w:sz w:val="21"/>
              </w:rPr>
            </w:pPr>
          </w:p>
          <w:p w14:paraId="2A3C0FE8">
            <w:pPr>
              <w:pageBreakBefore w:val="0"/>
              <w:kinsoku/>
              <w:topLinePunct w:val="0"/>
              <w:bidi w:val="0"/>
              <w:spacing w:line="248" w:lineRule="auto"/>
              <w:jc w:val="center"/>
              <w:rPr>
                <w:rFonts w:ascii="Arial"/>
                <w:color w:val="auto"/>
                <w:sz w:val="21"/>
              </w:rPr>
            </w:pPr>
          </w:p>
          <w:p w14:paraId="251061EA">
            <w:pPr>
              <w:pageBreakBefore w:val="0"/>
              <w:kinsoku/>
              <w:topLinePunct w:val="0"/>
              <w:bidi w:val="0"/>
              <w:spacing w:line="248" w:lineRule="auto"/>
              <w:jc w:val="center"/>
              <w:rPr>
                <w:rFonts w:ascii="Arial"/>
                <w:color w:val="auto"/>
                <w:sz w:val="21"/>
              </w:rPr>
            </w:pPr>
          </w:p>
          <w:p w14:paraId="705CC799">
            <w:pPr>
              <w:pageBreakBefore w:val="0"/>
              <w:kinsoku/>
              <w:topLinePunct w:val="0"/>
              <w:bidi w:val="0"/>
              <w:spacing w:line="248" w:lineRule="auto"/>
              <w:jc w:val="center"/>
              <w:rPr>
                <w:rFonts w:ascii="Arial"/>
                <w:color w:val="auto"/>
                <w:sz w:val="21"/>
              </w:rPr>
            </w:pPr>
          </w:p>
          <w:p w14:paraId="26612AE2">
            <w:pPr>
              <w:pageBreakBefore w:val="0"/>
              <w:kinsoku/>
              <w:topLinePunct w:val="0"/>
              <w:bidi w:val="0"/>
              <w:spacing w:line="248" w:lineRule="auto"/>
              <w:jc w:val="center"/>
              <w:rPr>
                <w:rFonts w:ascii="Arial"/>
                <w:color w:val="auto"/>
                <w:sz w:val="21"/>
              </w:rPr>
            </w:pPr>
          </w:p>
          <w:p w14:paraId="1C92FABF">
            <w:pPr>
              <w:pageBreakBefore w:val="0"/>
              <w:kinsoku/>
              <w:topLinePunct w:val="0"/>
              <w:bidi w:val="0"/>
              <w:spacing w:line="248" w:lineRule="auto"/>
              <w:jc w:val="center"/>
              <w:rPr>
                <w:rFonts w:ascii="Arial"/>
                <w:color w:val="auto"/>
                <w:sz w:val="21"/>
              </w:rPr>
            </w:pPr>
          </w:p>
          <w:p w14:paraId="3737E9C7">
            <w:pPr>
              <w:pageBreakBefore w:val="0"/>
              <w:kinsoku/>
              <w:topLinePunct w:val="0"/>
              <w:bidi w:val="0"/>
              <w:spacing w:before="78" w:line="263" w:lineRule="auto"/>
              <w:ind w:right="194"/>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落实政府采购政</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策</w:t>
            </w:r>
          </w:p>
        </w:tc>
        <w:tc>
          <w:tcPr>
            <w:tcW w:w="6700" w:type="dxa"/>
            <w:tcBorders>
              <w:right w:val="single" w:color="000000" w:sz="4" w:space="0"/>
            </w:tcBorders>
            <w:vAlign w:val="top"/>
          </w:tcPr>
          <w:p w14:paraId="7540D516">
            <w:pPr>
              <w:pStyle w:val="16"/>
              <w:pageBreakBefore w:val="0"/>
              <w:kinsoku/>
              <w:topLinePunct w:val="0"/>
              <w:bidi w:val="0"/>
              <w:spacing w:before="120" w:line="265" w:lineRule="auto"/>
              <w:ind w:left="121" w:right="119" w:hanging="3"/>
              <w:jc w:val="both"/>
              <w:rPr>
                <w:rFonts w:ascii="宋体" w:hAnsi="宋体" w:eastAsia="宋体" w:cs="宋体"/>
                <w:color w:val="auto"/>
                <w:spacing w:val="-13"/>
                <w:sz w:val="24"/>
                <w:szCs w:val="24"/>
              </w:rPr>
            </w:pPr>
            <w:r>
              <w:rPr>
                <w:rFonts w:ascii="宋体" w:hAnsi="宋体" w:eastAsia="宋体" w:cs="宋体"/>
                <w:color w:val="auto"/>
                <w:spacing w:val="-1"/>
                <w:sz w:val="24"/>
                <w:szCs w:val="24"/>
              </w:rPr>
              <w:t>支持中小企业发展，《政府采购促进中小企业发展管理办法》</w:t>
            </w:r>
            <w:r>
              <w:rPr>
                <w:rFonts w:ascii="宋体" w:hAnsi="宋体" w:eastAsia="宋体" w:cs="宋体"/>
                <w:color w:val="auto"/>
                <w:spacing w:val="6"/>
                <w:sz w:val="24"/>
                <w:szCs w:val="24"/>
              </w:rPr>
              <w:t xml:space="preserve"> </w:t>
            </w:r>
            <w:r>
              <w:rPr>
                <w:rFonts w:ascii="宋体" w:hAnsi="宋体" w:eastAsia="宋体" w:cs="宋体"/>
                <w:color w:val="auto"/>
                <w:spacing w:val="-2"/>
                <w:sz w:val="24"/>
                <w:szCs w:val="24"/>
              </w:rPr>
              <w:t>（财库[2020]46</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号</w:t>
            </w:r>
            <w:r>
              <w:rPr>
                <w:rFonts w:ascii="宋体" w:hAnsi="宋体" w:eastAsia="宋体" w:cs="宋体"/>
                <w:color w:val="auto"/>
                <w:spacing w:val="-13"/>
                <w:sz w:val="24"/>
                <w:szCs w:val="24"/>
              </w:rPr>
              <w:t>）：</w:t>
            </w:r>
          </w:p>
          <w:p w14:paraId="46520ECF">
            <w:pPr>
              <w:pStyle w:val="16"/>
              <w:pageBreakBefore w:val="0"/>
              <w:kinsoku/>
              <w:topLinePunct w:val="0"/>
              <w:bidi w:val="0"/>
              <w:spacing w:before="120" w:line="265" w:lineRule="auto"/>
              <w:ind w:left="121" w:right="119" w:hanging="3"/>
              <w:jc w:val="both"/>
              <w:rPr>
                <w:spacing w:val="3"/>
                <w:highlight w:val="none"/>
              </w:rPr>
            </w:pPr>
            <w:r>
              <w:rPr>
                <w:rFonts w:hint="eastAsia"/>
                <w:spacing w:val="3"/>
                <w:highlight w:val="none"/>
                <w:lang w:val="en-US" w:eastAsia="zh-CN"/>
              </w:rPr>
              <w:t>☑本项目专门面向中小企业采购，供应商为中小企业，不再执行价格评审优惠政策。</w:t>
            </w:r>
          </w:p>
          <w:p w14:paraId="2BE1AE33">
            <w:pPr>
              <w:pStyle w:val="16"/>
              <w:pageBreakBefore w:val="0"/>
              <w:kinsoku/>
              <w:topLinePunct w:val="0"/>
              <w:bidi w:val="0"/>
              <w:spacing w:before="120" w:line="265" w:lineRule="auto"/>
              <w:ind w:left="121" w:right="119" w:hanging="3"/>
              <w:jc w:val="both"/>
              <w:rPr>
                <w:highlight w:val="none"/>
              </w:rPr>
            </w:pPr>
            <w:r>
              <w:rPr>
                <w:rFonts w:hint="eastAsia"/>
                <w:spacing w:val="3"/>
                <w:highlight w:val="none"/>
                <w:lang w:val="en-US" w:eastAsia="zh-CN"/>
              </w:rPr>
              <w:t>□非专门面向中小企业采购，给与符合规定的小微企业、监狱企业或残疾人福利性单位的其报价扣除10%后参与评审。</w:t>
            </w:r>
          </w:p>
          <w:p w14:paraId="77F760D3">
            <w:pPr>
              <w:pStyle w:val="16"/>
              <w:pageBreakBefore w:val="0"/>
              <w:kinsoku/>
              <w:topLinePunct w:val="0"/>
              <w:bidi w:val="0"/>
              <w:spacing w:before="109" w:line="287" w:lineRule="auto"/>
              <w:ind w:left="118" w:right="119" w:hanging="4"/>
              <w:jc w:val="both"/>
              <w:rPr>
                <w:rFonts w:ascii="宋体" w:hAnsi="宋体" w:eastAsia="宋体" w:cs="宋体"/>
                <w:color w:val="auto"/>
                <w:sz w:val="24"/>
                <w:szCs w:val="24"/>
              </w:rPr>
            </w:pPr>
            <w:r>
              <w:rPr>
                <w:rFonts w:hint="eastAsia"/>
                <w:b/>
                <w:bCs/>
                <w:spacing w:val="-2"/>
                <w:highlight w:val="none"/>
                <w:lang w:eastAsia="zh-CN"/>
              </w:rPr>
              <w:t>注：（监狱企业、残疾人福利性单位视同小型、微型企业）。</w:t>
            </w:r>
          </w:p>
          <w:p w14:paraId="3CED957E">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1、采购限额标准以上，200万元以下的货物和服务采购项目、400万元以下的工程采购项目，适宜由中小企业提供的，采购人应当专门面向中小企业采购。</w:t>
            </w:r>
          </w:p>
          <w:p w14:paraId="032B90D3">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2、超过200万元的货物和服务采购项目，预留该部分采购项目预算总额的30%以上专门面向中小企业采购，其中预留给小微企业的比例不低于60%。</w:t>
            </w:r>
          </w:p>
          <w:p w14:paraId="253A54F7">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3、超过400万元的工程采购项目中适宜由中小企业提供的，预留该部分采购项目预算总额的40%以上专门面向中小企业采购，其中预留给小微企业的比例不低于60%。</w:t>
            </w:r>
          </w:p>
          <w:p w14:paraId="5D223C21">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采购活动法的政府采购工程建设项目，采用综合评估法但未采用低价优先法计算价格分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时应当在采用原报价进行评分的基础上增加其价格得分的3%~5%作为其价格分。</w:t>
            </w:r>
          </w:p>
          <w:p w14:paraId="2E3D271D">
            <w:pPr>
              <w:pageBreakBefore w:val="0"/>
              <w:kinsoku/>
              <w:topLinePunct w:val="0"/>
              <w:bidi w:val="0"/>
              <w:spacing w:before="114" w:line="297" w:lineRule="auto"/>
              <w:ind w:left="110" w:right="118" w:firstLine="6"/>
              <w:jc w:val="both"/>
              <w:rPr>
                <w:rFonts w:ascii="宋体" w:hAnsi="宋体" w:eastAsia="宋体" w:cs="宋体"/>
                <w:color w:val="auto"/>
                <w:sz w:val="24"/>
                <w:szCs w:val="24"/>
              </w:rPr>
            </w:pPr>
            <w:r>
              <w:rPr>
                <w:rFonts w:hint="eastAsia" w:ascii="宋体" w:hAnsi="宋体" w:eastAsia="宋体" w:cs="宋体"/>
                <w:color w:val="auto"/>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采购活动法的政府采购工程建设项目，采用综合评估法但未采用低价优先法计算价格分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时应当在采用原报价进行评分的基础上增加其价格得分的1%~2%作为其价格分。</w:t>
            </w:r>
          </w:p>
        </w:tc>
      </w:tr>
      <w:tr w14:paraId="0FB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2" w:hRule="atLeast"/>
        </w:trPr>
        <w:tc>
          <w:tcPr>
            <w:tcW w:w="742" w:type="dxa"/>
            <w:tcBorders>
              <w:left w:val="single" w:color="000000" w:sz="4" w:space="0"/>
            </w:tcBorders>
            <w:vAlign w:val="center"/>
          </w:tcPr>
          <w:p w14:paraId="4A7EEC8A">
            <w:pPr>
              <w:pageBreakBefore w:val="0"/>
              <w:kinsoku/>
              <w:topLinePunct w:val="0"/>
              <w:bidi w:val="0"/>
              <w:spacing w:line="254" w:lineRule="auto"/>
              <w:jc w:val="center"/>
              <w:rPr>
                <w:rFonts w:ascii="Arial"/>
                <w:color w:val="auto"/>
                <w:sz w:val="21"/>
              </w:rPr>
            </w:pPr>
          </w:p>
          <w:p w14:paraId="53AA4E53">
            <w:pPr>
              <w:pageBreakBefore w:val="0"/>
              <w:kinsoku/>
              <w:topLinePunct w:val="0"/>
              <w:bidi w:val="0"/>
              <w:spacing w:line="255" w:lineRule="auto"/>
              <w:jc w:val="center"/>
              <w:rPr>
                <w:rFonts w:ascii="Arial"/>
                <w:color w:val="auto"/>
                <w:sz w:val="21"/>
              </w:rPr>
            </w:pPr>
          </w:p>
          <w:p w14:paraId="07962765">
            <w:pPr>
              <w:pageBreakBefore w:val="0"/>
              <w:kinsoku/>
              <w:topLinePunct w:val="0"/>
              <w:bidi w:val="0"/>
              <w:spacing w:line="255" w:lineRule="auto"/>
              <w:jc w:val="center"/>
              <w:rPr>
                <w:rFonts w:ascii="Arial"/>
                <w:color w:val="auto"/>
                <w:sz w:val="21"/>
              </w:rPr>
            </w:pPr>
          </w:p>
          <w:p w14:paraId="084A701D">
            <w:pPr>
              <w:pageBreakBefore w:val="0"/>
              <w:kinsoku/>
              <w:topLinePunct w:val="0"/>
              <w:bidi w:val="0"/>
              <w:spacing w:line="255" w:lineRule="auto"/>
              <w:jc w:val="center"/>
              <w:rPr>
                <w:rFonts w:ascii="Arial"/>
                <w:color w:val="auto"/>
                <w:sz w:val="21"/>
              </w:rPr>
            </w:pPr>
          </w:p>
          <w:p w14:paraId="6FC11764">
            <w:pPr>
              <w:pageBreakBefore w:val="0"/>
              <w:kinsoku/>
              <w:topLinePunct w:val="0"/>
              <w:bidi w:val="0"/>
              <w:spacing w:before="78" w:line="183" w:lineRule="auto"/>
              <w:ind w:left="265"/>
              <w:jc w:val="center"/>
              <w:rPr>
                <w:rFonts w:ascii="宋体" w:hAnsi="宋体" w:eastAsia="宋体" w:cs="宋体"/>
                <w:color w:val="auto"/>
                <w:sz w:val="24"/>
                <w:szCs w:val="24"/>
              </w:rPr>
            </w:pPr>
            <w:r>
              <w:rPr>
                <w:rFonts w:ascii="宋体" w:hAnsi="宋体" w:eastAsia="宋体" w:cs="宋体"/>
                <w:color w:val="auto"/>
                <w:spacing w:val="-8"/>
                <w:sz w:val="24"/>
                <w:szCs w:val="24"/>
              </w:rPr>
              <w:t>33</w:t>
            </w:r>
          </w:p>
        </w:tc>
        <w:tc>
          <w:tcPr>
            <w:tcW w:w="1870" w:type="dxa"/>
            <w:vAlign w:val="center"/>
          </w:tcPr>
          <w:p w14:paraId="432BF4B6">
            <w:pPr>
              <w:pageBreakBefore w:val="0"/>
              <w:kinsoku/>
              <w:topLinePunct w:val="0"/>
              <w:bidi w:val="0"/>
              <w:spacing w:line="259" w:lineRule="auto"/>
              <w:jc w:val="center"/>
              <w:rPr>
                <w:rFonts w:ascii="Arial"/>
                <w:color w:val="auto"/>
                <w:sz w:val="21"/>
              </w:rPr>
            </w:pPr>
          </w:p>
          <w:p w14:paraId="4959ED3B">
            <w:pPr>
              <w:pageBreakBefore w:val="0"/>
              <w:kinsoku/>
              <w:topLinePunct w:val="0"/>
              <w:bidi w:val="0"/>
              <w:spacing w:line="260" w:lineRule="auto"/>
              <w:jc w:val="center"/>
              <w:rPr>
                <w:rFonts w:ascii="Arial"/>
                <w:color w:val="auto"/>
                <w:sz w:val="21"/>
              </w:rPr>
            </w:pPr>
          </w:p>
          <w:p w14:paraId="638FBE26">
            <w:pPr>
              <w:pageBreakBefore w:val="0"/>
              <w:kinsoku/>
              <w:topLinePunct w:val="0"/>
              <w:bidi w:val="0"/>
              <w:spacing w:line="260" w:lineRule="auto"/>
              <w:jc w:val="center"/>
              <w:rPr>
                <w:rFonts w:ascii="Arial"/>
                <w:color w:val="auto"/>
                <w:sz w:val="21"/>
              </w:rPr>
            </w:pPr>
          </w:p>
          <w:p w14:paraId="3B0ADDE0">
            <w:pPr>
              <w:pageBreakBefore w:val="0"/>
              <w:kinsoku/>
              <w:topLinePunct w:val="0"/>
              <w:bidi w:val="0"/>
              <w:spacing w:line="260" w:lineRule="auto"/>
              <w:jc w:val="center"/>
              <w:rPr>
                <w:rFonts w:ascii="Arial"/>
                <w:color w:val="auto"/>
                <w:sz w:val="21"/>
              </w:rPr>
            </w:pPr>
          </w:p>
          <w:p w14:paraId="21E12574">
            <w:pPr>
              <w:pageBreakBefore w:val="0"/>
              <w:kinsoku/>
              <w:topLinePunct w:val="0"/>
              <w:bidi w:val="0"/>
              <w:spacing w:before="78" w:line="221" w:lineRule="auto"/>
              <w:jc w:val="center"/>
              <w:rPr>
                <w:rFonts w:ascii="宋体" w:hAnsi="宋体" w:eastAsia="宋体" w:cs="宋体"/>
                <w:color w:val="auto"/>
                <w:sz w:val="24"/>
                <w:szCs w:val="24"/>
              </w:rPr>
            </w:pPr>
            <w:r>
              <w:rPr>
                <w:rFonts w:ascii="宋体" w:hAnsi="宋体" w:eastAsia="宋体" w:cs="宋体"/>
                <w:color w:val="auto"/>
                <w:spacing w:val="-7"/>
                <w:sz w:val="24"/>
                <w:szCs w:val="24"/>
                <w14:textOutline w14:w="4358" w14:cap="sq" w14:cmpd="sng">
                  <w14:solidFill>
                    <w14:srgbClr w14:val="000000"/>
                  </w14:solidFill>
                  <w14:prstDash w14:val="solid"/>
                  <w14:bevel/>
                </w14:textOutline>
              </w:rPr>
              <w:t>备注</w:t>
            </w:r>
          </w:p>
        </w:tc>
        <w:tc>
          <w:tcPr>
            <w:tcW w:w="6700" w:type="dxa"/>
            <w:tcBorders>
              <w:right w:val="single" w:color="000000" w:sz="4" w:space="0"/>
            </w:tcBorders>
            <w:vAlign w:val="top"/>
          </w:tcPr>
          <w:p w14:paraId="58B4C9AB">
            <w:pPr>
              <w:pageBreakBefore w:val="0"/>
              <w:kinsoku/>
              <w:topLinePunct w:val="0"/>
              <w:bidi w:val="0"/>
              <w:spacing w:before="123" w:line="308" w:lineRule="auto"/>
              <w:ind w:left="158" w:right="118" w:hanging="28"/>
              <w:jc w:val="both"/>
              <w:rPr>
                <w:rFonts w:ascii="宋体" w:hAnsi="宋体" w:eastAsia="宋体" w:cs="宋体"/>
                <w:color w:val="auto"/>
                <w:sz w:val="24"/>
                <w:szCs w:val="24"/>
              </w:rPr>
            </w:pPr>
            <w:r>
              <w:rPr>
                <w:rFonts w:ascii="宋体" w:hAnsi="宋体" w:eastAsia="宋体" w:cs="宋体"/>
                <w:color w:val="auto"/>
                <w:spacing w:val="-1"/>
                <w:sz w:val="24"/>
                <w:szCs w:val="24"/>
              </w:rPr>
              <w:t>1.电子</w:t>
            </w:r>
            <w:r>
              <w:rPr>
                <w:rFonts w:hint="eastAsia" w:ascii="宋体" w:hAnsi="宋体" w:eastAsia="宋体" w:cs="宋体"/>
                <w:color w:val="auto"/>
                <w:spacing w:val="-1"/>
                <w:sz w:val="24"/>
                <w:szCs w:val="24"/>
                <w:lang w:eastAsia="zh-CN"/>
              </w:rPr>
              <w:t>响应文件</w:t>
            </w:r>
            <w:r>
              <w:rPr>
                <w:rFonts w:ascii="宋体" w:hAnsi="宋体" w:eastAsia="宋体" w:cs="宋体"/>
                <w:color w:val="auto"/>
                <w:spacing w:val="-1"/>
                <w:sz w:val="24"/>
                <w:szCs w:val="24"/>
              </w:rPr>
              <w:t>使用“新疆维吾尔自治区全流程电子招投标项</w:t>
            </w:r>
            <w:r>
              <w:rPr>
                <w:rFonts w:ascii="宋体" w:hAnsi="宋体" w:eastAsia="宋体" w:cs="宋体"/>
                <w:color w:val="auto"/>
                <w:spacing w:val="6"/>
                <w:sz w:val="24"/>
                <w:szCs w:val="24"/>
              </w:rPr>
              <w:t>目管理系统--供应商客户端</w:t>
            </w:r>
            <w:r>
              <w:rPr>
                <w:rFonts w:ascii="宋体" w:hAnsi="宋体" w:eastAsia="宋体" w:cs="宋体"/>
                <w:color w:val="auto"/>
                <w:spacing w:val="-78"/>
                <w:sz w:val="24"/>
                <w:szCs w:val="24"/>
              </w:rPr>
              <w:t xml:space="preserve"> </w:t>
            </w:r>
            <w:r>
              <w:rPr>
                <w:rFonts w:ascii="宋体" w:hAnsi="宋体" w:eastAsia="宋体" w:cs="宋体"/>
                <w:color w:val="auto"/>
                <w:spacing w:val="6"/>
                <w:sz w:val="24"/>
                <w:szCs w:val="24"/>
              </w:rPr>
              <w:t>”制作完成，生成</w:t>
            </w:r>
            <w:r>
              <w:rPr>
                <w:rFonts w:ascii="宋体" w:hAnsi="宋体" w:eastAsia="宋体" w:cs="宋体"/>
                <w:color w:val="auto"/>
                <w:spacing w:val="5"/>
                <w:sz w:val="24"/>
                <w:szCs w:val="24"/>
              </w:rPr>
              <w:t>电子加密标书</w:t>
            </w:r>
            <w:r>
              <w:rPr>
                <w:rFonts w:ascii="宋体" w:hAnsi="宋体" w:eastAsia="宋体" w:cs="宋体"/>
                <w:color w:val="auto"/>
                <w:spacing w:val="-2"/>
                <w:sz w:val="24"/>
                <w:szCs w:val="24"/>
              </w:rPr>
              <w:t>（.jmbs）上传至政采云平台。</w:t>
            </w:r>
          </w:p>
          <w:p w14:paraId="4C709F44">
            <w:pPr>
              <w:pageBreakBefore w:val="0"/>
              <w:kinsoku/>
              <w:topLinePunct w:val="0"/>
              <w:bidi w:val="0"/>
              <w:spacing w:before="120" w:line="308" w:lineRule="auto"/>
              <w:ind w:left="112" w:right="118" w:firstLine="2"/>
              <w:jc w:val="both"/>
              <w:rPr>
                <w:rFonts w:ascii="宋体" w:hAnsi="宋体" w:eastAsia="宋体" w:cs="宋体"/>
                <w:color w:val="auto"/>
                <w:sz w:val="24"/>
                <w:szCs w:val="24"/>
              </w:rPr>
            </w:pPr>
            <w:r>
              <w:rPr>
                <w:rFonts w:ascii="宋体" w:hAnsi="宋体" w:eastAsia="宋体" w:cs="宋体"/>
                <w:color w:val="auto"/>
                <w:sz w:val="24"/>
                <w:szCs w:val="24"/>
              </w:rPr>
              <w:t>2.供应商制作电子投标书加密文件应与开标现场解密时的数字</w:t>
            </w:r>
            <w:r>
              <w:rPr>
                <w:rFonts w:ascii="宋体" w:hAnsi="宋体" w:eastAsia="宋体" w:cs="宋体"/>
                <w:color w:val="auto"/>
                <w:spacing w:val="-5"/>
                <w:sz w:val="24"/>
                <w:szCs w:val="24"/>
              </w:rPr>
              <w:t>证书（CA</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锁）同为一把，若因数字证书（CA</w:t>
            </w:r>
            <w:r>
              <w:rPr>
                <w:rFonts w:ascii="宋体" w:hAnsi="宋体" w:eastAsia="宋体" w:cs="宋体"/>
                <w:color w:val="auto"/>
                <w:spacing w:val="-51"/>
                <w:sz w:val="24"/>
                <w:szCs w:val="24"/>
              </w:rPr>
              <w:t xml:space="preserve"> </w:t>
            </w:r>
            <w:r>
              <w:rPr>
                <w:rFonts w:ascii="宋体" w:hAnsi="宋体" w:eastAsia="宋体" w:cs="宋体"/>
                <w:color w:val="auto"/>
                <w:spacing w:val="-5"/>
                <w:sz w:val="24"/>
                <w:szCs w:val="24"/>
              </w:rPr>
              <w:t>锁）不是同一把锁</w:t>
            </w:r>
            <w:r>
              <w:rPr>
                <w:rFonts w:ascii="宋体" w:hAnsi="宋体" w:eastAsia="宋体" w:cs="宋体"/>
                <w:color w:val="auto"/>
                <w:spacing w:val="-1"/>
                <w:sz w:val="24"/>
                <w:szCs w:val="24"/>
              </w:rPr>
              <w:t>导致现场解密失败的，供应商自行承担后果。</w:t>
            </w:r>
          </w:p>
          <w:p w14:paraId="5C32195B">
            <w:pPr>
              <w:pageBreakBefore w:val="0"/>
              <w:kinsoku/>
              <w:topLinePunct w:val="0"/>
              <w:bidi w:val="0"/>
              <w:spacing w:before="114" w:line="400" w:lineRule="exact"/>
              <w:ind w:left="117"/>
              <w:rPr>
                <w:rFonts w:ascii="宋体" w:hAnsi="宋体" w:eastAsia="宋体" w:cs="宋体"/>
                <w:color w:val="auto"/>
                <w:sz w:val="24"/>
                <w:szCs w:val="24"/>
              </w:rPr>
            </w:pPr>
            <w:r>
              <w:rPr>
                <w:rFonts w:ascii="宋体" w:hAnsi="宋体" w:eastAsia="宋体" w:cs="宋体"/>
                <w:color w:val="auto"/>
                <w:spacing w:val="-1"/>
                <w:position w:val="11"/>
                <w:sz w:val="24"/>
                <w:szCs w:val="24"/>
              </w:rPr>
              <w:t>3.数字证书办理：供应商须自行办理政采云数字证书（CA</w:t>
            </w:r>
            <w:r>
              <w:rPr>
                <w:rFonts w:ascii="宋体" w:hAnsi="宋体" w:eastAsia="宋体" w:cs="宋体"/>
                <w:color w:val="auto"/>
                <w:spacing w:val="-47"/>
                <w:position w:val="11"/>
                <w:sz w:val="24"/>
                <w:szCs w:val="24"/>
              </w:rPr>
              <w:t xml:space="preserve"> </w:t>
            </w:r>
            <w:r>
              <w:rPr>
                <w:rFonts w:ascii="宋体" w:hAnsi="宋体" w:eastAsia="宋体" w:cs="宋体"/>
                <w:color w:val="auto"/>
                <w:spacing w:val="-1"/>
                <w:position w:val="11"/>
                <w:sz w:val="24"/>
                <w:szCs w:val="24"/>
              </w:rPr>
              <w:t>锁）</w:t>
            </w:r>
          </w:p>
          <w:p w14:paraId="758D4588">
            <w:pPr>
              <w:pageBreakBefore w:val="0"/>
              <w:kinsoku/>
              <w:topLinePunct w:val="0"/>
              <w:bidi w:val="0"/>
              <w:spacing w:line="218" w:lineRule="auto"/>
              <w:ind w:left="113"/>
              <w:rPr>
                <w:rFonts w:ascii="宋体" w:hAnsi="宋体" w:eastAsia="宋体" w:cs="宋体"/>
                <w:color w:val="auto"/>
                <w:sz w:val="24"/>
                <w:szCs w:val="24"/>
              </w:rPr>
            </w:pPr>
            <w:r>
              <w:rPr>
                <w:rFonts w:ascii="宋体" w:hAnsi="宋体" w:eastAsia="宋体" w:cs="宋体"/>
                <w:color w:val="auto"/>
                <w:spacing w:val="-2"/>
                <w:sz w:val="24"/>
                <w:szCs w:val="24"/>
              </w:rPr>
              <w:t>联系方式：政采云热线</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95763</w:t>
            </w:r>
          </w:p>
          <w:p w14:paraId="4631073D">
            <w:pPr>
              <w:pageBreakBefore w:val="0"/>
              <w:kinsoku/>
              <w:topLinePunct w:val="0"/>
              <w:bidi w:val="0"/>
              <w:spacing w:before="115" w:line="263" w:lineRule="auto"/>
              <w:ind w:left="117" w:right="133" w:hanging="6"/>
              <w:rPr>
                <w:rFonts w:ascii="宋体" w:hAnsi="宋体" w:eastAsia="宋体" w:cs="宋体"/>
                <w:color w:val="auto"/>
                <w:sz w:val="24"/>
                <w:szCs w:val="24"/>
              </w:rPr>
            </w:pPr>
            <w:r>
              <w:rPr>
                <w:rFonts w:ascii="宋体" w:hAnsi="宋体" w:eastAsia="宋体" w:cs="宋体"/>
                <w:color w:val="auto"/>
                <w:spacing w:val="-1"/>
                <w:sz w:val="24"/>
                <w:szCs w:val="24"/>
              </w:rPr>
              <w:t>4.供应商应认真学习关于开展自治区政府采购“不见面开标系</w:t>
            </w:r>
            <w:r>
              <w:rPr>
                <w:rFonts w:ascii="宋体" w:hAnsi="宋体" w:eastAsia="宋体" w:cs="宋体"/>
                <w:color w:val="auto"/>
                <w:spacing w:val="-3"/>
                <w:sz w:val="24"/>
                <w:szCs w:val="24"/>
              </w:rPr>
              <w:t>统</w:t>
            </w:r>
            <w:r>
              <w:rPr>
                <w:rFonts w:ascii="宋体" w:hAnsi="宋体" w:eastAsia="宋体" w:cs="宋体"/>
                <w:color w:val="auto"/>
                <w:spacing w:val="-83"/>
                <w:sz w:val="24"/>
                <w:szCs w:val="24"/>
              </w:rPr>
              <w:t xml:space="preserve"> </w:t>
            </w:r>
            <w:r>
              <w:rPr>
                <w:rFonts w:ascii="宋体" w:hAnsi="宋体" w:eastAsia="宋体" w:cs="宋体"/>
                <w:color w:val="auto"/>
                <w:spacing w:val="-3"/>
                <w:sz w:val="24"/>
                <w:szCs w:val="24"/>
              </w:rPr>
              <w:t>”网络培训的通知，制作电子投标书。</w:t>
            </w:r>
          </w:p>
        </w:tc>
      </w:tr>
    </w:tbl>
    <w:p w14:paraId="1A68286B">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2B9D93C">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9AFFF93">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6F2C598C">
      <w:pPr>
        <w:pageBreakBefore w:val="0"/>
        <w:kinsoku/>
        <w:topLinePunct w:val="0"/>
        <w:bidi w:val="0"/>
        <w:spacing w:before="44" w:line="219" w:lineRule="auto"/>
        <w:ind w:left="3666"/>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（二）供应商须知</w:t>
      </w:r>
    </w:p>
    <w:p w14:paraId="18C0C327">
      <w:pPr>
        <w:pageBreakBefore w:val="0"/>
        <w:kinsoku/>
        <w:topLinePunct w:val="0"/>
        <w:bidi w:val="0"/>
        <w:spacing w:before="204" w:line="220" w:lineRule="auto"/>
        <w:ind w:left="3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1.定义、</w:t>
      </w:r>
    </w:p>
    <w:p w14:paraId="44012E44">
      <w:pPr>
        <w:pageBreakBefore w:val="0"/>
        <w:kinsoku/>
        <w:topLinePunct w:val="0"/>
        <w:bidi w:val="0"/>
        <w:spacing w:before="225" w:line="465" w:lineRule="exact"/>
        <w:ind w:left="518"/>
        <w:rPr>
          <w:rFonts w:ascii="宋体" w:hAnsi="宋体" w:eastAsia="宋体" w:cs="宋体"/>
          <w:position w:val="17"/>
          <w:sz w:val="24"/>
          <w:szCs w:val="24"/>
        </w:rPr>
      </w:pPr>
      <w:r>
        <w:rPr>
          <w:rFonts w:ascii="宋体" w:hAnsi="宋体" w:eastAsia="宋体" w:cs="宋体"/>
          <w:position w:val="17"/>
          <w:sz w:val="24"/>
          <w:szCs w:val="24"/>
        </w:rPr>
        <w:t>1.1“政府采购当事人 ”系指在政府采购活动中享有权利和承担义务的各类主体，包括采购人、供应商和采购代理机构。</w:t>
      </w:r>
    </w:p>
    <w:p w14:paraId="26C794C7">
      <w:pPr>
        <w:pageBreakBefore w:val="0"/>
        <w:kinsoku/>
        <w:topLinePunct w:val="0"/>
        <w:bidi w:val="0"/>
        <w:spacing w:before="183" w:line="219" w:lineRule="auto"/>
        <w:ind w:left="518"/>
        <w:rPr>
          <w:rFonts w:ascii="宋体" w:hAnsi="宋体" w:eastAsia="宋体" w:cs="宋体"/>
          <w:sz w:val="24"/>
          <w:szCs w:val="24"/>
        </w:rPr>
      </w:pPr>
      <w:r>
        <w:rPr>
          <w:rFonts w:ascii="宋体" w:hAnsi="宋体" w:eastAsia="宋体" w:cs="宋体"/>
          <w:spacing w:val="-5"/>
          <w:sz w:val="24"/>
          <w:szCs w:val="24"/>
        </w:rPr>
        <w:t>1.2“采购人</w:t>
      </w:r>
      <w:r>
        <w:rPr>
          <w:rFonts w:ascii="宋体" w:hAnsi="宋体" w:eastAsia="宋体" w:cs="宋体"/>
          <w:spacing w:val="-86"/>
          <w:sz w:val="24"/>
          <w:szCs w:val="24"/>
        </w:rPr>
        <w:t xml:space="preserve"> </w:t>
      </w:r>
      <w:r>
        <w:rPr>
          <w:rFonts w:ascii="宋体" w:hAnsi="宋体" w:eastAsia="宋体" w:cs="宋体"/>
          <w:spacing w:val="-5"/>
          <w:sz w:val="24"/>
          <w:szCs w:val="24"/>
        </w:rPr>
        <w:t>”和“</w:t>
      </w:r>
      <w:r>
        <w:rPr>
          <w:rFonts w:ascii="宋体" w:hAnsi="宋体" w:eastAsia="宋体" w:cs="宋体"/>
          <w:spacing w:val="-80"/>
          <w:sz w:val="24"/>
          <w:szCs w:val="24"/>
        </w:rPr>
        <w:t xml:space="preserve"> </w:t>
      </w:r>
      <w:r>
        <w:rPr>
          <w:rFonts w:ascii="宋体" w:hAnsi="宋体" w:eastAsia="宋体" w:cs="宋体"/>
          <w:spacing w:val="-5"/>
          <w:sz w:val="24"/>
          <w:szCs w:val="24"/>
        </w:rPr>
        <w:t>甲方</w:t>
      </w:r>
      <w:r>
        <w:rPr>
          <w:rFonts w:ascii="宋体" w:hAnsi="宋体" w:eastAsia="宋体" w:cs="宋体"/>
          <w:spacing w:val="-88"/>
          <w:sz w:val="24"/>
          <w:szCs w:val="24"/>
        </w:rPr>
        <w:t xml:space="preserve"> </w:t>
      </w:r>
      <w:r>
        <w:rPr>
          <w:rFonts w:ascii="宋体" w:hAnsi="宋体" w:eastAsia="宋体" w:cs="宋体"/>
          <w:spacing w:val="-5"/>
          <w:sz w:val="24"/>
          <w:szCs w:val="24"/>
        </w:rPr>
        <w:t>”系指</w:t>
      </w:r>
      <w:r>
        <w:rPr>
          <w:rFonts w:hint="eastAsia" w:ascii="宋体" w:hAnsi="宋体" w:eastAsia="宋体" w:cs="宋体"/>
          <w:spacing w:val="-5"/>
          <w:sz w:val="24"/>
          <w:szCs w:val="24"/>
          <w:u w:val="single" w:color="auto"/>
          <w:lang w:eastAsia="zh-CN"/>
        </w:rPr>
        <w:t>阿克苏市退役军人事务局</w:t>
      </w:r>
      <w:r>
        <w:rPr>
          <w:rFonts w:ascii="宋体" w:hAnsi="宋体" w:eastAsia="宋体" w:cs="宋体"/>
          <w:spacing w:val="-5"/>
          <w:sz w:val="24"/>
          <w:szCs w:val="24"/>
        </w:rPr>
        <w:t>。</w:t>
      </w:r>
    </w:p>
    <w:p w14:paraId="5EB7C630">
      <w:pPr>
        <w:pageBreakBefore w:val="0"/>
        <w:kinsoku/>
        <w:topLinePunct w:val="0"/>
        <w:bidi w:val="0"/>
        <w:spacing w:before="181" w:line="219" w:lineRule="auto"/>
        <w:ind w:left="518"/>
        <w:rPr>
          <w:rFonts w:ascii="宋体" w:hAnsi="宋体" w:eastAsia="宋体" w:cs="宋体"/>
          <w:sz w:val="24"/>
          <w:szCs w:val="24"/>
        </w:rPr>
      </w:pPr>
      <w:r>
        <w:rPr>
          <w:rFonts w:ascii="宋体" w:hAnsi="宋体" w:eastAsia="宋体" w:cs="宋体"/>
          <w:spacing w:val="-3"/>
          <w:sz w:val="24"/>
          <w:szCs w:val="24"/>
        </w:rPr>
        <w:t>1.3“采购代理机构</w:t>
      </w:r>
      <w:r>
        <w:rPr>
          <w:rFonts w:ascii="宋体" w:hAnsi="宋体" w:eastAsia="宋体" w:cs="宋体"/>
          <w:spacing w:val="-71"/>
          <w:sz w:val="24"/>
          <w:szCs w:val="24"/>
        </w:rPr>
        <w:t xml:space="preserve"> </w:t>
      </w:r>
      <w:r>
        <w:rPr>
          <w:rFonts w:ascii="宋体" w:hAnsi="宋体" w:eastAsia="宋体" w:cs="宋体"/>
          <w:spacing w:val="-3"/>
          <w:sz w:val="24"/>
          <w:szCs w:val="24"/>
        </w:rPr>
        <w:t>”系指</w:t>
      </w:r>
      <w:r>
        <w:rPr>
          <w:rFonts w:hint="eastAsia" w:ascii="宋体" w:hAnsi="宋体" w:eastAsia="宋体" w:cs="宋体"/>
          <w:spacing w:val="-3"/>
          <w:sz w:val="24"/>
          <w:szCs w:val="24"/>
          <w:u w:val="single" w:color="auto"/>
          <w:lang w:eastAsia="zh-CN"/>
        </w:rPr>
        <w:t>阿克苏疆山项目管理有限公司</w:t>
      </w:r>
      <w:r>
        <w:rPr>
          <w:rFonts w:ascii="宋体" w:hAnsi="宋体" w:eastAsia="宋体" w:cs="宋体"/>
          <w:spacing w:val="-3"/>
          <w:sz w:val="24"/>
          <w:szCs w:val="24"/>
        </w:rPr>
        <w:t>。</w:t>
      </w:r>
    </w:p>
    <w:p w14:paraId="66F697B3">
      <w:pPr>
        <w:pageBreakBefore w:val="0"/>
        <w:kinsoku/>
        <w:topLinePunct w:val="0"/>
        <w:bidi w:val="0"/>
        <w:spacing w:before="184" w:line="359" w:lineRule="auto"/>
        <w:ind w:left="40" w:right="80" w:firstLine="478"/>
        <w:rPr>
          <w:rFonts w:ascii="宋体" w:hAnsi="宋体" w:eastAsia="宋体" w:cs="宋体"/>
          <w:sz w:val="24"/>
          <w:szCs w:val="24"/>
        </w:rPr>
      </w:pPr>
      <w:r>
        <w:rPr>
          <w:rFonts w:ascii="宋体" w:hAnsi="宋体" w:eastAsia="宋体" w:cs="宋体"/>
          <w:sz w:val="24"/>
          <w:szCs w:val="24"/>
        </w:rPr>
        <w:t>1.4“供应商</w:t>
      </w:r>
      <w:r>
        <w:rPr>
          <w:rFonts w:ascii="宋体" w:hAnsi="宋体" w:eastAsia="宋体" w:cs="宋体"/>
          <w:spacing w:val="-85"/>
          <w:sz w:val="24"/>
          <w:szCs w:val="24"/>
        </w:rPr>
        <w:t xml:space="preserve"> </w:t>
      </w:r>
      <w:r>
        <w:rPr>
          <w:rFonts w:ascii="宋体" w:hAnsi="宋体" w:eastAsia="宋体" w:cs="宋体"/>
          <w:sz w:val="24"/>
          <w:szCs w:val="24"/>
        </w:rPr>
        <w:t>”系指获取了</w:t>
      </w:r>
      <w:r>
        <w:rPr>
          <w:rFonts w:hint="eastAsia" w:ascii="宋体" w:hAnsi="宋体" w:eastAsia="宋体" w:cs="宋体"/>
          <w:sz w:val="24"/>
          <w:szCs w:val="24"/>
          <w:lang w:eastAsia="zh-CN"/>
        </w:rPr>
        <w:t>磋商文件</w:t>
      </w:r>
      <w:r>
        <w:rPr>
          <w:rFonts w:ascii="宋体" w:hAnsi="宋体" w:eastAsia="宋体" w:cs="宋体"/>
          <w:sz w:val="24"/>
          <w:szCs w:val="24"/>
        </w:rPr>
        <w:t>拟参</w:t>
      </w:r>
      <w:r>
        <w:rPr>
          <w:rFonts w:ascii="宋体" w:hAnsi="宋体" w:eastAsia="宋体" w:cs="宋体"/>
          <w:spacing w:val="-1"/>
          <w:sz w:val="24"/>
          <w:szCs w:val="24"/>
        </w:rPr>
        <w:t>加</w:t>
      </w:r>
      <w:r>
        <w:rPr>
          <w:rFonts w:hint="eastAsia" w:ascii="宋体" w:hAnsi="宋体" w:eastAsia="宋体" w:cs="宋体"/>
          <w:spacing w:val="-1"/>
          <w:sz w:val="24"/>
          <w:szCs w:val="24"/>
          <w:lang w:eastAsia="zh-CN"/>
        </w:rPr>
        <w:t>采购项目</w:t>
      </w:r>
      <w:r>
        <w:rPr>
          <w:rFonts w:ascii="宋体" w:hAnsi="宋体" w:eastAsia="宋体" w:cs="宋体"/>
          <w:spacing w:val="-1"/>
          <w:sz w:val="24"/>
          <w:szCs w:val="24"/>
        </w:rPr>
        <w:t>和向采购人提供工程、货物及相应服务</w:t>
      </w:r>
      <w:r>
        <w:rPr>
          <w:rFonts w:ascii="宋体" w:hAnsi="宋体" w:eastAsia="宋体" w:cs="宋体"/>
          <w:spacing w:val="-3"/>
          <w:sz w:val="24"/>
          <w:szCs w:val="24"/>
        </w:rPr>
        <w:t>的法人、非法人组织或者自然人。潜在磋商供应商：以磋商文件规定的方式获取本项目磋商</w:t>
      </w:r>
      <w:r>
        <w:rPr>
          <w:rFonts w:ascii="宋体" w:hAnsi="宋体" w:eastAsia="宋体" w:cs="宋体"/>
          <w:spacing w:val="-1"/>
          <w:sz w:val="24"/>
          <w:szCs w:val="24"/>
        </w:rPr>
        <w:t>文件的法人、非法人组织或者自然人。</w:t>
      </w:r>
    </w:p>
    <w:p w14:paraId="4EF785F1">
      <w:pPr>
        <w:keepNext w:val="0"/>
        <w:keepLines w:val="0"/>
        <w:pageBreakBefore w:val="0"/>
        <w:widowControl/>
        <w:kinsoku/>
        <w:wordWrap/>
        <w:overflowPunct/>
        <w:topLinePunct w:val="0"/>
        <w:autoSpaceDE w:val="0"/>
        <w:autoSpaceDN w:val="0"/>
        <w:bidi w:val="0"/>
        <w:adjustRightInd w:val="0"/>
        <w:snapToGrid w:val="0"/>
        <w:spacing w:before="181" w:line="468" w:lineRule="exact"/>
        <w:ind w:firstLine="480" w:firstLineChars="200"/>
        <w:textAlignment w:val="baseline"/>
        <w:rPr>
          <w:rFonts w:ascii="宋体" w:hAnsi="宋体" w:eastAsia="宋体" w:cs="宋体"/>
          <w:sz w:val="24"/>
          <w:szCs w:val="24"/>
        </w:rPr>
      </w:pPr>
      <w:r>
        <w:rPr>
          <w:rFonts w:ascii="宋体" w:hAnsi="宋体" w:eastAsia="宋体" w:cs="宋体"/>
          <w:position w:val="17"/>
          <w:sz w:val="24"/>
          <w:szCs w:val="24"/>
        </w:rPr>
        <w:t>1.5“磋商文件或</w:t>
      </w:r>
      <w:r>
        <w:rPr>
          <w:rFonts w:hint="eastAsia" w:ascii="宋体" w:hAnsi="宋体" w:eastAsia="宋体" w:cs="宋体"/>
          <w:position w:val="17"/>
          <w:sz w:val="24"/>
          <w:szCs w:val="24"/>
          <w:lang w:eastAsia="zh-CN"/>
        </w:rPr>
        <w:t>磋商文件</w:t>
      </w:r>
      <w:r>
        <w:rPr>
          <w:rFonts w:ascii="宋体" w:hAnsi="宋体" w:eastAsia="宋体" w:cs="宋体"/>
          <w:position w:val="17"/>
          <w:sz w:val="24"/>
          <w:szCs w:val="24"/>
        </w:rPr>
        <w:t>”系指由采购人发出的文本、文件，包括全部章节和附件及答疑会议纪要。</w:t>
      </w:r>
    </w:p>
    <w:p w14:paraId="7E838AE6">
      <w:pPr>
        <w:keepNext w:val="0"/>
        <w:keepLines w:val="0"/>
        <w:pageBreakBefore w:val="0"/>
        <w:widowControl/>
        <w:kinsoku/>
        <w:wordWrap/>
        <w:overflowPunct/>
        <w:topLinePunct w:val="0"/>
        <w:autoSpaceDE w:val="0"/>
        <w:autoSpaceDN w:val="0"/>
        <w:bidi w:val="0"/>
        <w:adjustRightInd w:val="0"/>
        <w:snapToGrid w:val="0"/>
        <w:spacing w:before="181" w:line="219" w:lineRule="auto"/>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1.6“磋商响应文件</w:t>
      </w:r>
      <w:r>
        <w:rPr>
          <w:rFonts w:ascii="宋体" w:hAnsi="宋体" w:eastAsia="宋体" w:cs="宋体"/>
          <w:spacing w:val="-79"/>
          <w:sz w:val="24"/>
          <w:szCs w:val="24"/>
        </w:rPr>
        <w:t xml:space="preserve"> </w:t>
      </w:r>
      <w:r>
        <w:rPr>
          <w:rFonts w:ascii="宋体" w:hAnsi="宋体" w:eastAsia="宋体" w:cs="宋体"/>
          <w:spacing w:val="-2"/>
          <w:sz w:val="24"/>
          <w:szCs w:val="24"/>
        </w:rPr>
        <w:t>”系指供应商根据本磋商文件向采购人提交的全部文件。</w:t>
      </w:r>
    </w:p>
    <w:p w14:paraId="25AA88B3">
      <w:pPr>
        <w:pageBreakBefore w:val="0"/>
        <w:kinsoku/>
        <w:topLinePunct w:val="0"/>
        <w:bidi w:val="0"/>
        <w:spacing w:before="184" w:line="359" w:lineRule="auto"/>
        <w:ind w:left="21" w:right="80" w:firstLine="496"/>
        <w:rPr>
          <w:rFonts w:ascii="宋体" w:hAnsi="宋体" w:eastAsia="宋体" w:cs="宋体"/>
          <w:sz w:val="24"/>
          <w:szCs w:val="24"/>
        </w:rPr>
      </w:pPr>
      <w:r>
        <w:rPr>
          <w:rFonts w:ascii="宋体" w:hAnsi="宋体" w:eastAsia="宋体" w:cs="宋体"/>
          <w:sz w:val="24"/>
          <w:szCs w:val="24"/>
        </w:rPr>
        <w:t>1.7“</w:t>
      </w:r>
      <w:r>
        <w:rPr>
          <w:rFonts w:hint="eastAsia" w:ascii="宋体" w:hAnsi="宋体" w:eastAsia="宋体" w:cs="宋体"/>
          <w:sz w:val="24"/>
          <w:szCs w:val="24"/>
          <w:lang w:eastAsia="zh-CN"/>
        </w:rPr>
        <w:t>磋商文件</w:t>
      </w:r>
      <w:r>
        <w:rPr>
          <w:rFonts w:ascii="宋体" w:hAnsi="宋体" w:eastAsia="宋体" w:cs="宋体"/>
          <w:spacing w:val="-88"/>
          <w:sz w:val="24"/>
          <w:szCs w:val="24"/>
        </w:rPr>
        <w:t xml:space="preserve"> </w:t>
      </w:r>
      <w:r>
        <w:rPr>
          <w:rFonts w:ascii="宋体" w:hAnsi="宋体" w:eastAsia="宋体" w:cs="宋体"/>
          <w:sz w:val="24"/>
          <w:szCs w:val="24"/>
        </w:rPr>
        <w:t>”系指包括采购活动的记录、采</w:t>
      </w:r>
      <w:r>
        <w:rPr>
          <w:rFonts w:ascii="宋体" w:hAnsi="宋体" w:eastAsia="宋体" w:cs="宋体"/>
          <w:spacing w:val="-1"/>
          <w:sz w:val="24"/>
          <w:szCs w:val="24"/>
        </w:rPr>
        <w:t>购预算、磋商文件、磋商响应文件、评</w:t>
      </w:r>
      <w:r>
        <w:rPr>
          <w:rFonts w:ascii="宋体" w:hAnsi="宋体" w:eastAsia="宋体" w:cs="宋体"/>
          <w:sz w:val="24"/>
          <w:szCs w:val="24"/>
        </w:rPr>
        <w:t xml:space="preserve"> </w:t>
      </w:r>
      <w:r>
        <w:rPr>
          <w:rFonts w:ascii="宋体" w:hAnsi="宋体" w:eastAsia="宋体" w:cs="宋体"/>
          <w:spacing w:val="-2"/>
          <w:sz w:val="24"/>
          <w:szCs w:val="24"/>
        </w:rPr>
        <w:t>标标准、</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报告、定标文件、合同文本、验收证明、质疑答复、投诉</w:t>
      </w:r>
      <w:r>
        <w:rPr>
          <w:rFonts w:ascii="宋体" w:hAnsi="宋体" w:eastAsia="宋体" w:cs="宋体"/>
          <w:spacing w:val="-3"/>
          <w:sz w:val="24"/>
          <w:szCs w:val="24"/>
        </w:rPr>
        <w:t>处理决定及其他有关</w:t>
      </w:r>
      <w:r>
        <w:rPr>
          <w:rFonts w:ascii="宋体" w:hAnsi="宋体" w:eastAsia="宋体" w:cs="宋体"/>
          <w:spacing w:val="-2"/>
          <w:sz w:val="24"/>
          <w:szCs w:val="24"/>
        </w:rPr>
        <w:t>文件、资料。</w:t>
      </w:r>
    </w:p>
    <w:p w14:paraId="445C7A51">
      <w:pPr>
        <w:pageBreakBefore w:val="0"/>
        <w:kinsoku/>
        <w:topLinePunct w:val="0"/>
        <w:bidi w:val="0"/>
        <w:spacing w:before="182" w:line="219" w:lineRule="auto"/>
        <w:ind w:left="518"/>
        <w:rPr>
          <w:rFonts w:ascii="宋体" w:hAnsi="宋体" w:eastAsia="宋体" w:cs="宋体"/>
          <w:sz w:val="24"/>
          <w:szCs w:val="24"/>
        </w:rPr>
      </w:pPr>
      <w:r>
        <w:rPr>
          <w:rFonts w:ascii="宋体" w:hAnsi="宋体" w:eastAsia="宋体" w:cs="宋体"/>
          <w:spacing w:val="-2"/>
          <w:sz w:val="24"/>
          <w:szCs w:val="24"/>
        </w:rPr>
        <w:t>1.8“书面形式</w:t>
      </w:r>
      <w:r>
        <w:rPr>
          <w:rFonts w:ascii="宋体" w:hAnsi="宋体" w:eastAsia="宋体" w:cs="宋体"/>
          <w:spacing w:val="-88"/>
          <w:sz w:val="24"/>
          <w:szCs w:val="24"/>
        </w:rPr>
        <w:t xml:space="preserve"> </w:t>
      </w:r>
      <w:r>
        <w:rPr>
          <w:rFonts w:ascii="宋体" w:hAnsi="宋体" w:eastAsia="宋体" w:cs="宋体"/>
          <w:spacing w:val="-2"/>
          <w:sz w:val="24"/>
          <w:szCs w:val="24"/>
        </w:rPr>
        <w:t>”系指任何手写、打印或印</w:t>
      </w:r>
      <w:r>
        <w:rPr>
          <w:rFonts w:ascii="宋体" w:hAnsi="宋体" w:eastAsia="宋体" w:cs="宋体"/>
          <w:spacing w:val="-3"/>
          <w:sz w:val="24"/>
          <w:szCs w:val="24"/>
        </w:rPr>
        <w:t>刷</w:t>
      </w:r>
      <w:r>
        <w:rPr>
          <w:rFonts w:hint="eastAsia" w:ascii="宋体" w:hAnsi="宋体" w:eastAsia="宋体" w:cs="宋体"/>
          <w:spacing w:val="-3"/>
          <w:sz w:val="24"/>
          <w:szCs w:val="24"/>
          <w:lang w:eastAsia="zh-CN"/>
        </w:rPr>
        <w:t>或通过邮箱发送</w:t>
      </w:r>
      <w:r>
        <w:rPr>
          <w:rFonts w:ascii="宋体" w:hAnsi="宋体" w:eastAsia="宋体" w:cs="宋体"/>
          <w:spacing w:val="-3"/>
          <w:sz w:val="24"/>
          <w:szCs w:val="24"/>
        </w:rPr>
        <w:t>的各种函件。</w:t>
      </w:r>
    </w:p>
    <w:p w14:paraId="19DE4004">
      <w:pPr>
        <w:keepNext w:val="0"/>
        <w:keepLines w:val="0"/>
        <w:pageBreakBefore w:val="0"/>
        <w:widowControl/>
        <w:kinsoku/>
        <w:wordWrap/>
        <w:overflowPunct/>
        <w:topLinePunct w:val="0"/>
        <w:autoSpaceDE w:val="0"/>
        <w:autoSpaceDN w:val="0"/>
        <w:bidi w:val="0"/>
        <w:adjustRightInd w:val="0"/>
        <w:snapToGrid w:val="0"/>
        <w:spacing w:before="181" w:line="466" w:lineRule="exact"/>
        <w:ind w:firstLine="456" w:firstLineChars="200"/>
        <w:textAlignment w:val="baseline"/>
        <w:rPr>
          <w:rFonts w:ascii="宋体" w:hAnsi="宋体" w:eastAsia="宋体" w:cs="宋体"/>
          <w:sz w:val="24"/>
          <w:szCs w:val="24"/>
        </w:rPr>
      </w:pPr>
      <w:r>
        <w:rPr>
          <w:rFonts w:ascii="宋体" w:hAnsi="宋体" w:eastAsia="宋体" w:cs="宋体"/>
          <w:spacing w:val="-6"/>
          <w:position w:val="17"/>
          <w:sz w:val="24"/>
          <w:szCs w:val="24"/>
        </w:rPr>
        <w:t>1.9“货物”系指各种形态和种类的物品，包括原材料、燃料、设备、产品等，详见《政府采购品目分类目录》 (2022 年印发)。</w:t>
      </w:r>
    </w:p>
    <w:p w14:paraId="7ECF75BB">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pacing w:val="-3"/>
          <w:sz w:val="24"/>
          <w:szCs w:val="24"/>
        </w:rPr>
        <w:t>1.10“服务</w:t>
      </w:r>
      <w:r>
        <w:rPr>
          <w:rFonts w:ascii="宋体" w:hAnsi="宋体" w:eastAsia="宋体" w:cs="宋体"/>
          <w:spacing w:val="-87"/>
          <w:sz w:val="24"/>
          <w:szCs w:val="24"/>
        </w:rPr>
        <w:t xml:space="preserve"> </w:t>
      </w:r>
      <w:r>
        <w:rPr>
          <w:rFonts w:ascii="宋体" w:hAnsi="宋体" w:eastAsia="宋体" w:cs="宋体"/>
          <w:spacing w:val="-3"/>
          <w:sz w:val="24"/>
          <w:szCs w:val="24"/>
        </w:rPr>
        <w:t>”系指供应商</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后根据《磋商文件》和合同的规定承担所有相关的服务，</w:t>
      </w:r>
      <w:r>
        <w:rPr>
          <w:rFonts w:ascii="宋体" w:hAnsi="宋体" w:eastAsia="宋体" w:cs="宋体"/>
          <w:sz w:val="24"/>
          <w:szCs w:val="24"/>
        </w:rPr>
        <w:t xml:space="preserve"> </w:t>
      </w:r>
      <w:r>
        <w:rPr>
          <w:rFonts w:ascii="宋体" w:hAnsi="宋体" w:eastAsia="宋体" w:cs="宋体"/>
          <w:spacing w:val="-2"/>
          <w:sz w:val="24"/>
          <w:szCs w:val="24"/>
        </w:rPr>
        <w:t>包括运输、仓储、保险</w:t>
      </w:r>
      <w:r>
        <w:rPr>
          <w:rFonts w:hint="eastAsia" w:ascii="宋体" w:hAnsi="宋体" w:eastAsia="宋体" w:cs="宋体"/>
          <w:spacing w:val="-2"/>
          <w:sz w:val="24"/>
          <w:szCs w:val="24"/>
          <w:lang w:eastAsia="zh-CN"/>
        </w:rPr>
        <w:t>以及其他</w:t>
      </w:r>
      <w:r>
        <w:rPr>
          <w:rFonts w:ascii="宋体" w:hAnsi="宋体" w:eastAsia="宋体" w:cs="宋体"/>
          <w:spacing w:val="-2"/>
          <w:sz w:val="24"/>
          <w:szCs w:val="24"/>
        </w:rPr>
        <w:t>的伴随服务，如售后、维修、更换和应承担</w:t>
      </w:r>
      <w:r>
        <w:rPr>
          <w:rFonts w:hint="eastAsia" w:ascii="宋体" w:hAnsi="宋体" w:eastAsia="宋体" w:cs="宋体"/>
          <w:spacing w:val="-2"/>
          <w:sz w:val="24"/>
          <w:szCs w:val="24"/>
          <w:lang w:eastAsia="zh-CN"/>
        </w:rPr>
        <w:t>的其他</w:t>
      </w:r>
      <w:r>
        <w:rPr>
          <w:rFonts w:ascii="宋体" w:hAnsi="宋体" w:eastAsia="宋体" w:cs="宋体"/>
          <w:spacing w:val="-2"/>
          <w:sz w:val="24"/>
          <w:szCs w:val="24"/>
        </w:rPr>
        <w:t>义务, 详</w:t>
      </w:r>
      <w:r>
        <w:rPr>
          <w:rFonts w:ascii="宋体" w:hAnsi="宋体" w:eastAsia="宋体" w:cs="宋体"/>
          <w:spacing w:val="-4"/>
          <w:sz w:val="24"/>
          <w:szCs w:val="24"/>
        </w:rPr>
        <w:t>见《政府采购品目分类目录》</w:t>
      </w:r>
      <w:r>
        <w:rPr>
          <w:rFonts w:ascii="宋体" w:hAnsi="宋体" w:eastAsia="宋体" w:cs="宋体"/>
          <w:spacing w:val="-53"/>
          <w:sz w:val="24"/>
          <w:szCs w:val="24"/>
        </w:rPr>
        <w:t xml:space="preserve"> </w:t>
      </w:r>
      <w:r>
        <w:rPr>
          <w:rFonts w:ascii="宋体" w:hAnsi="宋体" w:eastAsia="宋体" w:cs="宋体"/>
          <w:spacing w:val="-4"/>
          <w:sz w:val="24"/>
          <w:szCs w:val="24"/>
        </w:rPr>
        <w:t>(2022</w:t>
      </w:r>
      <w:r>
        <w:rPr>
          <w:rFonts w:ascii="宋体" w:hAnsi="宋体" w:eastAsia="宋体" w:cs="宋体"/>
          <w:spacing w:val="-50"/>
          <w:sz w:val="24"/>
          <w:szCs w:val="24"/>
        </w:rPr>
        <w:t xml:space="preserve"> </w:t>
      </w:r>
      <w:r>
        <w:rPr>
          <w:rFonts w:ascii="宋体" w:hAnsi="宋体" w:eastAsia="宋体" w:cs="宋体"/>
          <w:spacing w:val="-4"/>
          <w:sz w:val="24"/>
          <w:szCs w:val="24"/>
        </w:rPr>
        <w:t>年印发)。</w:t>
      </w:r>
    </w:p>
    <w:p w14:paraId="4588388C">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1.11“节能产品”是指列入财政部、发展改革委发布的《节能产品政府采购清单》（以下简称节能清单）内所列型号的产品。</w:t>
      </w:r>
    </w:p>
    <w:p w14:paraId="3BD6A04D">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1.12“环境标志产品”是指列入财政部、国家环境保护总局公布的《环境标志产品政府采购清单》（以下简称环保清单）内所列型号的产品。</w:t>
      </w:r>
    </w:p>
    <w:p w14:paraId="39F0EC54">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1.13 实质性条款：除</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和规章规定外，磋商文件中用“拒绝”、“不接受”、“无效”、“不得”、“未响应”、“废标”等文字规定或标注“★”符号的条款为实质性要求条款，对其中任何一条的偏离，在评审时将其视为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。未用上述文字规定或符号标注的条款为非实质性要求条款(即一般条款)。</w:t>
      </w:r>
    </w:p>
    <w:p w14:paraId="09907C37">
      <w:pPr>
        <w:pageBreakBefore w:val="0"/>
        <w:kinsoku/>
        <w:topLinePunct w:val="0"/>
        <w:bidi w:val="0"/>
        <w:spacing w:before="183" w:line="219" w:lineRule="auto"/>
        <w:ind w:left="1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★2.综合说明</w:t>
      </w:r>
    </w:p>
    <w:p w14:paraId="6C88E9D0">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pacing w:val="-2"/>
          <w:sz w:val="24"/>
          <w:szCs w:val="24"/>
        </w:rPr>
        <w:t>本项目按照《中华人民共和国政府采购法》及相关法规，</w:t>
      </w:r>
      <w:r>
        <w:rPr>
          <w:rFonts w:ascii="宋体" w:hAnsi="宋体" w:eastAsia="宋体" w:cs="宋体"/>
          <w:spacing w:val="-3"/>
          <w:sz w:val="24"/>
          <w:szCs w:val="24"/>
        </w:rPr>
        <w:t>已办理</w:t>
      </w:r>
      <w:r>
        <w:rPr>
          <w:rFonts w:hint="eastAsia" w:ascii="宋体" w:hAnsi="宋体" w:eastAsia="宋体" w:cs="宋体"/>
          <w:spacing w:val="-3"/>
          <w:sz w:val="24"/>
          <w:szCs w:val="24"/>
          <w:lang w:eastAsia="zh-CN"/>
        </w:rPr>
        <w:t>采购申请</w:t>
      </w:r>
      <w:r>
        <w:rPr>
          <w:rFonts w:ascii="宋体" w:hAnsi="宋体" w:eastAsia="宋体" w:cs="宋体"/>
          <w:spacing w:val="-3"/>
          <w:sz w:val="24"/>
          <w:szCs w:val="24"/>
        </w:rPr>
        <w:t>，并得到</w:t>
      </w:r>
      <w:r>
        <w:rPr>
          <w:rFonts w:hint="eastAsia" w:ascii="宋体" w:hAnsi="宋体" w:eastAsia="宋体" w:cs="宋体"/>
          <w:spacing w:val="-3"/>
          <w:sz w:val="24"/>
          <w:szCs w:val="24"/>
          <w:lang w:eastAsia="zh-CN"/>
        </w:rPr>
        <w:t>采购监督</w:t>
      </w:r>
      <w:r>
        <w:rPr>
          <w:rFonts w:ascii="宋体" w:hAnsi="宋体" w:eastAsia="宋体" w:cs="宋体"/>
          <w:spacing w:val="-2"/>
          <w:sz w:val="24"/>
          <w:szCs w:val="24"/>
        </w:rPr>
        <w:t>管理机构批准，现通过</w:t>
      </w:r>
      <w:r>
        <w:rPr>
          <w:rFonts w:hint="eastAsia" w:ascii="宋体" w:hAnsi="宋体" w:eastAsia="宋体" w:cs="宋体"/>
          <w:spacing w:val="-2"/>
          <w:sz w:val="24"/>
          <w:szCs w:val="24"/>
          <w:lang w:eastAsia="zh-CN"/>
        </w:rPr>
        <w:t>竞争性磋商方式</w:t>
      </w:r>
      <w:r>
        <w:rPr>
          <w:rFonts w:ascii="宋体" w:hAnsi="宋体" w:eastAsia="宋体" w:cs="宋体"/>
          <w:spacing w:val="-2"/>
          <w:sz w:val="24"/>
          <w:szCs w:val="24"/>
        </w:rPr>
        <w:t>来择优选定服务的供货商。本磋商文件包括本</w:t>
      </w:r>
      <w:r>
        <w:rPr>
          <w:rFonts w:hint="eastAsia" w:ascii="宋体" w:hAnsi="宋体" w:eastAsia="宋体" w:cs="宋体"/>
          <w:spacing w:val="-2"/>
          <w:sz w:val="24"/>
          <w:szCs w:val="24"/>
          <w:lang w:eastAsia="zh-CN"/>
        </w:rPr>
        <w:t>文件</w:t>
      </w:r>
      <w:r>
        <w:rPr>
          <w:rFonts w:ascii="宋体" w:hAnsi="宋体" w:eastAsia="宋体" w:cs="宋体"/>
          <w:spacing w:val="-3"/>
          <w:sz w:val="24"/>
          <w:szCs w:val="24"/>
        </w:rPr>
        <w:t>所列内容及按本</w:t>
      </w:r>
      <w:r>
        <w:rPr>
          <w:rFonts w:ascii="宋体" w:hAnsi="宋体" w:eastAsia="宋体" w:cs="宋体"/>
          <w:spacing w:val="-2"/>
          <w:sz w:val="24"/>
          <w:szCs w:val="24"/>
        </w:rPr>
        <w:t>须知发出的全部和补充资料。供应商应认真阅读本磋商文件中所有的事项</w:t>
      </w:r>
      <w:r>
        <w:rPr>
          <w:rFonts w:ascii="宋体" w:hAnsi="宋体" w:eastAsia="宋体" w:cs="宋体"/>
          <w:spacing w:val="-3"/>
          <w:sz w:val="24"/>
          <w:szCs w:val="24"/>
        </w:rPr>
        <w:t>、格式、条款、技</w:t>
      </w:r>
      <w:r>
        <w:rPr>
          <w:rFonts w:ascii="宋体" w:hAnsi="宋体" w:eastAsia="宋体" w:cs="宋体"/>
          <w:spacing w:val="-2"/>
          <w:sz w:val="24"/>
          <w:szCs w:val="24"/>
        </w:rPr>
        <w:t>术规范等实质性的条件和要求。供应商被视为充分熟悉本</w:t>
      </w:r>
      <w:r>
        <w:rPr>
          <w:rFonts w:hint="eastAsia" w:ascii="宋体" w:hAnsi="宋体" w:eastAsia="宋体" w:cs="宋体"/>
          <w:spacing w:val="-2"/>
          <w:sz w:val="24"/>
          <w:szCs w:val="24"/>
          <w:lang w:eastAsia="zh-CN"/>
        </w:rPr>
        <w:t>采购项目</w:t>
      </w:r>
      <w:r>
        <w:rPr>
          <w:rFonts w:ascii="宋体" w:hAnsi="宋体" w:eastAsia="宋体" w:cs="宋体"/>
          <w:spacing w:val="-2"/>
          <w:sz w:val="24"/>
          <w:szCs w:val="24"/>
        </w:rPr>
        <w:t>的全部</w:t>
      </w:r>
      <w:r>
        <w:rPr>
          <w:rFonts w:ascii="宋体" w:hAnsi="宋体" w:eastAsia="宋体" w:cs="宋体"/>
          <w:spacing w:val="-3"/>
          <w:sz w:val="24"/>
          <w:szCs w:val="24"/>
        </w:rPr>
        <w:t>内容及与履行合同</w:t>
      </w:r>
      <w:r>
        <w:rPr>
          <w:rFonts w:ascii="宋体" w:hAnsi="宋体" w:eastAsia="宋体" w:cs="宋体"/>
          <w:spacing w:val="-2"/>
          <w:sz w:val="24"/>
          <w:szCs w:val="24"/>
        </w:rPr>
        <w:t>有关的全部内容，熟悉磋商文件的格式、条件和范围。供应商没有按照磋</w:t>
      </w:r>
      <w:r>
        <w:rPr>
          <w:rFonts w:ascii="宋体" w:hAnsi="宋体" w:eastAsia="宋体" w:cs="宋体"/>
          <w:spacing w:val="-3"/>
          <w:sz w:val="24"/>
          <w:szCs w:val="24"/>
        </w:rPr>
        <w:t>商文件的要求提交</w:t>
      </w:r>
      <w:r>
        <w:rPr>
          <w:rFonts w:ascii="宋体" w:hAnsi="宋体" w:eastAsia="宋体" w:cs="宋体"/>
          <w:spacing w:val="-2"/>
          <w:sz w:val="24"/>
          <w:szCs w:val="24"/>
        </w:rPr>
        <w:t>相关资料，或者供应商没有对磋商文件相关</w:t>
      </w:r>
      <w:r>
        <w:rPr>
          <w:rFonts w:hint="eastAsia" w:ascii="宋体" w:hAnsi="宋体" w:eastAsia="宋体" w:cs="宋体"/>
          <w:spacing w:val="-2"/>
          <w:sz w:val="24"/>
          <w:szCs w:val="24"/>
          <w:lang w:eastAsia="zh-CN"/>
        </w:rPr>
        <w:t>内容</w:t>
      </w:r>
      <w:r>
        <w:rPr>
          <w:rFonts w:ascii="宋体" w:hAnsi="宋体" w:eastAsia="宋体" w:cs="宋体"/>
          <w:spacing w:val="-2"/>
          <w:sz w:val="24"/>
          <w:szCs w:val="24"/>
        </w:rPr>
        <w:t>做出实质性响应是供应</w:t>
      </w:r>
      <w:r>
        <w:rPr>
          <w:rFonts w:ascii="宋体" w:hAnsi="宋体" w:eastAsia="宋体" w:cs="宋体"/>
          <w:spacing w:val="-3"/>
          <w:sz w:val="24"/>
          <w:szCs w:val="24"/>
        </w:rPr>
        <w:t>商的风险，并可能</w:t>
      </w:r>
      <w:r>
        <w:rPr>
          <w:rFonts w:ascii="宋体" w:hAnsi="宋体" w:eastAsia="宋体" w:cs="宋体"/>
          <w:spacing w:val="-2"/>
          <w:sz w:val="24"/>
          <w:szCs w:val="24"/>
        </w:rPr>
        <w:t>导致其</w:t>
      </w:r>
      <w:r>
        <w:rPr>
          <w:rFonts w:hint="eastAsia" w:ascii="宋体" w:hAnsi="宋体" w:eastAsia="宋体" w:cs="宋体"/>
          <w:spacing w:val="-2"/>
          <w:sz w:val="24"/>
          <w:szCs w:val="24"/>
          <w:lang w:eastAsia="zh-CN"/>
        </w:rPr>
        <w:t>响应无效</w:t>
      </w:r>
      <w:r>
        <w:rPr>
          <w:rFonts w:ascii="宋体" w:hAnsi="宋体" w:eastAsia="宋体" w:cs="宋体"/>
          <w:spacing w:val="-2"/>
          <w:sz w:val="24"/>
          <w:szCs w:val="24"/>
        </w:rPr>
        <w:t>。</w:t>
      </w:r>
    </w:p>
    <w:p w14:paraId="409D6C46">
      <w:pPr>
        <w:pageBreakBefore w:val="0"/>
        <w:kinsoku/>
        <w:topLinePunct w:val="0"/>
        <w:bidi w:val="0"/>
        <w:spacing w:before="179" w:line="219" w:lineRule="auto"/>
        <w:ind w:left="1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3.政府采购政策支持</w:t>
      </w:r>
    </w:p>
    <w:p w14:paraId="203F7964">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（1）《新疆维吾尔自治区政府采购促进中小企业发展管理实施办法》（新财规〔2021〕6号）； </w:t>
      </w:r>
    </w:p>
    <w:p w14:paraId="1F5021FA">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（2）《财政部、司法部关于政府采购支持监狱企业发展有关问题的通知》（财库〔2014〕68号）； </w:t>
      </w:r>
    </w:p>
    <w:p w14:paraId="1B051612">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（3）财政部 生态环境部关于印发环境标志产品政府采购品目清单的通知（财库〔2019〕18号）； </w:t>
      </w:r>
    </w:p>
    <w:p w14:paraId="13D8B340">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（4）《财政部 民政部 中国残疾人联合会关于促进残疾人就业政府采购政策的通知》财库〔2017〕141号。</w:t>
      </w:r>
    </w:p>
    <w:p w14:paraId="37FFC25E">
      <w:pPr>
        <w:pageBreakBefore w:val="0"/>
        <w:kinsoku/>
        <w:wordWrap/>
        <w:topLinePunct w:val="0"/>
        <w:bidi w:val="0"/>
        <w:spacing w:before="184" w:line="359" w:lineRule="auto"/>
        <w:ind w:left="20" w:right="61" w:firstLine="497"/>
        <w:rPr>
          <w:rFonts w:hint="eastAsia" w:ascii="宋体" w:hAnsi="宋体" w:eastAsia="宋体" w:cs="宋体"/>
          <w:sz w:val="24"/>
          <w:szCs w:val="24"/>
        </w:rPr>
      </w:pPr>
      <w:r>
        <w:rPr>
          <w:rFonts w:hint="eastAsia" w:ascii="宋体" w:hAnsi="宋体" w:eastAsia="宋体" w:cs="宋体"/>
          <w:sz w:val="24"/>
          <w:szCs w:val="24"/>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126A44C7">
      <w:pPr>
        <w:pageBreakBefore w:val="0"/>
        <w:kinsoku/>
        <w:topLinePunct w:val="0"/>
        <w:bidi w:val="0"/>
        <w:spacing w:before="78" w:line="219" w:lineRule="auto"/>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4.合格的供应商</w:t>
      </w:r>
    </w:p>
    <w:p w14:paraId="7D97692E">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4.1 具备“供应商须知前附表”的基本条件；</w:t>
      </w:r>
    </w:p>
    <w:p w14:paraId="596FF9EF">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4.2 凡是符合国家工商行政管理部门登记审核，具有相应生产经营许可的，有一定技术实力和规模，并有能力提供招标服务的供应商；</w:t>
      </w:r>
    </w:p>
    <w:p w14:paraId="1FCF1A3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4.3 供应商不得直接或间接地与本次招标所委托的咨询公司或其附属机构有任何关联；</w:t>
      </w:r>
    </w:p>
    <w:p w14:paraId="0ADAF6EB">
      <w:pPr>
        <w:pageBreakBefore w:val="0"/>
        <w:kinsoku/>
        <w:wordWrap/>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4.4 单位负责人为同一人或者存在控股、管理关系的不同单位，</w:t>
      </w:r>
      <w:bookmarkStart w:id="6" w:name="OLE_LINK17"/>
      <w:r>
        <w:rPr>
          <w:rFonts w:ascii="宋体" w:hAnsi="宋体" w:eastAsia="宋体" w:cs="宋体"/>
          <w:sz w:val="24"/>
          <w:szCs w:val="24"/>
        </w:rPr>
        <w:t>不得参加同</w:t>
      </w:r>
      <w:r>
        <w:rPr>
          <w:rFonts w:hint="eastAsia" w:ascii="宋体" w:hAnsi="宋体" w:eastAsia="宋体" w:cs="宋体"/>
          <w:sz w:val="24"/>
          <w:szCs w:val="24"/>
          <w:lang w:eastAsia="zh-CN"/>
        </w:rPr>
        <w:t>一合同项下的政府采购活动</w:t>
      </w:r>
      <w:r>
        <w:rPr>
          <w:rFonts w:ascii="宋体" w:hAnsi="宋体" w:eastAsia="宋体" w:cs="宋体"/>
          <w:sz w:val="24"/>
          <w:szCs w:val="24"/>
        </w:rPr>
        <w:t>；</w:t>
      </w:r>
    </w:p>
    <w:bookmarkEnd w:id="6"/>
    <w:p w14:paraId="4498F34E">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4.5 供应商未获取《磋商文件》的潜在供应商均无资格参加</w:t>
      </w:r>
      <w:r>
        <w:rPr>
          <w:rFonts w:hint="eastAsia" w:ascii="宋体" w:hAnsi="宋体" w:eastAsia="宋体" w:cs="宋体"/>
          <w:sz w:val="24"/>
          <w:szCs w:val="24"/>
          <w:lang w:eastAsia="zh-CN"/>
        </w:rPr>
        <w:t>本项目政府采购活动</w:t>
      </w:r>
      <w:r>
        <w:rPr>
          <w:rFonts w:ascii="宋体" w:hAnsi="宋体" w:eastAsia="宋体" w:cs="宋体"/>
          <w:sz w:val="24"/>
          <w:szCs w:val="24"/>
        </w:rPr>
        <w:t>；</w:t>
      </w:r>
    </w:p>
    <w:p w14:paraId="22751E59">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4.6 遵守国家有关的</w:t>
      </w:r>
      <w:r>
        <w:rPr>
          <w:rFonts w:hint="eastAsia" w:ascii="宋体" w:hAnsi="宋体" w:eastAsia="宋体" w:cs="宋体"/>
          <w:sz w:val="24"/>
          <w:szCs w:val="24"/>
          <w:lang w:eastAsia="zh-CN"/>
        </w:rPr>
        <w:t>法律法规</w:t>
      </w:r>
      <w:r>
        <w:rPr>
          <w:rFonts w:ascii="宋体" w:hAnsi="宋体" w:eastAsia="宋体" w:cs="宋体"/>
          <w:sz w:val="24"/>
          <w:szCs w:val="24"/>
        </w:rPr>
        <w:t>和条例及《磋商文件》的规定。</w:t>
      </w:r>
    </w:p>
    <w:p w14:paraId="37C9875F">
      <w:pPr>
        <w:pageBreakBefore w:val="0"/>
        <w:kinsoku/>
        <w:topLinePunct w:val="0"/>
        <w:bidi w:val="0"/>
        <w:spacing w:before="181" w:line="219" w:lineRule="auto"/>
        <w:ind w:left="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5.伴随服务</w:t>
      </w:r>
    </w:p>
    <w:p w14:paraId="4D8A3056">
      <w:pPr>
        <w:pageBreakBefore w:val="0"/>
        <w:kinsoku/>
        <w:topLinePunct w:val="0"/>
        <w:bidi w:val="0"/>
        <w:spacing w:before="223" w:line="219" w:lineRule="auto"/>
        <w:ind w:left="480"/>
        <w:rPr>
          <w:rFonts w:ascii="宋体" w:hAnsi="宋体" w:eastAsia="宋体" w:cs="宋体"/>
          <w:sz w:val="24"/>
          <w:szCs w:val="24"/>
        </w:rPr>
      </w:pPr>
      <w:r>
        <w:rPr>
          <w:rFonts w:ascii="宋体" w:hAnsi="宋体" w:eastAsia="宋体" w:cs="宋体"/>
          <w:spacing w:val="-1"/>
          <w:sz w:val="24"/>
          <w:szCs w:val="24"/>
        </w:rPr>
        <w:t>供应商按照磋商文件要求提供服务。</w:t>
      </w:r>
    </w:p>
    <w:p w14:paraId="62E953BA">
      <w:pPr>
        <w:pageBreakBefore w:val="0"/>
        <w:kinsoku/>
        <w:topLinePunct w:val="0"/>
        <w:bidi w:val="0"/>
        <w:spacing w:before="182" w:line="220" w:lineRule="auto"/>
        <w:ind w:left="2"/>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6.</w:t>
      </w: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采购过程</w:t>
      </w:r>
      <w:r>
        <w:rPr>
          <w:rFonts w:ascii="宋体" w:hAnsi="宋体" w:eastAsia="宋体" w:cs="宋体"/>
          <w:spacing w:val="-2"/>
          <w:sz w:val="24"/>
          <w:szCs w:val="24"/>
          <w14:textOutline w14:w="4358" w14:cap="sq" w14:cmpd="sng">
            <w14:solidFill>
              <w14:srgbClr w14:val="000000"/>
            </w14:solidFill>
            <w14:prstDash w14:val="solid"/>
            <w14:bevel/>
          </w14:textOutline>
        </w:rPr>
        <w:t>费用</w:t>
      </w:r>
    </w:p>
    <w:p w14:paraId="4CF1B5C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供应商应承担与采购活动有关的一切费用。不论采购的结果如何，采购代理机构和采购人在任何情况下均无义务和责任承担这些费用。</w:t>
      </w:r>
    </w:p>
    <w:p w14:paraId="2C978AD9">
      <w:pPr>
        <w:pageBreakBefore w:val="0"/>
        <w:kinsoku/>
        <w:topLinePunct w:val="0"/>
        <w:bidi w:val="0"/>
        <w:spacing w:before="182"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7.</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采购代理机构</w:t>
      </w:r>
      <w:r>
        <w:rPr>
          <w:rFonts w:ascii="宋体" w:hAnsi="宋体" w:eastAsia="宋体" w:cs="宋体"/>
          <w:spacing w:val="-1"/>
          <w:sz w:val="24"/>
          <w:szCs w:val="24"/>
          <w14:textOutline w14:w="4358" w14:cap="sq" w14:cmpd="sng">
            <w14:solidFill>
              <w14:srgbClr w14:val="000000"/>
            </w14:solidFill>
            <w14:prstDash w14:val="solid"/>
            <w14:bevel/>
          </w14:textOutline>
        </w:rPr>
        <w:t>相关费用</w:t>
      </w:r>
    </w:p>
    <w:p w14:paraId="5EFD57C6">
      <w:pPr>
        <w:pageBreakBefore w:val="0"/>
        <w:kinsoku/>
        <w:wordWrap/>
        <w:topLinePunct w:val="0"/>
        <w:bidi w:val="0"/>
        <w:spacing w:before="184" w:line="359" w:lineRule="auto"/>
        <w:ind w:left="20" w:right="61" w:firstLine="497"/>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z w:val="24"/>
          <w:szCs w:val="24"/>
        </w:rPr>
        <w:t xml:space="preserve">7.1 </w:t>
      </w: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代理服务费为：参照发改价格〔2015〕299号文件，收取代理服务费，由中标（成交）人向采购代理机构交纳代理服务费。</w:t>
      </w:r>
    </w:p>
    <w:p w14:paraId="5BF36DE8">
      <w:pPr>
        <w:pageBreakBefore w:val="0"/>
        <w:kinsoku/>
        <w:topLinePunct w:val="0"/>
        <w:bidi w:val="0"/>
        <w:spacing w:before="180" w:line="219" w:lineRule="auto"/>
        <w:ind w:left="486"/>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48"/>
          <w:sz w:val="24"/>
          <w:szCs w:val="24"/>
        </w:rPr>
        <w:t xml:space="preserve"> </w:t>
      </w:r>
      <w:r>
        <w:rPr>
          <w:rFonts w:ascii="宋体" w:hAnsi="宋体" w:eastAsia="宋体" w:cs="宋体"/>
          <w:spacing w:val="-1"/>
          <w:sz w:val="24"/>
          <w:szCs w:val="24"/>
        </w:rPr>
        <w:t>本项目</w:t>
      </w:r>
      <w:r>
        <w:rPr>
          <w:rFonts w:hint="eastAsia" w:ascii="宋体" w:hAnsi="宋体" w:eastAsia="宋体" w:cs="宋体"/>
          <w:spacing w:val="-1"/>
          <w:sz w:val="24"/>
          <w:szCs w:val="24"/>
          <w:lang w:eastAsia="zh-CN"/>
        </w:rPr>
        <w:t>采购代理服务费</w:t>
      </w:r>
      <w:r>
        <w:rPr>
          <w:rFonts w:ascii="宋体" w:hAnsi="宋体" w:eastAsia="宋体" w:cs="宋体"/>
          <w:spacing w:val="-1"/>
          <w:sz w:val="24"/>
          <w:szCs w:val="24"/>
        </w:rPr>
        <w:t>由</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支付给</w:t>
      </w:r>
      <w:r>
        <w:rPr>
          <w:rFonts w:hint="eastAsia" w:ascii="宋体" w:hAnsi="宋体" w:eastAsia="宋体" w:cs="宋体"/>
          <w:spacing w:val="-1"/>
          <w:sz w:val="24"/>
          <w:szCs w:val="24"/>
          <w:lang w:eastAsia="zh-CN"/>
        </w:rPr>
        <w:t>采购代理机构</w:t>
      </w:r>
      <w:r>
        <w:rPr>
          <w:rFonts w:ascii="宋体" w:hAnsi="宋体" w:eastAsia="宋体" w:cs="宋体"/>
          <w:spacing w:val="-1"/>
          <w:sz w:val="24"/>
          <w:szCs w:val="24"/>
        </w:rPr>
        <w:t>。</w:t>
      </w:r>
    </w:p>
    <w:p w14:paraId="225535ED">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7.3 费用缴纳可采用电汇、转支（公户）的方式支付，在发放《</w:t>
      </w:r>
      <w:r>
        <w:rPr>
          <w:rFonts w:hint="eastAsia" w:ascii="宋体" w:hAnsi="宋体" w:eastAsia="宋体" w:cs="宋体"/>
          <w:sz w:val="24"/>
          <w:szCs w:val="24"/>
          <w:lang w:eastAsia="zh-CN"/>
        </w:rPr>
        <w:t>成交通知书</w:t>
      </w:r>
      <w:r>
        <w:rPr>
          <w:rFonts w:ascii="宋体" w:hAnsi="宋体" w:eastAsia="宋体" w:cs="宋体"/>
          <w:sz w:val="24"/>
          <w:szCs w:val="24"/>
        </w:rPr>
        <w:t>》前一次性支付给</w:t>
      </w:r>
      <w:r>
        <w:rPr>
          <w:rFonts w:hint="eastAsia" w:ascii="宋体" w:hAnsi="宋体" w:eastAsia="宋体" w:cs="宋体"/>
          <w:sz w:val="24"/>
          <w:szCs w:val="24"/>
          <w:lang w:eastAsia="zh-CN"/>
        </w:rPr>
        <w:t>采购代理机构</w:t>
      </w:r>
      <w:r>
        <w:rPr>
          <w:rFonts w:ascii="宋体" w:hAnsi="宋体" w:eastAsia="宋体" w:cs="宋体"/>
          <w:sz w:val="24"/>
          <w:szCs w:val="24"/>
        </w:rPr>
        <w:t>。</w:t>
      </w:r>
    </w:p>
    <w:p w14:paraId="0A448472">
      <w:pPr>
        <w:pageBreakBefore w:val="0"/>
        <w:kinsoku/>
        <w:topLinePunct w:val="0"/>
        <w:bidi w:val="0"/>
        <w:spacing w:before="182" w:line="220" w:lineRule="auto"/>
        <w:ind w:left="1"/>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8.保密</w:t>
      </w:r>
    </w:p>
    <w:p w14:paraId="4F665B88">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参与</w:t>
      </w:r>
      <w:r>
        <w:rPr>
          <w:rFonts w:hint="eastAsia" w:ascii="宋体" w:hAnsi="宋体" w:eastAsia="宋体" w:cs="宋体"/>
          <w:sz w:val="24"/>
          <w:szCs w:val="24"/>
          <w:lang w:eastAsia="zh-CN"/>
        </w:rPr>
        <w:t>磋商</w:t>
      </w:r>
      <w:r>
        <w:rPr>
          <w:rFonts w:ascii="宋体" w:hAnsi="宋体" w:eastAsia="宋体" w:cs="宋体"/>
          <w:sz w:val="24"/>
          <w:szCs w:val="24"/>
        </w:rPr>
        <w:t>活动的各方应对磋商文件和磋商响应文件中的商业和技术等秘密保密，违者应对由此造成的后果承担法律责任。</w:t>
      </w:r>
    </w:p>
    <w:p w14:paraId="794A7F66">
      <w:pPr>
        <w:pageBreakBefore w:val="0"/>
        <w:kinsoku/>
        <w:topLinePunct w:val="0"/>
        <w:bidi w:val="0"/>
        <w:spacing w:before="184" w:line="219" w:lineRule="auto"/>
        <w:ind w:left="1"/>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9.适用法律</w:t>
      </w:r>
    </w:p>
    <w:p w14:paraId="41375DB9">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本次招标属</w:t>
      </w:r>
      <w:r>
        <w:rPr>
          <w:rFonts w:hint="eastAsia" w:ascii="宋体" w:hAnsi="宋体" w:eastAsia="宋体" w:cs="宋体"/>
          <w:sz w:val="24"/>
          <w:szCs w:val="24"/>
          <w:lang w:eastAsia="zh-CN"/>
        </w:rPr>
        <w:t>工程</w:t>
      </w:r>
      <w:r>
        <w:rPr>
          <w:rFonts w:ascii="宋体" w:hAnsi="宋体" w:eastAsia="宋体" w:cs="宋体"/>
          <w:sz w:val="24"/>
          <w:szCs w:val="24"/>
        </w:rPr>
        <w:t>类政府采购，</w:t>
      </w:r>
      <w:r>
        <w:rPr>
          <w:rFonts w:hint="eastAsia" w:ascii="宋体" w:hAnsi="宋体" w:eastAsia="宋体" w:cs="宋体"/>
          <w:sz w:val="24"/>
          <w:szCs w:val="24"/>
          <w:lang w:eastAsia="zh-CN"/>
        </w:rPr>
        <w:t>采购单位</w:t>
      </w:r>
      <w:r>
        <w:rPr>
          <w:rFonts w:ascii="宋体" w:hAnsi="宋体" w:eastAsia="宋体" w:cs="宋体"/>
          <w:sz w:val="24"/>
          <w:szCs w:val="24"/>
        </w:rPr>
        <w:t>、供应商、磋商小组的相关行为均受《中华人民共和国政府采购法》、《中华人民共和国政府采购法实施条例》、《政府采购货物和服务招标投标管理办法》、《政府采购竞争性磋商采购方式管理暂行办法》本项目采购人本级和上级财政部门政府采购有关规定的约束，其权利受到上述法律法规的保护。</w:t>
      </w:r>
    </w:p>
    <w:p w14:paraId="0E152F73">
      <w:pPr>
        <w:pageBreakBefore w:val="0"/>
        <w:kinsoku/>
        <w:topLinePunct w:val="0"/>
        <w:bidi w:val="0"/>
        <w:spacing w:before="188" w:line="220" w:lineRule="auto"/>
        <w:ind w:left="3508"/>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（三）《磋商文件》</w:t>
      </w:r>
    </w:p>
    <w:p w14:paraId="48692FEA">
      <w:pPr>
        <w:pageBreakBefore w:val="0"/>
        <w:kinsoku/>
        <w:topLinePunct w:val="0"/>
        <w:bidi w:val="0"/>
        <w:spacing w:before="206" w:line="219" w:lineRule="auto"/>
        <w:ind w:left="19"/>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1.《磋商文件》的组成</w:t>
      </w:r>
    </w:p>
    <w:p w14:paraId="23E6FBE0">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磋商文件用以阐明</w:t>
      </w:r>
      <w:r>
        <w:rPr>
          <w:rFonts w:hint="eastAsia" w:ascii="宋体" w:hAnsi="宋体" w:eastAsia="宋体" w:cs="宋体"/>
          <w:sz w:val="24"/>
          <w:szCs w:val="24"/>
          <w:lang w:eastAsia="zh-CN"/>
        </w:rPr>
        <w:t>采购项目</w:t>
      </w:r>
      <w:r>
        <w:rPr>
          <w:rFonts w:ascii="宋体" w:hAnsi="宋体" w:eastAsia="宋体" w:cs="宋体"/>
          <w:sz w:val="24"/>
          <w:szCs w:val="24"/>
        </w:rPr>
        <w:t>所需的资质、技术、服务及报价等要求、</w:t>
      </w:r>
      <w:r>
        <w:rPr>
          <w:rFonts w:hint="eastAsia" w:ascii="宋体" w:hAnsi="宋体" w:eastAsia="宋体" w:cs="宋体"/>
          <w:sz w:val="24"/>
          <w:szCs w:val="24"/>
          <w:lang w:eastAsia="zh-CN"/>
        </w:rPr>
        <w:t>采购</w:t>
      </w:r>
      <w:r>
        <w:rPr>
          <w:rFonts w:ascii="宋体" w:hAnsi="宋体" w:eastAsia="宋体" w:cs="宋体"/>
          <w:sz w:val="24"/>
          <w:szCs w:val="24"/>
        </w:rPr>
        <w:t>程序、有关规定和注意事项以及合同主要条款等。本磋商文件包括以下内容,但不限于这些内容：</w:t>
      </w:r>
    </w:p>
    <w:p w14:paraId="65618225">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（1）磋商公告</w:t>
      </w:r>
    </w:p>
    <w:p w14:paraId="43ACBD23">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（2）供应商须知及前附表</w:t>
      </w:r>
    </w:p>
    <w:p w14:paraId="7E735B5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eastAsia="zh-CN"/>
        </w:rPr>
        <w:t>评审</w:t>
      </w:r>
      <w:r>
        <w:rPr>
          <w:rFonts w:ascii="宋体" w:hAnsi="宋体" w:eastAsia="宋体" w:cs="宋体"/>
          <w:sz w:val="24"/>
          <w:szCs w:val="24"/>
        </w:rPr>
        <w:t>办法</w:t>
      </w:r>
    </w:p>
    <w:p w14:paraId="16475C76">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lang w:eastAsia="zh-CN"/>
        </w:rPr>
        <w:t>采购内容</w:t>
      </w:r>
      <w:r>
        <w:rPr>
          <w:rFonts w:ascii="宋体" w:hAnsi="宋体" w:eastAsia="宋体" w:cs="宋体"/>
          <w:sz w:val="24"/>
          <w:szCs w:val="24"/>
        </w:rPr>
        <w:t>及需求</w:t>
      </w:r>
    </w:p>
    <w:p w14:paraId="17DEF4EF">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（5）《磋商响应文件》格式</w:t>
      </w:r>
    </w:p>
    <w:p w14:paraId="1EA26D61">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（6）合同条款</w:t>
      </w:r>
    </w:p>
    <w:p w14:paraId="5E630473">
      <w:pPr>
        <w:pageBreakBefore w:val="0"/>
        <w:kinsoku/>
        <w:topLinePunct w:val="0"/>
        <w:bidi w:val="0"/>
        <w:spacing w:before="183"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2.《磋商文件》的澄清</w:t>
      </w:r>
    </w:p>
    <w:p w14:paraId="3F452731">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供应商若对《磋商文件》有任何疑问，供应商应于投标截止日期前5日以书面形式向</w:t>
      </w:r>
      <w:r>
        <w:rPr>
          <w:rFonts w:hint="eastAsia" w:ascii="宋体" w:hAnsi="宋体" w:eastAsia="宋体" w:cs="宋体"/>
          <w:sz w:val="24"/>
          <w:szCs w:val="24"/>
          <w:lang w:eastAsia="zh-CN"/>
        </w:rPr>
        <w:t>采购代理机构</w:t>
      </w:r>
      <w:r>
        <w:rPr>
          <w:rFonts w:ascii="宋体" w:hAnsi="宋体" w:eastAsia="宋体" w:cs="宋体"/>
          <w:sz w:val="24"/>
          <w:szCs w:val="24"/>
        </w:rPr>
        <w:t>提出澄清要求，送至</w:t>
      </w:r>
      <w:r>
        <w:rPr>
          <w:rFonts w:hint="eastAsia" w:ascii="宋体" w:hAnsi="宋体" w:eastAsia="宋体" w:cs="宋体"/>
          <w:sz w:val="24"/>
          <w:szCs w:val="24"/>
          <w:lang w:eastAsia="zh-CN"/>
        </w:rPr>
        <w:t>采购代理机构</w:t>
      </w:r>
      <w:r>
        <w:rPr>
          <w:rFonts w:ascii="宋体" w:hAnsi="宋体" w:eastAsia="宋体" w:cs="宋体"/>
          <w:sz w:val="24"/>
          <w:szCs w:val="24"/>
        </w:rPr>
        <w:t>。如认为有必要，</w:t>
      </w:r>
      <w:r>
        <w:rPr>
          <w:rFonts w:hint="eastAsia" w:ascii="宋体" w:hAnsi="宋体" w:eastAsia="宋体" w:cs="宋体"/>
          <w:sz w:val="24"/>
          <w:szCs w:val="24"/>
          <w:lang w:eastAsia="zh-CN"/>
        </w:rPr>
        <w:t>采购代理机构</w:t>
      </w:r>
      <w:r>
        <w:rPr>
          <w:rFonts w:ascii="宋体" w:hAnsi="宋体" w:eastAsia="宋体" w:cs="宋体"/>
          <w:sz w:val="24"/>
          <w:szCs w:val="24"/>
        </w:rPr>
        <w:t>将以书面形式 予以澄清，同时将书面澄清文件向所有供应商发送。供应商在收到该澄清文件后，应于1日 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rPr>
        <w:t>予以确认，该答复作为《磋商文件》的组成部分，具有同《磋商文件》同样的约束作用。未确认情况应当视为对磋商文件修改的知晓，也将视为对修改内容接受的默认。对于未在磋商响应文件中对修改内容做实质性响应的，对其产生的不利因素由未确认者自行承担。</w:t>
      </w:r>
    </w:p>
    <w:p w14:paraId="6899972B">
      <w:pPr>
        <w:pageBreakBefore w:val="0"/>
        <w:kinsoku/>
        <w:topLinePunct w:val="0"/>
        <w:bidi w:val="0"/>
        <w:spacing w:before="181"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3.《磋商文件》的修改</w:t>
      </w:r>
    </w:p>
    <w:p w14:paraId="3C4FE38B">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3.1 提交首次响应文件截止期5日前，无论出于何种原因</w:t>
      </w:r>
      <w:r>
        <w:rPr>
          <w:rFonts w:hint="eastAsia" w:ascii="宋体" w:hAnsi="宋体" w:eastAsia="宋体" w:cs="宋体"/>
          <w:sz w:val="24"/>
          <w:szCs w:val="24"/>
          <w:lang w:eastAsia="zh-CN"/>
        </w:rPr>
        <w:t>，</w:t>
      </w:r>
      <w:r>
        <w:rPr>
          <w:rFonts w:ascii="宋体" w:hAnsi="宋体" w:eastAsia="宋体" w:cs="宋体"/>
          <w:sz w:val="24"/>
          <w:szCs w:val="24"/>
        </w:rPr>
        <w:t>采购单位可主动地或在解答供应商提出的澄清问题时对《磋商文件》进行修改，《磋商文件》的修改书将构成《磋商文件》的组成部分。</w:t>
      </w:r>
    </w:p>
    <w:p w14:paraId="6218AD50">
      <w:pPr>
        <w:pageBreakBefore w:val="0"/>
        <w:kinsoku/>
        <w:wordWrap/>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3.2《磋商文件》的修改将以</w:t>
      </w:r>
      <w:r>
        <w:rPr>
          <w:rFonts w:hint="eastAsia" w:ascii="宋体" w:hAnsi="宋体" w:eastAsia="宋体" w:cs="宋体"/>
          <w:sz w:val="24"/>
          <w:szCs w:val="24"/>
          <w:lang w:eastAsia="zh-CN"/>
        </w:rPr>
        <w:t>变更公告的形式在发布竞争性磋商公告的网站予以发布</w:t>
      </w:r>
      <w:r>
        <w:rPr>
          <w:rFonts w:ascii="宋体" w:hAnsi="宋体" w:eastAsia="宋体" w:cs="宋体"/>
          <w:sz w:val="24"/>
          <w:szCs w:val="24"/>
        </w:rPr>
        <w:t>，并对其具有约束力。供应商在收到上述通知后，应于1日内以书面形式（加盖公章）向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rPr>
        <w:t>予以确认。未确认情况应当视为对磋商文件修改的知晓，也将视为对修改内容接受的默认。</w:t>
      </w:r>
    </w:p>
    <w:p w14:paraId="1B5F396B">
      <w:pPr>
        <w:pStyle w:val="4"/>
        <w:keepNext w:val="0"/>
        <w:keepLines w:val="0"/>
        <w:pageBreakBefore w:val="0"/>
        <w:widowControl/>
        <w:kinsoku/>
        <w:wordWrap/>
        <w:overflowPunct/>
        <w:topLinePunct w:val="0"/>
        <w:autoSpaceDE w:val="0"/>
        <w:autoSpaceDN w:val="0"/>
        <w:bidi w:val="0"/>
        <w:adjustRightInd w:val="0"/>
        <w:snapToGrid w:val="0"/>
        <w:ind w:firstLine="480" w:firstLineChars="200"/>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3.3 为使供应商在编制《磋商响应文件》时有充分时间对《磋商文件》的修改部分进行研究，</w:t>
      </w:r>
      <w:r>
        <w:rPr>
          <w:rFonts w:hint="eastAsia" w:ascii="宋体" w:hAnsi="宋体" w:eastAsia="宋体" w:cs="宋体"/>
          <w:snapToGrid w:val="0"/>
          <w:color w:val="000000"/>
          <w:kern w:val="0"/>
          <w:sz w:val="24"/>
          <w:szCs w:val="24"/>
          <w:lang w:val="en-US" w:eastAsia="zh-CN" w:bidi="ar-SA"/>
        </w:rPr>
        <w:t>采购代理机构</w:t>
      </w:r>
      <w:r>
        <w:rPr>
          <w:rFonts w:ascii="宋体" w:hAnsi="宋体" w:eastAsia="宋体" w:cs="宋体"/>
          <w:snapToGrid w:val="0"/>
          <w:color w:val="000000"/>
          <w:kern w:val="0"/>
          <w:sz w:val="24"/>
          <w:szCs w:val="24"/>
          <w:lang w:val="en-US" w:eastAsia="en-US" w:bidi="ar-SA"/>
        </w:rPr>
        <w:t>可自行决定是否延长投标截止日期和推迟开标时间。</w:t>
      </w:r>
    </w:p>
    <w:p w14:paraId="512B54F7">
      <w:pPr>
        <w:pStyle w:val="4"/>
        <w:pageBreakBefore w:val="0"/>
        <w:kinsoku/>
        <w:topLinePunct w:val="0"/>
        <w:bidi w:val="0"/>
      </w:pPr>
    </w:p>
    <w:p w14:paraId="12241B30">
      <w:pPr>
        <w:pStyle w:val="4"/>
        <w:pageBreakBefore w:val="0"/>
        <w:kinsoku/>
        <w:topLinePunct w:val="0"/>
        <w:bidi w:val="0"/>
        <w:spacing w:line="241" w:lineRule="auto"/>
      </w:pPr>
    </w:p>
    <w:p w14:paraId="5E68333B">
      <w:pPr>
        <w:pageBreakBefore w:val="0"/>
        <w:kinsoku/>
        <w:topLinePunct w:val="0"/>
        <w:bidi w:val="0"/>
        <w:spacing w:before="91" w:line="220" w:lineRule="auto"/>
        <w:ind w:left="280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（四）《磋商响应文件》的编制</w:t>
      </w:r>
    </w:p>
    <w:p w14:paraId="5D1C81B7">
      <w:pPr>
        <w:pageBreakBefore w:val="0"/>
        <w:kinsoku/>
        <w:topLinePunct w:val="0"/>
        <w:bidi w:val="0"/>
        <w:spacing w:before="20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《磋商响应文件》编制要求</w:t>
      </w:r>
    </w:p>
    <w:p w14:paraId="1760178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z w:val="24"/>
          <w:szCs w:val="24"/>
        </w:rPr>
        <w:t>1）供应商应仔细阅读和充分理解《磋商文件》中所有的事项、格式、条款等要求，并</w:t>
      </w:r>
      <w:r>
        <w:rPr>
          <w:rFonts w:ascii="宋体" w:hAnsi="宋体" w:eastAsia="宋体" w:cs="宋体"/>
          <w:spacing w:val="-3"/>
          <w:sz w:val="24"/>
          <w:szCs w:val="24"/>
        </w:rPr>
        <w:t>按照《磋商文件》的“磋商响应文件格式</w:t>
      </w:r>
      <w:r>
        <w:rPr>
          <w:rFonts w:ascii="宋体" w:hAnsi="宋体" w:eastAsia="宋体" w:cs="宋体"/>
          <w:spacing w:val="-87"/>
          <w:sz w:val="24"/>
          <w:szCs w:val="24"/>
        </w:rPr>
        <w:t xml:space="preserve"> </w:t>
      </w:r>
      <w:r>
        <w:rPr>
          <w:rFonts w:ascii="宋体" w:hAnsi="宋体" w:eastAsia="宋体" w:cs="宋体"/>
          <w:spacing w:val="-3"/>
          <w:sz w:val="24"/>
          <w:szCs w:val="24"/>
        </w:rPr>
        <w:t>”规定及要求内容的格式提交完整的《磋商响应文</w:t>
      </w:r>
      <w:r>
        <w:rPr>
          <w:rFonts w:ascii="宋体" w:hAnsi="宋体" w:eastAsia="宋体" w:cs="宋体"/>
          <w:spacing w:val="-2"/>
          <w:sz w:val="24"/>
          <w:szCs w:val="24"/>
        </w:rPr>
        <w:t>件》。</w:t>
      </w:r>
      <w:r>
        <w:rPr>
          <w:rFonts w:ascii="宋体" w:hAnsi="宋体" w:eastAsia="宋体" w:cs="宋体"/>
          <w:spacing w:val="-2"/>
          <w:sz w:val="24"/>
          <w:szCs w:val="24"/>
          <w14:textOutline w14:w="4358" w14:cap="sq" w14:cmpd="sng">
            <w14:solidFill>
              <w14:srgbClr w14:val="000000"/>
            </w14:solidFill>
            <w14:prstDash w14:val="solid"/>
            <w14:bevel/>
          </w14:textOutline>
        </w:rPr>
        <w:t>磋商响应文件应使用中文、编排有序，并按要求编制文件目录和页码</w:t>
      </w:r>
      <w:r>
        <w:rPr>
          <w:rFonts w:ascii="宋体" w:hAnsi="宋体" w:eastAsia="宋体" w:cs="宋体"/>
          <w:spacing w:val="-3"/>
          <w:sz w:val="24"/>
          <w:szCs w:val="24"/>
          <w14:textOutline w14:w="4358" w14:cap="sq" w14:cmpd="sng">
            <w14:solidFill>
              <w14:srgbClr w14:val="000000"/>
            </w14:solidFill>
            <w14:prstDash w14:val="solid"/>
            <w14:bevel/>
          </w14:textOutline>
        </w:rPr>
        <w:t>，准确标明文件</w:t>
      </w:r>
      <w:r>
        <w:rPr>
          <w:rFonts w:ascii="宋体" w:hAnsi="宋体" w:eastAsia="宋体" w:cs="宋体"/>
          <w:spacing w:val="-2"/>
          <w:sz w:val="24"/>
          <w:szCs w:val="24"/>
          <w14:textOutline w14:w="4358" w14:cap="sq" w14:cmpd="sng">
            <w14:solidFill>
              <w14:srgbClr w14:val="000000"/>
            </w14:solidFill>
            <w14:prstDash w14:val="solid"/>
            <w14:bevel/>
          </w14:textOutline>
        </w:rPr>
        <w:t>内容所在位置。</w:t>
      </w:r>
      <w:r>
        <w:rPr>
          <w:rFonts w:ascii="宋体" w:hAnsi="宋体" w:eastAsia="宋体" w:cs="宋体"/>
          <w:spacing w:val="-2"/>
          <w:sz w:val="24"/>
          <w:szCs w:val="24"/>
        </w:rPr>
        <w:t>供应商没有对磋商</w:t>
      </w:r>
      <w:r>
        <w:rPr>
          <w:rFonts w:ascii="宋体" w:hAnsi="宋体" w:eastAsia="宋体" w:cs="宋体"/>
          <w:spacing w:val="-3"/>
          <w:sz w:val="24"/>
          <w:szCs w:val="24"/>
        </w:rPr>
        <w:t>文件全面做出实质性响应是供应商的风险。没有按照磋商文件要求作出响应的磋商响应文件将被拒绝。</w:t>
      </w:r>
    </w:p>
    <w:p w14:paraId="7D95F5B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1"/>
          <w:sz w:val="24"/>
          <w:szCs w:val="24"/>
        </w:rPr>
        <w:t>2）</w:t>
      </w:r>
      <w:r>
        <w:rPr>
          <w:rFonts w:ascii="宋体" w:hAnsi="宋体" w:eastAsia="宋体" w:cs="宋体"/>
          <w:spacing w:val="-3"/>
          <w:sz w:val="24"/>
          <w:szCs w:val="24"/>
        </w:rPr>
        <w:t>磋商响应文件应字迹清楚，内容齐全，不得涂改和增删。如有修改错漏处，必须由供应商法定代表人或其授权代表签字。资格证明材料的复印件</w:t>
      </w:r>
      <w:r>
        <w:rPr>
          <w:rFonts w:hint="eastAsia" w:ascii="宋体" w:hAnsi="宋体" w:eastAsia="宋体" w:cs="宋体"/>
          <w:spacing w:val="-3"/>
          <w:sz w:val="24"/>
          <w:szCs w:val="24"/>
          <w:lang w:eastAsia="zh-CN"/>
        </w:rPr>
        <w:t>应</w:t>
      </w:r>
      <w:r>
        <w:rPr>
          <w:rFonts w:ascii="宋体" w:hAnsi="宋体" w:eastAsia="宋体" w:cs="宋体"/>
          <w:spacing w:val="-3"/>
          <w:sz w:val="24"/>
          <w:szCs w:val="24"/>
        </w:rPr>
        <w:t>清晰可辨并加盖供应商</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rPr>
        <w:t>。</w:t>
      </w:r>
    </w:p>
    <w:p w14:paraId="0FA33756">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3）磋商响应文件所提供的全部资料必须真实可靠。若磋商响应文件填报的内容资料不详，或提供了虚假资料，其磋商响应文件为无效磋商响应文件。</w:t>
      </w:r>
    </w:p>
    <w:p w14:paraId="1BD9C543">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4）磋商响应文件应严格按照磋商文件格式的要求提交</w:t>
      </w:r>
      <w:r>
        <w:rPr>
          <w:rFonts w:hint="eastAsia" w:ascii="宋体" w:hAnsi="宋体" w:eastAsia="宋体" w:cs="宋体"/>
          <w:spacing w:val="-3"/>
          <w:sz w:val="24"/>
          <w:szCs w:val="24"/>
          <w:lang w:eastAsia="zh-CN"/>
        </w:rPr>
        <w:t>不得随意改变格式，标注自拟或续页等可改变格式字样供应商方可自行填写否则按无效响应处理</w:t>
      </w:r>
      <w:r>
        <w:rPr>
          <w:rFonts w:ascii="宋体" w:hAnsi="宋体" w:eastAsia="宋体" w:cs="宋体"/>
          <w:spacing w:val="-3"/>
          <w:sz w:val="24"/>
          <w:szCs w:val="24"/>
        </w:rPr>
        <w:t>，并按规定的统一格式逐项填写，不准有空项；无相应内容可填的项应填写“无”、“未测试”、“没有相应指标”等明确的回答文字。</w:t>
      </w:r>
    </w:p>
    <w:p w14:paraId="10ACACF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响应语言</w:t>
      </w:r>
      <w:r>
        <w:rPr>
          <w:rFonts w:ascii="宋体" w:hAnsi="宋体" w:eastAsia="宋体" w:cs="宋体"/>
          <w:spacing w:val="-3"/>
          <w:sz w:val="24"/>
          <w:szCs w:val="24"/>
        </w:rPr>
        <w:t>：除专用术语外，与</w:t>
      </w:r>
      <w:r>
        <w:rPr>
          <w:rFonts w:hint="eastAsia" w:ascii="宋体" w:hAnsi="宋体" w:eastAsia="宋体" w:cs="宋体"/>
          <w:spacing w:val="-3"/>
          <w:sz w:val="24"/>
          <w:szCs w:val="24"/>
          <w:lang w:eastAsia="zh-CN"/>
        </w:rPr>
        <w:t>本项目</w:t>
      </w:r>
      <w:r>
        <w:rPr>
          <w:rFonts w:ascii="宋体" w:hAnsi="宋体" w:eastAsia="宋体" w:cs="宋体"/>
          <w:spacing w:val="-3"/>
          <w:sz w:val="24"/>
          <w:szCs w:val="24"/>
        </w:rPr>
        <w:t>有关的磋商响应文件、</w:t>
      </w:r>
      <w:r>
        <w:rPr>
          <w:rFonts w:hint="eastAsia" w:ascii="宋体" w:hAnsi="宋体" w:eastAsia="宋体" w:cs="宋体"/>
          <w:spacing w:val="-3"/>
          <w:sz w:val="24"/>
          <w:szCs w:val="24"/>
          <w:lang w:eastAsia="zh-CN"/>
        </w:rPr>
        <w:t>采购活动中</w:t>
      </w:r>
      <w:r>
        <w:rPr>
          <w:rFonts w:ascii="宋体" w:hAnsi="宋体" w:eastAsia="宋体" w:cs="宋体"/>
          <w:spacing w:val="-3"/>
          <w:sz w:val="24"/>
          <w:szCs w:val="24"/>
        </w:rPr>
        <w:t>交换的文件和往来信件应均使用中文。必要时专用术语应附有中文注释。</w:t>
      </w:r>
    </w:p>
    <w:p w14:paraId="2D3D8A8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6）计量单位：除法律规范中另有规定外，磋商响应文件使用的度量衡单位，均应使用中华人民共和国法定计量单位。</w:t>
      </w:r>
    </w:p>
    <w:p w14:paraId="1426F3F8">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w:t>
      </w:r>
      <w:r>
        <w:rPr>
          <w:rFonts w:hint="eastAsia" w:ascii="宋体" w:hAnsi="宋体" w:eastAsia="宋体" w:cs="宋体"/>
          <w:spacing w:val="-3"/>
          <w:sz w:val="24"/>
          <w:szCs w:val="24"/>
          <w:lang w:eastAsia="zh-CN"/>
        </w:rPr>
        <w:t>响应货币</w:t>
      </w:r>
      <w:r>
        <w:rPr>
          <w:rFonts w:ascii="宋体" w:hAnsi="宋体" w:eastAsia="宋体" w:cs="宋体"/>
          <w:spacing w:val="-3"/>
          <w:sz w:val="24"/>
          <w:szCs w:val="24"/>
        </w:rPr>
        <w:t>：本次</w:t>
      </w:r>
      <w:r>
        <w:rPr>
          <w:rFonts w:hint="eastAsia" w:ascii="宋体" w:hAnsi="宋体" w:eastAsia="宋体" w:cs="宋体"/>
          <w:spacing w:val="-3"/>
          <w:sz w:val="24"/>
          <w:szCs w:val="24"/>
          <w:lang w:eastAsia="zh-CN"/>
        </w:rPr>
        <w:t>采购项目</w:t>
      </w:r>
      <w:r>
        <w:rPr>
          <w:rFonts w:ascii="宋体" w:hAnsi="宋体" w:eastAsia="宋体" w:cs="宋体"/>
          <w:spacing w:val="-3"/>
          <w:sz w:val="24"/>
          <w:szCs w:val="24"/>
        </w:rPr>
        <w:t>的</w:t>
      </w:r>
      <w:r>
        <w:rPr>
          <w:rFonts w:hint="eastAsia" w:ascii="宋体" w:hAnsi="宋体" w:eastAsia="宋体" w:cs="宋体"/>
          <w:spacing w:val="-3"/>
          <w:sz w:val="24"/>
          <w:szCs w:val="24"/>
          <w:lang w:eastAsia="zh-CN"/>
        </w:rPr>
        <w:t>报价</w:t>
      </w:r>
      <w:r>
        <w:rPr>
          <w:rFonts w:ascii="宋体" w:hAnsi="宋体" w:eastAsia="宋体" w:cs="宋体"/>
          <w:spacing w:val="-3"/>
          <w:sz w:val="24"/>
          <w:szCs w:val="24"/>
        </w:rPr>
        <w:t>均以人民币报价。</w:t>
      </w:r>
    </w:p>
    <w:p w14:paraId="7539FF3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8）联合</w:t>
      </w:r>
      <w:r>
        <w:rPr>
          <w:rFonts w:hint="eastAsia" w:ascii="宋体" w:hAnsi="宋体" w:eastAsia="宋体" w:cs="宋体"/>
          <w:spacing w:val="-3"/>
          <w:sz w:val="24"/>
          <w:szCs w:val="24"/>
          <w:lang w:eastAsia="zh-CN"/>
        </w:rPr>
        <w:t>体</w:t>
      </w:r>
      <w:r>
        <w:rPr>
          <w:rFonts w:ascii="宋体" w:hAnsi="宋体" w:eastAsia="宋体" w:cs="宋体"/>
          <w:spacing w:val="-3"/>
          <w:sz w:val="24"/>
          <w:szCs w:val="24"/>
        </w:rPr>
        <w:t>：本项目不接受联合体。</w:t>
      </w:r>
    </w:p>
    <w:p w14:paraId="0FB6968D">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★2.《磋商响应文件》的组成</w:t>
      </w:r>
    </w:p>
    <w:p w14:paraId="14219DBB">
      <w:pPr>
        <w:pageBreakBefore w:val="0"/>
        <w:kinsoku/>
        <w:topLinePunct w:val="0"/>
        <w:bidi w:val="0"/>
        <w:spacing w:before="180" w:line="218" w:lineRule="auto"/>
        <w:ind w:left="471"/>
        <w:outlineLvl w:val="2"/>
        <w:rPr>
          <w:rFonts w:ascii="宋体" w:hAnsi="宋体" w:eastAsia="宋体" w:cs="宋体"/>
          <w:sz w:val="24"/>
          <w:szCs w:val="24"/>
          <w:highlight w:val="none"/>
        </w:rPr>
      </w:pPr>
      <w:r>
        <w:rPr>
          <w:rFonts w:ascii="宋体" w:hAnsi="宋体" w:eastAsia="宋体" w:cs="宋体"/>
          <w:spacing w:val="-1"/>
          <w:sz w:val="24"/>
          <w:szCs w:val="24"/>
          <w:highlight w:val="none"/>
          <w14:textOutline w14:w="4358" w14:cap="sq" w14:cmpd="sng">
            <w14:solidFill>
              <w14:srgbClr w14:val="000000"/>
            </w14:solidFill>
            <w14:prstDash w14:val="solid"/>
            <w14:bevel/>
          </w14:textOutline>
        </w:rPr>
        <w:t>2.1</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14:textOutline w14:w="4358" w14:cap="sq" w14:cmpd="sng">
            <w14:solidFill>
              <w14:srgbClr w14:val="000000"/>
            </w14:solidFill>
            <w14:prstDash w14:val="solid"/>
            <w14:bevel/>
          </w14:textOutline>
        </w:rPr>
        <w:t>商务文件部分、</w:t>
      </w:r>
      <w:r>
        <w:rPr>
          <w:rFonts w:hint="eastAsia" w:ascii="宋体" w:hAnsi="宋体" w:eastAsia="宋体" w:cs="宋体"/>
          <w:spacing w:val="-1"/>
          <w:sz w:val="24"/>
          <w:szCs w:val="24"/>
          <w:highlight w:val="none"/>
          <w:lang w:eastAsia="zh-CN"/>
          <w14:textOutline w14:w="4358" w14:cap="sq" w14:cmpd="sng">
            <w14:solidFill>
              <w14:srgbClr w14:val="000000"/>
            </w14:solidFill>
            <w14:prstDash w14:val="solid"/>
            <w14:bevel/>
          </w14:textOutline>
        </w:rPr>
        <w:t>磋商报价</w:t>
      </w:r>
      <w:r>
        <w:rPr>
          <w:rFonts w:ascii="宋体" w:hAnsi="宋体" w:eastAsia="宋体" w:cs="宋体"/>
          <w:spacing w:val="-1"/>
          <w:sz w:val="24"/>
          <w:szCs w:val="24"/>
          <w:highlight w:val="none"/>
          <w14:textOutline w14:w="4358" w14:cap="sq" w14:cmpd="sng">
            <w14:solidFill>
              <w14:srgbClr w14:val="000000"/>
            </w14:solidFill>
            <w14:prstDash w14:val="solid"/>
            <w14:bevel/>
          </w14:textOutline>
        </w:rPr>
        <w:t>部分应包括：</w:t>
      </w:r>
    </w:p>
    <w:p w14:paraId="4E9D54B9">
      <w:pPr>
        <w:pageBreakBefore w:val="0"/>
        <w:kinsoku/>
        <w:topLinePunct w:val="0"/>
        <w:bidi w:val="0"/>
        <w:spacing w:before="183" w:line="219" w:lineRule="auto"/>
        <w:ind w:left="514"/>
        <w:rPr>
          <w:rFonts w:ascii="宋体" w:hAnsi="宋体" w:eastAsia="宋体" w:cs="宋体"/>
          <w:sz w:val="24"/>
          <w:szCs w:val="24"/>
          <w:highlight w:val="none"/>
        </w:rPr>
      </w:pPr>
      <w:r>
        <w:rPr>
          <w:rFonts w:ascii="宋体" w:hAnsi="宋体" w:eastAsia="宋体" w:cs="宋体"/>
          <w:spacing w:val="-6"/>
          <w:sz w:val="24"/>
          <w:szCs w:val="24"/>
          <w:highlight w:val="none"/>
        </w:rPr>
        <w:t>目录（编制连续页码）</w:t>
      </w:r>
    </w:p>
    <w:p w14:paraId="11FEA123">
      <w:pPr>
        <w:pageBreakBefore w:val="0"/>
        <w:kinsoku/>
        <w:topLinePunct w:val="0"/>
        <w:bidi w:val="0"/>
        <w:spacing w:before="180" w:line="218" w:lineRule="auto"/>
        <w:ind w:left="245"/>
        <w:outlineLvl w:val="2"/>
        <w:rPr>
          <w:rFonts w:hint="eastAsia" w:ascii="宋体" w:hAnsi="宋体" w:eastAsia="宋体" w:cs="宋体"/>
          <w:spacing w:val="-4"/>
          <w:sz w:val="24"/>
          <w:szCs w:val="24"/>
          <w:highlight w:val="none"/>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highlight w:val="none"/>
          <w14:textOutline w14:w="4358" w14:cap="sq" w14:cmpd="sng">
            <w14:solidFill>
              <w14:srgbClr w14:val="000000"/>
            </w14:solidFill>
            <w14:prstDash w14:val="solid"/>
            <w14:bevel/>
          </w14:textOutline>
        </w:rPr>
        <w:t>报价文件部分</w:t>
      </w:r>
      <w:r>
        <w:rPr>
          <w:rFonts w:hint="eastAsia" w:ascii="宋体" w:hAnsi="宋体" w:eastAsia="宋体" w:cs="宋体"/>
          <w:spacing w:val="-4"/>
          <w:sz w:val="24"/>
          <w:szCs w:val="24"/>
          <w:highlight w:val="none"/>
          <w:lang w:eastAsia="zh-CN"/>
          <w14:textOutline w14:w="4358" w14:cap="sq" w14:cmpd="sng">
            <w14:solidFill>
              <w14:srgbClr w14:val="000000"/>
            </w14:solidFill>
            <w14:prstDash w14:val="solid"/>
            <w14:bevel/>
          </w14:textOutline>
        </w:rPr>
        <w:t>；</w:t>
      </w:r>
    </w:p>
    <w:p w14:paraId="3E4F76B4">
      <w:pPr>
        <w:keepNext w:val="0"/>
        <w:keepLines w:val="0"/>
        <w:pageBreakBefore w:val="0"/>
        <w:widowControl/>
        <w:kinsoku/>
        <w:wordWrap/>
        <w:overflowPunct/>
        <w:topLinePunct w:val="0"/>
        <w:autoSpaceDE w:val="0"/>
        <w:autoSpaceDN w:val="0"/>
        <w:bidi w:val="0"/>
        <w:adjustRightInd w:val="0"/>
        <w:snapToGrid w:val="0"/>
        <w:spacing w:before="65" w:line="440" w:lineRule="exact"/>
        <w:ind w:left="670"/>
        <w:textAlignment w:val="baseline"/>
        <w:outlineLvl w:val="1"/>
        <w:rPr>
          <w:rFonts w:ascii="仿宋" w:hAnsi="仿宋" w:eastAsia="仿宋" w:cs="仿宋"/>
          <w:sz w:val="24"/>
          <w:szCs w:val="24"/>
          <w:highlight w:val="none"/>
        </w:rPr>
      </w:pPr>
      <w:r>
        <w:rPr>
          <w:rFonts w:hint="eastAsia" w:ascii="仿宋" w:hAnsi="仿宋" w:eastAsia="仿宋" w:cs="仿宋"/>
          <w:b/>
          <w:bCs/>
          <w:spacing w:val="1"/>
          <w:sz w:val="24"/>
          <w:szCs w:val="24"/>
          <w:highlight w:val="none"/>
          <w:lang w:val="en-US" w:eastAsia="zh-CN"/>
        </w:rPr>
        <w:t>1.</w:t>
      </w:r>
      <w:r>
        <w:rPr>
          <w:rFonts w:hint="eastAsia" w:ascii="仿宋" w:hAnsi="仿宋" w:eastAsia="仿宋" w:cs="仿宋"/>
          <w:b/>
          <w:bCs/>
          <w:spacing w:val="1"/>
          <w:sz w:val="24"/>
          <w:szCs w:val="24"/>
          <w:highlight w:val="none"/>
          <w:lang w:eastAsia="zh-CN"/>
        </w:rPr>
        <w:t>响应</w:t>
      </w:r>
      <w:r>
        <w:rPr>
          <w:rFonts w:ascii="仿宋" w:hAnsi="仿宋" w:eastAsia="仿宋" w:cs="仿宋"/>
          <w:b/>
          <w:bCs/>
          <w:spacing w:val="1"/>
          <w:sz w:val="24"/>
          <w:szCs w:val="24"/>
          <w:highlight w:val="none"/>
        </w:rPr>
        <w:t>函</w:t>
      </w:r>
    </w:p>
    <w:p w14:paraId="2929D591">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sz w:val="24"/>
          <w:szCs w:val="24"/>
          <w:highlight w:val="none"/>
        </w:rPr>
      </w:pPr>
      <w:r>
        <w:rPr>
          <w:rFonts w:ascii="仿宋" w:hAnsi="仿宋" w:eastAsia="仿宋" w:cs="仿宋"/>
          <w:b/>
          <w:bCs/>
          <w:spacing w:val="6"/>
          <w:position w:val="14"/>
          <w:sz w:val="24"/>
          <w:szCs w:val="24"/>
          <w:highlight w:val="none"/>
        </w:rPr>
        <w:t>2.报价一览表</w:t>
      </w:r>
    </w:p>
    <w:p w14:paraId="3B2287F0">
      <w:pPr>
        <w:keepNext w:val="0"/>
        <w:keepLines w:val="0"/>
        <w:pageBreakBefore w:val="0"/>
        <w:widowControl/>
        <w:kinsoku/>
        <w:wordWrap/>
        <w:overflowPunct/>
        <w:topLinePunct w:val="0"/>
        <w:autoSpaceDE w:val="0"/>
        <w:autoSpaceDN w:val="0"/>
        <w:bidi w:val="0"/>
        <w:adjustRightInd w:val="0"/>
        <w:snapToGrid w:val="0"/>
        <w:spacing w:before="1" w:line="440" w:lineRule="exact"/>
        <w:ind w:left="659"/>
        <w:textAlignment w:val="baseline"/>
        <w:rPr>
          <w:rFonts w:hint="eastAsia" w:ascii="宋体" w:hAnsi="宋体" w:eastAsia="宋体" w:cs="宋体"/>
          <w:spacing w:val="-4"/>
          <w:sz w:val="24"/>
          <w:szCs w:val="24"/>
          <w:highlight w:val="none"/>
          <w:lang w:eastAsia="zh-CN"/>
          <w14:textOutline w14:w="4358" w14:cap="sq" w14:cmpd="sng">
            <w14:solidFill>
              <w14:srgbClr w14:val="000000"/>
            </w14:solidFill>
            <w14:prstDash w14:val="solid"/>
            <w14:bevel/>
          </w14:textOutline>
        </w:rPr>
      </w:pPr>
      <w:r>
        <w:rPr>
          <w:rFonts w:ascii="仿宋" w:hAnsi="仿宋" w:eastAsia="仿宋" w:cs="仿宋"/>
          <w:b/>
          <w:bCs/>
          <w:spacing w:val="6"/>
          <w:sz w:val="24"/>
          <w:szCs w:val="24"/>
          <w:highlight w:val="none"/>
        </w:rPr>
        <w:t>3.分项报价明细表</w:t>
      </w:r>
    </w:p>
    <w:p w14:paraId="34BB4871">
      <w:pPr>
        <w:keepNext w:val="0"/>
        <w:keepLines w:val="0"/>
        <w:pageBreakBefore w:val="0"/>
        <w:widowControl/>
        <w:kinsoku/>
        <w:wordWrap/>
        <w:overflowPunct/>
        <w:topLinePunct w:val="0"/>
        <w:autoSpaceDE w:val="0"/>
        <w:autoSpaceDN w:val="0"/>
        <w:bidi w:val="0"/>
        <w:adjustRightInd w:val="0"/>
        <w:snapToGrid w:val="0"/>
        <w:spacing w:before="150" w:line="440" w:lineRule="exact"/>
        <w:ind w:firstLine="232" w:firstLineChars="100"/>
        <w:textAlignment w:val="baseline"/>
        <w:rPr>
          <w:rFonts w:hint="eastAsia" w:ascii="宋体" w:hAnsi="宋体" w:eastAsia="宋体" w:cs="宋体"/>
          <w:spacing w:val="-4"/>
          <w:sz w:val="24"/>
          <w:szCs w:val="24"/>
          <w:highlight w:val="none"/>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highlight w:val="none"/>
          <w14:textOutline w14:w="4358" w14:cap="sq" w14:cmpd="sng">
            <w14:solidFill>
              <w14:srgbClr w14:val="000000"/>
            </w14:solidFill>
            <w14:prstDash w14:val="solid"/>
            <w14:bevel/>
          </w14:textOutline>
        </w:rPr>
        <w:t>商务技术文件部分</w:t>
      </w:r>
      <w:r>
        <w:rPr>
          <w:rFonts w:hint="eastAsia" w:ascii="宋体" w:hAnsi="宋体" w:eastAsia="宋体" w:cs="宋体"/>
          <w:spacing w:val="-4"/>
          <w:sz w:val="24"/>
          <w:szCs w:val="24"/>
          <w:highlight w:val="none"/>
          <w:lang w:eastAsia="zh-CN"/>
          <w14:textOutline w14:w="4358" w14:cap="sq" w14:cmpd="sng">
            <w14:solidFill>
              <w14:srgbClr w14:val="000000"/>
            </w14:solidFill>
            <w14:prstDash w14:val="solid"/>
            <w14:bevel/>
          </w14:textOutline>
        </w:rPr>
        <w:t>：</w:t>
      </w:r>
    </w:p>
    <w:p w14:paraId="24812EA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4.</w:t>
      </w:r>
      <w:r>
        <w:rPr>
          <w:rFonts w:ascii="仿宋" w:hAnsi="仿宋" w:eastAsia="仿宋" w:cs="仿宋"/>
          <w:b/>
          <w:bCs/>
          <w:spacing w:val="6"/>
          <w:position w:val="14"/>
          <w:sz w:val="24"/>
          <w:szCs w:val="24"/>
        </w:rPr>
        <w:t>法定代表人身份证明</w:t>
      </w:r>
    </w:p>
    <w:p w14:paraId="43622F32">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5</w:t>
      </w:r>
      <w:r>
        <w:rPr>
          <w:rFonts w:ascii="仿宋" w:hAnsi="仿宋" w:eastAsia="仿宋" w:cs="仿宋"/>
          <w:b/>
          <w:bCs/>
          <w:spacing w:val="6"/>
          <w:position w:val="14"/>
          <w:sz w:val="24"/>
          <w:szCs w:val="24"/>
        </w:rPr>
        <w:t>.法定代表人授权委托书</w:t>
      </w:r>
    </w:p>
    <w:p w14:paraId="39CC5734">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6</w:t>
      </w:r>
      <w:r>
        <w:rPr>
          <w:rFonts w:ascii="仿宋" w:hAnsi="仿宋" w:eastAsia="仿宋" w:cs="仿宋"/>
          <w:b/>
          <w:bCs/>
          <w:spacing w:val="6"/>
          <w:position w:val="14"/>
          <w:sz w:val="24"/>
          <w:szCs w:val="24"/>
        </w:rPr>
        <w:t>.</w:t>
      </w:r>
      <w:r>
        <w:rPr>
          <w:rFonts w:hint="eastAsia" w:ascii="仿宋" w:hAnsi="仿宋" w:eastAsia="仿宋" w:cs="仿宋"/>
          <w:b/>
          <w:bCs/>
          <w:spacing w:val="6"/>
          <w:position w:val="14"/>
          <w:sz w:val="24"/>
          <w:szCs w:val="24"/>
          <w:lang w:eastAsia="zh-CN"/>
        </w:rPr>
        <w:t>供应商</w:t>
      </w:r>
      <w:r>
        <w:rPr>
          <w:rFonts w:ascii="仿宋" w:hAnsi="仿宋" w:eastAsia="仿宋" w:cs="仿宋"/>
          <w:b/>
          <w:bCs/>
          <w:spacing w:val="6"/>
          <w:position w:val="14"/>
          <w:sz w:val="24"/>
          <w:szCs w:val="24"/>
        </w:rPr>
        <w:t>基本情况</w:t>
      </w:r>
    </w:p>
    <w:p w14:paraId="0664671D">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7</w:t>
      </w:r>
      <w:r>
        <w:rPr>
          <w:rFonts w:ascii="仿宋" w:hAnsi="仿宋" w:eastAsia="仿宋" w:cs="仿宋"/>
          <w:b/>
          <w:bCs/>
          <w:spacing w:val="6"/>
          <w:position w:val="14"/>
          <w:sz w:val="24"/>
          <w:szCs w:val="24"/>
        </w:rPr>
        <w:t>.近三年无重大违法记录声明</w:t>
      </w:r>
    </w:p>
    <w:p w14:paraId="055F149E">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8.具有履行合同所必须的设备和专业技术能力的承诺函</w:t>
      </w:r>
    </w:p>
    <w:p w14:paraId="1551A5BD">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9.提供单位负责人为同一人或者存在直接控股、管理关系的不同供应商，不得参加同一合同项下的政府采购活动的书面声明（格式自拟）</w:t>
      </w:r>
    </w:p>
    <w:p w14:paraId="17FD5143">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10.拟投入本项目管理、服务、其他人员情况表</w:t>
      </w:r>
    </w:p>
    <w:p w14:paraId="50B34C5E">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11.方案</w:t>
      </w:r>
    </w:p>
    <w:p w14:paraId="77BA5C4B">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12.其它证明材料</w:t>
      </w:r>
    </w:p>
    <w:p w14:paraId="3ACEF1E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13.项目经理无在建项目承诺函</w:t>
      </w:r>
    </w:p>
    <w:p w14:paraId="57C0948A">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宋体" w:hAnsi="宋体" w:eastAsia="宋体" w:cs="宋体"/>
          <w:spacing w:val="-4"/>
          <w:sz w:val="24"/>
          <w:szCs w:val="24"/>
          <w:highlight w:val="yellow"/>
          <w:lang w:eastAsia="zh-CN"/>
          <w14:textOutline w14:w="4358" w14:cap="sq" w14:cmpd="sng">
            <w14:solidFill>
              <w14:srgbClr w14:val="000000"/>
            </w14:solidFill>
            <w14:prstDash w14:val="solid"/>
            <w14:bevel/>
          </w14:textOutline>
        </w:rPr>
      </w:pPr>
      <w:r>
        <w:rPr>
          <w:rFonts w:hint="eastAsia" w:ascii="仿宋" w:hAnsi="仿宋" w:eastAsia="仿宋" w:cs="仿宋"/>
          <w:b/>
          <w:bCs/>
          <w:spacing w:val="6"/>
          <w:position w:val="14"/>
          <w:sz w:val="24"/>
          <w:szCs w:val="24"/>
          <w:lang w:val="en-US" w:eastAsia="zh-CN"/>
        </w:rPr>
        <w:t>14.声明函</w:t>
      </w:r>
    </w:p>
    <w:p w14:paraId="254FF983">
      <w:pPr>
        <w:pageBreakBefore w:val="0"/>
        <w:kinsoku/>
        <w:topLinePunct w:val="0"/>
        <w:bidi w:val="0"/>
        <w:spacing w:before="180" w:line="218" w:lineRule="auto"/>
        <w:ind w:left="245"/>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3.价格</w:t>
      </w:r>
    </w:p>
    <w:p w14:paraId="2DA3EDEF">
      <w:pPr>
        <w:pageBreakBefore w:val="0"/>
        <w:kinsoku/>
        <w:topLinePunct w:val="0"/>
        <w:bidi w:val="0"/>
        <w:spacing w:before="185" w:line="218" w:lineRule="auto"/>
        <w:ind w:left="480"/>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（1）报价方式：</w:t>
      </w:r>
    </w:p>
    <w:p w14:paraId="245C24B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供应商应按磋商文件规定的要求、责任范围和合同条件，以人民币进行报价</w:t>
      </w:r>
    </w:p>
    <w:p w14:paraId="6EFBCD1F">
      <w:pPr>
        <w:pageBreakBefore w:val="0"/>
        <w:kinsoku/>
        <w:topLinePunct w:val="0"/>
        <w:bidi w:val="0"/>
        <w:spacing w:before="182" w:line="218" w:lineRule="auto"/>
        <w:ind w:left="245"/>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（2）报价要求：</w:t>
      </w:r>
    </w:p>
    <w:p w14:paraId="15531144">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①本项目只允许供应商在磋商响应文件中有一个</w:t>
      </w:r>
      <w:r>
        <w:rPr>
          <w:rFonts w:hint="eastAsia" w:ascii="宋体" w:hAnsi="宋体" w:eastAsia="宋体" w:cs="宋体"/>
          <w:spacing w:val="-3"/>
          <w:sz w:val="24"/>
          <w:szCs w:val="24"/>
          <w:lang w:eastAsia="zh-CN"/>
        </w:rPr>
        <w:t>方案和报价</w:t>
      </w:r>
      <w:r>
        <w:rPr>
          <w:rFonts w:ascii="宋体" w:hAnsi="宋体" w:eastAsia="宋体" w:cs="宋体"/>
          <w:spacing w:val="-3"/>
          <w:sz w:val="24"/>
          <w:szCs w:val="24"/>
        </w:rPr>
        <w:t>，不接受任何有选择的方案和报价；供应商未按要求，提供了选择方案和/或报价的，其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将被视为无效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w:t>
      </w:r>
    </w:p>
    <w:p w14:paraId="29FD6A4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供应商按磋商文件要求填写“开标一览表”。</w:t>
      </w:r>
    </w:p>
    <w:p w14:paraId="67038FED">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报价：本次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rPr>
        <w:t>的报价，含从服务地点、验收合格、交付使用售后服务等的人民币报价。综合单价包括了供应商的人工、保险、利润、税金、政策性文件的规定以及包括合同明示或暗示的所有一切风险、责任和义务的费用，本次报价必须考虑。</w:t>
      </w:r>
    </w:p>
    <w:p w14:paraId="3B6E4B70">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★4.磋商响应文件格式</w:t>
      </w:r>
    </w:p>
    <w:p w14:paraId="71C5829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供应商应按《磋商文件》的内容与要求和第五章提供的格式编写其《磋商响应文件》，供应商不得空留或缺少任何《磋商文件》要求填写的表格或提交的资料，未列出格式的部分供应商可自行编制。</w:t>
      </w:r>
    </w:p>
    <w:p w14:paraId="43873BB4">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4.2 供应商提交的《磋商响应文件》中全部资料必须真实可靠，并接受采购人、</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对其中任何资料进一步审查的要求。</w:t>
      </w:r>
    </w:p>
    <w:p w14:paraId="29C3114C">
      <w:pPr>
        <w:pageBreakBefore w:val="0"/>
        <w:kinsoku/>
        <w:topLinePunct w:val="0"/>
        <w:bidi w:val="0"/>
        <w:spacing w:before="182" w:line="220" w:lineRule="auto"/>
        <w:ind w:left="4"/>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★5.投标有效期</w:t>
      </w:r>
    </w:p>
    <w:p w14:paraId="1FFF66A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磋商响应文件有效期从</w:t>
      </w:r>
      <w:r>
        <w:rPr>
          <w:rFonts w:hint="eastAsia" w:ascii="宋体" w:hAnsi="宋体" w:eastAsia="宋体" w:cs="宋体"/>
          <w:i w:val="0"/>
          <w:iCs w:val="0"/>
          <w:caps w:val="0"/>
          <w:color w:val="333333"/>
          <w:spacing w:val="0"/>
          <w:sz w:val="24"/>
          <w:szCs w:val="24"/>
          <w:shd w:val="clear" w:fill="FFFFFF"/>
        </w:rPr>
        <w:t>响应文件提交的截止时间</w:t>
      </w:r>
      <w:r>
        <w:rPr>
          <w:rFonts w:ascii="宋体" w:hAnsi="宋体" w:eastAsia="宋体" w:cs="宋体"/>
          <w:spacing w:val="-3"/>
          <w:sz w:val="24"/>
          <w:szCs w:val="24"/>
        </w:rPr>
        <w:t>起计算</w:t>
      </w:r>
      <w:r>
        <w:rPr>
          <w:rFonts w:hint="eastAsia" w:ascii="宋体" w:hAnsi="宋体" w:eastAsia="宋体" w:cs="宋体"/>
          <w:spacing w:val="-3"/>
          <w:sz w:val="24"/>
          <w:szCs w:val="24"/>
          <w:lang w:val="en-US" w:eastAsia="zh-CN"/>
        </w:rPr>
        <w:t>60</w:t>
      </w:r>
      <w:r>
        <w:rPr>
          <w:rFonts w:ascii="宋体" w:hAnsi="宋体" w:eastAsia="宋体" w:cs="宋体"/>
          <w:spacing w:val="-3"/>
          <w:sz w:val="24"/>
          <w:szCs w:val="24"/>
        </w:rPr>
        <w:t>天，</w:t>
      </w:r>
      <w:r>
        <w:rPr>
          <w:rFonts w:hint="eastAsia" w:ascii="宋体" w:hAnsi="宋体" w:eastAsia="宋体" w:cs="宋体"/>
          <w:spacing w:val="-3"/>
          <w:sz w:val="24"/>
          <w:szCs w:val="24"/>
          <w:lang w:eastAsia="zh-CN"/>
        </w:rPr>
        <w:t>供应商需做出响应，</w:t>
      </w:r>
      <w:r>
        <w:rPr>
          <w:rFonts w:ascii="宋体" w:hAnsi="宋体" w:eastAsia="宋体" w:cs="宋体"/>
          <w:spacing w:val="-3"/>
          <w:sz w:val="24"/>
          <w:szCs w:val="24"/>
        </w:rPr>
        <w:t>有效期</w:t>
      </w:r>
      <w:r>
        <w:rPr>
          <w:rFonts w:hint="eastAsia" w:ascii="宋体" w:hAnsi="宋体" w:eastAsia="宋体" w:cs="宋体"/>
          <w:spacing w:val="-3"/>
          <w:sz w:val="24"/>
          <w:szCs w:val="24"/>
          <w:lang w:eastAsia="zh-CN"/>
        </w:rPr>
        <w:t>未响应或</w:t>
      </w:r>
      <w:r>
        <w:rPr>
          <w:rFonts w:ascii="宋体" w:hAnsi="宋体" w:eastAsia="宋体" w:cs="宋体"/>
          <w:spacing w:val="-3"/>
          <w:sz w:val="24"/>
          <w:szCs w:val="24"/>
        </w:rPr>
        <w:t>短于该规定期限的磋商响应文件将被拒绝。在此期限内，供应商不得要求撤销或修改其磋商响应文件。</w:t>
      </w:r>
    </w:p>
    <w:p w14:paraId="22A495D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若供应商被确定为本次</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，则其作为本项目</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的资格。</w:t>
      </w:r>
    </w:p>
    <w:p w14:paraId="39A48CF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在特殊情况下，采购人在原定有效期内，可以根据需要以书面形式向供应商提出延长有效期的要求，对此要求供应商须以书面形式予以答复。供应商可以拒绝采购人这种要求，而不被没收</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。同意延长有效期的供应商既不能要求也不允许修改其磋商响应文件，但需要相应的延长</w:t>
      </w:r>
      <w:r>
        <w:rPr>
          <w:rFonts w:hint="eastAsia" w:ascii="宋体" w:hAnsi="宋体" w:eastAsia="宋体" w:cs="宋体"/>
          <w:spacing w:val="-3"/>
          <w:sz w:val="24"/>
          <w:szCs w:val="24"/>
          <w:lang w:eastAsia="zh-CN"/>
        </w:rPr>
        <w:t>磋商</w:t>
      </w:r>
      <w:r>
        <w:rPr>
          <w:rFonts w:ascii="宋体" w:hAnsi="宋体" w:eastAsia="宋体" w:cs="宋体"/>
          <w:spacing w:val="-3"/>
          <w:sz w:val="24"/>
          <w:szCs w:val="24"/>
        </w:rPr>
        <w:t>担保的有效期，在延长的有效期内本须知第30条关于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的退还与没收的规定仍然适用。</w:t>
      </w:r>
    </w:p>
    <w:p w14:paraId="7DB8ADB1">
      <w:pPr>
        <w:pageBreakBefore w:val="0"/>
        <w:kinsoku/>
        <w:topLinePunct w:val="0"/>
        <w:bidi w:val="0"/>
        <w:spacing w:before="180" w:line="220" w:lineRule="auto"/>
        <w:ind w:left="2"/>
        <w:outlineLvl w:val="2"/>
        <w:rPr>
          <w:rFonts w:hint="eastAsia" w:ascii="宋体" w:hAnsi="宋体" w:eastAsia="宋体" w:cs="宋体"/>
          <w:sz w:val="24"/>
          <w:szCs w:val="24"/>
          <w:lang w:eastAsia="zh-CN"/>
        </w:rPr>
      </w:pPr>
      <w:r>
        <w:rPr>
          <w:rFonts w:ascii="宋体" w:hAnsi="宋体" w:eastAsia="宋体" w:cs="宋体"/>
          <w:spacing w:val="-1"/>
          <w:sz w:val="24"/>
          <w:szCs w:val="24"/>
          <w14:textOutline w14:w="4358" w14:cap="sq" w14:cmpd="sng">
            <w14:solidFill>
              <w14:srgbClr w14:val="000000"/>
            </w14:solidFill>
            <w14:prstDash w14:val="solid"/>
            <w14:bevel/>
          </w14:textOutline>
        </w:rPr>
        <w:t>6.</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磋商保证金</w:t>
      </w:r>
    </w:p>
    <w:p w14:paraId="534A2FA6">
      <w:pPr>
        <w:pageBreakBefore w:val="0"/>
        <w:kinsoku/>
        <w:topLinePunct w:val="0"/>
        <w:bidi w:val="0"/>
        <w:spacing w:before="181" w:line="219" w:lineRule="auto"/>
        <w:ind w:left="481"/>
        <w:rPr>
          <w:rFonts w:hint="eastAsia" w:ascii="宋体" w:hAnsi="宋体" w:eastAsia="宋体" w:cs="宋体"/>
          <w:sz w:val="24"/>
          <w:szCs w:val="24"/>
          <w:lang w:eastAsia="zh-CN"/>
        </w:rPr>
      </w:pPr>
      <w:r>
        <w:rPr>
          <w:rFonts w:ascii="宋体" w:hAnsi="宋体" w:eastAsia="宋体" w:cs="宋体"/>
          <w:spacing w:val="-1"/>
          <w:sz w:val="24"/>
          <w:szCs w:val="24"/>
        </w:rPr>
        <w:t>本项目无须缴纳</w:t>
      </w:r>
      <w:r>
        <w:rPr>
          <w:rFonts w:hint="eastAsia" w:ascii="宋体" w:hAnsi="宋体" w:eastAsia="宋体" w:cs="宋体"/>
          <w:spacing w:val="-1"/>
          <w:sz w:val="24"/>
          <w:szCs w:val="24"/>
          <w:lang w:eastAsia="zh-CN"/>
        </w:rPr>
        <w:t>磋商保证金</w:t>
      </w:r>
    </w:p>
    <w:p w14:paraId="424158AC">
      <w:pPr>
        <w:pageBreakBefore w:val="0"/>
        <w:kinsoku/>
        <w:topLinePunct w:val="0"/>
        <w:bidi w:val="0"/>
        <w:spacing w:before="182" w:line="219" w:lineRule="auto"/>
        <w:ind w:left="4"/>
        <w:outlineLvl w:val="2"/>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1"/>
          <w:sz w:val="24"/>
          <w:szCs w:val="24"/>
          <w14:textOutline w14:w="4358" w14:cap="sq" w14:cmpd="sng">
            <w14:solidFill>
              <w14:srgbClr w14:val="000000"/>
            </w14:solidFill>
            <w14:prstDash w14:val="solid"/>
            <w14:bevel/>
          </w14:textOutline>
        </w:rPr>
        <w:t>7.磋商响应文件的印制和签署</w:t>
      </w:r>
    </w:p>
    <w:p w14:paraId="04592B3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供应商应按“供应商须知前附表”规定的份数提交《磋商响应文件》，否则视为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6EA0419A">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响应文件电子版要求：按照本</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“第五章 响应文件格式”编写（第五章未 附格式的，由供应商自行拟定），不可涂改并在规定加盖公章处加盖电子</w:t>
      </w:r>
      <w:r>
        <w:rPr>
          <w:rFonts w:hint="eastAsia" w:ascii="宋体" w:hAnsi="宋体" w:eastAsia="宋体" w:cs="宋体"/>
          <w:spacing w:val="-3"/>
          <w:sz w:val="24"/>
          <w:szCs w:val="24"/>
          <w:lang w:eastAsia="zh-CN"/>
        </w:rPr>
        <w:t>印章</w:t>
      </w:r>
      <w:r>
        <w:rPr>
          <w:rFonts w:ascii="宋体" w:hAnsi="宋体" w:eastAsia="宋体" w:cs="宋体"/>
          <w:spacing w:val="-3"/>
          <w:sz w:val="24"/>
          <w:szCs w:val="24"/>
        </w:rPr>
        <w:t>，否则响应文件按无效响应处理。</w:t>
      </w:r>
    </w:p>
    <w:p w14:paraId="573ACD8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7.3 响应文件电子版密封方式：电子响应文件通过平台有效CA加密后在“政采云”平台投送。（操作方式见公告要求“电子响应文件制作与投送教程”）</w:t>
      </w:r>
    </w:p>
    <w:p w14:paraId="6F05675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7.4 本项目采用电子</w:t>
      </w:r>
      <w:r>
        <w:rPr>
          <w:rFonts w:hint="eastAsia" w:ascii="宋体" w:hAnsi="宋体" w:eastAsia="宋体" w:cs="宋体"/>
          <w:spacing w:val="-3"/>
          <w:sz w:val="24"/>
          <w:szCs w:val="24"/>
          <w:lang w:eastAsia="zh-CN"/>
        </w:rPr>
        <w:t>流程</w:t>
      </w:r>
      <w:r>
        <w:rPr>
          <w:rFonts w:ascii="宋体" w:hAnsi="宋体" w:eastAsia="宋体" w:cs="宋体"/>
          <w:spacing w:val="-3"/>
          <w:sz w:val="24"/>
          <w:szCs w:val="24"/>
        </w:rPr>
        <w:t>，</w:t>
      </w:r>
      <w:r>
        <w:rPr>
          <w:rFonts w:hint="eastAsia" w:ascii="宋体" w:hAnsi="宋体" w:eastAsia="宋体" w:cs="宋体"/>
          <w:spacing w:val="-3"/>
          <w:sz w:val="24"/>
          <w:szCs w:val="24"/>
          <w:lang w:eastAsia="zh-CN"/>
        </w:rPr>
        <w:t>会议</w:t>
      </w:r>
      <w:r>
        <w:rPr>
          <w:rFonts w:ascii="宋体" w:hAnsi="宋体" w:eastAsia="宋体" w:cs="宋体"/>
          <w:spacing w:val="-3"/>
          <w:sz w:val="24"/>
          <w:szCs w:val="24"/>
        </w:rPr>
        <w:t>现场无需提供纸质版</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在</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公示期满后提交三套纸质版响应文件给代理机构存档备案。</w:t>
      </w:r>
    </w:p>
    <w:p w14:paraId="1E322D30">
      <w:pPr>
        <w:pageBreakBefore w:val="0"/>
        <w:kinsoku/>
        <w:topLinePunct w:val="0"/>
        <w:bidi w:val="0"/>
        <w:spacing w:before="178" w:line="360" w:lineRule="auto"/>
        <w:ind w:right="59" w:firstLine="498"/>
        <w:rPr>
          <w:rFonts w:ascii="宋体" w:hAnsi="宋体" w:eastAsia="宋体" w:cs="宋体"/>
          <w:b/>
          <w:bCs/>
          <w:spacing w:val="-3"/>
          <w:sz w:val="24"/>
          <w:szCs w:val="24"/>
        </w:rPr>
      </w:pPr>
      <w:r>
        <w:rPr>
          <w:rFonts w:ascii="宋体" w:hAnsi="宋体" w:eastAsia="宋体" w:cs="宋体"/>
          <w:b/>
          <w:bCs/>
          <w:spacing w:val="-3"/>
          <w:sz w:val="24"/>
          <w:szCs w:val="24"/>
        </w:rPr>
        <w:t>特别提示：提交的纸质版《</w:t>
      </w:r>
      <w:r>
        <w:rPr>
          <w:rFonts w:hint="eastAsia" w:ascii="宋体" w:hAnsi="宋体" w:eastAsia="宋体" w:cs="宋体"/>
          <w:b/>
          <w:bCs/>
          <w:spacing w:val="-3"/>
          <w:sz w:val="24"/>
          <w:szCs w:val="24"/>
          <w:lang w:eastAsia="zh-CN"/>
        </w:rPr>
        <w:t>响应文件</w:t>
      </w:r>
      <w:r>
        <w:rPr>
          <w:rFonts w:ascii="宋体" w:hAnsi="宋体" w:eastAsia="宋体" w:cs="宋体"/>
          <w:b/>
          <w:bCs/>
          <w:spacing w:val="-3"/>
          <w:sz w:val="24"/>
          <w:szCs w:val="24"/>
        </w:rPr>
        <w:t>》内容与</w:t>
      </w:r>
      <w:r>
        <w:rPr>
          <w:rFonts w:hint="eastAsia" w:ascii="宋体" w:hAnsi="宋体" w:eastAsia="宋体" w:cs="宋体"/>
          <w:b/>
          <w:bCs/>
          <w:spacing w:val="-3"/>
          <w:sz w:val="24"/>
          <w:szCs w:val="24"/>
          <w:lang w:eastAsia="zh-CN"/>
        </w:rPr>
        <w:t>会议</w:t>
      </w:r>
      <w:r>
        <w:rPr>
          <w:rFonts w:ascii="宋体" w:hAnsi="宋体" w:eastAsia="宋体" w:cs="宋体"/>
          <w:b/>
          <w:bCs/>
          <w:spacing w:val="-3"/>
          <w:sz w:val="24"/>
          <w:szCs w:val="24"/>
        </w:rPr>
        <w:t>时</w:t>
      </w:r>
      <w:r>
        <w:rPr>
          <w:rFonts w:hint="eastAsia" w:ascii="宋体" w:hAnsi="宋体" w:eastAsia="宋体" w:cs="宋体"/>
          <w:b/>
          <w:bCs/>
          <w:spacing w:val="-3"/>
          <w:sz w:val="24"/>
          <w:szCs w:val="24"/>
          <w:lang w:eastAsia="zh-CN"/>
        </w:rPr>
        <w:t>提交的</w:t>
      </w:r>
      <w:r>
        <w:rPr>
          <w:rFonts w:ascii="宋体" w:hAnsi="宋体" w:eastAsia="宋体" w:cs="宋体"/>
          <w:b/>
          <w:bCs/>
          <w:spacing w:val="-3"/>
          <w:sz w:val="24"/>
          <w:szCs w:val="24"/>
        </w:rPr>
        <w:t>电子</w:t>
      </w:r>
      <w:r>
        <w:rPr>
          <w:rFonts w:hint="eastAsia" w:ascii="宋体" w:hAnsi="宋体" w:eastAsia="宋体" w:cs="宋体"/>
          <w:b/>
          <w:bCs/>
          <w:spacing w:val="-3"/>
          <w:sz w:val="24"/>
          <w:szCs w:val="24"/>
          <w:lang w:eastAsia="zh-CN"/>
        </w:rPr>
        <w:t>《响应文件》应当</w:t>
      </w:r>
      <w:r>
        <w:rPr>
          <w:rFonts w:ascii="宋体" w:hAnsi="宋体" w:eastAsia="宋体" w:cs="宋体"/>
          <w:b/>
          <w:bCs/>
          <w:spacing w:val="-3"/>
          <w:sz w:val="24"/>
          <w:szCs w:val="24"/>
        </w:rPr>
        <w:t>完全一致。</w:t>
      </w:r>
    </w:p>
    <w:p w14:paraId="222D821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7.5 除供应商对错误处须修改外，全套《磋商响应文件》</w:t>
      </w:r>
      <w:r>
        <w:rPr>
          <w:rFonts w:hint="eastAsia" w:ascii="宋体" w:hAnsi="宋体" w:eastAsia="宋体" w:cs="宋体"/>
          <w:spacing w:val="-3"/>
          <w:sz w:val="24"/>
          <w:szCs w:val="24"/>
          <w:lang w:eastAsia="zh-CN"/>
        </w:rPr>
        <w:t>应当</w:t>
      </w:r>
      <w:r>
        <w:rPr>
          <w:rFonts w:ascii="宋体" w:hAnsi="宋体" w:eastAsia="宋体" w:cs="宋体"/>
          <w:spacing w:val="-3"/>
          <w:sz w:val="24"/>
          <w:szCs w:val="24"/>
        </w:rPr>
        <w:t>无涂改或行间插字和增删。如有修改，修改处应由供应商加盖</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的</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rPr>
        <w:t>或由《磋商响应文件》签字人签字或盖章。字迹潦草、表达不清或可能导致非唯一理解的磋商响应文件可能视为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3F1DC65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7.6 《磋商响应文件》应根据《磋商文件》的要求签署及盖章，内容应完整详细，如有遗漏，将被视为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00DC686D">
      <w:pPr>
        <w:pStyle w:val="4"/>
        <w:pageBreakBefore w:val="0"/>
        <w:kinsoku/>
        <w:topLinePunct w:val="0"/>
        <w:bidi w:val="0"/>
        <w:spacing w:line="335" w:lineRule="auto"/>
      </w:pPr>
    </w:p>
    <w:p w14:paraId="08C75C99">
      <w:pPr>
        <w:pageBreakBefore w:val="0"/>
        <w:kinsoku/>
        <w:topLinePunct w:val="0"/>
        <w:bidi w:val="0"/>
        <w:spacing w:before="91" w:line="220" w:lineRule="auto"/>
        <w:ind w:left="238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（五）磋商响应文件的提交及相关事项</w:t>
      </w:r>
    </w:p>
    <w:p w14:paraId="00A4202A">
      <w:pPr>
        <w:pageBreakBefore w:val="0"/>
        <w:kinsoku/>
        <w:topLinePunct w:val="0"/>
        <w:bidi w:val="0"/>
        <w:spacing w:before="204"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1.磋商响应文件的密封和标记</w:t>
      </w:r>
    </w:p>
    <w:p w14:paraId="1301E163">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1.1.电子</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使用“新疆维吾尔自治区全流程电子招投标项目管理系统--供应商客户端”制作完成，生成电子加密标书（ .jmbs）上传至政采云平台。</w:t>
      </w:r>
    </w:p>
    <w:p w14:paraId="5CE1AB8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1.2.供应商制作电子</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加密文件应与开标现场解密时的数字证书（CA 锁）同为一把，若因数字证书（CA 锁）不是同一把锁导致现场解密失败的，供应商自行承担后果。</w:t>
      </w:r>
    </w:p>
    <w:p w14:paraId="357776C6">
      <w:pPr>
        <w:pStyle w:val="4"/>
        <w:pageBreakBefore w:val="0"/>
        <w:kinsoku/>
        <w:topLinePunct w:val="0"/>
        <w:bidi w:val="0"/>
        <w:spacing w:line="242" w:lineRule="auto"/>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2.磋商响应文件的提交</w:t>
      </w:r>
    </w:p>
    <w:p w14:paraId="65657C3F">
      <w:pPr>
        <w:pStyle w:val="4"/>
        <w:pageBreakBefore w:val="0"/>
        <w:kinsoku/>
        <w:topLinePunct w:val="0"/>
        <w:bidi w:val="0"/>
        <w:spacing w:line="242" w:lineRule="auto"/>
      </w:pPr>
    </w:p>
    <w:p w14:paraId="1274B4F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供应商应按本须知前附表所规定的地点，于递交截止时间前提交磋商响应文件。</w:t>
      </w:r>
    </w:p>
    <w:p w14:paraId="272C7C3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2.2 </w:t>
      </w:r>
      <w:r>
        <w:rPr>
          <w:rFonts w:hint="eastAsia" w:ascii="宋体" w:hAnsi="宋体" w:eastAsia="宋体" w:cs="宋体"/>
          <w:i w:val="0"/>
          <w:iCs w:val="0"/>
          <w:caps w:val="0"/>
          <w:color w:val="333333"/>
          <w:spacing w:val="0"/>
          <w:sz w:val="24"/>
          <w:szCs w:val="24"/>
          <w:shd w:val="clear" w:fill="FFFFFF"/>
        </w:rPr>
        <w:t>提交</w:t>
      </w:r>
      <w:r>
        <w:rPr>
          <w:rFonts w:hint="eastAsia" w:ascii="宋体" w:hAnsi="宋体" w:eastAsia="宋体" w:cs="宋体"/>
          <w:i w:val="0"/>
          <w:iCs w:val="0"/>
          <w:caps w:val="0"/>
          <w:color w:val="333333"/>
          <w:spacing w:val="0"/>
          <w:sz w:val="24"/>
          <w:szCs w:val="24"/>
          <w:shd w:val="clear" w:fill="FFFFFF"/>
          <w:lang w:eastAsia="zh-CN"/>
        </w:rPr>
        <w:t>首次</w:t>
      </w:r>
      <w:r>
        <w:rPr>
          <w:rFonts w:hint="eastAsia" w:ascii="宋体" w:hAnsi="宋体" w:eastAsia="宋体" w:cs="宋体"/>
          <w:i w:val="0"/>
          <w:iCs w:val="0"/>
          <w:caps w:val="0"/>
          <w:color w:val="333333"/>
          <w:spacing w:val="0"/>
          <w:sz w:val="24"/>
          <w:szCs w:val="24"/>
          <w:shd w:val="clear" w:fill="FFFFFF"/>
        </w:rPr>
        <w:t>响应文件截止时间</w:t>
      </w:r>
      <w:r>
        <w:rPr>
          <w:rFonts w:ascii="宋体" w:hAnsi="宋体" w:eastAsia="宋体" w:cs="宋体"/>
          <w:spacing w:val="-3"/>
          <w:sz w:val="24"/>
          <w:szCs w:val="24"/>
        </w:rPr>
        <w:t>为《磋商文件》“供应商须知前附表”中规定时间，逾期的《磋商响应文件》</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和采购人概不接受。</w:t>
      </w:r>
    </w:p>
    <w:p w14:paraId="7E575C1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到</w:t>
      </w:r>
      <w:r>
        <w:rPr>
          <w:rFonts w:hint="eastAsia" w:ascii="宋体" w:hAnsi="宋体" w:eastAsia="宋体" w:cs="宋体"/>
          <w:spacing w:val="-3"/>
          <w:sz w:val="24"/>
          <w:szCs w:val="24"/>
          <w:lang w:eastAsia="zh-CN"/>
        </w:rPr>
        <w:t>提交首次响应文件</w:t>
      </w:r>
      <w:r>
        <w:rPr>
          <w:rFonts w:ascii="宋体" w:hAnsi="宋体" w:eastAsia="宋体" w:cs="宋体"/>
          <w:spacing w:val="-3"/>
          <w:sz w:val="24"/>
          <w:szCs w:val="24"/>
        </w:rPr>
        <w:t>截止时间止，采购人收到的磋商响应文件少于3个的，采购人将依法重新组织</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w:t>
      </w:r>
    </w:p>
    <w:p w14:paraId="18CA22E8">
      <w:pPr>
        <w:pageBreakBefore w:val="0"/>
        <w:kinsoku/>
        <w:topLinePunct w:val="0"/>
        <w:bidi w:val="0"/>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（六）</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磋商流程</w:t>
      </w:r>
    </w:p>
    <w:p w14:paraId="228F46F2">
      <w:pPr>
        <w:pageBreakBefore w:val="0"/>
        <w:kinsoku/>
        <w:topLinePunct w:val="0"/>
        <w:bidi w:val="0"/>
        <w:spacing w:before="217" w:line="219" w:lineRule="auto"/>
        <w:ind w:left="18"/>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w:t>
      </w:r>
      <w:r>
        <w:rPr>
          <w:rFonts w:ascii="宋体" w:hAnsi="宋体" w:eastAsia="宋体" w:cs="宋体"/>
          <w:spacing w:val="-1"/>
          <w:sz w:val="24"/>
          <w:szCs w:val="24"/>
          <w14:textOutline w14:w="4358" w14:cap="sq" w14:cmpd="sng">
            <w14:solidFill>
              <w14:srgbClr w14:val="000000"/>
            </w14:solidFill>
            <w14:prstDash w14:val="solid"/>
            <w14:bevel/>
          </w14:textOutline>
        </w:rPr>
        <w:t>时间、地点：详见供应商须知前附表</w:t>
      </w:r>
    </w:p>
    <w:p w14:paraId="4977A0E0">
      <w:pPr>
        <w:pageBreakBefore w:val="0"/>
        <w:kinsoku/>
        <w:topLinePunct w:val="0"/>
        <w:bidi w:val="0"/>
        <w:spacing w:before="181" w:line="219" w:lineRule="auto"/>
        <w:ind w:left="3"/>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2.</w:t>
      </w:r>
      <w:r>
        <w:rPr>
          <w:rFonts w:ascii="宋体" w:hAnsi="宋体" w:eastAsia="宋体" w:cs="宋体"/>
          <w:sz w:val="24"/>
          <w:szCs w:val="24"/>
        </w:rPr>
        <w:t xml:space="preserve"> </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磋商</w:t>
      </w:r>
      <w:r>
        <w:rPr>
          <w:rFonts w:ascii="宋体" w:hAnsi="宋体" w:eastAsia="宋体" w:cs="宋体"/>
          <w:sz w:val="24"/>
          <w:szCs w:val="24"/>
          <w14:textOutline w14:w="4358" w14:cap="sq" w14:cmpd="sng">
            <w14:solidFill>
              <w14:srgbClr w14:val="000000"/>
            </w14:solidFill>
            <w14:prstDash w14:val="solid"/>
            <w14:bevel/>
          </w14:textOutline>
        </w:rPr>
        <w:t>程序：详见供应商须知前附表</w:t>
      </w:r>
    </w:p>
    <w:p w14:paraId="197208BB">
      <w:pPr>
        <w:pStyle w:val="4"/>
        <w:pageBreakBefore w:val="0"/>
        <w:kinsoku/>
        <w:topLinePunct w:val="0"/>
        <w:bidi w:val="0"/>
        <w:spacing w:line="332" w:lineRule="auto"/>
      </w:pPr>
    </w:p>
    <w:p w14:paraId="31D1B2FD">
      <w:pPr>
        <w:pageBreakBefore w:val="0"/>
        <w:kinsoku/>
        <w:topLinePunct w:val="0"/>
        <w:bidi w:val="0"/>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（七）评</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审</w:t>
      </w:r>
    </w:p>
    <w:p w14:paraId="63AE1641">
      <w:pPr>
        <w:pageBreakBefore w:val="0"/>
        <w:kinsoku/>
        <w:topLinePunct w:val="0"/>
        <w:bidi w:val="0"/>
        <w:spacing w:before="217" w:line="220" w:lineRule="auto"/>
        <w:ind w:left="498"/>
        <w:rPr>
          <w:rFonts w:hint="eastAsia" w:ascii="宋体" w:hAnsi="宋体" w:eastAsia="宋体" w:cs="宋体"/>
          <w:sz w:val="24"/>
          <w:szCs w:val="24"/>
          <w:lang w:eastAsia="zh-CN"/>
        </w:rPr>
      </w:pPr>
      <w:r>
        <w:rPr>
          <w:rFonts w:ascii="宋体" w:hAnsi="宋体" w:eastAsia="宋体" w:cs="宋体"/>
          <w:spacing w:val="-7"/>
          <w:sz w:val="24"/>
          <w:szCs w:val="24"/>
          <w14:textOutline w14:w="4358" w14:cap="sq" w14:cmpd="sng">
            <w14:solidFill>
              <w14:srgbClr w14:val="000000"/>
            </w14:solidFill>
            <w14:prstDash w14:val="solid"/>
            <w14:bevel/>
          </w14:textOutline>
        </w:rPr>
        <w:t>1.</w:t>
      </w:r>
      <w:r>
        <w:rPr>
          <w:rFonts w:hint="eastAsia" w:ascii="宋体" w:hAnsi="宋体" w:eastAsia="宋体" w:cs="宋体"/>
          <w:spacing w:val="-7"/>
          <w:sz w:val="24"/>
          <w:szCs w:val="24"/>
          <w:lang w:eastAsia="zh-CN"/>
          <w14:textOutline w14:w="4358" w14:cap="sq" w14:cmpd="sng">
            <w14:solidFill>
              <w14:srgbClr w14:val="000000"/>
            </w14:solidFill>
            <w14:prstDash w14:val="solid"/>
            <w14:bevel/>
          </w14:textOutline>
        </w:rPr>
        <w:t>评审</w:t>
      </w:r>
    </w:p>
    <w:p w14:paraId="68A65B23">
      <w:pPr>
        <w:pageBreakBefore w:val="0"/>
        <w:kinsoku/>
        <w:topLinePunct w:val="0"/>
        <w:bidi w:val="0"/>
        <w:spacing w:before="182"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1.1</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磋商小组</w:t>
      </w:r>
    </w:p>
    <w:p w14:paraId="1EEDDA7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1.1.1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由采购人依法组建的磋商小组负责。磋商小组由</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人评审专家组成，若由于项目供应商数过多可征求监管部门同意后增加磋商小组人数，</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专家从政采云专家库中随机抽取产生。</w:t>
      </w:r>
    </w:p>
    <w:p w14:paraId="01A7071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1.1.2  磋商小组成员有下列情形之一的，应当回避；</w:t>
      </w:r>
    </w:p>
    <w:p w14:paraId="6EC64A3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（1）采购人或供应商的主要负责人的近亲属；</w:t>
      </w:r>
    </w:p>
    <w:p w14:paraId="07D412A6">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（2）项目主管部门或者行政监督部门的人员；</w:t>
      </w:r>
    </w:p>
    <w:p w14:paraId="0799BEF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（3）与供应商有经济利益关系，可能影响对投标公正评审的；</w:t>
      </w:r>
    </w:p>
    <w:p w14:paraId="649DF027">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（4）曾因在招标、</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以及其他与招标投标有关活动中从事违法行为而受过行政处罚或刑事处罚的。</w:t>
      </w:r>
    </w:p>
    <w:p w14:paraId="120BF201">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其他可能</w:t>
      </w:r>
      <w:r>
        <w:rPr>
          <w:rFonts w:ascii="宋体" w:hAnsi="宋体" w:eastAsia="宋体" w:cs="宋体"/>
          <w:spacing w:val="-3"/>
          <w:sz w:val="24"/>
          <w:szCs w:val="24"/>
        </w:rPr>
        <w:t>影响公正</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的情形。</w:t>
      </w:r>
    </w:p>
    <w:p w14:paraId="72C8325E">
      <w:pPr>
        <w:pageBreakBefore w:val="0"/>
        <w:kinsoku/>
        <w:topLinePunct w:val="0"/>
        <w:bidi w:val="0"/>
        <w:spacing w:before="179"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w:t>
      </w:r>
      <w:r>
        <w:rPr>
          <w:rFonts w:ascii="宋体" w:hAnsi="宋体" w:eastAsia="宋体" w:cs="宋体"/>
          <w:spacing w:val="-3"/>
          <w:sz w:val="24"/>
          <w:szCs w:val="24"/>
        </w:rPr>
        <w:t xml:space="preserve">  </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3"/>
          <w:sz w:val="24"/>
          <w:szCs w:val="24"/>
          <w14:textOutline w14:w="4358" w14:cap="sq" w14:cmpd="sng">
            <w14:solidFill>
              <w14:srgbClr w14:val="000000"/>
            </w14:solidFill>
            <w14:prstDash w14:val="solid"/>
            <w14:bevel/>
          </w14:textOutline>
        </w:rPr>
        <w:t>原则</w:t>
      </w:r>
    </w:p>
    <w:p w14:paraId="710BC1F7">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活动遵循公平、公正、科学和择优的原则。</w:t>
      </w:r>
    </w:p>
    <w:p w14:paraId="0EA56EAA">
      <w:pPr>
        <w:pageBreakBefore w:val="0"/>
        <w:kinsoku/>
        <w:topLinePunct w:val="0"/>
        <w:bidi w:val="0"/>
        <w:spacing w:before="181" w:line="220" w:lineRule="auto"/>
        <w:ind w:left="498"/>
        <w:rPr>
          <w:rFonts w:hint="eastAsia" w:ascii="宋体" w:hAnsi="宋体" w:eastAsia="宋体" w:cs="宋体"/>
          <w:sz w:val="24"/>
          <w:szCs w:val="24"/>
          <w:lang w:eastAsia="zh-CN"/>
        </w:rPr>
      </w:pPr>
      <w:r>
        <w:rPr>
          <w:rFonts w:ascii="宋体" w:hAnsi="宋体" w:eastAsia="宋体" w:cs="宋体"/>
          <w:spacing w:val="-7"/>
          <w:sz w:val="24"/>
          <w:szCs w:val="24"/>
          <w14:textOutline w14:w="4358" w14:cap="sq" w14:cmpd="sng">
            <w14:solidFill>
              <w14:srgbClr w14:val="000000"/>
            </w14:solidFill>
            <w14:prstDash w14:val="solid"/>
            <w14:bevel/>
          </w14:textOutline>
        </w:rPr>
        <w:t>1.3</w:t>
      </w:r>
      <w:r>
        <w:rPr>
          <w:rFonts w:ascii="宋体" w:hAnsi="宋体" w:eastAsia="宋体" w:cs="宋体"/>
          <w:spacing w:val="4"/>
          <w:sz w:val="24"/>
          <w:szCs w:val="24"/>
        </w:rPr>
        <w:t xml:space="preserve">  </w:t>
      </w:r>
      <w:r>
        <w:rPr>
          <w:rFonts w:hint="eastAsia" w:ascii="宋体" w:hAnsi="宋体" w:eastAsia="宋体" w:cs="宋体"/>
          <w:spacing w:val="-7"/>
          <w:sz w:val="24"/>
          <w:szCs w:val="24"/>
          <w:lang w:eastAsia="zh-CN"/>
          <w14:textOutline w14:w="4358" w14:cap="sq" w14:cmpd="sng">
            <w14:solidFill>
              <w14:srgbClr w14:val="000000"/>
            </w14:solidFill>
            <w14:prstDash w14:val="solid"/>
            <w14:bevel/>
          </w14:textOutline>
        </w:rPr>
        <w:t>评审</w:t>
      </w:r>
    </w:p>
    <w:p w14:paraId="6DAE65BD">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磋商小组按照磋商文件中规定的方法、评审因素、标准和程序对磋商响应文件进行评审。</w:t>
      </w:r>
    </w:p>
    <w:p w14:paraId="17F465A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磋商文件中没有规定的方法、评审因素和标准，不作为</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依据。</w:t>
      </w:r>
    </w:p>
    <w:p w14:paraId="4C6BC6F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详见“</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办法”内容。</w:t>
      </w:r>
    </w:p>
    <w:p w14:paraId="67D8ADC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1.4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过程严格保密。供应商对评委会的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过程或合同授予决定施加影响的任何行为都可能导致其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被拒绝。</w:t>
      </w:r>
    </w:p>
    <w:p w14:paraId="456C782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1.5 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期间，评委会可要求供应商对其磋商响应文件中非实质性的有关问题进行澄清、说明或者补正。有关澄清、说明或者补正的要求和答复应以书面形式提交。供应商的澄清、说明或者补正不得超出磋商响应文件的范围或者改变磋商响应文件的实质性内容。</w:t>
      </w:r>
    </w:p>
    <w:p w14:paraId="4950072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1.6 评委会认定实质性响应磋商文件的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是磋商响应文件与磋商文件要求的全部条款、条件和规格相符，没有实质性负偏离。评委会评审磋商响应文件的响应性依据是磋商响应文件本身的内容，而不寻求外部的证据。</w:t>
      </w:r>
    </w:p>
    <w:p w14:paraId="6986A88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1.7 如果磋商响应文件没有实质性响应磋商文件的要求，评委会将予以拒绝。供应商不得通过修正或</w:t>
      </w:r>
      <w:r>
        <w:rPr>
          <w:rFonts w:hint="eastAsia" w:ascii="宋体" w:hAnsi="宋体" w:eastAsia="宋体" w:cs="宋体"/>
          <w:spacing w:val="-3"/>
          <w:sz w:val="24"/>
          <w:szCs w:val="24"/>
          <w:lang w:eastAsia="zh-CN"/>
        </w:rPr>
        <w:t>撤销不符</w:t>
      </w:r>
      <w:r>
        <w:rPr>
          <w:rFonts w:ascii="宋体" w:hAnsi="宋体" w:eastAsia="宋体" w:cs="宋体"/>
          <w:spacing w:val="-3"/>
          <w:sz w:val="24"/>
          <w:szCs w:val="24"/>
        </w:rPr>
        <w:t>合要求的偏离或保留从而使其成为实质性响应的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w:t>
      </w:r>
    </w:p>
    <w:p w14:paraId="7B7F089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1.8 评委会只对确定为实质性响应磋商文件要求的磋商响应文件，根据磋商文件的评审标准采用相同的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程序、评分办法进行评价和比较。</w:t>
      </w:r>
    </w:p>
    <w:p w14:paraId="666192B8">
      <w:pPr>
        <w:pStyle w:val="4"/>
        <w:pageBreakBefore w:val="0"/>
        <w:kinsoku/>
        <w:topLinePunct w:val="0"/>
        <w:bidi w:val="0"/>
        <w:spacing w:line="333" w:lineRule="auto"/>
      </w:pPr>
    </w:p>
    <w:p w14:paraId="3544E429">
      <w:pPr>
        <w:pageBreakBefore w:val="0"/>
        <w:kinsoku/>
        <w:topLinePunct w:val="0"/>
        <w:bidi w:val="0"/>
        <w:spacing w:before="98" w:line="220" w:lineRule="auto"/>
        <w:jc w:val="center"/>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（八）</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确定成交供应商</w:t>
      </w:r>
    </w:p>
    <w:p w14:paraId="0636343B">
      <w:pPr>
        <w:pageBreakBefore w:val="0"/>
        <w:kinsoku/>
        <w:topLinePunct w:val="0"/>
        <w:bidi w:val="0"/>
        <w:spacing w:before="217" w:line="220" w:lineRule="auto"/>
        <w:ind w:left="1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w:t>
      </w:r>
      <w:r>
        <w:rPr>
          <w:rFonts w:hint="eastAsia" w:ascii="宋体" w:hAnsi="宋体" w:eastAsia="宋体" w:cs="宋体"/>
          <w:spacing w:val="-6"/>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6"/>
          <w:sz w:val="24"/>
          <w:szCs w:val="24"/>
          <w14:textOutline w14:w="4358" w14:cap="sq" w14:cmpd="sng">
            <w14:solidFill>
              <w14:srgbClr w14:val="000000"/>
            </w14:solidFill>
            <w14:prstDash w14:val="solid"/>
            <w14:bevel/>
          </w14:textOutline>
        </w:rPr>
        <w:t>：</w:t>
      </w:r>
    </w:p>
    <w:p w14:paraId="553A4F54">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原则：能够最大限度满足磋商文件中规定的各项综合评价标准得分</w:t>
      </w:r>
      <w:r>
        <w:rPr>
          <w:rFonts w:hint="eastAsia" w:ascii="宋体" w:hAnsi="宋体" w:eastAsia="宋体" w:cs="宋体"/>
          <w:spacing w:val="-3"/>
          <w:sz w:val="24"/>
          <w:szCs w:val="24"/>
          <w:lang w:eastAsia="zh-CN"/>
        </w:rPr>
        <w:t>由高到低</w:t>
      </w:r>
      <w:r>
        <w:rPr>
          <w:rFonts w:ascii="宋体" w:hAnsi="宋体" w:eastAsia="宋体" w:cs="宋体"/>
          <w:spacing w:val="-3"/>
          <w:sz w:val="24"/>
          <w:szCs w:val="24"/>
        </w:rPr>
        <w:t>依序确定。</w:t>
      </w:r>
    </w:p>
    <w:p w14:paraId="74E1F10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1.2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方法：综合评分法。</w:t>
      </w:r>
    </w:p>
    <w:p w14:paraId="6EEEDFF1">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1.3 </w:t>
      </w:r>
      <w:r>
        <w:rPr>
          <w:rFonts w:hint="eastAsia" w:ascii="宋体" w:hAnsi="宋体" w:eastAsia="宋体" w:cs="宋体"/>
          <w:spacing w:val="-3"/>
          <w:sz w:val="24"/>
          <w:szCs w:val="24"/>
          <w:lang w:eastAsia="zh-CN"/>
        </w:rPr>
        <w:t>确定成交供应商</w:t>
      </w:r>
      <w:r>
        <w:rPr>
          <w:rFonts w:ascii="宋体" w:hAnsi="宋体" w:eastAsia="宋体" w:cs="宋体"/>
          <w:spacing w:val="-3"/>
          <w:sz w:val="24"/>
          <w:szCs w:val="24"/>
        </w:rPr>
        <w:t>方式：根据评委会推荐的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rPr>
        <w:t>名单，按顺序确定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w:t>
      </w:r>
    </w:p>
    <w:p w14:paraId="7E3B6842">
      <w:pPr>
        <w:pageBreakBefore w:val="0"/>
        <w:kinsoku/>
        <w:topLinePunct w:val="0"/>
        <w:bidi w:val="0"/>
        <w:spacing w:before="184" w:line="220" w:lineRule="auto"/>
        <w:ind w:left="3"/>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w:t>
      </w: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2"/>
          <w:sz w:val="24"/>
          <w:szCs w:val="24"/>
          <w14:textOutline w14:w="4358" w14:cap="sq" w14:cmpd="sng">
            <w14:solidFill>
              <w14:srgbClr w14:val="000000"/>
            </w14:solidFill>
            <w14:prstDash w14:val="solid"/>
            <w14:bevel/>
          </w14:textOutline>
        </w:rPr>
        <w:t>程序</w:t>
      </w:r>
    </w:p>
    <w:p w14:paraId="4EB0B65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磋商小组按照综合评审打分结果由高到低排列顺序。</w:t>
      </w:r>
    </w:p>
    <w:p w14:paraId="54A74E2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 磋商小组根据评审报告和被推荐的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rPr>
        <w:t>，按综合得分高低排列顺序依序确定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w:t>
      </w:r>
    </w:p>
    <w:p w14:paraId="2EAF1F1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2.3 </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在新疆政府采购网公布。同时向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发出《</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w:t>
      </w:r>
    </w:p>
    <w:p w14:paraId="3620A806">
      <w:pPr>
        <w:pageBreakBefore w:val="0"/>
        <w:kinsoku/>
        <w:topLinePunct w:val="0"/>
        <w:bidi w:val="0"/>
        <w:spacing w:before="184" w:line="219" w:lineRule="auto"/>
        <w:ind w:left="5"/>
        <w:outlineLvl w:val="2"/>
        <w:rPr>
          <w:rFonts w:hint="eastAsia" w:ascii="宋体" w:hAnsi="宋体" w:eastAsia="宋体" w:cs="宋体"/>
          <w:sz w:val="24"/>
          <w:szCs w:val="24"/>
          <w:lang w:eastAsia="zh-CN"/>
        </w:rPr>
      </w:pPr>
      <w:r>
        <w:rPr>
          <w:rFonts w:ascii="宋体" w:hAnsi="宋体" w:eastAsia="宋体" w:cs="宋体"/>
          <w:spacing w:val="-6"/>
          <w:sz w:val="24"/>
          <w:szCs w:val="24"/>
          <w14:textOutline w14:w="4358" w14:cap="sq" w14:cmpd="sng">
            <w14:solidFill>
              <w14:srgbClr w14:val="000000"/>
            </w14:solidFill>
            <w14:prstDash w14:val="solid"/>
            <w14:bevel/>
          </w14:textOutline>
        </w:rPr>
        <w:t>3.</w:t>
      </w:r>
      <w:r>
        <w:rPr>
          <w:rFonts w:ascii="宋体" w:hAnsi="宋体" w:eastAsia="宋体" w:cs="宋体"/>
          <w:spacing w:val="31"/>
          <w:sz w:val="24"/>
          <w:szCs w:val="24"/>
        </w:rPr>
        <w:t xml:space="preserve"> </w:t>
      </w:r>
      <w:r>
        <w:rPr>
          <w:rFonts w:hint="eastAsia" w:ascii="宋体" w:hAnsi="宋体" w:eastAsia="宋体" w:cs="宋体"/>
          <w:spacing w:val="-6"/>
          <w:sz w:val="24"/>
          <w:szCs w:val="24"/>
          <w:lang w:eastAsia="zh-CN"/>
          <w14:textOutline w14:w="4358" w14:cap="sq" w14:cmpd="sng">
            <w14:solidFill>
              <w14:srgbClr w14:val="000000"/>
            </w14:solidFill>
            <w14:prstDash w14:val="solid"/>
            <w14:bevel/>
          </w14:textOutline>
        </w:rPr>
        <w:t>成交通知书</w:t>
      </w:r>
    </w:p>
    <w:p w14:paraId="480E16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将以书面形式《</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》通知</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的供应商其投标被接受。在该通知书发出</w:t>
      </w:r>
      <w:r>
        <w:rPr>
          <w:rFonts w:hint="eastAsia" w:ascii="宋体" w:hAnsi="宋体" w:eastAsia="宋体" w:cs="宋体"/>
          <w:spacing w:val="-3"/>
          <w:sz w:val="24"/>
          <w:szCs w:val="24"/>
          <w:lang w:eastAsia="zh-CN"/>
        </w:rPr>
        <w:t>三</w:t>
      </w:r>
      <w:r>
        <w:rPr>
          <w:rFonts w:ascii="宋体" w:hAnsi="宋体" w:eastAsia="宋体" w:cs="宋体"/>
          <w:spacing w:val="-3"/>
          <w:sz w:val="24"/>
          <w:szCs w:val="24"/>
        </w:rPr>
        <w:t>十日内，</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rPr>
        <w:t>应与采购人签订《合同》。</w:t>
      </w:r>
    </w:p>
    <w:p w14:paraId="021372B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3.2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为签订《合同》的依据，是合同的有效组成部分。</w:t>
      </w:r>
    </w:p>
    <w:p w14:paraId="1540BD69">
      <w:pPr>
        <w:pStyle w:val="4"/>
        <w:keepNext w:val="0"/>
        <w:keepLines w:val="0"/>
        <w:pageBreakBefore w:val="0"/>
        <w:widowControl/>
        <w:kinsoku/>
        <w:wordWrap/>
        <w:overflowPunct/>
        <w:topLinePunct w:val="0"/>
        <w:autoSpaceDE w:val="0"/>
        <w:autoSpaceDN w:val="0"/>
        <w:bidi w:val="0"/>
        <w:adjustRightInd w:val="0"/>
        <w:snapToGrid w:val="0"/>
        <w:spacing w:line="243" w:lineRule="auto"/>
        <w:ind w:firstLine="468" w:firstLineChars="200"/>
        <w:textAlignment w:val="baseline"/>
      </w:pPr>
      <w:r>
        <w:rPr>
          <w:rFonts w:ascii="宋体" w:hAnsi="宋体" w:eastAsia="宋体" w:cs="宋体"/>
          <w:spacing w:val="-3"/>
          <w:sz w:val="24"/>
          <w:szCs w:val="24"/>
        </w:rPr>
        <w:t xml:space="preserve">3.3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对采购人和</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均具有法律效力。</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发出后，采购人改变</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，或者</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无正当理由放弃</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的，应当承担相应的法律责任。</w:t>
      </w:r>
    </w:p>
    <w:p w14:paraId="5ACD1BDA">
      <w:pPr>
        <w:pStyle w:val="4"/>
        <w:pageBreakBefore w:val="0"/>
        <w:kinsoku/>
        <w:wordWrap/>
        <w:topLinePunct w:val="0"/>
        <w:bidi w:val="0"/>
        <w:spacing w:line="242" w:lineRule="auto"/>
      </w:pPr>
    </w:p>
    <w:p w14:paraId="341FAF1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3.4 </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的磋商响应文件本应作为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处理或者有政府采购法律法规规章制度规定的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无效情形的，</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在取得有权主体的认定以后，应当宣布发出的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 xml:space="preserve"> 通知书无效，并收回发出的</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也应当缴回），依法重新确定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或者重新开展采购活动。</w:t>
      </w:r>
    </w:p>
    <w:p w14:paraId="7CA3D66B">
      <w:pPr>
        <w:pStyle w:val="4"/>
        <w:pageBreakBefore w:val="0"/>
        <w:kinsoku/>
        <w:topLinePunct w:val="0"/>
        <w:bidi w:val="0"/>
        <w:spacing w:line="332" w:lineRule="auto"/>
      </w:pPr>
    </w:p>
    <w:p w14:paraId="45A49FA4">
      <w:pPr>
        <w:pageBreakBefore w:val="0"/>
        <w:kinsoku/>
        <w:wordWrap/>
        <w:topLinePunct w:val="0"/>
        <w:bidi w:val="0"/>
        <w:spacing w:before="98" w:line="220" w:lineRule="auto"/>
        <w:ind w:left="3724"/>
        <w:outlineLvl w:val="1"/>
        <w:rPr>
          <w:rFonts w:hint="eastAsia" w:ascii="宋体" w:hAnsi="宋体" w:eastAsia="宋体" w:cs="宋体"/>
          <w:sz w:val="30"/>
          <w:szCs w:val="30"/>
          <w:lang w:eastAsia="zh-CN"/>
        </w:rPr>
      </w:pPr>
      <w:r>
        <w:rPr>
          <w:rFonts w:ascii="宋体" w:hAnsi="宋体" w:eastAsia="宋体" w:cs="宋体"/>
          <w:spacing w:val="-3"/>
          <w:sz w:val="30"/>
          <w:szCs w:val="30"/>
          <w14:textOutline w14:w="5448" w14:cap="sq" w14:cmpd="sng">
            <w14:solidFill>
              <w14:srgbClr w14:val="000000"/>
            </w14:solidFill>
            <w14:prstDash w14:val="solid"/>
            <w14:bevel/>
          </w14:textOutline>
        </w:rPr>
        <w:t>（九）</w:t>
      </w:r>
      <w:bookmarkStart w:id="7" w:name="OLE_LINK30"/>
      <w:r>
        <w:rPr>
          <w:rFonts w:ascii="宋体" w:hAnsi="宋体" w:eastAsia="宋体" w:cs="宋体"/>
          <w:spacing w:val="-3"/>
          <w:sz w:val="30"/>
          <w:szCs w:val="30"/>
          <w14:textOutline w14:w="5448" w14:cap="sq" w14:cmpd="sng">
            <w14:solidFill>
              <w14:srgbClr w14:val="000000"/>
            </w14:solidFill>
            <w14:prstDash w14:val="solid"/>
            <w14:bevel/>
          </w14:textOutline>
        </w:rPr>
        <w:t>重新</w:t>
      </w:r>
      <w:r>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t>开展采购活动</w:t>
      </w:r>
    </w:p>
    <w:bookmarkEnd w:id="7"/>
    <w:p w14:paraId="75F8E2CE">
      <w:pPr>
        <w:pageBreakBefore w:val="0"/>
        <w:kinsoku/>
        <w:wordWrap/>
        <w:topLinePunct w:val="0"/>
        <w:bidi w:val="0"/>
        <w:spacing w:before="215" w:line="360" w:lineRule="auto"/>
        <w:ind w:left="18"/>
        <w:outlineLvl w:val="2"/>
        <w:rPr>
          <w:rFonts w:hint="eastAsia" w:ascii="宋体" w:hAnsi="宋体" w:eastAsia="宋体" w:cs="宋体"/>
          <w:sz w:val="28"/>
          <w:szCs w:val="28"/>
          <w:lang w:eastAsia="zh-CN"/>
        </w:rPr>
      </w:pPr>
      <w:r>
        <w:rPr>
          <w:rFonts w:ascii="宋体" w:hAnsi="宋体" w:eastAsia="宋体" w:cs="宋体"/>
          <w:spacing w:val="-4"/>
          <w:sz w:val="28"/>
          <w:szCs w:val="28"/>
          <w14:textOutline w14:w="4358" w14:cap="sq" w14:cmpd="sng">
            <w14:solidFill>
              <w14:srgbClr w14:val="000000"/>
            </w14:solidFill>
            <w14:prstDash w14:val="solid"/>
            <w14:bevel/>
          </w14:textOutline>
        </w:rPr>
        <w:t>1．重新</w:t>
      </w:r>
      <w:r>
        <w:rPr>
          <w:rFonts w:hint="eastAsia" w:ascii="宋体" w:hAnsi="宋体" w:eastAsia="宋体" w:cs="宋体"/>
          <w:spacing w:val="-4"/>
          <w:sz w:val="28"/>
          <w:szCs w:val="28"/>
          <w:lang w:eastAsia="zh-CN"/>
          <w14:textOutline w14:w="4358" w14:cap="sq" w14:cmpd="sng">
            <w14:solidFill>
              <w14:srgbClr w14:val="000000"/>
            </w14:solidFill>
            <w14:prstDash w14:val="solid"/>
            <w14:bevel/>
          </w14:textOutline>
        </w:rPr>
        <w:t>开展采购活动</w:t>
      </w:r>
    </w:p>
    <w:p w14:paraId="27083DA0">
      <w:pPr>
        <w:pStyle w:val="4"/>
        <w:pageBreakBefore w:val="0"/>
        <w:kinsoku/>
        <w:wordWrap/>
        <w:topLinePunct w:val="0"/>
        <w:bidi w:val="0"/>
        <w:spacing w:line="360" w:lineRule="auto"/>
        <w:ind w:firstLine="480" w:firstLineChars="200"/>
        <w:rPr>
          <w:sz w:val="24"/>
          <w:szCs w:val="24"/>
        </w:rPr>
      </w:pPr>
      <w:r>
        <w:rPr>
          <w:rFonts w:hint="eastAsia"/>
          <w:sz w:val="24"/>
          <w:szCs w:val="24"/>
        </w:rPr>
        <w:t>出现下列情形之一的，采购人或者采购代理机构</w:t>
      </w:r>
      <w:r>
        <w:rPr>
          <w:rFonts w:hint="eastAsia" w:eastAsia="宋体"/>
          <w:sz w:val="24"/>
          <w:szCs w:val="24"/>
          <w:lang w:eastAsia="zh-CN"/>
        </w:rPr>
        <w:t>将</w:t>
      </w:r>
      <w:r>
        <w:rPr>
          <w:rFonts w:hint="eastAsia"/>
          <w:sz w:val="24"/>
          <w:szCs w:val="24"/>
        </w:rPr>
        <w:t>终止竞争性磋商采购活动，发布项目终止公告并说明原因，重新开展采购活动：</w:t>
      </w:r>
      <w:r>
        <w:rPr>
          <w:rFonts w:hint="eastAsia"/>
          <w:sz w:val="24"/>
          <w:szCs w:val="24"/>
        </w:rPr>
        <w:br w:type="textWrapping"/>
      </w:r>
      <w:r>
        <w:rPr>
          <w:rFonts w:hint="eastAsia"/>
          <w:sz w:val="24"/>
          <w:szCs w:val="24"/>
        </w:rPr>
        <w:t>　　（一）因情况变化，不再符合规定的竞争性磋商采购方式适用情形的；</w:t>
      </w:r>
      <w:r>
        <w:rPr>
          <w:rFonts w:hint="eastAsia"/>
          <w:sz w:val="24"/>
          <w:szCs w:val="24"/>
        </w:rPr>
        <w:br w:type="textWrapping"/>
      </w:r>
      <w:r>
        <w:rPr>
          <w:rFonts w:hint="eastAsia"/>
          <w:sz w:val="24"/>
          <w:szCs w:val="24"/>
        </w:rPr>
        <w:t>　　（二）出现影响采购公正的违法、违规行为的；</w:t>
      </w:r>
      <w:r>
        <w:rPr>
          <w:rFonts w:hint="eastAsia"/>
          <w:sz w:val="24"/>
          <w:szCs w:val="24"/>
        </w:rPr>
        <w:br w:type="textWrapping"/>
      </w:r>
      <w:r>
        <w:rPr>
          <w:rFonts w:hint="eastAsia"/>
          <w:sz w:val="24"/>
          <w:szCs w:val="24"/>
        </w:rPr>
        <w:t>　　（三）在采购过程中符合要求的供应商或者报价未超过采购预算的供应商不足3家的。</w:t>
      </w:r>
    </w:p>
    <w:p w14:paraId="22A0CBEA">
      <w:pPr>
        <w:pStyle w:val="4"/>
        <w:pageBreakBefore w:val="0"/>
        <w:kinsoku/>
        <w:topLinePunct w:val="0"/>
        <w:bidi w:val="0"/>
        <w:spacing w:line="332" w:lineRule="auto"/>
      </w:pPr>
    </w:p>
    <w:p w14:paraId="04E2CAF1">
      <w:pPr>
        <w:pageBreakBefore w:val="0"/>
        <w:kinsoku/>
        <w:topLinePunct w:val="0"/>
        <w:bidi w:val="0"/>
        <w:spacing w:before="98" w:line="219" w:lineRule="auto"/>
        <w:ind w:left="3573"/>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（十）纪律和监督</w:t>
      </w:r>
    </w:p>
    <w:p w14:paraId="270E3C90">
      <w:pPr>
        <w:pageBreakBefore w:val="0"/>
        <w:kinsoku/>
        <w:topLinePunct w:val="0"/>
        <w:bidi w:val="0"/>
        <w:spacing w:before="218"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1．对采购人的纪律要求</w:t>
      </w:r>
    </w:p>
    <w:p w14:paraId="1FD56FD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采购人不得</w:t>
      </w:r>
      <w:r>
        <w:rPr>
          <w:rFonts w:hint="eastAsia" w:ascii="宋体" w:hAnsi="宋体" w:eastAsia="宋体" w:cs="宋体"/>
          <w:spacing w:val="-3"/>
          <w:sz w:val="24"/>
          <w:szCs w:val="24"/>
          <w:lang w:eastAsia="zh-CN"/>
        </w:rPr>
        <w:t>泄露磋商</w:t>
      </w:r>
      <w:r>
        <w:rPr>
          <w:rFonts w:ascii="宋体" w:hAnsi="宋体" w:eastAsia="宋体" w:cs="宋体"/>
          <w:spacing w:val="-3"/>
          <w:sz w:val="24"/>
          <w:szCs w:val="24"/>
        </w:rPr>
        <w:t>活动中应当保密的情况和资料，不得与供应商串通损害国家利益、社会公共利益或者他人合法权益。</w:t>
      </w:r>
    </w:p>
    <w:p w14:paraId="5EE7B95E">
      <w:pPr>
        <w:pageBreakBefore w:val="0"/>
        <w:kinsoku/>
        <w:topLinePunct w:val="0"/>
        <w:bidi w:val="0"/>
        <w:spacing w:before="184" w:line="219" w:lineRule="auto"/>
        <w:ind w:left="3"/>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2.对供应商的纪律要求</w:t>
      </w:r>
    </w:p>
    <w:p w14:paraId="1F6E26ED">
      <w:pPr>
        <w:keepNext w:val="0"/>
        <w:keepLines w:val="0"/>
        <w:pageBreakBefore w:val="0"/>
        <w:widowControl/>
        <w:kinsoku/>
        <w:wordWrap/>
        <w:overflowPunct w:val="0"/>
        <w:topLinePunct w:val="0"/>
        <w:autoSpaceDE w:val="0"/>
        <w:autoSpaceDN w:val="0"/>
        <w:bidi w:val="0"/>
        <w:adjustRightInd w:val="0"/>
        <w:snapToGrid w:val="0"/>
        <w:spacing w:before="178" w:line="360" w:lineRule="auto"/>
        <w:ind w:right="57" w:firstLine="499"/>
        <w:textAlignment w:val="baseline"/>
        <w:rPr>
          <w:rFonts w:ascii="宋体" w:hAnsi="宋体" w:eastAsia="宋体" w:cs="宋体"/>
          <w:spacing w:val="-3"/>
          <w:sz w:val="24"/>
          <w:szCs w:val="24"/>
        </w:rPr>
      </w:pPr>
      <w:r>
        <w:rPr>
          <w:rFonts w:ascii="宋体" w:hAnsi="宋体" w:eastAsia="宋体" w:cs="宋体"/>
          <w:spacing w:val="-3"/>
          <w:sz w:val="24"/>
          <w:szCs w:val="24"/>
        </w:rPr>
        <w:t>供应商有下列情形之一的，依照政府采购法第七十七条第一款的规定追究法律责任：</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（一）向</w:t>
      </w:r>
      <w:r>
        <w:rPr>
          <w:rFonts w:hint="eastAsia" w:ascii="宋体" w:hAnsi="宋体" w:eastAsia="宋体" w:cs="宋体"/>
          <w:spacing w:val="-3"/>
          <w:sz w:val="24"/>
          <w:szCs w:val="24"/>
          <w:lang w:eastAsia="zh-CN"/>
        </w:rPr>
        <w:t>磋商</w:t>
      </w:r>
      <w:r>
        <w:rPr>
          <w:rFonts w:hint="default" w:ascii="宋体" w:hAnsi="宋体" w:eastAsia="宋体" w:cs="宋体"/>
          <w:spacing w:val="-3"/>
          <w:sz w:val="24"/>
          <w:szCs w:val="24"/>
        </w:rPr>
        <w:t>小组成员行贿或者提供其他不正当利益；</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（二）成交后无正当理由拒不与采购人签订政府采购合同；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（三）未按照</w:t>
      </w:r>
      <w:r>
        <w:rPr>
          <w:rFonts w:hint="eastAsia" w:ascii="宋体" w:hAnsi="宋体" w:eastAsia="宋体" w:cs="宋体"/>
          <w:spacing w:val="-3"/>
          <w:sz w:val="24"/>
          <w:szCs w:val="24"/>
          <w:lang w:eastAsia="zh-CN"/>
        </w:rPr>
        <w:t>磋商</w:t>
      </w:r>
      <w:r>
        <w:rPr>
          <w:rFonts w:hint="default" w:ascii="宋体" w:hAnsi="宋体" w:eastAsia="宋体" w:cs="宋体"/>
          <w:spacing w:val="-3"/>
          <w:sz w:val="24"/>
          <w:szCs w:val="24"/>
        </w:rPr>
        <w:t>文件确定的事项签订政府采购合同；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（四）将政府采购合同转包；</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（五）提供假冒伪劣产品；</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（六）擅自变更、中止或者终止政府采购合同。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供应商有前款第一项规定情形的，成交无效。评审阶段资格发生变化，列入不良行为记录名单，成交无效。</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供应商捏造事实、提供虚假材料或者以非法手段取得证明材料进行投诉的，由财政部门列入不良行为记录名单，禁止其1至3年内参加政府采购活动。</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有下列情形之一的，属于恶意串通，对供应商依照政府采购法第七十七条第一款的规定追究法律责任：</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一</w:t>
      </w:r>
      <w:r>
        <w:rPr>
          <w:rFonts w:hint="default" w:ascii="宋体" w:hAnsi="宋体" w:eastAsia="宋体" w:cs="宋体"/>
          <w:spacing w:val="-3"/>
          <w:sz w:val="24"/>
          <w:szCs w:val="24"/>
        </w:rPr>
        <w:t>）供应商之间协商报价、技术方案等响应文件的实质性内容；</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二</w:t>
      </w:r>
      <w:r>
        <w:rPr>
          <w:rFonts w:hint="default" w:ascii="宋体" w:hAnsi="宋体" w:eastAsia="宋体" w:cs="宋体"/>
          <w:spacing w:val="-3"/>
          <w:sz w:val="24"/>
          <w:szCs w:val="24"/>
        </w:rPr>
        <w:t>）属于同一集团、协会、商会等组织成员的供应商按照该组织要求协同参加政府采购活动；</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三</w:t>
      </w:r>
      <w:r>
        <w:rPr>
          <w:rFonts w:hint="default" w:ascii="宋体" w:hAnsi="宋体" w:eastAsia="宋体" w:cs="宋体"/>
          <w:spacing w:val="-3"/>
          <w:sz w:val="24"/>
          <w:szCs w:val="24"/>
        </w:rPr>
        <w:t>）供应商之间事先约定由某一特定供应商成交；</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四</w:t>
      </w:r>
      <w:r>
        <w:rPr>
          <w:rFonts w:hint="default" w:ascii="宋体" w:hAnsi="宋体" w:eastAsia="宋体" w:cs="宋体"/>
          <w:spacing w:val="-3"/>
          <w:sz w:val="24"/>
          <w:szCs w:val="24"/>
        </w:rPr>
        <w:t>）供应商之间商定部分供应商放弃参加政府采购活动或者放弃成交；</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五</w:t>
      </w:r>
      <w:r>
        <w:rPr>
          <w:rFonts w:hint="default" w:ascii="宋体" w:hAnsi="宋体" w:eastAsia="宋体" w:cs="宋体"/>
          <w:spacing w:val="-3"/>
          <w:sz w:val="24"/>
          <w:szCs w:val="24"/>
        </w:rPr>
        <w:t>）供应商相互之间，为谋求特定供应商成交或者排斥其他供应商的其他串通行为。</w:t>
      </w:r>
    </w:p>
    <w:p w14:paraId="2DEFBE93">
      <w:pPr>
        <w:pageBreakBefore w:val="0"/>
        <w:kinsoku/>
        <w:topLinePunct w:val="0"/>
        <w:bidi w:val="0"/>
        <w:spacing w:before="184"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3.对磋商小组成员的纪律要求</w:t>
      </w:r>
    </w:p>
    <w:p w14:paraId="0A095B8F">
      <w:pPr>
        <w:pageBreakBefore w:val="0"/>
        <w:kinsoku/>
        <w:wordWrap/>
        <w:topLinePunct w:val="0"/>
        <w:bidi w:val="0"/>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磋商小组成员不得收受他人的财物或者其他好处，不得向他人</w:t>
      </w:r>
      <w:r>
        <w:rPr>
          <w:rFonts w:hint="eastAsia" w:ascii="宋体" w:hAnsi="宋体" w:eastAsia="宋体" w:cs="宋体"/>
          <w:spacing w:val="-2"/>
          <w:sz w:val="24"/>
          <w:szCs w:val="24"/>
          <w:lang w:eastAsia="zh-CN"/>
        </w:rPr>
        <w:t>透露</w:t>
      </w:r>
      <w:r>
        <w:rPr>
          <w:rFonts w:ascii="宋体" w:hAnsi="宋体" w:eastAsia="宋体" w:cs="宋体"/>
          <w:spacing w:val="-3"/>
          <w:sz w:val="24"/>
          <w:szCs w:val="24"/>
        </w:rPr>
        <w:t>对磋商响应文件的评</w:t>
      </w:r>
      <w:r>
        <w:rPr>
          <w:rFonts w:ascii="宋体" w:hAnsi="宋体" w:eastAsia="宋体" w:cs="宋体"/>
          <w:sz w:val="24"/>
          <w:szCs w:val="24"/>
        </w:rPr>
        <w:t xml:space="preserve"> </w:t>
      </w:r>
      <w:r>
        <w:rPr>
          <w:rFonts w:ascii="宋体" w:hAnsi="宋体" w:eastAsia="宋体" w:cs="宋体"/>
          <w:spacing w:val="-2"/>
          <w:sz w:val="24"/>
          <w:szCs w:val="24"/>
        </w:rPr>
        <w:t>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有关的其他情况。在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活动中，磋商小组成员不得擅离职守，影响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程序正常进行，不得使用“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w:t>
      </w:r>
      <w:r>
        <w:rPr>
          <w:rFonts w:ascii="宋体" w:hAnsi="宋体" w:eastAsia="宋体" w:cs="宋体"/>
          <w:spacing w:val="-89"/>
          <w:sz w:val="24"/>
          <w:szCs w:val="24"/>
        </w:rPr>
        <w:t xml:space="preserve"> </w:t>
      </w:r>
      <w:r>
        <w:rPr>
          <w:rFonts w:ascii="宋体" w:hAnsi="宋体" w:eastAsia="宋体" w:cs="宋体"/>
          <w:spacing w:val="-3"/>
          <w:sz w:val="24"/>
          <w:szCs w:val="24"/>
        </w:rPr>
        <w:t>”没有规定的评审因素</w:t>
      </w:r>
      <w:r>
        <w:rPr>
          <w:rFonts w:ascii="宋体" w:hAnsi="宋体" w:eastAsia="宋体" w:cs="宋体"/>
          <w:spacing w:val="-4"/>
          <w:sz w:val="24"/>
          <w:szCs w:val="24"/>
        </w:rPr>
        <w:t>和标准</w:t>
      </w:r>
      <w:r>
        <w:rPr>
          <w:rFonts w:ascii="宋体" w:hAnsi="宋体" w:eastAsia="宋体" w:cs="宋体"/>
          <w:spacing w:val="-2"/>
          <w:sz w:val="24"/>
          <w:szCs w:val="24"/>
        </w:rPr>
        <w:t>进行</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w:t>
      </w:r>
    </w:p>
    <w:p w14:paraId="5D982ADC">
      <w:pPr>
        <w:pageBreakBefore w:val="0"/>
        <w:kinsoku/>
        <w:topLinePunct w:val="0"/>
        <w:bidi w:val="0"/>
        <w:spacing w:before="180" w:line="219" w:lineRule="auto"/>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4.对与</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评审</w:t>
      </w:r>
      <w:r>
        <w:rPr>
          <w:rFonts w:ascii="宋体" w:hAnsi="宋体" w:eastAsia="宋体" w:cs="宋体"/>
          <w:sz w:val="24"/>
          <w:szCs w:val="24"/>
          <w14:textOutline w14:w="4358" w14:cap="sq" w14:cmpd="sng">
            <w14:solidFill>
              <w14:srgbClr w14:val="000000"/>
            </w14:solidFill>
            <w14:prstDash w14:val="solid"/>
            <w14:bevel/>
          </w14:textOutline>
        </w:rPr>
        <w:t>活动有关的工作人员的纪律要求</w:t>
      </w:r>
    </w:p>
    <w:p w14:paraId="09A19C18">
      <w:pPr>
        <w:pageBreakBefore w:val="0"/>
        <w:kinsoku/>
        <w:wordWrap/>
        <w:topLinePunct w:val="0"/>
        <w:bidi w:val="0"/>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与</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活动有关的工作人员不得收受他人的财物或</w:t>
      </w:r>
      <w:r>
        <w:rPr>
          <w:rFonts w:ascii="宋体" w:hAnsi="宋体" w:eastAsia="宋体" w:cs="宋体"/>
          <w:spacing w:val="-3"/>
          <w:sz w:val="24"/>
          <w:szCs w:val="24"/>
        </w:rPr>
        <w:t>者其他好处，不得向他人</w:t>
      </w:r>
      <w:r>
        <w:rPr>
          <w:rFonts w:hint="eastAsia" w:ascii="宋体" w:hAnsi="宋体" w:eastAsia="宋体" w:cs="宋体"/>
          <w:spacing w:val="-3"/>
          <w:sz w:val="24"/>
          <w:szCs w:val="24"/>
          <w:lang w:eastAsia="zh-CN"/>
        </w:rPr>
        <w:t>透露</w:t>
      </w:r>
      <w:r>
        <w:rPr>
          <w:rFonts w:ascii="宋体" w:hAnsi="宋体" w:eastAsia="宋体" w:cs="宋体"/>
          <w:spacing w:val="-3"/>
          <w:sz w:val="24"/>
          <w:szCs w:val="24"/>
        </w:rPr>
        <w:t>对磋商</w:t>
      </w:r>
      <w:r>
        <w:rPr>
          <w:rFonts w:ascii="宋体" w:hAnsi="宋体" w:eastAsia="宋体" w:cs="宋体"/>
          <w:spacing w:val="-2"/>
          <w:sz w:val="24"/>
          <w:szCs w:val="24"/>
        </w:rPr>
        <w:t>响应文件的评审和比较、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有关的其他情况。在</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活动</w:t>
      </w:r>
      <w:r>
        <w:rPr>
          <w:rFonts w:ascii="宋体" w:hAnsi="宋体" w:eastAsia="宋体" w:cs="宋体"/>
          <w:spacing w:val="-3"/>
          <w:sz w:val="24"/>
          <w:szCs w:val="24"/>
        </w:rPr>
        <w:t>中，</w:t>
      </w:r>
      <w:r>
        <w:rPr>
          <w:rFonts w:ascii="宋体" w:hAnsi="宋体" w:eastAsia="宋体" w:cs="宋体"/>
          <w:spacing w:val="-1"/>
          <w:sz w:val="24"/>
          <w:szCs w:val="24"/>
        </w:rPr>
        <w:t>与</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活动有关的工作人员不得擅离职守，影响</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程序正常进行。</w:t>
      </w:r>
    </w:p>
    <w:p w14:paraId="2923BFDD">
      <w:pPr>
        <w:pStyle w:val="4"/>
        <w:pageBreakBefore w:val="0"/>
        <w:kinsoku/>
        <w:topLinePunct w:val="0"/>
        <w:bidi w:val="0"/>
        <w:spacing w:line="331" w:lineRule="auto"/>
      </w:pPr>
    </w:p>
    <w:p w14:paraId="51E32D46">
      <w:pPr>
        <w:pageBreakBefore w:val="0"/>
        <w:kinsoku/>
        <w:wordWrap/>
        <w:topLinePunct w:val="0"/>
        <w:bidi w:val="0"/>
        <w:spacing w:before="98" w:line="220" w:lineRule="auto"/>
        <w:jc w:val="center"/>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（十一）</w:t>
      </w:r>
      <w:r>
        <w:rPr>
          <w:rFonts w:hint="eastAsia" w:ascii="宋体" w:hAnsi="宋体" w:eastAsia="宋体" w:cs="宋体"/>
          <w:spacing w:val="-3"/>
          <w:sz w:val="30"/>
          <w:szCs w:val="30"/>
          <w14:textOutline w14:w="5448" w14:cap="sq" w14:cmpd="sng">
            <w14:solidFill>
              <w14:srgbClr w14:val="000000"/>
            </w14:solidFill>
            <w14:prstDash w14:val="solid"/>
            <w14:bevel/>
          </w14:textOutline>
        </w:rPr>
        <w:t>终止竞争性磋商采购活动</w:t>
      </w:r>
    </w:p>
    <w:p w14:paraId="4470EA5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采购</w:t>
      </w:r>
      <w:r>
        <w:rPr>
          <w:rFonts w:hint="eastAsia" w:ascii="宋体" w:hAnsi="宋体" w:eastAsia="宋体" w:cs="宋体"/>
          <w:spacing w:val="-3"/>
          <w:sz w:val="24"/>
          <w:szCs w:val="24"/>
          <w:lang w:eastAsia="zh-CN"/>
        </w:rPr>
        <w:t>活动</w:t>
      </w:r>
      <w:r>
        <w:rPr>
          <w:rFonts w:ascii="宋体" w:hAnsi="宋体" w:eastAsia="宋体" w:cs="宋体"/>
          <w:spacing w:val="-3"/>
          <w:sz w:val="24"/>
          <w:szCs w:val="24"/>
        </w:rPr>
        <w:t>中，出现下列情形之一的，予以</w:t>
      </w:r>
      <w:r>
        <w:rPr>
          <w:rFonts w:hint="eastAsia" w:ascii="宋体" w:hAnsi="宋体" w:eastAsia="宋体" w:cs="宋体"/>
          <w:spacing w:val="-3"/>
          <w:sz w:val="24"/>
          <w:szCs w:val="24"/>
        </w:rPr>
        <w:t>终止竞争性磋商采购活动</w:t>
      </w:r>
      <w:r>
        <w:rPr>
          <w:rFonts w:ascii="宋体" w:hAnsi="宋体" w:eastAsia="宋体" w:cs="宋体"/>
          <w:spacing w:val="-3"/>
          <w:sz w:val="24"/>
          <w:szCs w:val="24"/>
        </w:rPr>
        <w:t>：</w:t>
      </w:r>
    </w:p>
    <w:p w14:paraId="3ECCD76A">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（1）符合专业条件的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或者对磋商文件作实质响应的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不足三家的；</w:t>
      </w:r>
    </w:p>
    <w:p w14:paraId="248E5BD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（2）出现影响采购公正的违法、违规行为的；</w:t>
      </w:r>
    </w:p>
    <w:p w14:paraId="109E3B3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（3）供应商的报价均超过了采购预算，采购人不能支付的；</w:t>
      </w:r>
    </w:p>
    <w:p w14:paraId="21EA5E61">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（4）因重大变故，采购任务取消的。</w:t>
      </w:r>
    </w:p>
    <w:p w14:paraId="65C3FE5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（5）其他不符合磋商文件要求的</w:t>
      </w:r>
      <w:r>
        <w:rPr>
          <w:rFonts w:hint="eastAsia" w:ascii="宋体" w:hAnsi="宋体" w:eastAsia="宋体" w:cs="宋体"/>
          <w:spacing w:val="-3"/>
          <w:sz w:val="24"/>
          <w:szCs w:val="24"/>
          <w:lang w:eastAsia="zh-CN"/>
        </w:rPr>
        <w:t>情形</w:t>
      </w:r>
      <w:r>
        <w:rPr>
          <w:rFonts w:ascii="宋体" w:hAnsi="宋体" w:eastAsia="宋体" w:cs="宋体"/>
          <w:spacing w:val="-3"/>
          <w:sz w:val="24"/>
          <w:szCs w:val="24"/>
        </w:rPr>
        <w:t>。</w:t>
      </w:r>
    </w:p>
    <w:p w14:paraId="6A9C3937">
      <w:pPr>
        <w:pStyle w:val="4"/>
        <w:pageBreakBefore w:val="0"/>
        <w:kinsoku/>
        <w:topLinePunct w:val="0"/>
        <w:bidi w:val="0"/>
        <w:spacing w:line="331" w:lineRule="auto"/>
      </w:pPr>
    </w:p>
    <w:p w14:paraId="59AF5CBC">
      <w:pPr>
        <w:pageBreakBefore w:val="0"/>
        <w:kinsoku/>
        <w:topLinePunct w:val="0"/>
        <w:bidi w:val="0"/>
        <w:spacing w:before="98" w:line="220" w:lineRule="auto"/>
        <w:ind w:left="3422"/>
        <w:outlineLvl w:val="1"/>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（十二）质疑和投诉</w:t>
      </w:r>
    </w:p>
    <w:p w14:paraId="50BC2C2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1.供应商对政府采购活动事项有疑问的，可以向采购人或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提出询问。采购人或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收到质疑函后7个工作日内作出答复。供应商如对</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或</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过程进行质疑，供应商须一次性提出针对同一采购程序环节的所有质疑内容，多次质疑将不予受理。</w:t>
      </w:r>
    </w:p>
    <w:p w14:paraId="054CE98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2.供应商若认为</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、采购过程和</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使自己的权益受到损害，应当在下列时间内以书面形式向采购人或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提出：</w:t>
      </w:r>
    </w:p>
    <w:p w14:paraId="34CDE02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（1）关于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的质疑，</w:t>
      </w:r>
      <w:r>
        <w:rPr>
          <w:rFonts w:ascii="宋体" w:hAnsi="宋体" w:eastAsia="宋体" w:cs="宋体"/>
          <w:sz w:val="24"/>
          <w:szCs w:val="24"/>
        </w:rPr>
        <w:t>应当在获取</w:t>
      </w:r>
      <w:r>
        <w:rPr>
          <w:rFonts w:hint="eastAsia" w:ascii="宋体" w:hAnsi="宋体" w:eastAsia="宋体" w:cs="宋体"/>
          <w:sz w:val="24"/>
          <w:szCs w:val="24"/>
          <w:lang w:eastAsia="zh-CN"/>
        </w:rPr>
        <w:t>磋商</w:t>
      </w:r>
      <w:r>
        <w:rPr>
          <w:rFonts w:ascii="宋体" w:hAnsi="宋体" w:eastAsia="宋体" w:cs="宋体"/>
          <w:sz w:val="24"/>
          <w:szCs w:val="24"/>
        </w:rPr>
        <w:t>文件或者</w:t>
      </w:r>
      <w:r>
        <w:rPr>
          <w:rFonts w:hint="eastAsia" w:ascii="宋体" w:hAnsi="宋体" w:eastAsia="宋体" w:cs="宋体"/>
          <w:sz w:val="24"/>
          <w:szCs w:val="24"/>
          <w:lang w:eastAsia="zh-CN"/>
        </w:rPr>
        <w:t>磋商</w:t>
      </w:r>
      <w:r>
        <w:rPr>
          <w:rFonts w:ascii="宋体" w:hAnsi="宋体" w:eastAsia="宋体" w:cs="宋体"/>
          <w:sz w:val="24"/>
          <w:szCs w:val="24"/>
        </w:rPr>
        <w:t>文件公告</w:t>
      </w:r>
      <w:r>
        <w:rPr>
          <w:rFonts w:ascii="宋体" w:hAnsi="宋体" w:eastAsia="宋体" w:cs="宋体"/>
          <w:sz w:val="24"/>
          <w:szCs w:val="24"/>
        </w:rPr>
        <w:fldChar w:fldCharType="begin"/>
      </w:r>
      <w:r>
        <w:rPr>
          <w:rFonts w:ascii="宋体" w:hAnsi="宋体" w:eastAsia="宋体" w:cs="宋体"/>
          <w:sz w:val="24"/>
          <w:szCs w:val="24"/>
        </w:rPr>
        <w:instrText xml:space="preserve"> HYPERLINK "https://baike.baidu.com/item/%E6%9C%9F%E9%99%90%E5%B1%8A%E6%BB%A1/10561304?fromModule=lemma_inlink" \t "https://baike.baidu.com/item/%E6%94%BF%E5%BA%9C%E9%87%87%E8%B4%AD%E8%B4%A8%E7%96%91%E5%92%8C%E6%8A%95%E8%AF%89%E5%8A%9E%E6%B3%95/_blank" </w:instrText>
      </w:r>
      <w:r>
        <w:rPr>
          <w:rFonts w:ascii="宋体" w:hAnsi="宋体" w:eastAsia="宋体" w:cs="宋体"/>
          <w:sz w:val="24"/>
          <w:szCs w:val="24"/>
        </w:rPr>
        <w:fldChar w:fldCharType="separate"/>
      </w:r>
      <w:r>
        <w:rPr>
          <w:rFonts w:ascii="宋体" w:hAnsi="宋体" w:eastAsia="宋体" w:cs="宋体"/>
          <w:sz w:val="24"/>
          <w:szCs w:val="24"/>
        </w:rPr>
        <w:t>期限届满</w:t>
      </w:r>
      <w:r>
        <w:rPr>
          <w:rFonts w:ascii="宋体" w:hAnsi="宋体" w:eastAsia="宋体" w:cs="宋体"/>
          <w:sz w:val="24"/>
          <w:szCs w:val="24"/>
        </w:rPr>
        <w:fldChar w:fldCharType="end"/>
      </w:r>
      <w:r>
        <w:rPr>
          <w:rFonts w:ascii="宋体" w:hAnsi="宋体" w:eastAsia="宋体" w:cs="宋体"/>
          <w:sz w:val="24"/>
          <w:szCs w:val="24"/>
        </w:rPr>
        <w:t>之日起7个工作日内提出</w:t>
      </w:r>
      <w:r>
        <w:rPr>
          <w:rFonts w:ascii="宋体" w:hAnsi="宋体" w:eastAsia="宋体" w:cs="宋体"/>
          <w:spacing w:val="-3"/>
          <w:sz w:val="24"/>
          <w:szCs w:val="24"/>
        </w:rPr>
        <w:t>。</w:t>
      </w:r>
    </w:p>
    <w:p w14:paraId="3F2D75F1">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（2）关于</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过程的质疑，应在</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程序环节结束之日起7个工作日内提出。</w:t>
      </w:r>
    </w:p>
    <w:p w14:paraId="4CC9B16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（3）关于</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的质疑，应在</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信息发布后7个工作日内提出。</w:t>
      </w:r>
    </w:p>
    <w:p w14:paraId="322301D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3.供应商提出质疑的，应提供质疑书原件。采购人或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应当向质疑供应商签收回执。</w:t>
      </w:r>
    </w:p>
    <w:p w14:paraId="28A3121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4.质疑书应当包括下列内容：</w:t>
      </w:r>
    </w:p>
    <w:p w14:paraId="5CBEDDE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（1）供应商的姓名或者名称、地址、邮编、联系人及联系电话；</w:t>
      </w:r>
    </w:p>
    <w:p w14:paraId="1B6AD23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（2）质疑项目的名称、编号；</w:t>
      </w:r>
    </w:p>
    <w:p w14:paraId="7BD88D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（3）具体、明确的质疑事项和与质疑事项相关的请求；</w:t>
      </w:r>
    </w:p>
    <w:p w14:paraId="3A5F062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（4）事实依据；</w:t>
      </w:r>
    </w:p>
    <w:p w14:paraId="72BEF20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（5）必要的法律依据；</w:t>
      </w:r>
    </w:p>
    <w:p w14:paraId="7336C849">
      <w:pPr>
        <w:pageBreakBefore w:val="0"/>
        <w:kinsoku/>
        <w:wordWrap/>
        <w:topLinePunct w:val="0"/>
        <w:bidi w:val="0"/>
        <w:spacing w:before="153" w:line="220" w:lineRule="auto"/>
        <w:ind w:left="492"/>
        <w:rPr>
          <w:rFonts w:ascii="宋体" w:hAnsi="宋体" w:eastAsia="宋体" w:cs="宋体"/>
          <w:sz w:val="24"/>
          <w:szCs w:val="24"/>
        </w:rPr>
      </w:pPr>
      <w:r>
        <w:rPr>
          <w:rFonts w:ascii="宋体" w:hAnsi="宋体" w:eastAsia="宋体" w:cs="宋体"/>
          <w:spacing w:val="-2"/>
          <w:sz w:val="24"/>
          <w:szCs w:val="24"/>
        </w:rPr>
        <w:t>（6）提出质疑的日期。</w:t>
      </w:r>
    </w:p>
    <w:p w14:paraId="3678EC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5.质疑书应当由供应商法定代表人或其授权委托人签字并加盖供应商单位章，质疑书由授权委托人签字的应附供应商授权委托书。</w:t>
      </w:r>
    </w:p>
    <w:p w14:paraId="27C3C56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将在签收回执之日起七个工作日内作出书面答复，并以书面形式通知质疑供应商和其他有关的供应商。</w:t>
      </w:r>
    </w:p>
    <w:p w14:paraId="2EE8CF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7.供应商对采购人或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的答复不满意，或采购人或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未在规定的 期限作出答复的，可在答复期满后十五个工作日内，按政府采购相关法律法规规章的规定及程序，向同级财政部门提出投诉。</w:t>
      </w:r>
    </w:p>
    <w:p w14:paraId="7DBF722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8.投诉情形处罚规定</w:t>
      </w:r>
    </w:p>
    <w:p w14:paraId="084E3BC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《政府采购质疑和投诉办法》（财政部令第 94 号）第三十七条投诉人在全国范围12个月内三次以上投诉查无实据的，由财政部门列入不良行为记录名单。投诉人有下列行为之一的，属于虚假、恶意投诉，由财政部门列入不良行为记录名单，禁止其1至</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年内参加政府采购活动：</w:t>
      </w:r>
    </w:p>
    <w:p w14:paraId="0CD5EBC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（一）捏造事实；</w:t>
      </w:r>
    </w:p>
    <w:p w14:paraId="27B194C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（二）提供虚假材料；</w:t>
      </w:r>
    </w:p>
    <w:p w14:paraId="26AE61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（三）以非法手段取得证明材料。</w:t>
      </w:r>
    </w:p>
    <w:p w14:paraId="749EA64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证据来源的合法性存在明显疑问，投诉人无法证明其取得方式合法的，视为以非法手段取得证明材料。</w:t>
      </w:r>
    </w:p>
    <w:p w14:paraId="3A90B030">
      <w:pPr>
        <w:pStyle w:val="4"/>
        <w:pageBreakBefore w:val="0"/>
        <w:kinsoku/>
        <w:topLinePunct w:val="0"/>
        <w:bidi w:val="0"/>
      </w:pPr>
    </w:p>
    <w:p w14:paraId="3DBDE3CF">
      <w:pPr>
        <w:pStyle w:val="4"/>
        <w:pageBreakBefore w:val="0"/>
        <w:kinsoku/>
        <w:topLinePunct w:val="0"/>
        <w:bidi w:val="0"/>
        <w:spacing w:line="257" w:lineRule="auto"/>
      </w:pPr>
      <w:r>
        <w:rPr>
          <w:rFonts w:ascii="宋体" w:hAnsi="宋体" w:eastAsia="宋体" w:cs="宋体"/>
          <w:spacing w:val="-2"/>
          <w:sz w:val="24"/>
          <w:szCs w:val="24"/>
        </w:rPr>
        <w:t>9.质疑函范本：</w:t>
      </w:r>
    </w:p>
    <w:p w14:paraId="638CAA5F">
      <w:pPr>
        <w:pStyle w:val="4"/>
        <w:pageBreakBefore w:val="0"/>
        <w:kinsoku/>
        <w:topLinePunct w:val="0"/>
        <w:bidi w:val="0"/>
        <w:spacing w:line="257" w:lineRule="auto"/>
      </w:pPr>
    </w:p>
    <w:p w14:paraId="48437ED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一、质疑供应商基本信息</w:t>
      </w:r>
    </w:p>
    <w:p w14:paraId="020B7A48">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质疑供应商：</w:t>
      </w:r>
      <w:r>
        <w:rPr>
          <w:rFonts w:hint="eastAsia" w:ascii="宋体" w:hAnsi="宋体" w:eastAsia="宋体" w:cs="宋体"/>
          <w:spacing w:val="7"/>
          <w:sz w:val="21"/>
          <w:szCs w:val="21"/>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1"/>
                    <a:stretch>
                      <a:fillRect/>
                    </a:stretch>
                  </pic:blipFill>
                  <pic:spPr>
                    <a:xfrm>
                      <a:off x="0" y="0"/>
                      <a:ext cx="4134484" cy="6096"/>
                    </a:xfrm>
                    <a:prstGeom prst="rect">
                      <a:avLst/>
                    </a:prstGeom>
                  </pic:spPr>
                </pic:pic>
              </a:graphicData>
            </a:graphic>
          </wp:inline>
        </w:drawing>
      </w:r>
    </w:p>
    <w:p w14:paraId="40D58B16">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地址：</w:t>
      </w:r>
      <w:r>
        <w:rPr>
          <w:rFonts w:hint="eastAsia" w:ascii="宋体" w:hAnsi="宋体" w:eastAsia="宋体" w:cs="宋体"/>
          <w:spacing w:val="7"/>
          <w:sz w:val="21"/>
          <w:szCs w:val="21"/>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2"/>
                    <a:stretch>
                      <a:fillRect/>
                    </a:stretch>
                  </pic:blipFill>
                  <pic:spPr>
                    <a:xfrm>
                      <a:off x="0" y="0"/>
                      <a:ext cx="1932304"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3"/>
                    <a:stretch>
                      <a:fillRect/>
                    </a:stretch>
                  </pic:blipFill>
                  <pic:spPr>
                    <a:xfrm>
                      <a:off x="0" y="0"/>
                      <a:ext cx="2400300" cy="6095"/>
                    </a:xfrm>
                    <a:prstGeom prst="rect">
                      <a:avLst/>
                    </a:prstGeom>
                  </pic:spPr>
                </pic:pic>
              </a:graphicData>
            </a:graphic>
          </wp:inline>
        </w:drawing>
      </w:r>
    </w:p>
    <w:p w14:paraId="2328F631">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联系人：</w:t>
      </w:r>
      <w:r>
        <w:rPr>
          <w:rFonts w:hint="eastAsia" w:ascii="宋体" w:hAnsi="宋体" w:eastAsia="宋体" w:cs="宋体"/>
          <w:spacing w:val="7"/>
          <w:sz w:val="21"/>
          <w:szCs w:val="21"/>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4"/>
                    <a:stretch>
                      <a:fillRect/>
                    </a:stretch>
                  </pic:blipFill>
                  <pic:spPr>
                    <a:xfrm>
                      <a:off x="0" y="0"/>
                      <a:ext cx="1799589" cy="6095"/>
                    </a:xfrm>
                    <a:prstGeom prst="rect">
                      <a:avLst/>
                    </a:prstGeom>
                  </pic:spPr>
                </pic:pic>
              </a:graphicData>
            </a:graphic>
          </wp:inline>
        </w:drawing>
      </w:r>
      <w:r>
        <w:rPr>
          <w:rFonts w:hint="eastAsia" w:ascii="宋体" w:hAnsi="宋体" w:eastAsia="宋体" w:cs="宋体"/>
          <w:spacing w:val="7"/>
          <w:sz w:val="21"/>
          <w:szCs w:val="21"/>
        </w:rPr>
        <w:t xml:space="preserve"> 联系电话：</w:t>
      </w:r>
      <w:r>
        <w:rPr>
          <w:rFonts w:hint="eastAsia" w:ascii="宋体" w:hAnsi="宋体" w:eastAsia="宋体" w:cs="宋体"/>
          <w:spacing w:val="7"/>
          <w:sz w:val="21"/>
          <w:szCs w:val="21"/>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5"/>
                    <a:stretch>
                      <a:fillRect/>
                    </a:stretch>
                  </pic:blipFill>
                  <pic:spPr>
                    <a:xfrm>
                      <a:off x="0" y="0"/>
                      <a:ext cx="2270760" cy="6095"/>
                    </a:xfrm>
                    <a:prstGeom prst="rect">
                      <a:avLst/>
                    </a:prstGeom>
                  </pic:spPr>
                </pic:pic>
              </a:graphicData>
            </a:graphic>
          </wp:inline>
        </w:drawing>
      </w:r>
    </w:p>
    <w:p w14:paraId="6CD00C4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授权代表：</w:t>
      </w:r>
      <w:r>
        <w:rPr>
          <w:rFonts w:hint="eastAsia" w:ascii="宋体" w:hAnsi="宋体" w:eastAsia="宋体" w:cs="宋体"/>
          <w:spacing w:val="7"/>
          <w:sz w:val="21"/>
          <w:szCs w:val="21"/>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6"/>
                    <a:stretch>
                      <a:fillRect/>
                    </a:stretch>
                  </pic:blipFill>
                  <pic:spPr>
                    <a:xfrm>
                      <a:off x="0" y="0"/>
                      <a:ext cx="4332604" cy="6095"/>
                    </a:xfrm>
                    <a:prstGeom prst="rect">
                      <a:avLst/>
                    </a:prstGeom>
                  </pic:spPr>
                </pic:pic>
              </a:graphicData>
            </a:graphic>
          </wp:inline>
        </w:drawing>
      </w:r>
    </w:p>
    <w:p w14:paraId="05ADFC4C">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联系电话：</w:t>
      </w:r>
      <w:r>
        <w:rPr>
          <w:rFonts w:hint="eastAsia" w:ascii="宋体" w:hAnsi="宋体" w:eastAsia="宋体" w:cs="宋体"/>
          <w:spacing w:val="7"/>
          <w:sz w:val="21"/>
          <w:szCs w:val="21"/>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7"/>
                    <a:stretch>
                      <a:fillRect/>
                    </a:stretch>
                  </pic:blipFill>
                  <pic:spPr>
                    <a:xfrm>
                      <a:off x="0" y="0"/>
                      <a:ext cx="4267200" cy="6095"/>
                    </a:xfrm>
                    <a:prstGeom prst="rect">
                      <a:avLst/>
                    </a:prstGeom>
                  </pic:spPr>
                </pic:pic>
              </a:graphicData>
            </a:graphic>
          </wp:inline>
        </w:drawing>
      </w:r>
    </w:p>
    <w:p w14:paraId="49ED93CF">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 xml:space="preserve">地址： </w:t>
      </w:r>
      <w:r>
        <w:rPr>
          <w:rFonts w:hint="eastAsia" w:ascii="宋体" w:hAnsi="宋体" w:eastAsia="宋体" w:cs="宋体"/>
          <w:spacing w:val="7"/>
          <w:sz w:val="21"/>
          <w:szCs w:val="21"/>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8"/>
                    <a:stretch>
                      <a:fillRect/>
                    </a:stretch>
                  </pic:blipFill>
                  <pic:spPr>
                    <a:xfrm>
                      <a:off x="0" y="0"/>
                      <a:ext cx="1934210"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9"/>
                    <a:stretch>
                      <a:fillRect/>
                    </a:stretch>
                  </pic:blipFill>
                  <pic:spPr>
                    <a:xfrm>
                      <a:off x="0" y="0"/>
                      <a:ext cx="2465704" cy="6095"/>
                    </a:xfrm>
                    <a:prstGeom prst="rect">
                      <a:avLst/>
                    </a:prstGeom>
                  </pic:spPr>
                </pic:pic>
              </a:graphicData>
            </a:graphic>
          </wp:inline>
        </w:drawing>
      </w:r>
    </w:p>
    <w:p w14:paraId="2EF84A03">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二、质疑项目基本情况</w:t>
      </w:r>
    </w:p>
    <w:p w14:paraId="4259167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质疑项目的名称：</w:t>
      </w:r>
      <w:r>
        <w:rPr>
          <w:rFonts w:hint="eastAsia" w:ascii="宋体" w:hAnsi="宋体" w:eastAsia="宋体" w:cs="宋体"/>
          <w:spacing w:val="7"/>
          <w:sz w:val="21"/>
          <w:szCs w:val="21"/>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30"/>
                    <a:stretch>
                      <a:fillRect/>
                    </a:stretch>
                  </pic:blipFill>
                  <pic:spPr>
                    <a:xfrm>
                      <a:off x="0" y="0"/>
                      <a:ext cx="3867784" cy="6095"/>
                    </a:xfrm>
                    <a:prstGeom prst="rect">
                      <a:avLst/>
                    </a:prstGeom>
                  </pic:spPr>
                </pic:pic>
              </a:graphicData>
            </a:graphic>
          </wp:inline>
        </w:drawing>
      </w:r>
    </w:p>
    <w:p w14:paraId="78E970D2">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质疑项目的编号：</w:t>
      </w:r>
      <w:r>
        <w:rPr>
          <w:rFonts w:hint="eastAsia" w:ascii="宋体" w:hAnsi="宋体" w:eastAsia="宋体" w:cs="宋体"/>
          <w:spacing w:val="7"/>
          <w:sz w:val="21"/>
          <w:szCs w:val="21"/>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31"/>
                    <a:stretch>
                      <a:fillRect/>
                    </a:stretch>
                  </pic:blipFill>
                  <pic:spPr>
                    <a:xfrm>
                      <a:off x="0" y="0"/>
                      <a:ext cx="1667509" cy="6095"/>
                    </a:xfrm>
                    <a:prstGeom prst="rect">
                      <a:avLst/>
                    </a:prstGeom>
                  </pic:spPr>
                </pic:pic>
              </a:graphicData>
            </a:graphic>
          </wp:inline>
        </w:drawing>
      </w:r>
      <w:r>
        <w:rPr>
          <w:rFonts w:hint="eastAsia" w:ascii="宋体" w:hAnsi="宋体" w:eastAsia="宋体" w:cs="宋体"/>
          <w:spacing w:val="7"/>
          <w:sz w:val="21"/>
          <w:szCs w:val="21"/>
        </w:rPr>
        <w:t xml:space="preserve"> 包号：</w:t>
      </w:r>
      <w:r>
        <w:rPr>
          <w:rFonts w:hint="eastAsia" w:ascii="宋体" w:hAnsi="宋体" w:eastAsia="宋体" w:cs="宋体"/>
          <w:spacing w:val="7"/>
          <w:sz w:val="21"/>
          <w:szCs w:val="21"/>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2"/>
                    <a:stretch>
                      <a:fillRect/>
                    </a:stretch>
                  </pic:blipFill>
                  <pic:spPr>
                    <a:xfrm>
                      <a:off x="0" y="0"/>
                      <a:ext cx="1801495" cy="6095"/>
                    </a:xfrm>
                    <a:prstGeom prst="rect">
                      <a:avLst/>
                    </a:prstGeom>
                  </pic:spPr>
                </pic:pic>
              </a:graphicData>
            </a:graphic>
          </wp:inline>
        </w:drawing>
      </w:r>
    </w:p>
    <w:p w14:paraId="32BAAA17">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采购人名称：</w:t>
      </w:r>
      <w:r>
        <w:rPr>
          <w:rFonts w:hint="eastAsia" w:ascii="宋体" w:hAnsi="宋体" w:eastAsia="宋体" w:cs="宋体"/>
          <w:spacing w:val="7"/>
          <w:sz w:val="21"/>
          <w:szCs w:val="21"/>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1"/>
                    <a:stretch>
                      <a:fillRect/>
                    </a:stretch>
                  </pic:blipFill>
                  <pic:spPr>
                    <a:xfrm>
                      <a:off x="0" y="0"/>
                      <a:ext cx="4134484" cy="6095"/>
                    </a:xfrm>
                    <a:prstGeom prst="rect">
                      <a:avLst/>
                    </a:prstGeom>
                  </pic:spPr>
                </pic:pic>
              </a:graphicData>
            </a:graphic>
          </wp:inline>
        </w:drawing>
      </w:r>
    </w:p>
    <w:p w14:paraId="78C7D57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eastAsia="zh-CN"/>
        </w:rPr>
        <w:t>磋商文件</w:t>
      </w:r>
      <w:r>
        <w:rPr>
          <w:rFonts w:hint="eastAsia" w:ascii="宋体" w:hAnsi="宋体" w:eastAsia="宋体" w:cs="宋体"/>
          <w:spacing w:val="7"/>
          <w:sz w:val="21"/>
          <w:szCs w:val="21"/>
        </w:rPr>
        <w:t>获取日期：</w:t>
      </w:r>
      <w:r>
        <w:rPr>
          <w:rFonts w:hint="eastAsia" w:ascii="宋体" w:hAnsi="宋体" w:eastAsia="宋体" w:cs="宋体"/>
          <w:spacing w:val="7"/>
          <w:sz w:val="21"/>
          <w:szCs w:val="21"/>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3"/>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spacing w:val="7"/>
          <w:sz w:val="21"/>
          <w:szCs w:val="21"/>
        </w:rPr>
        <w:id w:val="10"/>
      </w:sdtPr>
      <w:sdtEndPr>
        <w:rPr>
          <w:rFonts w:hint="eastAsia" w:ascii="宋体" w:hAnsi="宋体" w:eastAsia="宋体" w:cs="宋体"/>
          <w:spacing w:val="7"/>
          <w:sz w:val="21"/>
          <w:szCs w:val="21"/>
        </w:rPr>
      </w:sdtEndPr>
      <w:sdtContent>
        <w:p w14:paraId="5D8BBAF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三、质疑事项具体内容</w:t>
          </w:r>
        </w:p>
        <w:p w14:paraId="5D9A7B4F">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1：</w:t>
          </w:r>
          <w:r>
            <w:rPr>
              <w:rFonts w:hint="eastAsia" w:ascii="宋体" w:hAnsi="宋体" w:eastAsia="宋体" w:cs="宋体"/>
              <w:spacing w:val="7"/>
              <w:sz w:val="21"/>
              <w:szCs w:val="21"/>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4"/>
                        <a:stretch>
                          <a:fillRect/>
                        </a:stretch>
                      </pic:blipFill>
                      <pic:spPr>
                        <a:xfrm>
                          <a:off x="0" y="0"/>
                          <a:ext cx="4134484" cy="6095"/>
                        </a:xfrm>
                        <a:prstGeom prst="rect">
                          <a:avLst/>
                        </a:prstGeom>
                      </pic:spPr>
                    </pic:pic>
                  </a:graphicData>
                </a:graphic>
              </wp:inline>
            </w:drawing>
          </w:r>
        </w:p>
        <w:p w14:paraId="2D763B1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事实依据：</w:t>
          </w:r>
          <w:r>
            <w:rPr>
              <w:rFonts w:hint="eastAsia" w:ascii="宋体" w:hAnsi="宋体" w:eastAsia="宋体" w:cs="宋体"/>
              <w:spacing w:val="7"/>
              <w:sz w:val="21"/>
              <w:szCs w:val="21"/>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5"/>
                        <a:stretch>
                          <a:fillRect/>
                        </a:stretch>
                      </pic:blipFill>
                      <pic:spPr>
                        <a:xfrm>
                          <a:off x="0" y="0"/>
                          <a:ext cx="4533900" cy="6095"/>
                        </a:xfrm>
                        <a:prstGeom prst="rect">
                          <a:avLst/>
                        </a:prstGeom>
                      </pic:spPr>
                    </pic:pic>
                  </a:graphicData>
                </a:graphic>
              </wp:inline>
            </w:drawing>
          </w:r>
        </w:p>
        <w:p w14:paraId="3D69670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法律依据：</w:t>
          </w:r>
          <w:r>
            <w:rPr>
              <w:rFonts w:hint="eastAsia" w:ascii="宋体" w:hAnsi="宋体" w:eastAsia="宋体" w:cs="宋体"/>
              <w:spacing w:val="7"/>
              <w:sz w:val="21"/>
              <w:szCs w:val="21"/>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6"/>
                        <a:stretch>
                          <a:fillRect/>
                        </a:stretch>
                      </pic:blipFill>
                      <pic:spPr>
                        <a:xfrm>
                          <a:off x="0" y="0"/>
                          <a:ext cx="4533900" cy="6095"/>
                        </a:xfrm>
                        <a:prstGeom prst="rect">
                          <a:avLst/>
                        </a:prstGeom>
                      </pic:spPr>
                    </pic:pic>
                  </a:graphicData>
                </a:graphic>
              </wp:inline>
            </w:drawing>
          </w:r>
        </w:p>
      </w:sdtContent>
    </w:sdt>
    <w:p w14:paraId="569927F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2</w:t>
      </w:r>
    </w:p>
    <w:p w14:paraId="4B743DE2">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w:t>
      </w:r>
    </w:p>
    <w:sdt>
      <w:sdtPr>
        <w:rPr>
          <w:rFonts w:hint="eastAsia" w:ascii="宋体" w:hAnsi="宋体" w:eastAsia="宋体" w:cs="宋体"/>
          <w:sz w:val="21"/>
          <w:szCs w:val="21"/>
        </w:rPr>
        <w:id w:val="11"/>
      </w:sdtPr>
      <w:sdtEndPr>
        <w:rPr>
          <w:rFonts w:hint="eastAsia" w:ascii="宋体" w:hAnsi="宋体" w:eastAsia="宋体" w:cs="宋体"/>
          <w:spacing w:val="7"/>
          <w:sz w:val="21"/>
          <w:szCs w:val="21"/>
        </w:rPr>
      </w:sdtEndPr>
      <w:sdtContent>
        <w:p w14:paraId="0D37D11D">
          <w:pPr>
            <w:pageBreakBefore w:val="0"/>
            <w:kinsoku/>
            <w:topLinePunct w:val="0"/>
            <w:bidi w:val="0"/>
            <w:spacing w:before="51" w:line="229" w:lineRule="auto"/>
            <w:ind w:left="266"/>
            <w:rPr>
              <w:rFonts w:hint="eastAsia" w:ascii="宋体" w:hAnsi="宋体" w:eastAsia="宋体" w:cs="宋体"/>
              <w:b/>
              <w:bCs/>
              <w:sz w:val="21"/>
              <w:szCs w:val="21"/>
            </w:rPr>
          </w:pPr>
          <w:r>
            <w:rPr>
              <w:rFonts w:hint="eastAsia" w:ascii="宋体" w:hAnsi="宋体" w:eastAsia="宋体" w:cs="宋体"/>
              <w:b/>
              <w:bCs/>
              <w:spacing w:val="7"/>
              <w:sz w:val="21"/>
              <w:szCs w:val="21"/>
            </w:rPr>
            <w:t>四、与质疑事项相关的质疑请求</w:t>
          </w:r>
        </w:p>
        <w:p w14:paraId="02FE175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请求：</w:t>
          </w:r>
          <w:r>
            <w:rPr>
              <w:rFonts w:hint="eastAsia" w:ascii="宋体" w:hAnsi="宋体" w:eastAsia="宋体" w:cs="宋体"/>
              <w:spacing w:val="7"/>
              <w:sz w:val="21"/>
              <w:szCs w:val="21"/>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7"/>
                        <a:stretch>
                          <a:fillRect/>
                        </a:stretch>
                      </pic:blipFill>
                      <pic:spPr>
                        <a:xfrm>
                          <a:off x="0" y="0"/>
                          <a:ext cx="4599304" cy="6095"/>
                        </a:xfrm>
                        <a:prstGeom prst="rect">
                          <a:avLst/>
                        </a:prstGeom>
                      </pic:spPr>
                    </pic:pic>
                  </a:graphicData>
                </a:graphic>
              </wp:inline>
            </w:drawing>
          </w:r>
        </w:p>
      </w:sdtContent>
    </w:sdt>
    <w:p w14:paraId="77AAEE4A">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签字(签章)：                    公章：</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日期：</w:t>
      </w:r>
    </w:p>
    <w:p w14:paraId="4B199F9C">
      <w:pPr>
        <w:pageBreakBefore w:val="0"/>
        <w:kinsoku/>
        <w:topLinePunct w:val="0"/>
        <w:bidi w:val="0"/>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.质疑函接收方式：质疑函以书面形式递交或者电子邮件的方式发送。</w:t>
      </w:r>
    </w:p>
    <w:p w14:paraId="63ECB415">
      <w:pPr>
        <w:pageBreakBefore w:val="0"/>
        <w:kinsoku/>
        <w:topLinePunct w:val="0"/>
        <w:bidi w:val="0"/>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rPr>
        <w:t>质疑函接收：</w:t>
      </w:r>
      <w:r>
        <w:rPr>
          <w:rFonts w:hint="eastAsia" w:ascii="宋体" w:hAnsi="宋体" w:eastAsia="宋体" w:cs="宋体"/>
          <w:spacing w:val="-3"/>
          <w:sz w:val="24"/>
          <w:szCs w:val="24"/>
          <w:lang w:eastAsia="zh-CN"/>
        </w:rPr>
        <w:t>阿克苏疆山项目管理有限公司</w:t>
      </w:r>
      <w:r>
        <w:rPr>
          <w:rFonts w:hint="eastAsia" w:ascii="宋体" w:hAnsi="宋体" w:eastAsia="宋体" w:cs="宋体"/>
          <w:spacing w:val="-3"/>
          <w:sz w:val="24"/>
          <w:szCs w:val="24"/>
        </w:rPr>
        <w:t>，地 址：</w:t>
      </w:r>
      <w:r>
        <w:rPr>
          <w:rFonts w:hint="eastAsia" w:ascii="宋体" w:hAnsi="宋体" w:eastAsia="宋体" w:cs="宋体"/>
          <w:spacing w:val="-3"/>
          <w:sz w:val="24"/>
          <w:szCs w:val="24"/>
          <w:lang w:eastAsia="zh-CN"/>
        </w:rPr>
        <w:t>阿克苏市采荷路1号云山悦府12-2-202室</w:t>
      </w:r>
      <w:r>
        <w:rPr>
          <w:rFonts w:hint="eastAsia" w:ascii="宋体" w:hAnsi="宋体" w:eastAsia="宋体" w:cs="宋体"/>
          <w:spacing w:val="-3"/>
          <w:sz w:val="24"/>
          <w:szCs w:val="24"/>
        </w:rPr>
        <w:t>，联系人：</w:t>
      </w:r>
      <w:r>
        <w:rPr>
          <w:rFonts w:hint="eastAsia" w:ascii="宋体" w:hAnsi="宋体" w:eastAsia="宋体" w:cs="宋体"/>
          <w:spacing w:val="-3"/>
          <w:sz w:val="24"/>
          <w:szCs w:val="24"/>
          <w:lang w:eastAsia="zh-CN"/>
        </w:rPr>
        <w:t>罗磊</w:t>
      </w:r>
      <w:r>
        <w:rPr>
          <w:rFonts w:hint="eastAsia" w:ascii="宋体" w:hAnsi="宋体" w:eastAsia="宋体" w:cs="宋体"/>
          <w:spacing w:val="-3"/>
          <w:sz w:val="24"/>
          <w:szCs w:val="24"/>
        </w:rPr>
        <w:t>，联系电话：</w:t>
      </w:r>
      <w:r>
        <w:rPr>
          <w:rFonts w:hint="eastAsia" w:ascii="宋体" w:hAnsi="宋体" w:eastAsia="宋体" w:cs="宋体"/>
          <w:spacing w:val="-3"/>
          <w:sz w:val="24"/>
          <w:szCs w:val="24"/>
          <w:lang w:val="en-US" w:eastAsia="zh-CN"/>
        </w:rPr>
        <w:t>14719973959</w:t>
      </w:r>
      <w:r>
        <w:rPr>
          <w:rFonts w:hint="eastAsia" w:ascii="宋体" w:hAnsi="宋体" w:eastAsia="宋体" w:cs="宋体"/>
          <w:spacing w:val="-3"/>
          <w:sz w:val="24"/>
          <w:szCs w:val="24"/>
        </w:rPr>
        <w:t>， 电子邮箱：</w:t>
      </w:r>
      <w:r>
        <w:rPr>
          <w:rFonts w:hint="eastAsia" w:ascii="宋体" w:hAnsi="宋体" w:eastAsia="宋体" w:cs="宋体"/>
          <w:spacing w:val="-3"/>
          <w:sz w:val="24"/>
          <w:szCs w:val="24"/>
          <w:lang w:val="en-US" w:eastAsia="zh-CN"/>
        </w:rPr>
        <w:t>2874182286@qq.com</w:t>
      </w:r>
      <w:r>
        <w:rPr>
          <w:rFonts w:hint="eastAsia" w:ascii="宋体" w:hAnsi="宋体" w:eastAsia="宋体" w:cs="宋体"/>
          <w:spacing w:val="-3"/>
          <w:sz w:val="24"/>
          <w:szCs w:val="24"/>
        </w:rPr>
        <w:t>。</w:t>
      </w:r>
    </w:p>
    <w:p w14:paraId="5B0F7AFB">
      <w:pPr>
        <w:pageBreakBefore w:val="0"/>
        <w:kinsoku/>
        <w:topLinePunct w:val="0"/>
        <w:bidi w:val="0"/>
        <w:spacing w:before="96" w:line="255" w:lineRule="auto"/>
        <w:ind w:left="4" w:right="2" w:firstLine="87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注：质疑函附件应提供营业执照扫描件、法人身份证扫描件、授权委</w:t>
      </w:r>
      <w:r>
        <w:rPr>
          <w:rFonts w:ascii="宋体" w:hAnsi="宋体" w:eastAsia="宋体" w:cs="宋体"/>
          <w:spacing w:val="-1"/>
          <w:sz w:val="24"/>
          <w:szCs w:val="24"/>
          <w14:textOutline w14:w="4358" w14:cap="sq" w14:cmpd="sng">
            <w14:solidFill>
              <w14:srgbClr w14:val="000000"/>
            </w14:solidFill>
            <w14:prstDash w14:val="solid"/>
            <w14:bevel/>
          </w14:textOutline>
        </w:rPr>
        <w:t>托人应附供应</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商授权委托书及被委托人身份证扫描件、获取</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磋商文件</w:t>
      </w:r>
      <w:r>
        <w:rPr>
          <w:rFonts w:ascii="宋体" w:hAnsi="宋体" w:eastAsia="宋体" w:cs="宋体"/>
          <w:sz w:val="24"/>
          <w:szCs w:val="24"/>
          <w14:textOutline w14:w="4358" w14:cap="sq" w14:cmpd="sng">
            <w14:solidFill>
              <w14:srgbClr w14:val="000000"/>
            </w14:solidFill>
            <w14:prstDash w14:val="solid"/>
            <w14:bevel/>
          </w14:textOutline>
        </w:rPr>
        <w:t>回执单。</w:t>
      </w:r>
    </w:p>
    <w:p w14:paraId="6307878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有下列情形之一的，属于无效质疑，被质疑人不予受理，由此产生的影响由供应商自行承担：</w:t>
      </w:r>
    </w:p>
    <w:p w14:paraId="2B2B1D6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（1）不是参与该政府采购项目活动供应商的；</w:t>
      </w:r>
    </w:p>
    <w:p w14:paraId="7097193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（2）被质疑人为采购人或政府采购代理机构之外的；</w:t>
      </w:r>
    </w:p>
    <w:p w14:paraId="6F55827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（3）所有质疑事项超过质疑有效期的；</w:t>
      </w:r>
    </w:p>
    <w:p w14:paraId="06FABEC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（4）以具有法律效力的文书送达之外方式提出的；</w:t>
      </w:r>
    </w:p>
    <w:p w14:paraId="731F02B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（5）未按上述规定递交澄清或质疑函的；</w:t>
      </w:r>
    </w:p>
    <w:p w14:paraId="3A54C9A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其他不符合</w:t>
      </w:r>
      <w:r>
        <w:rPr>
          <w:rFonts w:ascii="宋体" w:hAnsi="宋体" w:eastAsia="宋体" w:cs="宋体"/>
          <w:spacing w:val="-3"/>
          <w:sz w:val="24"/>
          <w:szCs w:val="24"/>
        </w:rPr>
        <w:t>受理条件的情形。</w:t>
      </w:r>
    </w:p>
    <w:p w14:paraId="503121B6">
      <w:pPr>
        <w:pageBreakBefore w:val="0"/>
        <w:kinsoku/>
        <w:topLinePunct w:val="0"/>
        <w:bidi w:val="0"/>
        <w:spacing w:before="149" w:line="219"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12.腐败和欺诈行为</w:t>
      </w:r>
    </w:p>
    <w:p w14:paraId="6EF1C4A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（1）定义</w:t>
      </w:r>
    </w:p>
    <w:p w14:paraId="195E29E2">
      <w:pPr>
        <w:pageBreakBefore w:val="0"/>
        <w:kinsoku/>
        <w:wordWrap/>
        <w:topLinePunct w:val="0"/>
        <w:bidi w:val="0"/>
        <w:spacing w:before="178" w:line="360" w:lineRule="auto"/>
        <w:ind w:right="59" w:firstLine="498"/>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“腐败行为”系指提供、给予、接受或索取任何有价值的物品来影响</w:t>
      </w:r>
      <w:r>
        <w:rPr>
          <w:rFonts w:hint="eastAsia" w:ascii="宋体" w:hAnsi="宋体" w:eastAsia="宋体" w:cs="宋体"/>
          <w:color w:val="auto"/>
          <w:spacing w:val="-3"/>
          <w:sz w:val="24"/>
          <w:szCs w:val="24"/>
          <w:highlight w:val="none"/>
          <w:lang w:eastAsia="zh-CN"/>
        </w:rPr>
        <w:t>采购代理机构</w:t>
      </w:r>
      <w:r>
        <w:rPr>
          <w:rFonts w:ascii="宋体" w:hAnsi="宋体" w:eastAsia="宋体" w:cs="宋体"/>
          <w:color w:val="auto"/>
          <w:spacing w:val="-3"/>
          <w:sz w:val="24"/>
          <w:szCs w:val="24"/>
          <w:highlight w:val="none"/>
        </w:rPr>
        <w:t>/或采购人在采购过程或合同实施过程中的行为。</w:t>
      </w:r>
    </w:p>
    <w:p w14:paraId="01E93A8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“欺诈行为”系指为了影响采购过程或合同实施过程而谎报事实，损害</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和 采购人的利益，包括供应商之间串通投标（递交《磋商响应文件》之前和之后），人为地使投标丧失竞争性，剥夺采购人从自由公开竞争所能获得的权益。</w:t>
      </w:r>
    </w:p>
    <w:p w14:paraId="0D1DE80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13.其他</w:t>
      </w:r>
    </w:p>
    <w:p w14:paraId="75DCEB4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本磋商文件由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负责解释。</w:t>
      </w:r>
    </w:p>
    <w:p w14:paraId="182F99DB">
      <w:pPr>
        <w:pStyle w:val="4"/>
        <w:pageBreakBefore w:val="0"/>
        <w:kinsoku/>
        <w:topLinePunct w:val="0"/>
        <w:bidi w:val="0"/>
        <w:spacing w:line="295" w:lineRule="auto"/>
      </w:pPr>
    </w:p>
    <w:p w14:paraId="493296A1">
      <w:pPr>
        <w:pStyle w:val="4"/>
        <w:pageBreakBefore w:val="0"/>
        <w:kinsoku/>
        <w:topLinePunct w:val="0"/>
        <w:bidi w:val="0"/>
        <w:spacing w:line="295" w:lineRule="auto"/>
      </w:pPr>
    </w:p>
    <w:p w14:paraId="0D04F093">
      <w:pPr>
        <w:pStyle w:val="4"/>
        <w:pageBreakBefore w:val="0"/>
        <w:kinsoku/>
        <w:topLinePunct w:val="0"/>
        <w:bidi w:val="0"/>
        <w:spacing w:line="295" w:lineRule="auto"/>
      </w:pPr>
    </w:p>
    <w:p w14:paraId="1261D021">
      <w:pPr>
        <w:pStyle w:val="4"/>
        <w:pageBreakBefore w:val="0"/>
        <w:kinsoku/>
        <w:topLinePunct w:val="0"/>
        <w:bidi w:val="0"/>
        <w:spacing w:line="295" w:lineRule="auto"/>
      </w:pPr>
    </w:p>
    <w:p w14:paraId="00C719B8">
      <w:pPr>
        <w:pStyle w:val="4"/>
        <w:pageBreakBefore w:val="0"/>
        <w:kinsoku/>
        <w:topLinePunct w:val="0"/>
        <w:bidi w:val="0"/>
        <w:spacing w:line="295" w:lineRule="auto"/>
      </w:pPr>
    </w:p>
    <w:p w14:paraId="7320D2A2">
      <w:pPr>
        <w:pStyle w:val="4"/>
        <w:pageBreakBefore w:val="0"/>
        <w:kinsoku/>
        <w:topLinePunct w:val="0"/>
        <w:bidi w:val="0"/>
        <w:spacing w:line="295" w:lineRule="auto"/>
      </w:pPr>
    </w:p>
    <w:p w14:paraId="15EBFA88">
      <w:pPr>
        <w:pStyle w:val="4"/>
        <w:pageBreakBefore w:val="0"/>
        <w:kinsoku/>
        <w:topLinePunct w:val="0"/>
        <w:bidi w:val="0"/>
        <w:spacing w:line="295" w:lineRule="auto"/>
      </w:pPr>
    </w:p>
    <w:p w14:paraId="4EBC9068">
      <w:pPr>
        <w:pStyle w:val="4"/>
        <w:pageBreakBefore w:val="0"/>
        <w:kinsoku/>
        <w:topLinePunct w:val="0"/>
        <w:bidi w:val="0"/>
        <w:spacing w:line="295" w:lineRule="auto"/>
      </w:pPr>
    </w:p>
    <w:p w14:paraId="59B94643">
      <w:pPr>
        <w:pStyle w:val="4"/>
        <w:pageBreakBefore w:val="0"/>
        <w:kinsoku/>
        <w:topLinePunct w:val="0"/>
        <w:bidi w:val="0"/>
        <w:spacing w:line="295" w:lineRule="auto"/>
      </w:pPr>
    </w:p>
    <w:p w14:paraId="39028C35">
      <w:pPr>
        <w:pStyle w:val="4"/>
        <w:pageBreakBefore w:val="0"/>
        <w:kinsoku/>
        <w:topLinePunct w:val="0"/>
        <w:bidi w:val="0"/>
        <w:spacing w:line="295" w:lineRule="auto"/>
      </w:pPr>
    </w:p>
    <w:p w14:paraId="04A67481">
      <w:pPr>
        <w:pStyle w:val="4"/>
        <w:pageBreakBefore w:val="0"/>
        <w:kinsoku/>
        <w:topLinePunct w:val="0"/>
        <w:bidi w:val="0"/>
        <w:spacing w:line="295" w:lineRule="auto"/>
      </w:pPr>
    </w:p>
    <w:p w14:paraId="0448CED5">
      <w:pPr>
        <w:pStyle w:val="4"/>
        <w:pageBreakBefore w:val="0"/>
        <w:kinsoku/>
        <w:topLinePunct w:val="0"/>
        <w:bidi w:val="0"/>
        <w:spacing w:line="295" w:lineRule="auto"/>
      </w:pPr>
    </w:p>
    <w:p w14:paraId="11B94B33">
      <w:pPr>
        <w:pStyle w:val="4"/>
        <w:pageBreakBefore w:val="0"/>
        <w:kinsoku/>
        <w:topLinePunct w:val="0"/>
        <w:bidi w:val="0"/>
        <w:spacing w:line="295" w:lineRule="auto"/>
      </w:pPr>
    </w:p>
    <w:p w14:paraId="5C094061">
      <w:pPr>
        <w:pStyle w:val="4"/>
        <w:pageBreakBefore w:val="0"/>
        <w:kinsoku/>
        <w:topLinePunct w:val="0"/>
        <w:bidi w:val="0"/>
        <w:spacing w:line="295" w:lineRule="auto"/>
      </w:pPr>
    </w:p>
    <w:p w14:paraId="27FBD643">
      <w:pPr>
        <w:pStyle w:val="4"/>
        <w:pageBreakBefore w:val="0"/>
        <w:kinsoku/>
        <w:topLinePunct w:val="0"/>
        <w:bidi w:val="0"/>
        <w:spacing w:line="295" w:lineRule="auto"/>
      </w:pPr>
    </w:p>
    <w:p w14:paraId="0D635912">
      <w:pPr>
        <w:pStyle w:val="4"/>
        <w:pageBreakBefore w:val="0"/>
        <w:kinsoku/>
        <w:topLinePunct w:val="0"/>
        <w:bidi w:val="0"/>
        <w:spacing w:line="295" w:lineRule="auto"/>
      </w:pPr>
    </w:p>
    <w:p w14:paraId="2AE10C7B">
      <w:pPr>
        <w:pStyle w:val="4"/>
        <w:pageBreakBefore w:val="0"/>
        <w:kinsoku/>
        <w:topLinePunct w:val="0"/>
        <w:bidi w:val="0"/>
        <w:spacing w:line="295" w:lineRule="auto"/>
      </w:pPr>
    </w:p>
    <w:p w14:paraId="6143E179">
      <w:pPr>
        <w:pStyle w:val="4"/>
        <w:pageBreakBefore w:val="0"/>
        <w:kinsoku/>
        <w:topLinePunct w:val="0"/>
        <w:bidi w:val="0"/>
        <w:spacing w:line="295" w:lineRule="auto"/>
      </w:pPr>
    </w:p>
    <w:p w14:paraId="65D42C32">
      <w:pPr>
        <w:rPr>
          <w:rFonts w:ascii="黑体" w:hAnsi="黑体" w:eastAsia="黑体" w:cs="黑体"/>
          <w:spacing w:val="8"/>
          <w:sz w:val="35"/>
          <w:szCs w:val="35"/>
          <w14:textOutline w14:w="6537" w14:cap="sq" w14:cmpd="sng">
            <w14:solidFill>
              <w14:srgbClr w14:val="000000"/>
            </w14:solidFill>
            <w14:prstDash w14:val="solid"/>
            <w14:bevel/>
          </w14:textOutline>
        </w:rPr>
      </w:pPr>
      <w:bookmarkStart w:id="8" w:name="bookmark3"/>
      <w:bookmarkEnd w:id="8"/>
      <w:r>
        <w:rPr>
          <w:rFonts w:ascii="黑体" w:hAnsi="黑体" w:eastAsia="黑体" w:cs="黑体"/>
          <w:spacing w:val="8"/>
          <w:sz w:val="35"/>
          <w:szCs w:val="35"/>
          <w14:textOutline w14:w="6537" w14:cap="sq" w14:cmpd="sng">
            <w14:solidFill>
              <w14:srgbClr w14:val="000000"/>
            </w14:solidFill>
            <w14:prstDash w14:val="solid"/>
            <w14:bevel/>
          </w14:textOutline>
        </w:rPr>
        <w:br w:type="page"/>
      </w:r>
    </w:p>
    <w:p w14:paraId="15590E50">
      <w:pPr>
        <w:pageBreakBefore w:val="0"/>
        <w:kinsoku/>
        <w:topLinePunct w:val="0"/>
        <w:bidi w:val="0"/>
        <w:spacing w:before="114" w:line="226" w:lineRule="auto"/>
        <w:ind w:left="3322"/>
        <w:outlineLvl w:val="0"/>
        <w:rPr>
          <w:rFonts w:ascii="黑体" w:hAnsi="黑体" w:eastAsia="黑体" w:cs="黑体"/>
          <w:sz w:val="35"/>
          <w:szCs w:val="35"/>
        </w:rPr>
      </w:pPr>
      <w:r>
        <w:rPr>
          <w:rFonts w:ascii="黑体" w:hAnsi="黑体" w:eastAsia="黑体" w:cs="黑体"/>
          <w:spacing w:val="8"/>
          <w:sz w:val="35"/>
          <w:szCs w:val="35"/>
          <w14:textOutline w14:w="6537" w14:cap="sq" w14:cmpd="sng">
            <w14:solidFill>
              <w14:srgbClr w14:val="000000"/>
            </w14:solidFill>
            <w14:prstDash w14:val="solid"/>
            <w14:bevel/>
          </w14:textOutline>
        </w:rPr>
        <w:t>第三章</w:t>
      </w:r>
      <w:r>
        <w:rPr>
          <w:rFonts w:ascii="黑体" w:hAnsi="黑体" w:eastAsia="黑体" w:cs="黑体"/>
          <w:spacing w:val="8"/>
          <w:sz w:val="35"/>
          <w:szCs w:val="35"/>
        </w:rPr>
        <w:t xml:space="preserve">  </w:t>
      </w:r>
      <w:r>
        <w:rPr>
          <w:rFonts w:hint="eastAsia" w:ascii="黑体" w:hAnsi="黑体" w:eastAsia="黑体" w:cs="黑体"/>
          <w:spacing w:val="8"/>
          <w:sz w:val="35"/>
          <w:szCs w:val="35"/>
          <w:lang w:eastAsia="zh-CN"/>
          <w14:textOutline w14:w="6537" w14:cap="sq" w14:cmpd="sng">
            <w14:solidFill>
              <w14:srgbClr w14:val="000000"/>
            </w14:solidFill>
            <w14:prstDash w14:val="solid"/>
            <w14:bevel/>
          </w14:textOutline>
        </w:rPr>
        <w:t>评审</w:t>
      </w:r>
      <w:r>
        <w:rPr>
          <w:rFonts w:ascii="黑体" w:hAnsi="黑体" w:eastAsia="黑体" w:cs="黑体"/>
          <w:spacing w:val="8"/>
          <w:sz w:val="35"/>
          <w:szCs w:val="35"/>
          <w14:textOutline w14:w="6537" w14:cap="sq" w14:cmpd="sng">
            <w14:solidFill>
              <w14:srgbClr w14:val="000000"/>
            </w14:solidFill>
            <w14:prstDash w14:val="solid"/>
            <w14:bevel/>
          </w14:textOutline>
        </w:rPr>
        <w:t>办法</w:t>
      </w:r>
    </w:p>
    <w:p w14:paraId="0B301D2B">
      <w:pPr>
        <w:pageBreakBefore w:val="0"/>
        <w:kinsoku/>
        <w:topLinePunct w:val="0"/>
        <w:bidi w:val="0"/>
        <w:spacing w:before="20" w:line="221" w:lineRule="auto"/>
        <w:ind w:left="4207"/>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一、总则</w:t>
      </w:r>
    </w:p>
    <w:p w14:paraId="5B35C85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1.根据《中华人民共和国政府采购法》、《中华人民共和国政府采购法实施条例》、《政府采购竞争性磋商采购方式管理暂行办法》及《政府采购货物和服务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rPr>
        <w:t>管理办法》（财政部第87号令）等法律规章，结合采购项目特点制定本</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w:t>
      </w:r>
    </w:p>
    <w:p w14:paraId="42F9589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负责组织，具体</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事务由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依法组建的磋商小组负责。磋商小组由</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人评审专家组成。</w:t>
      </w:r>
    </w:p>
    <w:p w14:paraId="2C851FB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应遵循公平、公正、科学及择优的原则，并以相同的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程序和标准对待所有的供应商。</w:t>
      </w:r>
    </w:p>
    <w:p w14:paraId="1EA722A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4.磋商小组按照磋商文件规定的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方法和标准进行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，并独立履行下列职责：</w:t>
      </w:r>
    </w:p>
    <w:p w14:paraId="1462EA6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（1）审查磋商响应文件是否符合磋商文件要求，并</w:t>
      </w:r>
      <w:r>
        <w:rPr>
          <w:rFonts w:hint="eastAsia" w:ascii="宋体" w:hAnsi="宋体" w:eastAsia="宋体" w:cs="宋体"/>
          <w:spacing w:val="-3"/>
          <w:sz w:val="24"/>
          <w:szCs w:val="24"/>
          <w:lang w:eastAsia="zh-CN"/>
        </w:rPr>
        <w:t>作出评价</w:t>
      </w:r>
      <w:r>
        <w:rPr>
          <w:rFonts w:ascii="宋体" w:hAnsi="宋体" w:eastAsia="宋体" w:cs="宋体"/>
          <w:spacing w:val="-3"/>
          <w:sz w:val="24"/>
          <w:szCs w:val="24"/>
        </w:rPr>
        <w:t>；</w:t>
      </w:r>
    </w:p>
    <w:p w14:paraId="1C5B337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（2）要求供应商对磋商响应文件有关事项</w:t>
      </w:r>
      <w:r>
        <w:rPr>
          <w:rFonts w:hint="eastAsia" w:ascii="宋体" w:hAnsi="宋体" w:eastAsia="宋体" w:cs="宋体"/>
          <w:spacing w:val="-3"/>
          <w:sz w:val="24"/>
          <w:szCs w:val="24"/>
          <w:lang w:eastAsia="zh-CN"/>
        </w:rPr>
        <w:t>作出解释</w:t>
      </w:r>
      <w:r>
        <w:rPr>
          <w:rFonts w:ascii="宋体" w:hAnsi="宋体" w:eastAsia="宋体" w:cs="宋体"/>
          <w:spacing w:val="-3"/>
          <w:sz w:val="24"/>
          <w:szCs w:val="24"/>
        </w:rPr>
        <w:t>或者澄清；</w:t>
      </w:r>
    </w:p>
    <w:p w14:paraId="137930F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（3）推荐</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候选供应商名单，或者受采购人委托按照事先确定的办法直接确定</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rPr>
        <w:t>；</w:t>
      </w:r>
    </w:p>
    <w:p w14:paraId="75E3C0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（4）向</w:t>
      </w:r>
      <w:r>
        <w:rPr>
          <w:rFonts w:hint="eastAsia" w:ascii="宋体" w:hAnsi="宋体" w:eastAsia="宋体" w:cs="宋体"/>
          <w:spacing w:val="-3"/>
          <w:sz w:val="24"/>
          <w:szCs w:val="24"/>
          <w:lang w:eastAsia="zh-CN"/>
        </w:rPr>
        <w:t>采购单位</w:t>
      </w:r>
      <w:r>
        <w:rPr>
          <w:rFonts w:ascii="宋体" w:hAnsi="宋体" w:eastAsia="宋体" w:cs="宋体"/>
          <w:spacing w:val="-3"/>
          <w:sz w:val="24"/>
          <w:szCs w:val="24"/>
        </w:rPr>
        <w:t>或者有关部门报告非法干预</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的行为。</w:t>
      </w:r>
    </w:p>
    <w:p w14:paraId="64A746ED">
      <w:pPr>
        <w:pStyle w:val="4"/>
        <w:pageBreakBefore w:val="0"/>
        <w:kinsoku/>
        <w:topLinePunct w:val="0"/>
        <w:bidi w:val="0"/>
        <w:spacing w:line="334" w:lineRule="auto"/>
      </w:pPr>
    </w:p>
    <w:p w14:paraId="35CB0FC2">
      <w:pPr>
        <w:pageBreakBefore w:val="0"/>
        <w:kinsoku/>
        <w:topLinePunct w:val="0"/>
        <w:bidi w:val="0"/>
        <w:spacing w:before="92"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2"/>
          <w:sz w:val="28"/>
          <w:szCs w:val="28"/>
          <w14:textOutline w14:w="5103" w14:cap="sq" w14:cmpd="sng">
            <w14:solidFill>
              <w14:srgbClr w14:val="000000"/>
            </w14:solidFill>
            <w14:prstDash w14:val="solid"/>
            <w14:bevel/>
          </w14:textOutline>
        </w:rPr>
        <w:t>原则</w:t>
      </w:r>
    </w:p>
    <w:p w14:paraId="2E5977E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1.磋商小组按照公开、公平、公正、科学、择优的原则对待所有的供应商。</w:t>
      </w:r>
    </w:p>
    <w:p w14:paraId="76061BC6">
      <w:pPr>
        <w:pageBreakBefore w:val="0"/>
        <w:kinsoku/>
        <w:wordWrap/>
        <w:topLinePunct w:val="0"/>
        <w:bidi w:val="0"/>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2.磋商小组成员应当客观、公正地履行职责，遵守职业道德，对所提出的评审意见承担个人责任；磋商小组成员实行主动回避制度；磋商小组成员及工作人员对整个</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活动保密。</w:t>
      </w:r>
    </w:p>
    <w:p w14:paraId="60F49ED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3.磋商小组审查磋商响应文件是否符合磋商文件的所有条款、条件和规定。</w:t>
      </w:r>
    </w:p>
    <w:p w14:paraId="036316C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只对实质上响应磋商文件要求的有效磋商响应文件进行评审，响应的依据是磋商响应文件本身的内容，而不寻求</w:t>
      </w:r>
      <w:r>
        <w:rPr>
          <w:rFonts w:hint="eastAsia" w:ascii="宋体" w:hAnsi="宋体" w:eastAsia="宋体" w:cs="宋体"/>
          <w:spacing w:val="-3"/>
          <w:sz w:val="24"/>
          <w:szCs w:val="24"/>
          <w:lang w:eastAsia="zh-CN"/>
        </w:rPr>
        <w:t>其他证据</w:t>
      </w:r>
      <w:r>
        <w:rPr>
          <w:rFonts w:ascii="宋体" w:hAnsi="宋体" w:eastAsia="宋体" w:cs="宋体"/>
          <w:spacing w:val="-3"/>
          <w:sz w:val="24"/>
          <w:szCs w:val="24"/>
        </w:rPr>
        <w:t>。</w:t>
      </w:r>
    </w:p>
    <w:p w14:paraId="72BD8E2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将依据磋商文件确定的标准和方法，结合磋商响应文件及其补充文件进行，不得忽视磋商响应文件的实质性内容进行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w:t>
      </w:r>
    </w:p>
    <w:p w14:paraId="6C65BF5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活动依法进行，任何单位和个人不得非法干预、阻挠采购人采购代理机构的正常工作或者影响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过程和结果。</w:t>
      </w:r>
    </w:p>
    <w:p w14:paraId="69A0984A">
      <w:pPr>
        <w:pStyle w:val="4"/>
        <w:pageBreakBefore w:val="0"/>
        <w:kinsoku/>
        <w:topLinePunct w:val="0"/>
        <w:bidi w:val="0"/>
        <w:spacing w:line="334" w:lineRule="auto"/>
      </w:pPr>
    </w:p>
    <w:p w14:paraId="3C4622ED">
      <w:pPr>
        <w:pageBreakBefore w:val="0"/>
        <w:kinsoku/>
        <w:topLinePunct w:val="0"/>
        <w:bidi w:val="0"/>
        <w:spacing w:before="91" w:line="221" w:lineRule="auto"/>
        <w:ind w:left="3920"/>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1"/>
          <w:sz w:val="28"/>
          <w:szCs w:val="28"/>
          <w14:textOutline w14:w="5103" w14:cap="sq" w14:cmpd="sng">
            <w14:solidFill>
              <w14:srgbClr w14:val="000000"/>
            </w14:solidFill>
            <w14:prstDash w14:val="solid"/>
            <w14:bevel/>
          </w14:textOutline>
        </w:rPr>
        <w:t>方法</w:t>
      </w:r>
    </w:p>
    <w:p w14:paraId="47352962">
      <w:pPr>
        <w:pageBreakBefore w:val="0"/>
        <w:kinsoku/>
        <w:topLinePunct w:val="0"/>
        <w:bidi w:val="0"/>
        <w:spacing w:before="205" w:line="219" w:lineRule="auto"/>
        <w:ind w:left="19"/>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1、竞争性磋商要求</w:t>
      </w:r>
    </w:p>
    <w:p w14:paraId="74342A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将在“竞争性磋商须知前附表”规定的时间、地点组织竞争性磋商。供应商应委派代表参加。</w:t>
      </w:r>
    </w:p>
    <w:p w14:paraId="32012F4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 提交了可接受的“撤回”通知的报价将不予开封。</w:t>
      </w:r>
    </w:p>
    <w:p w14:paraId="623BF890">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2、竞争性磋商小组组建及工作</w:t>
      </w:r>
    </w:p>
    <w:p w14:paraId="34E6E83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将按照《中华人民共和国政府采购法》及有关规定组建磋商小组。</w:t>
      </w:r>
    </w:p>
    <w:p w14:paraId="4BA0E08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 磋商小组由</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人评审专家组成，采购代理机构人员不得参加本机构代理的采购项目的评审。</w:t>
      </w:r>
    </w:p>
    <w:p w14:paraId="3FF6E20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w:t>
      </w:r>
    </w:p>
    <w:p w14:paraId="59450BD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12AF34C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2.4 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14:paraId="72753B91">
      <w:pPr>
        <w:pStyle w:val="4"/>
        <w:keepNext w:val="0"/>
        <w:keepLines w:val="0"/>
        <w:pageBreakBefore w:val="0"/>
        <w:widowControl/>
        <w:kinsoku/>
        <w:wordWrap/>
        <w:overflowPunct/>
        <w:topLinePunct w:val="0"/>
        <w:autoSpaceDE w:val="0"/>
        <w:autoSpaceDN w:val="0"/>
        <w:bidi w:val="0"/>
        <w:adjustRightInd w:val="0"/>
        <w:snapToGrid w:val="0"/>
        <w:spacing w:line="360" w:lineRule="auto"/>
        <w:ind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pacing w:val="-3"/>
          <w:sz w:val="24"/>
          <w:szCs w:val="24"/>
        </w:rPr>
        <w:t>2.5 在磋商期间，响应文件中有不满足竞争性磋商文件资质要求的或不符合竞争性磋商文件带“★”要求的内容的，将视为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；磋商小组可要求供应</w:t>
      </w:r>
      <w:r>
        <w:rPr>
          <w:rFonts w:ascii="宋体" w:hAnsi="宋体" w:eastAsia="宋体" w:cs="宋体"/>
          <w:snapToGrid w:val="0"/>
          <w:color w:val="000000"/>
          <w:spacing w:val="-3"/>
          <w:kern w:val="0"/>
          <w:sz w:val="24"/>
          <w:szCs w:val="24"/>
          <w:lang w:val="en-US" w:eastAsia="en-US" w:bidi="ar-SA"/>
        </w:rPr>
        <w:t>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14:paraId="3AB7E1AB">
      <w:pPr>
        <w:keepNext w:val="0"/>
        <w:keepLines w:val="0"/>
        <w:pageBreakBefore w:val="0"/>
        <w:widowControl/>
        <w:kinsoku/>
        <w:wordWrap/>
        <w:overflowPunct/>
        <w:topLinePunct w:val="0"/>
        <w:autoSpaceDE w:val="0"/>
        <w:autoSpaceDN w:val="0"/>
        <w:bidi w:val="0"/>
        <w:adjustRightInd w:val="0"/>
        <w:snapToGrid w:val="0"/>
        <w:spacing w:before="182" w:line="360" w:lineRule="auto"/>
        <w:ind w:left="4"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2.6 参加磋商的供应商应当对磋商的承诺和最后报价以书面形式确认，并由全权代表签字或盖章。</w:t>
      </w:r>
    </w:p>
    <w:p w14:paraId="3C76F243">
      <w:pPr>
        <w:pageBreakBefore w:val="0"/>
        <w:kinsoku/>
        <w:topLinePunct w:val="0"/>
        <w:bidi w:val="0"/>
        <w:spacing w:before="185"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3、竞争性磋商过程的保密性</w:t>
      </w:r>
    </w:p>
    <w:p w14:paraId="793DDF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3.1 从开始竞争性磋商，直到向成交的供应商授予合同时止，凡与审查、澄清、评价和比较报价有关资料以及评审意见等，均不得向供应商及与竞争性磋商无关的其他人透露。</w:t>
      </w:r>
    </w:p>
    <w:p w14:paraId="7CD7951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3.2 在竞争性磋商过程中，如果供应商试图在响应文件审查、澄清、比较及授予合同方面向采购人施加任何影响，其报价将被拒绝。</w:t>
      </w:r>
    </w:p>
    <w:p w14:paraId="10D0361B">
      <w:pPr>
        <w:pageBreakBefore w:val="0"/>
        <w:kinsoku/>
        <w:topLinePunct w:val="0"/>
        <w:bidi w:val="0"/>
        <w:spacing w:before="183" w:line="219" w:lineRule="auto"/>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4.竞争性磋商程序</w:t>
      </w:r>
    </w:p>
    <w:p w14:paraId="74DCE9A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竞争性磋商程序：初步审查、竞争性磋商（包括澄清、符合性评审）、磋商报价、详细评审、推荐成交供应商。其中，竞争性磋商按本章第 9.1 款情形进行。</w:t>
      </w:r>
    </w:p>
    <w:p w14:paraId="170DDF2A">
      <w:pPr>
        <w:pageBreakBefore w:val="0"/>
        <w:kinsoku/>
        <w:topLinePunct w:val="0"/>
        <w:bidi w:val="0"/>
        <w:spacing w:before="184" w:line="219" w:lineRule="auto"/>
        <w:ind w:left="6"/>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5.初步审查</w:t>
      </w:r>
    </w:p>
    <w:p w14:paraId="3D2C6F1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磋商小组将审查磋商响应文件是否完整、资格证明文件是否齐全、合格，保证金是否足额、有无计算上的错误等。</w:t>
      </w:r>
    </w:p>
    <w:p w14:paraId="66614FC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算术错误将按以下方法更正：若单价计算的结果与总价不一致，以单价为准修改总价；若用文字表示的数值与数字表示的数值不一致，以文字表示的数值为准。如果供应商不接受 对其错误的更正，其响应文件将被拒绝。</w:t>
      </w:r>
    </w:p>
    <w:p w14:paraId="72FA987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在详细磋商响应之前，根据本须知的规定，磋商小组要审查每份磋商响应文件是否实质上响应了</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的要求。实质上响应的磋商响应文件应该是与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全部条款、条件和技术参数相符，没有重大偏离的磋商响应文件。对关键条文的偏离、保留或反对将被认为是实质上的偏离。磋商小组决定磋商的响应性只根据磋商响应文件本身的内容，而不寻求外部的证据。</w:t>
      </w:r>
    </w:p>
    <w:p w14:paraId="4433733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5.4 实质上没有响应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要求的磋商响应文件将被拒绝。</w:t>
      </w:r>
    </w:p>
    <w:p w14:paraId="1070A20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5.5 如果磋商响应文件实质性没有响应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的要求，其投标将被拒绝。供应商不得通过修正或</w:t>
      </w:r>
      <w:r>
        <w:rPr>
          <w:rFonts w:hint="eastAsia" w:ascii="宋体" w:hAnsi="宋体" w:eastAsia="宋体" w:cs="宋体"/>
          <w:spacing w:val="-3"/>
          <w:sz w:val="24"/>
          <w:szCs w:val="24"/>
          <w:lang w:eastAsia="zh-CN"/>
        </w:rPr>
        <w:t>撤销</w:t>
      </w:r>
      <w:r>
        <w:rPr>
          <w:rFonts w:ascii="宋体" w:hAnsi="宋体" w:eastAsia="宋体" w:cs="宋体"/>
          <w:spacing w:val="-3"/>
          <w:sz w:val="24"/>
          <w:szCs w:val="24"/>
        </w:rPr>
        <w:t>不符合要求的偏离或保留从而使其磋商响应文件成为实质响应。</w:t>
      </w:r>
    </w:p>
    <w:p w14:paraId="60CE891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5.6 采购人只对在初审中确定为实质性响应的磋商响应文件进行进一步的详细商务和技术评审。</w:t>
      </w:r>
    </w:p>
    <w:p w14:paraId="7710E245">
      <w:pPr>
        <w:pageBreakBefore w:val="0"/>
        <w:kinsoku/>
        <w:topLinePunct w:val="0"/>
        <w:bidi w:val="0"/>
        <w:spacing w:before="184" w:line="220" w:lineRule="auto"/>
        <w:ind w:left="2"/>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6.实质性响应</w:t>
      </w:r>
    </w:p>
    <w:p w14:paraId="24DAB7D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6.1 实质性响应是指响应文件与竞争性磋商文件要求的所有条款、条件和规格相符，没有偏离。偏离指不满足</w:t>
      </w:r>
      <w:r>
        <w:rPr>
          <w:rFonts w:hint="eastAsia" w:ascii="宋体" w:hAnsi="宋体" w:eastAsia="宋体" w:cs="宋体"/>
          <w:spacing w:val="-3"/>
          <w:sz w:val="24"/>
          <w:szCs w:val="24"/>
          <w:lang w:eastAsia="zh-CN"/>
        </w:rPr>
        <w:t>或</w:t>
      </w:r>
      <w:r>
        <w:rPr>
          <w:rFonts w:ascii="宋体" w:hAnsi="宋体" w:eastAsia="宋体" w:cs="宋体"/>
          <w:spacing w:val="-3"/>
          <w:sz w:val="24"/>
          <w:szCs w:val="24"/>
        </w:rPr>
        <w:t>不响应竞争性磋商文件的要求。</w:t>
      </w:r>
    </w:p>
    <w:p w14:paraId="6F8A0A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6.2 响应文件是否实质性响应竞争性磋商文件要求由竞争性磋商小组依据竞争性磋商文件规 定认定。竞争性磋商小组决定响应文件的响应性只根据响应文件本身的真实无误的内容，而不依据外部的证据。</w:t>
      </w:r>
    </w:p>
    <w:p w14:paraId="0243C40B">
      <w:pPr>
        <w:pageBreakBefore w:val="0"/>
        <w:kinsoku/>
        <w:topLinePunct w:val="0"/>
        <w:bidi w:val="0"/>
        <w:spacing w:before="181" w:line="220" w:lineRule="auto"/>
        <w:ind w:left="6"/>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7.澄清</w:t>
      </w:r>
    </w:p>
    <w:p w14:paraId="55D8002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磋商小组在对响应文件的有效性、完整性和响应程度进行审查时，可以要求供应商对响应文件中含义不明确、同类问题表述不一致或者有明显文字和计算错误的内容澄清、说明或者更正。供应商的澄清、说明或者更正不得超出响应文件的范围或者改变响应文件的实质性内容。</w:t>
      </w:r>
    </w:p>
    <w:p w14:paraId="405D8D14">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803613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最后报价计算错误修正的原则：最后报价的大写金额和小写金额不一致的，以大写金额为准；总价金额与按单价汇总金额不一致的，以单价金额计算结果为准；单价金额小数点有明显错位的，应以总价为准，并修改单价。</w:t>
      </w:r>
    </w:p>
    <w:p w14:paraId="00159B37">
      <w:pPr>
        <w:pageBreakBefore w:val="0"/>
        <w:kinsoku/>
        <w:topLinePunct w:val="0"/>
        <w:bidi w:val="0"/>
        <w:spacing w:before="184"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8.供应商家数计算</w:t>
      </w:r>
    </w:p>
    <w:p w14:paraId="566B5B7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产品为同一品牌同一型号的视为一家，如果有多家供应商以同一品牌同一型号产品参加竞争性磋商的，应作为一个供应商计算，以符合竞争性磋商文件要求的最低报价者为该品牌及型号产品的唯一有效供应商。</w:t>
      </w:r>
    </w:p>
    <w:p w14:paraId="6F44B409">
      <w:pPr>
        <w:pageBreakBefore w:val="0"/>
        <w:kinsoku/>
        <w:topLinePunct w:val="0"/>
        <w:bidi w:val="0"/>
        <w:spacing w:before="182"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9.竞争性磋商</w:t>
      </w:r>
    </w:p>
    <w:p w14:paraId="22B850B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9.1 在磋商过程中，磋商小组可以根据磋商文件和磋商情况实质性变动采购需求中的技术、服务要求以及合同草案条款，但不得变动磋商文件中的其他内容。实质性变动的内容，须经采购人代表确认。</w:t>
      </w:r>
    </w:p>
    <w:p w14:paraId="073DEAF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9.2 对磋商文件作出的实质性变动是磋商文件的有效组成部分，磋商小组应当及时以书面形式同时通知所有参加磋商的供应商。</w:t>
      </w:r>
    </w:p>
    <w:p w14:paraId="6D1C44A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9.3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879B4A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9.4 磋商文件能够详细列明采购标的的技术、服务要求的，磋商结束后，磋商小组应当要求所有实质性响应的供应商在规定时间内提交最后报价，提交最后报价的供应商不得少于 3家。</w:t>
      </w:r>
    </w:p>
    <w:p w14:paraId="1A883D5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9.5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44F982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9.6 已提交响应文件的供应商，在提交最后报价之前，可以根据磋商情况退出磋商。采购人、采购代理机构应当退还退出磋商的供应商的保证金。</w:t>
      </w:r>
    </w:p>
    <w:p w14:paraId="540700BA">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9.7 经磋商确定最终采购需求和提交最后报价的供应商后，由磋商小组采用综合评分法对提交最后报价的供应商的响应文件和最后报价进行综合评分。</w:t>
      </w:r>
    </w:p>
    <w:p w14:paraId="00631314">
      <w:pPr>
        <w:pageBreakBefore w:val="0"/>
        <w:kinsoku/>
        <w:topLinePunct w:val="0"/>
        <w:bidi w:val="0"/>
        <w:spacing w:before="183"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10、磋商响应文件的详细评审</w:t>
      </w:r>
    </w:p>
    <w:p w14:paraId="5FB096B3">
      <w:pPr>
        <w:pageBreakBefore w:val="0"/>
        <w:kinsoku/>
        <w:topLinePunct w:val="0"/>
        <w:bidi w:val="0"/>
        <w:spacing w:before="182" w:line="219" w:lineRule="auto"/>
        <w:ind w:left="18"/>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2"/>
          <w:sz w:val="24"/>
          <w:szCs w:val="24"/>
        </w:rPr>
        <w:t xml:space="preserve"> </w:t>
      </w:r>
      <w:r>
        <w:rPr>
          <w:rFonts w:ascii="宋体" w:hAnsi="宋体" w:eastAsia="宋体" w:cs="宋体"/>
          <w:spacing w:val="-1"/>
          <w:sz w:val="24"/>
          <w:szCs w:val="24"/>
        </w:rPr>
        <w:t>磋商小组将只对确定为实质上响应</w:t>
      </w:r>
      <w:r>
        <w:rPr>
          <w:rFonts w:hint="eastAsia" w:ascii="宋体" w:hAnsi="宋体" w:eastAsia="宋体" w:cs="宋体"/>
          <w:spacing w:val="-1"/>
          <w:sz w:val="24"/>
          <w:szCs w:val="24"/>
          <w:lang w:eastAsia="zh-CN"/>
        </w:rPr>
        <w:t>磋商文件</w:t>
      </w:r>
      <w:r>
        <w:rPr>
          <w:rFonts w:ascii="宋体" w:hAnsi="宋体" w:eastAsia="宋体" w:cs="宋体"/>
          <w:spacing w:val="-1"/>
          <w:sz w:val="24"/>
          <w:szCs w:val="24"/>
        </w:rPr>
        <w:t>要求的磋商进行详细磋</w:t>
      </w:r>
      <w:r>
        <w:rPr>
          <w:rFonts w:ascii="宋体" w:hAnsi="宋体" w:eastAsia="宋体" w:cs="宋体"/>
          <w:spacing w:val="-2"/>
          <w:sz w:val="24"/>
          <w:szCs w:val="24"/>
        </w:rPr>
        <w:t>商。</w:t>
      </w:r>
    </w:p>
    <w:p w14:paraId="174D861F">
      <w:pPr>
        <w:pageBreakBefore w:val="0"/>
        <w:kinsoku/>
        <w:topLinePunct w:val="0"/>
        <w:bidi w:val="0"/>
        <w:spacing w:before="184" w:line="220" w:lineRule="auto"/>
        <w:ind w:left="18"/>
        <w:rPr>
          <w:rFonts w:ascii="宋体" w:hAnsi="宋体" w:eastAsia="宋体" w:cs="宋体"/>
          <w:sz w:val="24"/>
          <w:szCs w:val="24"/>
        </w:rPr>
      </w:pPr>
      <w:r>
        <w:rPr>
          <w:rFonts w:ascii="宋体" w:hAnsi="宋体" w:eastAsia="宋体" w:cs="宋体"/>
          <w:spacing w:val="-4"/>
          <w:sz w:val="24"/>
          <w:szCs w:val="24"/>
        </w:rPr>
        <w:t>10.2</w:t>
      </w:r>
      <w:r>
        <w:rPr>
          <w:rFonts w:ascii="宋体" w:hAnsi="宋体" w:eastAsia="宋体" w:cs="宋体"/>
          <w:spacing w:val="-48"/>
          <w:sz w:val="24"/>
          <w:szCs w:val="24"/>
        </w:rPr>
        <w:t xml:space="preserve"> </w:t>
      </w:r>
      <w:r>
        <w:rPr>
          <w:rFonts w:ascii="宋体" w:hAnsi="宋体" w:eastAsia="宋体" w:cs="宋体"/>
          <w:spacing w:val="-4"/>
          <w:sz w:val="24"/>
          <w:szCs w:val="24"/>
        </w:rPr>
        <w:t>综合评分法</w:t>
      </w:r>
    </w:p>
    <w:p w14:paraId="28738D6A">
      <w:pPr>
        <w:pStyle w:val="4"/>
        <w:pageBreakBefore w:val="0"/>
        <w:kinsoku/>
        <w:topLinePunct w:val="0"/>
        <w:bidi w:val="0"/>
        <w:spacing w:line="331" w:lineRule="auto"/>
      </w:pPr>
    </w:p>
    <w:p w14:paraId="3F971C85">
      <w:pPr>
        <w:pageBreakBefore w:val="0"/>
        <w:kinsoku/>
        <w:topLinePunct w:val="0"/>
        <w:bidi w:val="0"/>
        <w:spacing w:before="92" w:line="221" w:lineRule="auto"/>
        <w:ind w:left="3384"/>
        <w:outlineLvl w:val="1"/>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四、</w:t>
      </w: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3"/>
          <w:sz w:val="28"/>
          <w:szCs w:val="28"/>
          <w14:textOutline w14:w="5103" w14:cap="sq" w14:cmpd="sng">
            <w14:solidFill>
              <w14:srgbClr w14:val="000000"/>
            </w14:solidFill>
            <w14:prstDash w14:val="solid"/>
            <w14:bevel/>
          </w14:textOutline>
        </w:rPr>
        <w:t>过程的保密性</w:t>
      </w:r>
    </w:p>
    <w:p w14:paraId="7F2A9C5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eastAsia="zh-CN"/>
        </w:rPr>
        <w:t>采购活动结束</w:t>
      </w:r>
      <w:r>
        <w:rPr>
          <w:rFonts w:ascii="宋体" w:hAnsi="宋体" w:eastAsia="宋体" w:cs="宋体"/>
          <w:spacing w:val="-3"/>
          <w:sz w:val="24"/>
          <w:szCs w:val="24"/>
        </w:rPr>
        <w:t>后，</w:t>
      </w:r>
      <w:r>
        <w:rPr>
          <w:rFonts w:hint="eastAsia" w:ascii="宋体" w:hAnsi="宋体" w:eastAsia="宋体" w:cs="宋体"/>
          <w:spacing w:val="-3"/>
          <w:sz w:val="24"/>
          <w:szCs w:val="24"/>
          <w:lang w:eastAsia="zh-CN"/>
        </w:rPr>
        <w:t>直到</w:t>
      </w:r>
      <w:r>
        <w:rPr>
          <w:rFonts w:ascii="宋体" w:hAnsi="宋体" w:eastAsia="宋体" w:cs="宋体"/>
          <w:spacing w:val="-3"/>
          <w:sz w:val="24"/>
          <w:szCs w:val="24"/>
        </w:rPr>
        <w:t>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授予合同时止，凡与审查、澄清、评价和比较投标的有关资料以及授标意见等，均不得向供应商及与</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无关的其他人透露。</w:t>
      </w:r>
    </w:p>
    <w:p w14:paraId="5927ECD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过程中，如果供应商试图在磋商响应文件审查、澄清、比较及授予合同方面向采购人施加任何影响，其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将被拒绝。</w:t>
      </w:r>
    </w:p>
    <w:p w14:paraId="623DDAE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人员严格遵守国家的有关保密</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的规定，严格自律，同时接受有关部门的监督、审查。</w:t>
      </w:r>
    </w:p>
    <w:p w14:paraId="0357B405">
      <w:pPr>
        <w:pageBreakBefore w:val="0"/>
        <w:kinsoku/>
        <w:topLinePunct w:val="0"/>
        <w:bidi w:val="0"/>
        <w:spacing w:before="91"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五、</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2"/>
          <w:sz w:val="28"/>
          <w:szCs w:val="28"/>
          <w14:textOutline w14:w="5103" w14:cap="sq" w14:cmpd="sng">
            <w14:solidFill>
              <w14:srgbClr w14:val="000000"/>
            </w14:solidFill>
            <w14:prstDash w14:val="solid"/>
            <w14:bevel/>
          </w14:textOutline>
        </w:rPr>
        <w:t>方法</w:t>
      </w:r>
    </w:p>
    <w:p w14:paraId="34342FD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1.磋商小组以开标、</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情况为基本依据，对符合条件的《磋商响应文件》及供应商进行综合评审打分，总分值设定为100分。</w:t>
      </w:r>
    </w:p>
    <w:p w14:paraId="7C495D23">
      <w:pPr>
        <w:pageBreakBefore w:val="0"/>
        <w:kinsoku/>
        <w:topLinePunct w:val="0"/>
        <w:bidi w:val="0"/>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2.本项目采用“综合评分法”</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，即指在最大限度地满足磋商文件实质性要求前提下，按照磋商文件中规定的各项因素进行综合评审后，按照</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总得分由高到低进行排名顺序确定</w:t>
      </w:r>
      <w:r>
        <w:rPr>
          <w:rFonts w:hint="eastAsia" w:ascii="宋体" w:hAnsi="宋体" w:eastAsia="宋体" w:cs="宋体"/>
          <w:spacing w:val="-3"/>
          <w:sz w:val="24"/>
          <w:szCs w:val="24"/>
          <w:lang w:val="en-US" w:eastAsia="zh-CN"/>
        </w:rPr>
        <w:t>成交供应商</w:t>
      </w:r>
      <w:r>
        <w:rPr>
          <w:rFonts w:ascii="宋体" w:hAnsi="宋体" w:eastAsia="宋体" w:cs="宋体"/>
          <w:spacing w:val="-3"/>
          <w:sz w:val="24"/>
          <w:szCs w:val="24"/>
          <w:lang w:val="en-US" w:eastAsia="en-US"/>
        </w:rPr>
        <w:t>，本项目不保证最低价</w:t>
      </w:r>
      <w:r>
        <w:rPr>
          <w:rFonts w:hint="eastAsia" w:ascii="宋体" w:hAnsi="宋体" w:eastAsia="宋体" w:cs="宋体"/>
          <w:spacing w:val="-3"/>
          <w:sz w:val="24"/>
          <w:szCs w:val="24"/>
          <w:lang w:val="en-US" w:eastAsia="zh-CN"/>
        </w:rPr>
        <w:t>成交</w:t>
      </w:r>
      <w:r>
        <w:rPr>
          <w:rFonts w:ascii="宋体" w:hAnsi="宋体" w:eastAsia="宋体" w:cs="宋体"/>
          <w:spacing w:val="-3"/>
          <w:sz w:val="24"/>
          <w:szCs w:val="24"/>
          <w:lang w:val="en-US" w:eastAsia="en-US"/>
        </w:rPr>
        <w:t>。</w:t>
      </w:r>
    </w:p>
    <w:p w14:paraId="644ACB45">
      <w:pPr>
        <w:pStyle w:val="4"/>
        <w:pageBreakBefore w:val="0"/>
        <w:kinsoku/>
        <w:topLinePunct w:val="0"/>
        <w:bidi w:val="0"/>
        <w:spacing w:line="241" w:lineRule="auto"/>
      </w:pPr>
    </w:p>
    <w:p w14:paraId="7E2E47AF">
      <w:pPr>
        <w:pageBreakBefore w:val="0"/>
        <w:kinsoku/>
        <w:topLinePunct w:val="0"/>
        <w:bidi w:val="0"/>
        <w:spacing w:before="91" w:line="221" w:lineRule="auto"/>
        <w:ind w:left="2548"/>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六、</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评审</w:t>
      </w:r>
      <w:r>
        <w:rPr>
          <w:rFonts w:ascii="宋体" w:hAnsi="宋体" w:eastAsia="宋体" w:cs="宋体"/>
          <w:sz w:val="28"/>
          <w:szCs w:val="28"/>
          <w14:textOutline w14:w="5103" w14:cap="sq" w14:cmpd="sng">
            <w14:solidFill>
              <w14:srgbClr w14:val="000000"/>
            </w14:solidFill>
            <w14:prstDash w14:val="solid"/>
            <w14:bevel/>
          </w14:textOutline>
        </w:rPr>
        <w:t>程序及标准（综合评分法）</w:t>
      </w:r>
    </w:p>
    <w:p w14:paraId="6A77F8F6">
      <w:pPr>
        <w:pageBreakBefore w:val="0"/>
        <w:kinsoku/>
        <w:topLinePunct w:val="0"/>
        <w:bidi w:val="0"/>
        <w:spacing w:before="204" w:line="220" w:lineRule="auto"/>
        <w:ind w:left="529"/>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3"/>
          <w:sz w:val="24"/>
          <w:szCs w:val="24"/>
          <w14:textOutline w14:w="4358" w14:cap="sq" w14:cmpd="sng">
            <w14:solidFill>
              <w14:srgbClr w14:val="000000"/>
            </w14:solidFill>
            <w14:prstDash w14:val="solid"/>
            <w14:bevel/>
          </w14:textOutline>
        </w:rPr>
        <w:t>准备工作</w:t>
      </w:r>
    </w:p>
    <w:p w14:paraId="06A7600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磋商小组成员应当认真阅读磋商文件，全面正确地理解和掌握以下内容：</w:t>
      </w:r>
    </w:p>
    <w:p w14:paraId="1595C7D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的目的；</w:t>
      </w:r>
    </w:p>
    <w:p w14:paraId="7E668FB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②</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的范围和性质；</w:t>
      </w:r>
    </w:p>
    <w:p w14:paraId="311005C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③磋商文件的主要商务、技术条款要求；</w:t>
      </w:r>
    </w:p>
    <w:p w14:paraId="4EB061C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④磋商文件规定的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标准、</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方法和在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过程中要考虑的因素。</w:t>
      </w:r>
    </w:p>
    <w:p w14:paraId="3C845C03">
      <w:pPr>
        <w:pageBreakBefore w:val="0"/>
        <w:kinsoku/>
        <w:topLinePunct w:val="0"/>
        <w:bidi w:val="0"/>
        <w:spacing w:before="183" w:line="219" w:lineRule="auto"/>
        <w:ind w:left="515"/>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2.初步评审（资格后审</w:t>
      </w:r>
      <w:r>
        <w:rPr>
          <w:rFonts w:ascii="宋体" w:hAnsi="宋体" w:eastAsia="宋体" w:cs="宋体"/>
          <w:spacing w:val="2"/>
          <w:sz w:val="24"/>
          <w:szCs w:val="24"/>
          <w14:textOutline w14:w="4358" w14:cap="sq" w14:cmpd="sng">
            <w14:solidFill>
              <w14:srgbClr w14:val="000000"/>
            </w14:solidFill>
            <w14:prstDash w14:val="solid"/>
            <w14:bevel/>
          </w14:textOutline>
        </w:rPr>
        <w:t>）</w:t>
      </w:r>
      <w:r>
        <w:rPr>
          <w:rFonts w:ascii="宋体" w:hAnsi="宋体" w:eastAsia="宋体" w:cs="宋体"/>
          <w:spacing w:val="2"/>
          <w:sz w:val="24"/>
          <w:szCs w:val="24"/>
        </w:rPr>
        <w:t>：</w:t>
      </w:r>
    </w:p>
    <w:p w14:paraId="701A78CB">
      <w:pPr>
        <w:keepNext w:val="0"/>
        <w:keepLines w:val="0"/>
        <w:pageBreakBefore w:val="0"/>
        <w:widowControl/>
        <w:kinsoku/>
        <w:wordWrap/>
        <w:overflowPunct/>
        <w:topLinePunct w:val="0"/>
        <w:autoSpaceDE w:val="0"/>
        <w:autoSpaceDN w:val="0"/>
        <w:bidi w:val="0"/>
        <w:adjustRightInd w:val="0"/>
        <w:snapToGrid w:val="0"/>
        <w:spacing w:line="400" w:lineRule="exact"/>
        <w:ind w:right="0" w:firstLine="498"/>
        <w:textAlignment w:val="baseline"/>
        <w:rPr>
          <w:rFonts w:ascii="宋体" w:hAnsi="宋体" w:eastAsia="宋体" w:cs="宋体"/>
          <w:spacing w:val="-3"/>
          <w:sz w:val="24"/>
          <w:szCs w:val="24"/>
        </w:rPr>
      </w:pPr>
      <w:r>
        <w:rPr>
          <w:rFonts w:ascii="宋体" w:hAnsi="宋体" w:eastAsia="宋体" w:cs="宋体"/>
          <w:b/>
          <w:bCs/>
          <w:spacing w:val="-3"/>
          <w:sz w:val="24"/>
          <w:szCs w:val="24"/>
        </w:rPr>
        <w:t>2.1 资格性审查：</w:t>
      </w:r>
      <w:r>
        <w:rPr>
          <w:rFonts w:ascii="宋体" w:hAnsi="宋体" w:eastAsia="宋体" w:cs="宋体"/>
          <w:spacing w:val="-3"/>
          <w:sz w:val="24"/>
          <w:szCs w:val="24"/>
        </w:rPr>
        <w:t>依据法律法规和《磋商文件》的规定，对《磋商响应文件》中的资格证明等进行审查，以确定供应商是否具备投标资格。</w:t>
      </w:r>
    </w:p>
    <w:p w14:paraId="73173C18">
      <w:pPr>
        <w:keepNext w:val="0"/>
        <w:keepLines w:val="0"/>
        <w:pageBreakBefore w:val="0"/>
        <w:widowControl/>
        <w:kinsoku/>
        <w:wordWrap/>
        <w:overflowPunct/>
        <w:topLinePunct w:val="0"/>
        <w:autoSpaceDE w:val="0"/>
        <w:autoSpaceDN w:val="0"/>
        <w:bidi w:val="0"/>
        <w:adjustRightInd w:val="0"/>
        <w:snapToGrid w:val="0"/>
        <w:spacing w:line="400" w:lineRule="exact"/>
        <w:ind w:right="0"/>
        <w:textAlignment w:val="baseline"/>
        <w:rPr>
          <w:b/>
          <w:bCs/>
        </w:rPr>
      </w:pPr>
      <w:r>
        <w:rPr>
          <w:rFonts w:ascii="宋体" w:hAnsi="宋体" w:eastAsia="宋体" w:cs="宋体"/>
          <w:b/>
          <w:bCs/>
          <w:spacing w:val="-3"/>
          <w:sz w:val="24"/>
          <w:szCs w:val="24"/>
        </w:rPr>
        <w:t>资格性审查有一项不符合的，由磋商小组按</w:t>
      </w:r>
      <w:r>
        <w:rPr>
          <w:rFonts w:hint="eastAsia" w:ascii="宋体" w:hAnsi="宋体" w:eastAsia="宋体" w:cs="宋体"/>
          <w:b/>
          <w:bCs/>
          <w:spacing w:val="-3"/>
          <w:sz w:val="24"/>
          <w:szCs w:val="24"/>
          <w:lang w:eastAsia="zh-CN"/>
        </w:rPr>
        <w:t>无效响应</w:t>
      </w:r>
      <w:r>
        <w:rPr>
          <w:rFonts w:ascii="宋体" w:hAnsi="宋体" w:eastAsia="宋体" w:cs="宋体"/>
          <w:b/>
          <w:bCs/>
          <w:spacing w:val="-3"/>
          <w:sz w:val="24"/>
          <w:szCs w:val="24"/>
        </w:rPr>
        <w:t>处理</w:t>
      </w:r>
    </w:p>
    <w:tbl>
      <w:tblPr>
        <w:tblStyle w:val="15"/>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7374"/>
      </w:tblGrid>
      <w:tr w14:paraId="52B9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630" w:type="dxa"/>
            <w:vAlign w:val="top"/>
          </w:tcPr>
          <w:p w14:paraId="1602F147">
            <w:pPr>
              <w:pageBreakBefore w:val="0"/>
              <w:kinsoku/>
              <w:topLinePunct w:val="0"/>
              <w:bidi w:val="0"/>
              <w:spacing w:before="119" w:line="219" w:lineRule="auto"/>
              <w:jc w:val="center"/>
              <w:rPr>
                <w:rFonts w:ascii="宋体" w:hAnsi="宋体" w:eastAsia="宋体" w:cs="宋体"/>
                <w:sz w:val="24"/>
                <w:szCs w:val="24"/>
              </w:rPr>
            </w:pPr>
            <w:r>
              <w:rPr>
                <w:rFonts w:ascii="宋体" w:hAnsi="宋体" w:eastAsia="宋体" w:cs="宋体"/>
                <w:spacing w:val="-3"/>
                <w:sz w:val="24"/>
                <w:szCs w:val="24"/>
              </w:rPr>
              <w:t>评审内容</w:t>
            </w:r>
          </w:p>
        </w:tc>
        <w:tc>
          <w:tcPr>
            <w:tcW w:w="7374" w:type="dxa"/>
            <w:vAlign w:val="top"/>
          </w:tcPr>
          <w:p w14:paraId="78E3A6A7">
            <w:pPr>
              <w:pageBreakBefore w:val="0"/>
              <w:kinsoku/>
              <w:topLinePunct w:val="0"/>
              <w:bidi w:val="0"/>
              <w:spacing w:before="118" w:line="220" w:lineRule="auto"/>
              <w:ind w:left="3296"/>
              <w:rPr>
                <w:rFonts w:ascii="宋体" w:hAnsi="宋体" w:eastAsia="宋体" w:cs="宋体"/>
                <w:sz w:val="24"/>
                <w:szCs w:val="24"/>
              </w:rPr>
            </w:pPr>
            <w:r>
              <w:rPr>
                <w:rFonts w:ascii="宋体" w:hAnsi="宋体" w:eastAsia="宋体" w:cs="宋体"/>
                <w:spacing w:val="-3"/>
                <w:sz w:val="24"/>
                <w:szCs w:val="24"/>
              </w:rPr>
              <w:t>评审标准</w:t>
            </w:r>
          </w:p>
        </w:tc>
      </w:tr>
      <w:tr w14:paraId="179C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1630" w:type="dxa"/>
            <w:vMerge w:val="restart"/>
            <w:vAlign w:val="center"/>
          </w:tcPr>
          <w:p w14:paraId="4D87A86B">
            <w:pPr>
              <w:pageBreakBefore w:val="0"/>
              <w:kinsoku/>
              <w:topLinePunct w:val="0"/>
              <w:bidi w:val="0"/>
              <w:spacing w:before="80" w:line="206" w:lineRule="auto"/>
              <w:jc w:val="center"/>
              <w:rPr>
                <w:rFonts w:ascii="宋体" w:hAnsi="宋体" w:eastAsia="宋体" w:cs="宋体"/>
                <w:sz w:val="24"/>
                <w:szCs w:val="24"/>
              </w:rPr>
            </w:pPr>
            <w:r>
              <w:rPr>
                <w:rFonts w:ascii="宋体" w:hAnsi="宋体" w:eastAsia="宋体" w:cs="宋体"/>
                <w:spacing w:val="-3"/>
                <w:sz w:val="24"/>
                <w:szCs w:val="24"/>
              </w:rPr>
              <w:t>资格性审查</w:t>
            </w:r>
          </w:p>
        </w:tc>
        <w:tc>
          <w:tcPr>
            <w:tcW w:w="7374" w:type="dxa"/>
            <w:vAlign w:val="top"/>
          </w:tcPr>
          <w:p w14:paraId="613FF6B2">
            <w:pPr>
              <w:pageBreakBefore w:val="0"/>
              <w:kinsoku/>
              <w:topLinePunct w:val="0"/>
              <w:bidi w:val="0"/>
              <w:spacing w:before="51" w:line="264" w:lineRule="auto"/>
              <w:ind w:left="112" w:right="49" w:firstLine="4"/>
              <w:jc w:val="both"/>
              <w:rPr>
                <w:rFonts w:ascii="宋体" w:hAnsi="宋体" w:eastAsia="宋体" w:cs="宋体"/>
                <w:sz w:val="24"/>
                <w:szCs w:val="24"/>
              </w:rPr>
            </w:pPr>
            <w:r>
              <w:rPr>
                <w:rFonts w:hint="eastAsia" w:ascii="宋体" w:hAnsi="宋体" w:eastAsia="宋体" w:cs="宋体"/>
                <w:spacing w:val="-5"/>
                <w:sz w:val="24"/>
                <w:szCs w:val="24"/>
                <w:lang w:eastAsia="zh-CN"/>
              </w:rPr>
              <w:t>具有有效经年检的三证合一营业执照原件扫描件（若供应商是企业（包括合伙企业）应提供营业执照；若供应商是事业单位应提供事业单位法人证书；若供应商是个体工商户应提供个体工商户营业执照；若供应商是自然人应提供自然人身份证明）</w:t>
            </w:r>
            <w:r>
              <w:rPr>
                <w:rFonts w:ascii="宋体" w:hAnsi="宋体" w:eastAsia="宋体" w:cs="宋体"/>
                <w:spacing w:val="3"/>
                <w:sz w:val="24"/>
                <w:szCs w:val="24"/>
              </w:rPr>
              <w:t>；</w:t>
            </w:r>
          </w:p>
        </w:tc>
      </w:tr>
      <w:tr w14:paraId="31C6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630" w:type="dxa"/>
            <w:vMerge w:val="continue"/>
            <w:textDirection w:val="tbRlV"/>
            <w:vAlign w:val="top"/>
          </w:tcPr>
          <w:p w14:paraId="17758F17">
            <w:pPr>
              <w:pageBreakBefore w:val="0"/>
              <w:kinsoku/>
              <w:topLinePunct w:val="0"/>
              <w:bidi w:val="0"/>
              <w:rPr>
                <w:rFonts w:ascii="Arial"/>
                <w:sz w:val="21"/>
              </w:rPr>
            </w:pPr>
          </w:p>
        </w:tc>
        <w:tc>
          <w:tcPr>
            <w:tcW w:w="7374" w:type="dxa"/>
            <w:vAlign w:val="top"/>
          </w:tcPr>
          <w:p w14:paraId="54B44D20">
            <w:pPr>
              <w:pageBreakBefore w:val="0"/>
              <w:kinsoku/>
              <w:topLinePunct w:val="0"/>
              <w:bidi w:val="0"/>
              <w:spacing w:before="101" w:line="261" w:lineRule="auto"/>
              <w:ind w:left="112" w:right="108" w:firstLine="4"/>
              <w:rPr>
                <w:rFonts w:ascii="宋体" w:hAnsi="宋体" w:eastAsia="宋体" w:cs="宋体"/>
                <w:sz w:val="24"/>
                <w:szCs w:val="24"/>
              </w:rPr>
            </w:pPr>
            <w:r>
              <w:rPr>
                <w:rFonts w:hint="eastAsia" w:ascii="宋体" w:hAnsi="宋体" w:eastAsia="宋体" w:cs="宋体"/>
                <w:spacing w:val="-5"/>
                <w:sz w:val="24"/>
                <w:szCs w:val="24"/>
                <w:lang w:eastAsia="zh-CN"/>
              </w:rPr>
              <w:t>具有良好的商业信誉和健全的财务会计制度（提供202</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lang w:eastAsia="zh-CN"/>
              </w:rPr>
              <w:t>年经审计的财务报告，企业成立不足一年的，须提供企业成立以来的财务报表加盖单位公章）</w:t>
            </w:r>
            <w:r>
              <w:rPr>
                <w:rFonts w:ascii="宋体" w:hAnsi="宋体" w:eastAsia="宋体" w:cs="宋体"/>
                <w:spacing w:val="3"/>
                <w:sz w:val="24"/>
                <w:szCs w:val="24"/>
              </w:rPr>
              <w:t>；</w:t>
            </w:r>
          </w:p>
        </w:tc>
      </w:tr>
      <w:tr w14:paraId="79B1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630" w:type="dxa"/>
            <w:vMerge w:val="continue"/>
            <w:textDirection w:val="tbRlV"/>
            <w:vAlign w:val="top"/>
          </w:tcPr>
          <w:p w14:paraId="2028D768">
            <w:pPr>
              <w:pageBreakBefore w:val="0"/>
              <w:kinsoku/>
              <w:topLinePunct w:val="0"/>
              <w:bidi w:val="0"/>
              <w:rPr>
                <w:rFonts w:ascii="Arial"/>
                <w:sz w:val="21"/>
              </w:rPr>
            </w:pPr>
          </w:p>
        </w:tc>
        <w:tc>
          <w:tcPr>
            <w:tcW w:w="7374" w:type="dxa"/>
            <w:vAlign w:val="top"/>
          </w:tcPr>
          <w:p w14:paraId="45D61C9F">
            <w:pPr>
              <w:pageBreakBefore w:val="0"/>
              <w:kinsoku/>
              <w:topLinePunct w:val="0"/>
              <w:bidi w:val="0"/>
              <w:spacing w:before="147" w:line="263" w:lineRule="auto"/>
              <w:ind w:left="112" w:right="108" w:firstLine="1"/>
              <w:jc w:val="both"/>
              <w:rPr>
                <w:rFonts w:ascii="宋体" w:hAnsi="宋体" w:eastAsia="宋体" w:cs="宋体"/>
                <w:sz w:val="24"/>
                <w:szCs w:val="24"/>
              </w:rPr>
            </w:pPr>
            <w:r>
              <w:rPr>
                <w:rFonts w:hint="eastAsia" w:ascii="宋体" w:hAnsi="宋体" w:eastAsia="宋体" w:cs="宋体"/>
                <w:spacing w:val="-5"/>
                <w:sz w:val="24"/>
                <w:szCs w:val="24"/>
                <w:lang w:eastAsia="zh-CN"/>
              </w:rPr>
              <w:t>提供近期依法缴纳税收的证明（出具2024年</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lang w:eastAsia="zh-CN"/>
              </w:rPr>
              <w:t>月至今任意连续的三个月完税证明）；</w:t>
            </w:r>
            <w:r>
              <w:rPr>
                <w:rFonts w:hint="eastAsia" w:ascii="宋体" w:hAnsi="宋体" w:eastAsia="宋体" w:cs="宋体"/>
                <w:sz w:val="24"/>
                <w:szCs w:val="24"/>
                <w:lang w:eastAsia="zh-CN"/>
              </w:rPr>
              <w:t>新成立企业须提供企业成立以来的完税证明；</w:t>
            </w:r>
          </w:p>
        </w:tc>
      </w:tr>
      <w:tr w14:paraId="3B7F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630" w:type="dxa"/>
            <w:vMerge w:val="continue"/>
            <w:textDirection w:val="tbRlV"/>
            <w:vAlign w:val="top"/>
          </w:tcPr>
          <w:p w14:paraId="5B9E2D8E">
            <w:pPr>
              <w:pageBreakBefore w:val="0"/>
              <w:kinsoku/>
              <w:topLinePunct w:val="0"/>
              <w:bidi w:val="0"/>
              <w:rPr>
                <w:rFonts w:ascii="Arial"/>
                <w:sz w:val="21"/>
              </w:rPr>
            </w:pPr>
          </w:p>
        </w:tc>
        <w:tc>
          <w:tcPr>
            <w:tcW w:w="7374" w:type="dxa"/>
            <w:vAlign w:val="top"/>
          </w:tcPr>
          <w:p w14:paraId="20754581">
            <w:pPr>
              <w:pageBreakBefore w:val="0"/>
              <w:kinsoku/>
              <w:topLinePunct w:val="0"/>
              <w:bidi w:val="0"/>
              <w:spacing w:before="72" w:line="247" w:lineRule="auto"/>
              <w:ind w:left="134" w:right="133" w:hanging="20"/>
              <w:rPr>
                <w:rFonts w:ascii="宋体" w:hAnsi="宋体" w:eastAsia="宋体" w:cs="宋体"/>
                <w:sz w:val="24"/>
                <w:szCs w:val="24"/>
              </w:rPr>
            </w:pPr>
            <w:r>
              <w:rPr>
                <w:rFonts w:hint="eastAsia" w:ascii="宋体" w:hAnsi="宋体" w:eastAsia="宋体" w:cs="宋体"/>
                <w:sz w:val="24"/>
                <w:szCs w:val="24"/>
                <w:lang w:eastAsia="zh-CN"/>
              </w:rPr>
              <w:t>提供近期依法缴纳社会保险的证明；（提供2024年1月至今任意连续三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tc>
      </w:tr>
      <w:tr w14:paraId="1A86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630" w:type="dxa"/>
            <w:vMerge w:val="continue"/>
            <w:vAlign w:val="top"/>
          </w:tcPr>
          <w:p w14:paraId="6394DF8D">
            <w:pPr>
              <w:pageBreakBefore w:val="0"/>
              <w:kinsoku/>
              <w:topLinePunct w:val="0"/>
              <w:bidi w:val="0"/>
              <w:rPr>
                <w:rFonts w:ascii="Arial"/>
                <w:sz w:val="21"/>
              </w:rPr>
            </w:pPr>
          </w:p>
        </w:tc>
        <w:tc>
          <w:tcPr>
            <w:tcW w:w="7374" w:type="dxa"/>
            <w:vAlign w:val="top"/>
          </w:tcPr>
          <w:p w14:paraId="764F5A0A">
            <w:pPr>
              <w:pageBreakBefore w:val="0"/>
              <w:kinsoku/>
              <w:topLinePunct w:val="0"/>
              <w:bidi w:val="0"/>
              <w:spacing w:before="72" w:line="247" w:lineRule="auto"/>
              <w:ind w:left="134" w:right="133" w:hanging="20"/>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法定代表人参加应上传法定代表人身份证明和本人身份证；</w:t>
            </w:r>
            <w:r>
              <w:rPr>
                <w:rFonts w:hint="eastAsia" w:ascii="宋体" w:hAnsi="宋体" w:eastAsia="宋体" w:cs="宋体"/>
                <w:spacing w:val="-7"/>
                <w:sz w:val="24"/>
                <w:szCs w:val="24"/>
                <w:lang w:val="en-US" w:eastAsia="zh-CN"/>
              </w:rPr>
              <w:t>委托代理人参加应上传法定代表人身份证明、授权委托书、本人身份证；</w:t>
            </w:r>
          </w:p>
        </w:tc>
      </w:tr>
      <w:tr w14:paraId="71120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vAlign w:val="top"/>
          </w:tcPr>
          <w:p w14:paraId="1D8CF66F">
            <w:pPr>
              <w:pageBreakBefore w:val="0"/>
              <w:kinsoku/>
              <w:topLinePunct w:val="0"/>
              <w:bidi w:val="0"/>
              <w:rPr>
                <w:rFonts w:ascii="Arial"/>
                <w:sz w:val="21"/>
              </w:rPr>
            </w:pPr>
          </w:p>
        </w:tc>
        <w:tc>
          <w:tcPr>
            <w:tcW w:w="7374" w:type="dxa"/>
            <w:vAlign w:val="top"/>
          </w:tcPr>
          <w:p w14:paraId="456A47E3">
            <w:pPr>
              <w:pageBreakBefore w:val="0"/>
              <w:kinsoku/>
              <w:topLinePunct w:val="0"/>
              <w:bidi w:val="0"/>
              <w:spacing w:before="72" w:line="264" w:lineRule="auto"/>
              <w:ind w:left="101" w:right="27" w:firstLine="23"/>
              <w:rPr>
                <w:rFonts w:ascii="宋体" w:hAnsi="宋体" w:eastAsia="宋体" w:cs="宋体"/>
                <w:sz w:val="24"/>
                <w:szCs w:val="24"/>
              </w:rPr>
            </w:pPr>
            <w:r>
              <w:rPr>
                <w:rFonts w:hint="eastAsia" w:ascii="宋体" w:hAnsi="宋体" w:eastAsia="宋体" w:cs="宋体"/>
                <w:spacing w:val="-5"/>
                <w:sz w:val="24"/>
                <w:szCs w:val="24"/>
                <w:lang w:val="en-US" w:eastAsia="zh-CN"/>
              </w:rPr>
              <w:t>供应商如在“信用中国”网站、中国政府采购网被列入严重违法失信行为记录名单的（尚在处罚期内的），将拒绝其参加本次政府采购活动。</w:t>
            </w:r>
          </w:p>
        </w:tc>
      </w:tr>
      <w:tr w14:paraId="17163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30" w:type="dxa"/>
            <w:vMerge w:val="continue"/>
            <w:vAlign w:val="top"/>
          </w:tcPr>
          <w:p w14:paraId="79622639">
            <w:pPr>
              <w:pageBreakBefore w:val="0"/>
              <w:kinsoku/>
              <w:topLinePunct w:val="0"/>
              <w:bidi w:val="0"/>
              <w:rPr>
                <w:rFonts w:ascii="Arial"/>
                <w:sz w:val="21"/>
              </w:rPr>
            </w:pPr>
          </w:p>
        </w:tc>
        <w:tc>
          <w:tcPr>
            <w:tcW w:w="7374" w:type="dxa"/>
            <w:vAlign w:val="top"/>
          </w:tcPr>
          <w:p w14:paraId="0CD38BEB">
            <w:pPr>
              <w:pageBreakBefore w:val="0"/>
              <w:kinsoku/>
              <w:topLinePunct w:val="0"/>
              <w:bidi w:val="0"/>
              <w:spacing w:before="72" w:line="264" w:lineRule="auto"/>
              <w:ind w:right="27"/>
              <w:rPr>
                <w:rFonts w:hint="eastAsia" w:ascii="Arial" w:hAnsi="Arial" w:eastAsia="宋体" w:cs="Arial"/>
                <w:snapToGrid w:val="0"/>
                <w:color w:val="000000"/>
                <w:kern w:val="0"/>
                <w:sz w:val="21"/>
                <w:szCs w:val="21"/>
                <w:lang w:val="en-US" w:eastAsia="zh-CN" w:bidi="ar-SA"/>
              </w:rPr>
            </w:pPr>
            <w:r>
              <w:rPr>
                <w:rFonts w:hint="eastAsia" w:ascii="宋体" w:hAnsi="宋体" w:eastAsia="宋体" w:cs="宋体"/>
                <w:spacing w:val="-5"/>
                <w:sz w:val="24"/>
                <w:szCs w:val="24"/>
                <w:lang w:val="en-US" w:eastAsia="zh-CN"/>
              </w:rPr>
              <w:t>本项目专门面向中小企业，按磋商文件格式提供《中小企业声明函》；</w:t>
            </w:r>
          </w:p>
        </w:tc>
      </w:tr>
      <w:tr w14:paraId="0402C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30" w:type="dxa"/>
            <w:vMerge w:val="continue"/>
            <w:vAlign w:val="top"/>
          </w:tcPr>
          <w:p w14:paraId="389DEEC2">
            <w:pPr>
              <w:pageBreakBefore w:val="0"/>
              <w:kinsoku/>
              <w:topLinePunct w:val="0"/>
              <w:bidi w:val="0"/>
              <w:rPr>
                <w:rFonts w:ascii="Arial"/>
                <w:sz w:val="21"/>
              </w:rPr>
            </w:pPr>
          </w:p>
        </w:tc>
        <w:tc>
          <w:tcPr>
            <w:tcW w:w="7374" w:type="dxa"/>
            <w:vAlign w:val="top"/>
          </w:tcPr>
          <w:p w14:paraId="5A439968">
            <w:pPr>
              <w:pageBreakBefore w:val="0"/>
              <w:kinsoku/>
              <w:topLinePunct w:val="0"/>
              <w:bidi w:val="0"/>
              <w:spacing w:before="72" w:line="264" w:lineRule="auto"/>
              <w:ind w:right="27"/>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提供建筑工程施工总承包叁级及以上资质证书、有效的安全生产许可证；拟派项目负责人须提供建筑工程专业贰级及以上建造师注册证书、有效的安全考核合格证，且未担任其他在建建设工程项目的项目经理承诺函。</w:t>
            </w:r>
          </w:p>
        </w:tc>
      </w:tr>
    </w:tbl>
    <w:p w14:paraId="454F214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b/>
          <w:bCs/>
          <w:spacing w:val="-3"/>
          <w:sz w:val="24"/>
          <w:szCs w:val="24"/>
        </w:rPr>
        <w:t>2.2 符合性审查：</w:t>
      </w:r>
      <w:r>
        <w:rPr>
          <w:rFonts w:ascii="宋体" w:hAnsi="宋体" w:eastAsia="宋体" w:cs="宋体"/>
          <w:spacing w:val="-3"/>
          <w:sz w:val="24"/>
          <w:szCs w:val="24"/>
        </w:rPr>
        <w:t>依据《磋商文件》的规定，从《磋商响应文件》的有效性、完整性和对《磋商文件》的响应程度进行审查，以确定是否对《磋商文件》的实质性要求做出响应。</w:t>
      </w:r>
    </w:p>
    <w:p w14:paraId="73EC5D06">
      <w:pPr>
        <w:keepNext w:val="0"/>
        <w:keepLines w:val="0"/>
        <w:pageBreakBefore w:val="0"/>
        <w:widowControl/>
        <w:kinsoku/>
        <w:wordWrap/>
        <w:overflowPunct/>
        <w:topLinePunct w:val="0"/>
        <w:autoSpaceDE w:val="0"/>
        <w:autoSpaceDN w:val="0"/>
        <w:bidi w:val="0"/>
        <w:adjustRightInd w:val="0"/>
        <w:snapToGrid w:val="0"/>
        <w:spacing w:before="178" w:line="360" w:lineRule="exact"/>
        <w:ind w:right="59" w:firstLine="498"/>
        <w:textAlignment w:val="baseline"/>
        <w:rPr>
          <w:rFonts w:ascii="宋体" w:hAnsi="宋体" w:eastAsia="宋体" w:cs="宋体"/>
          <w:spacing w:val="-3"/>
          <w:sz w:val="24"/>
          <w:szCs w:val="24"/>
        </w:rPr>
      </w:pPr>
      <w:r>
        <w:rPr>
          <w:rFonts w:ascii="宋体" w:hAnsi="宋体" w:eastAsia="宋体" w:cs="宋体"/>
          <w:spacing w:val="-3"/>
          <w:sz w:val="24"/>
          <w:szCs w:val="24"/>
        </w:rPr>
        <w:t>符合性审查时有下列情形之一的，由磋商小组按无效《磋商响应文件》处理：</w:t>
      </w:r>
    </w:p>
    <w:p w14:paraId="7857F4FF">
      <w:pPr>
        <w:keepNext w:val="0"/>
        <w:keepLines w:val="0"/>
        <w:pageBreakBefore w:val="0"/>
        <w:widowControl/>
        <w:kinsoku/>
        <w:wordWrap/>
        <w:overflowPunct/>
        <w:topLinePunct w:val="0"/>
        <w:autoSpaceDE w:val="0"/>
        <w:autoSpaceDN w:val="0"/>
        <w:bidi w:val="0"/>
        <w:adjustRightInd w:val="0"/>
        <w:snapToGrid w:val="0"/>
        <w:spacing w:before="180" w:line="360" w:lineRule="exact"/>
        <w:ind w:left="605"/>
        <w:textAlignment w:val="baseline"/>
        <w:rPr>
          <w:rFonts w:ascii="宋体" w:hAnsi="宋体" w:eastAsia="宋体" w:cs="宋体"/>
          <w:spacing w:val="-2"/>
          <w:sz w:val="24"/>
          <w:szCs w:val="24"/>
        </w:rPr>
      </w:pPr>
      <w:r>
        <w:rPr>
          <w:rFonts w:ascii="宋体" w:hAnsi="宋体" w:eastAsia="宋体" w:cs="宋体"/>
          <w:spacing w:val="-2"/>
          <w:sz w:val="24"/>
          <w:szCs w:val="24"/>
        </w:rPr>
        <w:t>符合性审查表：</w:t>
      </w:r>
    </w:p>
    <w:p w14:paraId="02BB0692">
      <w:pPr>
        <w:keepNext w:val="0"/>
        <w:keepLines w:val="0"/>
        <w:pageBreakBefore w:val="0"/>
        <w:widowControl/>
        <w:kinsoku/>
        <w:wordWrap/>
        <w:overflowPunct/>
        <w:topLinePunct w:val="0"/>
        <w:autoSpaceDE w:val="0"/>
        <w:autoSpaceDN w:val="0"/>
        <w:bidi w:val="0"/>
        <w:adjustRightInd w:val="0"/>
        <w:snapToGrid w:val="0"/>
        <w:spacing w:before="180" w:line="360" w:lineRule="exact"/>
        <w:ind w:left="605"/>
        <w:textAlignment w:val="baseline"/>
        <w:rPr>
          <w:rFonts w:ascii="宋体" w:hAnsi="宋体" w:eastAsia="宋体" w:cs="宋体"/>
          <w:spacing w:val="-2"/>
          <w:sz w:val="24"/>
          <w:szCs w:val="24"/>
        </w:rPr>
      </w:pPr>
    </w:p>
    <w:tbl>
      <w:tblPr>
        <w:tblStyle w:val="1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7587"/>
      </w:tblGrid>
      <w:tr w14:paraId="6FA8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632" w:type="dxa"/>
            <w:vAlign w:val="top"/>
          </w:tcPr>
          <w:p w14:paraId="7ED78E6E">
            <w:pPr>
              <w:keepNext w:val="0"/>
              <w:keepLines w:val="0"/>
              <w:pageBreakBefore w:val="0"/>
              <w:widowControl/>
              <w:kinsoku/>
              <w:wordWrap/>
              <w:overflowPunct/>
              <w:topLinePunct w:val="0"/>
              <w:autoSpaceDE w:val="0"/>
              <w:autoSpaceDN w:val="0"/>
              <w:bidi w:val="0"/>
              <w:adjustRightInd w:val="0"/>
              <w:snapToGrid w:val="0"/>
              <w:spacing w:before="128" w:line="360" w:lineRule="exact"/>
              <w:ind w:left="429"/>
              <w:textAlignment w:val="baseline"/>
              <w:rPr>
                <w:rFonts w:ascii="宋体" w:hAnsi="宋体" w:eastAsia="宋体" w:cs="宋体"/>
                <w:sz w:val="24"/>
                <w:szCs w:val="24"/>
              </w:rPr>
            </w:pPr>
            <w:r>
              <w:rPr>
                <w:rFonts w:ascii="宋体" w:hAnsi="宋体" w:eastAsia="宋体" w:cs="宋体"/>
                <w:spacing w:val="-3"/>
                <w:sz w:val="24"/>
                <w:szCs w:val="24"/>
              </w:rPr>
              <w:t>评审内容</w:t>
            </w:r>
          </w:p>
        </w:tc>
        <w:tc>
          <w:tcPr>
            <w:tcW w:w="7587" w:type="dxa"/>
            <w:vAlign w:val="top"/>
          </w:tcPr>
          <w:p w14:paraId="3F5DCAA7">
            <w:pPr>
              <w:keepNext w:val="0"/>
              <w:keepLines w:val="0"/>
              <w:pageBreakBefore w:val="0"/>
              <w:widowControl/>
              <w:kinsoku/>
              <w:wordWrap/>
              <w:overflowPunct/>
              <w:topLinePunct w:val="0"/>
              <w:autoSpaceDE w:val="0"/>
              <w:autoSpaceDN w:val="0"/>
              <w:bidi w:val="0"/>
              <w:adjustRightInd w:val="0"/>
              <w:snapToGrid w:val="0"/>
              <w:spacing w:before="128" w:line="360" w:lineRule="exact"/>
              <w:jc w:val="center"/>
              <w:textAlignment w:val="baseline"/>
              <w:rPr>
                <w:rFonts w:ascii="宋体" w:hAnsi="宋体" w:eastAsia="宋体" w:cs="宋体"/>
                <w:sz w:val="24"/>
                <w:szCs w:val="24"/>
              </w:rPr>
            </w:pPr>
            <w:r>
              <w:rPr>
                <w:rFonts w:hint="eastAsia" w:ascii="宋体" w:hAnsi="宋体" w:eastAsia="宋体" w:cs="宋体"/>
                <w:b/>
                <w:bCs/>
                <w:spacing w:val="-3"/>
                <w:sz w:val="24"/>
                <w:szCs w:val="24"/>
                <w:lang w:eastAsia="zh-CN"/>
              </w:rPr>
              <w:t>商务</w:t>
            </w:r>
            <w:r>
              <w:rPr>
                <w:rFonts w:ascii="宋体" w:hAnsi="宋体" w:eastAsia="宋体" w:cs="宋体"/>
                <w:b/>
                <w:bCs/>
                <w:spacing w:val="-3"/>
                <w:sz w:val="24"/>
                <w:szCs w:val="24"/>
              </w:rPr>
              <w:t>评审</w:t>
            </w:r>
          </w:p>
        </w:tc>
      </w:tr>
      <w:tr w14:paraId="0698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632" w:type="dxa"/>
            <w:vMerge w:val="restart"/>
            <w:vAlign w:val="center"/>
          </w:tcPr>
          <w:p w14:paraId="3D253FE1">
            <w:pPr>
              <w:keepNext w:val="0"/>
              <w:keepLines w:val="0"/>
              <w:pageBreakBefore w:val="0"/>
              <w:widowControl/>
              <w:kinsoku/>
              <w:wordWrap/>
              <w:overflowPunct/>
              <w:topLinePunct w:val="0"/>
              <w:autoSpaceDE w:val="0"/>
              <w:autoSpaceDN w:val="0"/>
              <w:bidi w:val="0"/>
              <w:adjustRightInd w:val="0"/>
              <w:snapToGrid w:val="0"/>
              <w:spacing w:before="78" w:line="360" w:lineRule="exact"/>
              <w:jc w:val="center"/>
              <w:textAlignment w:val="baseline"/>
              <w:rPr>
                <w:rFonts w:ascii="宋体" w:hAnsi="宋体" w:eastAsia="宋体" w:cs="宋体"/>
                <w:sz w:val="24"/>
                <w:szCs w:val="24"/>
              </w:rPr>
            </w:pPr>
            <w:r>
              <w:rPr>
                <w:rFonts w:ascii="宋体" w:hAnsi="宋体" w:eastAsia="宋体" w:cs="宋体"/>
                <w:spacing w:val="-4"/>
                <w:sz w:val="24"/>
                <w:szCs w:val="24"/>
              </w:rPr>
              <w:t>符合性</w:t>
            </w:r>
            <w:r>
              <w:rPr>
                <w:rFonts w:ascii="宋体" w:hAnsi="宋体" w:eastAsia="宋体" w:cs="宋体"/>
                <w:spacing w:val="-5"/>
                <w:sz w:val="24"/>
                <w:szCs w:val="24"/>
              </w:rPr>
              <w:t>检查</w:t>
            </w:r>
          </w:p>
        </w:tc>
        <w:tc>
          <w:tcPr>
            <w:tcW w:w="7587" w:type="dxa"/>
            <w:vAlign w:val="top"/>
          </w:tcPr>
          <w:p w14:paraId="0D59BBBC">
            <w:pPr>
              <w:keepNext w:val="0"/>
              <w:keepLines w:val="0"/>
              <w:pageBreakBefore w:val="0"/>
              <w:widowControl/>
              <w:kinsoku/>
              <w:wordWrap/>
              <w:overflowPunct/>
              <w:topLinePunct w:val="0"/>
              <w:autoSpaceDE w:val="0"/>
              <w:autoSpaceDN w:val="0"/>
              <w:bidi w:val="0"/>
              <w:adjustRightInd w:val="0"/>
              <w:snapToGrid w:val="0"/>
              <w:spacing w:before="132" w:line="360" w:lineRule="exact"/>
              <w:textAlignment w:val="baseline"/>
              <w:rPr>
                <w:rFonts w:ascii="宋体" w:hAnsi="宋体" w:eastAsia="宋体" w:cs="宋体"/>
                <w:sz w:val="24"/>
                <w:szCs w:val="24"/>
              </w:rPr>
            </w:pPr>
            <w:r>
              <w:rPr>
                <w:rFonts w:ascii="宋体" w:hAnsi="宋体" w:eastAsia="宋体" w:cs="宋体"/>
                <w:sz w:val="24"/>
                <w:szCs w:val="24"/>
              </w:rPr>
              <w:t>《磋商文件》中要求的法人代表或被授权代表签字处未签字、</w:t>
            </w:r>
            <w:r>
              <w:rPr>
                <w:rFonts w:hint="eastAsia" w:ascii="宋体" w:hAnsi="宋体" w:eastAsia="宋体" w:cs="宋体"/>
                <w:sz w:val="24"/>
                <w:szCs w:val="24"/>
                <w:lang w:eastAsia="zh-CN"/>
              </w:rPr>
              <w:t>供应商</w:t>
            </w:r>
            <w:r>
              <w:rPr>
                <w:rFonts w:ascii="宋体" w:hAnsi="宋体" w:eastAsia="宋体" w:cs="宋体"/>
                <w:sz w:val="24"/>
                <w:szCs w:val="24"/>
              </w:rPr>
              <w:t>未加盖公章的；</w:t>
            </w:r>
          </w:p>
        </w:tc>
      </w:tr>
      <w:tr w14:paraId="7F68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632" w:type="dxa"/>
            <w:vMerge w:val="continue"/>
            <w:vAlign w:val="top"/>
          </w:tcPr>
          <w:p w14:paraId="28D87DB6">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6D64414E">
            <w:pPr>
              <w:keepNext w:val="0"/>
              <w:keepLines w:val="0"/>
              <w:pageBreakBefore w:val="0"/>
              <w:widowControl/>
              <w:kinsoku/>
              <w:wordWrap/>
              <w:overflowPunct/>
              <w:topLinePunct w:val="0"/>
              <w:autoSpaceDE w:val="0"/>
              <w:autoSpaceDN w:val="0"/>
              <w:bidi w:val="0"/>
              <w:adjustRightInd w:val="0"/>
              <w:snapToGrid w:val="0"/>
              <w:spacing w:before="232" w:line="360" w:lineRule="exact"/>
              <w:textAlignment w:val="baseline"/>
              <w:rPr>
                <w:rFonts w:ascii="宋体" w:hAnsi="宋体" w:eastAsia="宋体" w:cs="宋体"/>
                <w:sz w:val="24"/>
                <w:szCs w:val="24"/>
              </w:rPr>
            </w:pPr>
            <w:r>
              <w:rPr>
                <w:rFonts w:ascii="宋体" w:hAnsi="宋体" w:eastAsia="宋体" w:cs="宋体"/>
                <w:spacing w:val="-3"/>
                <w:sz w:val="24"/>
                <w:szCs w:val="24"/>
              </w:rPr>
              <w:t>《磋商响应文件》填写潦草，字迹或数据难以辨认的；</w:t>
            </w:r>
          </w:p>
        </w:tc>
      </w:tr>
      <w:tr w14:paraId="490F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632" w:type="dxa"/>
            <w:vMerge w:val="continue"/>
            <w:vAlign w:val="top"/>
          </w:tcPr>
          <w:p w14:paraId="1F90A0EA">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21D2421A">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hint="eastAsia" w:ascii="宋体" w:hAnsi="宋体" w:eastAsia="宋体" w:cs="宋体"/>
                <w:sz w:val="24"/>
                <w:szCs w:val="24"/>
                <w:lang w:eastAsia="zh-CN"/>
              </w:rPr>
              <w:t>是否符合磋商文件资格要求；</w:t>
            </w:r>
          </w:p>
        </w:tc>
      </w:tr>
      <w:tr w14:paraId="4FA3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632" w:type="dxa"/>
            <w:vMerge w:val="continue"/>
            <w:vAlign w:val="top"/>
          </w:tcPr>
          <w:p w14:paraId="31726CD7">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3F8A4C85">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《磋商响应文件》未按照《磋商文件》规定要求签署、盖章的；</w:t>
            </w:r>
          </w:p>
        </w:tc>
      </w:tr>
      <w:tr w14:paraId="31127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632" w:type="dxa"/>
            <w:vMerge w:val="continue"/>
            <w:vAlign w:val="top"/>
          </w:tcPr>
          <w:p w14:paraId="00D0DB1A">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1A05A452">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hint="eastAsia" w:ascii="宋体" w:hAnsi="宋体" w:eastAsia="宋体" w:cs="宋体"/>
                <w:spacing w:val="-3"/>
                <w:sz w:val="24"/>
                <w:szCs w:val="24"/>
                <w:lang w:eastAsia="zh-CN"/>
              </w:rPr>
            </w:pPr>
            <w:r>
              <w:rPr>
                <w:rFonts w:ascii="宋体" w:hAnsi="宋体" w:eastAsia="宋体" w:cs="宋体"/>
                <w:spacing w:val="-3"/>
                <w:sz w:val="24"/>
                <w:szCs w:val="24"/>
              </w:rPr>
              <w:t>对于有</w:t>
            </w:r>
            <w:r>
              <w:rPr>
                <w:rFonts w:hint="eastAsia" w:ascii="宋体" w:hAnsi="宋体" w:eastAsia="宋体" w:cs="宋体"/>
                <w:spacing w:val="-3"/>
                <w:sz w:val="24"/>
                <w:szCs w:val="24"/>
                <w:lang w:eastAsia="zh-CN"/>
              </w:rPr>
              <w:t>特定</w:t>
            </w:r>
            <w:r>
              <w:rPr>
                <w:rFonts w:ascii="宋体" w:hAnsi="宋体" w:eastAsia="宋体" w:cs="宋体"/>
                <w:spacing w:val="-3"/>
                <w:sz w:val="24"/>
                <w:szCs w:val="24"/>
              </w:rPr>
              <w:t>格式要求的，不允许改动其内容</w:t>
            </w:r>
            <w:r>
              <w:rPr>
                <w:rFonts w:hint="eastAsia" w:ascii="宋体" w:hAnsi="宋体" w:eastAsia="宋体" w:cs="宋体"/>
                <w:spacing w:val="-3"/>
                <w:sz w:val="24"/>
                <w:szCs w:val="24"/>
                <w:lang w:eastAsia="zh-CN"/>
              </w:rPr>
              <w:t>；</w:t>
            </w:r>
          </w:p>
        </w:tc>
      </w:tr>
      <w:tr w14:paraId="6AA17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632" w:type="dxa"/>
            <w:vMerge w:val="continue"/>
            <w:vAlign w:val="top"/>
          </w:tcPr>
          <w:p w14:paraId="5F8B0B2D">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190D07A4">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《磋商响应文件》清单项不完整，填写漏项，无法确认供应商责任或</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意向的；</w:t>
            </w:r>
          </w:p>
        </w:tc>
      </w:tr>
      <w:tr w14:paraId="32F8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32" w:type="dxa"/>
            <w:vMerge w:val="continue"/>
            <w:vAlign w:val="top"/>
          </w:tcPr>
          <w:p w14:paraId="437DA866">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689C1237">
            <w:pPr>
              <w:keepNext w:val="0"/>
              <w:keepLines w:val="0"/>
              <w:pageBreakBefore w:val="0"/>
              <w:widowControl/>
              <w:kinsoku/>
              <w:wordWrap/>
              <w:overflowPunct/>
              <w:topLinePunct w:val="0"/>
              <w:autoSpaceDE w:val="0"/>
              <w:autoSpaceDN w:val="0"/>
              <w:bidi w:val="0"/>
              <w:adjustRightInd w:val="0"/>
              <w:snapToGrid w:val="0"/>
              <w:spacing w:before="178" w:line="360" w:lineRule="exact"/>
              <w:ind w:right="59"/>
              <w:jc w:val="center"/>
              <w:textAlignment w:val="baseline"/>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技术审查</w:t>
            </w:r>
          </w:p>
        </w:tc>
      </w:tr>
      <w:tr w14:paraId="77BFF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632" w:type="dxa"/>
            <w:vMerge w:val="continue"/>
            <w:vAlign w:val="top"/>
          </w:tcPr>
          <w:p w14:paraId="64CC5863">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CCE1C29">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《磋商响应文件》内容不真实，提供虚假证明文件、虚假技术参数的；</w:t>
            </w:r>
          </w:p>
        </w:tc>
      </w:tr>
      <w:tr w14:paraId="5889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632" w:type="dxa"/>
            <w:vMerge w:val="continue"/>
            <w:vAlign w:val="top"/>
          </w:tcPr>
          <w:p w14:paraId="7AABEC4F">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F0845A4">
            <w:pPr>
              <w:keepNext w:val="0"/>
              <w:keepLines w:val="0"/>
              <w:pageBreakBefore w:val="0"/>
              <w:widowControl/>
              <w:kinsoku/>
              <w:wordWrap/>
              <w:overflowPunct/>
              <w:topLinePunct w:val="0"/>
              <w:autoSpaceDE w:val="0"/>
              <w:autoSpaceDN w:val="0"/>
              <w:bidi w:val="0"/>
              <w:adjustRightInd w:val="0"/>
              <w:snapToGrid w:val="0"/>
              <w:spacing w:before="155" w:line="360" w:lineRule="exact"/>
              <w:textAlignment w:val="baseline"/>
              <w:rPr>
                <w:rFonts w:ascii="宋体" w:hAnsi="宋体" w:eastAsia="宋体" w:cs="宋体"/>
                <w:sz w:val="24"/>
                <w:szCs w:val="24"/>
              </w:rPr>
            </w:pPr>
            <w:r>
              <w:rPr>
                <w:rFonts w:ascii="宋体" w:hAnsi="宋体" w:eastAsia="宋体" w:cs="宋体"/>
                <w:spacing w:val="-3"/>
                <w:sz w:val="24"/>
                <w:szCs w:val="24"/>
              </w:rPr>
              <w:t>《磋商响应文件》附有采购人不能接受的条件；</w:t>
            </w:r>
          </w:p>
        </w:tc>
      </w:tr>
      <w:tr w14:paraId="7C4E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vAlign w:val="top"/>
          </w:tcPr>
          <w:p w14:paraId="5711E137">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29719B09">
            <w:pPr>
              <w:keepNext w:val="0"/>
              <w:keepLines w:val="0"/>
              <w:pageBreakBefore w:val="0"/>
              <w:widowControl/>
              <w:kinsoku/>
              <w:wordWrap/>
              <w:overflowPunct/>
              <w:topLinePunct w:val="0"/>
              <w:autoSpaceDE w:val="0"/>
              <w:autoSpaceDN w:val="0"/>
              <w:bidi w:val="0"/>
              <w:adjustRightInd w:val="0"/>
              <w:snapToGrid w:val="0"/>
              <w:spacing w:before="166" w:line="360" w:lineRule="exact"/>
              <w:ind w:left="114"/>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rPr>
              <w:t>不符合法律、法规和</w:t>
            </w:r>
            <w:r>
              <w:rPr>
                <w:rFonts w:hint="eastAsia" w:ascii="宋体" w:hAnsi="宋体" w:eastAsia="宋体" w:cs="宋体"/>
                <w:spacing w:val="-3"/>
                <w:sz w:val="24"/>
                <w:szCs w:val="24"/>
                <w:lang w:eastAsia="zh-CN"/>
              </w:rPr>
              <w:t>磋商</w:t>
            </w:r>
            <w:r>
              <w:rPr>
                <w:rFonts w:hint="eastAsia" w:ascii="宋体" w:hAnsi="宋体" w:eastAsia="宋体" w:cs="宋体"/>
                <w:spacing w:val="-3"/>
                <w:sz w:val="24"/>
                <w:szCs w:val="24"/>
              </w:rPr>
              <w:t>文件中规定的其他要求的</w:t>
            </w:r>
            <w:r>
              <w:rPr>
                <w:rFonts w:hint="eastAsia" w:ascii="宋体" w:hAnsi="宋体" w:eastAsia="宋体" w:cs="宋体"/>
                <w:spacing w:val="-3"/>
                <w:sz w:val="24"/>
                <w:szCs w:val="24"/>
                <w:lang w:eastAsia="zh-CN"/>
              </w:rPr>
              <w:t>；</w:t>
            </w:r>
          </w:p>
        </w:tc>
      </w:tr>
      <w:tr w14:paraId="1BED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vAlign w:val="top"/>
          </w:tcPr>
          <w:p w14:paraId="6B979DF8">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0FE8015C">
            <w:pPr>
              <w:keepNext w:val="0"/>
              <w:keepLines w:val="0"/>
              <w:pageBreakBefore w:val="0"/>
              <w:widowControl/>
              <w:kinsoku/>
              <w:wordWrap/>
              <w:overflowPunct/>
              <w:topLinePunct w:val="0"/>
              <w:autoSpaceDE w:val="0"/>
              <w:autoSpaceDN w:val="0"/>
              <w:bidi w:val="0"/>
              <w:adjustRightInd w:val="0"/>
              <w:snapToGrid w:val="0"/>
              <w:spacing w:before="166" w:line="360" w:lineRule="exact"/>
              <w:ind w:left="114"/>
              <w:jc w:val="center"/>
              <w:textAlignment w:val="baseline"/>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报价审查</w:t>
            </w:r>
          </w:p>
        </w:tc>
      </w:tr>
      <w:tr w14:paraId="404A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vAlign w:val="top"/>
          </w:tcPr>
          <w:p w14:paraId="3985F3FB">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5FC73975">
            <w:pPr>
              <w:pageBreakBefore w:val="0"/>
              <w:kinsoku/>
              <w:wordWrap/>
              <w:topLinePunct w:val="0"/>
              <w:bidi w:val="0"/>
              <w:spacing w:before="182" w:line="359" w:lineRule="auto"/>
              <w:jc w:val="both"/>
              <w:rPr>
                <w:rFonts w:hint="eastAsia" w:ascii="宋体" w:hAnsi="宋体" w:eastAsia="宋体" w:cs="宋体"/>
                <w:spacing w:val="-3"/>
                <w:sz w:val="24"/>
                <w:szCs w:val="24"/>
              </w:rPr>
            </w:pPr>
            <w:r>
              <w:rPr>
                <w:rFonts w:hint="eastAsia" w:ascii="宋体" w:hAnsi="宋体" w:eastAsia="宋体" w:cs="宋体"/>
                <w:spacing w:val="1"/>
                <w:sz w:val="24"/>
                <w:szCs w:val="24"/>
              </w:rPr>
              <w:t>报价超过</w:t>
            </w:r>
            <w:r>
              <w:rPr>
                <w:rFonts w:hint="eastAsia" w:ascii="宋体" w:hAnsi="宋体" w:eastAsia="宋体" w:cs="宋体"/>
                <w:spacing w:val="1"/>
                <w:sz w:val="24"/>
                <w:szCs w:val="24"/>
                <w:lang w:eastAsia="zh-CN"/>
              </w:rPr>
              <w:t>磋商文件</w:t>
            </w:r>
            <w:r>
              <w:rPr>
                <w:rFonts w:hint="eastAsia" w:ascii="宋体" w:hAnsi="宋体" w:eastAsia="宋体" w:cs="宋体"/>
                <w:spacing w:val="1"/>
                <w:sz w:val="24"/>
                <w:szCs w:val="24"/>
              </w:rPr>
              <w:t>中规定的预算金额或者最高限价的</w:t>
            </w:r>
            <w:r>
              <w:rPr>
                <w:rFonts w:hint="eastAsia" w:ascii="宋体" w:hAnsi="宋体" w:eastAsia="宋体" w:cs="宋体"/>
                <w:spacing w:val="1"/>
                <w:sz w:val="24"/>
                <w:szCs w:val="24"/>
                <w:lang w:val="en-US" w:eastAsia="zh-CN"/>
              </w:rPr>
              <w:t>；</w:t>
            </w:r>
          </w:p>
        </w:tc>
      </w:tr>
      <w:tr w14:paraId="143A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tcBorders>
              <w:bottom w:val="single" w:color="auto" w:sz="4" w:space="0"/>
            </w:tcBorders>
            <w:vAlign w:val="top"/>
          </w:tcPr>
          <w:p w14:paraId="235E58C8">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32A86924">
            <w:pPr>
              <w:pageBreakBefore w:val="0"/>
              <w:kinsoku/>
              <w:wordWrap/>
              <w:topLinePunct w:val="0"/>
              <w:bidi w:val="0"/>
              <w:spacing w:before="182" w:line="359" w:lineRule="auto"/>
              <w:jc w:val="both"/>
              <w:rPr>
                <w:rFonts w:hint="eastAsia" w:ascii="宋体" w:hAnsi="宋体" w:eastAsia="宋体" w:cs="宋体"/>
                <w:spacing w:val="-3"/>
                <w:sz w:val="24"/>
                <w:szCs w:val="24"/>
              </w:rPr>
            </w:pPr>
            <w:r>
              <w:rPr>
                <w:rFonts w:hint="eastAsia" w:ascii="宋体" w:hAnsi="宋体" w:eastAsia="宋体" w:cs="宋体"/>
                <w:spacing w:val="1"/>
                <w:sz w:val="24"/>
                <w:szCs w:val="24"/>
                <w:lang w:eastAsia="zh-CN"/>
              </w:rPr>
              <w:t>供应商</w:t>
            </w:r>
            <w:r>
              <w:rPr>
                <w:rFonts w:hint="eastAsia" w:ascii="宋体" w:hAnsi="宋体" w:eastAsia="宋体" w:cs="宋体"/>
                <w:spacing w:val="1"/>
                <w:sz w:val="24"/>
                <w:szCs w:val="24"/>
              </w:rPr>
              <w:t>对</w:t>
            </w:r>
            <w:r>
              <w:rPr>
                <w:rFonts w:hint="eastAsia" w:ascii="宋体" w:hAnsi="宋体" w:eastAsia="宋体" w:cs="宋体"/>
                <w:spacing w:val="1"/>
                <w:sz w:val="24"/>
                <w:szCs w:val="24"/>
                <w:lang w:eastAsia="zh-CN"/>
              </w:rPr>
              <w:t>工程量清单内容</w:t>
            </w:r>
            <w:r>
              <w:rPr>
                <w:rFonts w:hint="eastAsia" w:ascii="宋体" w:hAnsi="宋体" w:eastAsia="宋体" w:cs="宋体"/>
                <w:spacing w:val="1"/>
                <w:sz w:val="24"/>
                <w:szCs w:val="24"/>
              </w:rPr>
              <w:t>只允许有一个报价，不接受选择性报价</w:t>
            </w:r>
            <w:r>
              <w:rPr>
                <w:rFonts w:hint="eastAsia" w:ascii="宋体" w:hAnsi="宋体" w:eastAsia="宋体" w:cs="宋体"/>
                <w:spacing w:val="1"/>
                <w:sz w:val="24"/>
                <w:szCs w:val="24"/>
                <w:lang w:eastAsia="zh-CN"/>
              </w:rPr>
              <w:t>。</w:t>
            </w:r>
          </w:p>
        </w:tc>
      </w:tr>
    </w:tbl>
    <w:p w14:paraId="2044AB4C">
      <w:pPr>
        <w:pageBreakBefore w:val="0"/>
        <w:kinsoku/>
        <w:topLinePunct w:val="0"/>
        <w:bidi w:val="0"/>
        <w:spacing w:before="34" w:line="220" w:lineRule="auto"/>
        <w:ind w:left="607"/>
        <w:outlineLvl w:val="9"/>
        <w:rPr>
          <w:rFonts w:ascii="宋体" w:hAnsi="宋体" w:eastAsia="宋体" w:cs="宋体"/>
          <w:spacing w:val="-2"/>
          <w:sz w:val="24"/>
          <w:szCs w:val="24"/>
          <w14:textOutline w14:w="4358" w14:cap="sq" w14:cmpd="sng">
            <w14:solidFill>
              <w14:srgbClr w14:val="000000"/>
            </w14:solidFill>
            <w14:prstDash w14:val="solid"/>
            <w14:bevel/>
          </w14:textOutline>
        </w:rPr>
      </w:pPr>
    </w:p>
    <w:p w14:paraId="65ED01DB">
      <w:pPr>
        <w:pageBreakBefore w:val="0"/>
        <w:kinsoku/>
        <w:topLinePunct w:val="0"/>
        <w:bidi w:val="0"/>
        <w:spacing w:before="34" w:line="220" w:lineRule="auto"/>
        <w:ind w:left="607"/>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3.详细评审：</w:t>
      </w:r>
    </w:p>
    <w:p w14:paraId="4A45768B">
      <w:pPr>
        <w:pageBreakBefore w:val="0"/>
        <w:kinsoku/>
        <w:wordWrap/>
        <w:topLinePunct w:val="0"/>
        <w:bidi w:val="0"/>
        <w:spacing w:before="182" w:line="359" w:lineRule="auto"/>
        <w:ind w:left="122" w:firstLine="485"/>
        <w:jc w:val="both"/>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6"/>
          <w:sz w:val="24"/>
          <w:szCs w:val="24"/>
        </w:rPr>
        <w:t xml:space="preserve"> </w:t>
      </w:r>
      <w:r>
        <w:rPr>
          <w:rFonts w:ascii="宋体" w:hAnsi="宋体" w:eastAsia="宋体" w:cs="宋体"/>
          <w:spacing w:val="1"/>
          <w:sz w:val="24"/>
          <w:szCs w:val="24"/>
        </w:rPr>
        <w:t>磋商小组将只要求通过了“资格性检查和符合性检查</w:t>
      </w:r>
      <w:r>
        <w:rPr>
          <w:rFonts w:ascii="宋体" w:hAnsi="宋体" w:eastAsia="宋体" w:cs="宋体"/>
          <w:spacing w:val="-85"/>
          <w:sz w:val="24"/>
          <w:szCs w:val="24"/>
        </w:rPr>
        <w:t xml:space="preserve"> </w:t>
      </w:r>
      <w:r>
        <w:rPr>
          <w:rFonts w:ascii="宋体" w:hAnsi="宋体" w:eastAsia="宋体" w:cs="宋体"/>
          <w:spacing w:val="1"/>
          <w:sz w:val="24"/>
          <w:szCs w:val="24"/>
        </w:rPr>
        <w:t>”的供应商进行磋商报价(现</w:t>
      </w:r>
      <w:r>
        <w:rPr>
          <w:rFonts w:ascii="宋体" w:hAnsi="宋体" w:eastAsia="宋体" w:cs="宋体"/>
          <w:sz w:val="24"/>
          <w:szCs w:val="24"/>
        </w:rPr>
        <w:t xml:space="preserve"> </w:t>
      </w:r>
      <w:r>
        <w:rPr>
          <w:rFonts w:ascii="宋体" w:hAnsi="宋体" w:eastAsia="宋体" w:cs="宋体"/>
          <w:spacing w:val="1"/>
          <w:sz w:val="24"/>
          <w:szCs w:val="24"/>
        </w:rPr>
        <w:t>场磋商报价原则上为一轮报价，若采购人有要求可增加轮次)，确定为实质</w:t>
      </w:r>
      <w:r>
        <w:rPr>
          <w:rFonts w:ascii="宋体" w:hAnsi="宋体" w:eastAsia="宋体" w:cs="宋体"/>
          <w:sz w:val="24"/>
          <w:szCs w:val="24"/>
        </w:rPr>
        <w:t>上响应《磋商文</w:t>
      </w:r>
      <w:r>
        <w:rPr>
          <w:rFonts w:ascii="宋体" w:hAnsi="宋体" w:eastAsia="宋体" w:cs="宋体"/>
          <w:spacing w:val="-1"/>
          <w:sz w:val="24"/>
          <w:szCs w:val="24"/>
        </w:rPr>
        <w:t>件》要求的《磋商响应文件》进行详细评审（综合评审评分</w:t>
      </w:r>
      <w:r>
        <w:rPr>
          <w:rFonts w:ascii="宋体" w:hAnsi="宋体" w:eastAsia="宋体" w:cs="宋体"/>
          <w:spacing w:val="13"/>
          <w:sz w:val="24"/>
          <w:szCs w:val="24"/>
        </w:rPr>
        <w:t>），</w:t>
      </w:r>
      <w:r>
        <w:rPr>
          <w:rFonts w:ascii="宋体" w:hAnsi="宋体" w:eastAsia="宋体" w:cs="宋体"/>
          <w:spacing w:val="-1"/>
          <w:sz w:val="24"/>
          <w:szCs w:val="24"/>
        </w:rPr>
        <w:t>详见《综合评分表》。</w:t>
      </w:r>
    </w:p>
    <w:p w14:paraId="374F22CA">
      <w:pPr>
        <w:pageBreakBefore w:val="0"/>
        <w:kinsoku/>
        <w:wordWrap/>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3.2 磋商小组要审查每份《磋商响应文件》是否实质上响应了《磋商文件》的要求。实质上响应的磋商响应文件应该是与磋商文件要求的全部条款、条件和技术参数相符。对关键条款的偏离、保留或反对将被认为是实质上的偏离。磋商小组决定</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的响应性只根据《磋商响应文件》本身的内容，而不寻求外部的任何证据。</w:t>
      </w:r>
    </w:p>
    <w:p w14:paraId="1816071F">
      <w:pPr>
        <w:pageBreakBefore w:val="0"/>
        <w:kinsoku/>
        <w:wordWrap/>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磋商响应文件》的大写金额和小写金额不一致的，以大写金额为准；总价金额与单项单价汇总金额不一致的，以单价金额计算结果为准；单价金额小数点有明显错位的，应以总价为准，并修改单价；对不同文字文本《磋商响应文件》的解释发生异议的，以中文文本为准。</w:t>
      </w:r>
    </w:p>
    <w:p w14:paraId="6ABC942F">
      <w:pPr>
        <w:pStyle w:val="2"/>
        <w:rPr>
          <w:rFonts w:ascii="宋体" w:hAnsi="宋体" w:eastAsia="宋体" w:cs="宋体"/>
          <w:spacing w:val="1"/>
          <w:sz w:val="24"/>
          <w:szCs w:val="24"/>
        </w:rPr>
      </w:pPr>
    </w:p>
    <w:p w14:paraId="3B980E31">
      <w:pPr>
        <w:rPr>
          <w:rFonts w:ascii="宋体" w:hAnsi="宋体" w:eastAsia="宋体" w:cs="宋体"/>
          <w:spacing w:val="1"/>
          <w:sz w:val="24"/>
          <w:szCs w:val="24"/>
        </w:rPr>
      </w:pPr>
    </w:p>
    <w:p w14:paraId="430F54E0">
      <w:pPr>
        <w:pStyle w:val="2"/>
      </w:pPr>
    </w:p>
    <w:p w14:paraId="3711BEBF"/>
    <w:p w14:paraId="146F996A">
      <w:pPr>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br w:type="page"/>
      </w:r>
    </w:p>
    <w:p w14:paraId="22BD0155">
      <w:pPr>
        <w:pageBreakBefore w:val="0"/>
        <w:kinsoku/>
        <w:topLinePunct w:val="0"/>
        <w:bidi w:val="0"/>
        <w:spacing w:before="181" w:line="220" w:lineRule="auto"/>
        <w:ind w:left="602"/>
        <w:outlineLvl w:val="2"/>
        <w:rPr>
          <w:rFonts w:ascii="宋体" w:hAnsi="宋体" w:eastAsia="宋体" w:cs="宋体"/>
          <w:spacing w:val="1"/>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综合评分表：</w:t>
      </w:r>
    </w:p>
    <w:tbl>
      <w:tblPr>
        <w:tblStyle w:val="9"/>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813"/>
        <w:gridCol w:w="835"/>
        <w:gridCol w:w="6659"/>
      </w:tblGrid>
      <w:tr w14:paraId="5BD5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14:paraId="57C877D2">
            <w:pPr>
              <w:pStyle w:val="27"/>
              <w:pageBreakBefore w:val="0"/>
              <w:kinsoku/>
              <w:topLinePunct w:val="0"/>
              <w:bidi w:val="0"/>
              <w:ind w:firstLine="240" w:firstLineChars="100"/>
              <w:rPr>
                <w:rFonts w:ascii="宋体" w:hAnsi="宋体" w:eastAsia="宋体" w:cs="宋体"/>
                <w:color w:val="auto"/>
                <w:szCs w:val="24"/>
              </w:rPr>
            </w:pPr>
            <w:r>
              <w:rPr>
                <w:rFonts w:ascii="宋体" w:hAnsi="宋体" w:eastAsia="宋体" w:cs="宋体"/>
                <w:color w:val="auto"/>
                <w:szCs w:val="24"/>
              </w:rPr>
              <w:t>1</w:t>
            </w:r>
          </w:p>
        </w:tc>
        <w:tc>
          <w:tcPr>
            <w:tcW w:w="1813" w:type="dxa"/>
            <w:tcBorders>
              <w:top w:val="single" w:color="auto" w:sz="4" w:space="0"/>
              <w:bottom w:val="single" w:color="auto" w:sz="4" w:space="0"/>
            </w:tcBorders>
            <w:noWrap w:val="0"/>
            <w:vAlign w:val="center"/>
          </w:tcPr>
          <w:p w14:paraId="1E407F83">
            <w:pPr>
              <w:pageBreakBefore w:val="0"/>
              <w:kinsoku/>
              <w:topLinePunct w:val="0"/>
              <w:bidi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835" w:type="dxa"/>
            <w:tcBorders>
              <w:top w:val="single" w:color="auto" w:sz="4" w:space="0"/>
              <w:bottom w:val="single" w:color="auto" w:sz="4" w:space="0"/>
            </w:tcBorders>
            <w:noWrap w:val="0"/>
            <w:vAlign w:val="center"/>
          </w:tcPr>
          <w:p w14:paraId="28548498">
            <w:pPr>
              <w:pageBreakBefore w:val="0"/>
              <w:kinsoku/>
              <w:topLinePunct w:val="0"/>
              <w:bidi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6659" w:type="dxa"/>
            <w:tcBorders>
              <w:top w:val="single" w:color="auto" w:sz="4" w:space="0"/>
              <w:bottom w:val="single" w:color="auto" w:sz="4" w:space="0"/>
            </w:tcBorders>
            <w:noWrap w:val="0"/>
            <w:vAlign w:val="top"/>
          </w:tcPr>
          <w:p w14:paraId="591C6266">
            <w:pPr>
              <w:pStyle w:val="27"/>
              <w:pageBreakBefore w:val="0"/>
              <w:kinsoku/>
              <w:topLinePunct w:val="0"/>
              <w:bidi w:val="0"/>
              <w:spacing w:line="320" w:lineRule="exact"/>
              <w:ind w:firstLine="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综合评分法中的价格分统一采用低价优先法计算，即满足招标文件要求且有效报价最低的供应商的价格为评审基准价，其价格分为满分。其他供应商的价格分统一按照下列公式计算：报价得分=（评审基准价/有效投标报价）×价格权值×100（小数点保留两位）</w:t>
            </w:r>
          </w:p>
        </w:tc>
      </w:tr>
      <w:tr w14:paraId="16890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14:paraId="6C477A90">
            <w:pPr>
              <w:pStyle w:val="27"/>
              <w:pageBreakBefore w:val="0"/>
              <w:kinsoku/>
              <w:topLinePunct w:val="0"/>
              <w:bidi w:val="0"/>
              <w:spacing w:line="320" w:lineRule="exact"/>
              <w:ind w:firstLineChars="200"/>
              <w:jc w:val="center"/>
              <w:rPr>
                <w:rFonts w:ascii="宋体" w:hAnsi="宋体" w:eastAsia="宋体" w:cs="宋体"/>
                <w:color w:val="auto"/>
                <w:szCs w:val="24"/>
              </w:rPr>
            </w:pPr>
            <w:r>
              <w:rPr>
                <w:rFonts w:ascii="宋体" w:hAnsi="宋体" w:eastAsia="宋体" w:cs="宋体"/>
                <w:color w:val="auto"/>
                <w:szCs w:val="24"/>
              </w:rPr>
              <w:t>技术部分</w:t>
            </w:r>
            <w:r>
              <w:rPr>
                <w:rFonts w:hint="eastAsia" w:ascii="宋体" w:hAnsi="宋体" w:eastAsia="宋体" w:cs="宋体"/>
                <w:color w:val="auto"/>
                <w:szCs w:val="24"/>
                <w:lang w:val="en-US" w:eastAsia="zh-CN"/>
              </w:rPr>
              <w:t>70</w:t>
            </w:r>
            <w:r>
              <w:rPr>
                <w:rFonts w:ascii="宋体" w:hAnsi="宋体" w:eastAsia="宋体" w:cs="宋体"/>
                <w:color w:val="auto"/>
                <w:szCs w:val="24"/>
              </w:rPr>
              <w:t>分</w:t>
            </w:r>
          </w:p>
        </w:tc>
      </w:tr>
      <w:tr w14:paraId="30AD4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14:paraId="662551B2">
            <w:pPr>
              <w:pStyle w:val="27"/>
              <w:pageBreakBefore w:val="0"/>
              <w:kinsoku/>
              <w:topLinePunct w:val="0"/>
              <w:bidi w:val="0"/>
              <w:ind w:firstLine="240" w:firstLineChars="100"/>
              <w:rPr>
                <w:rFonts w:ascii="宋体" w:hAnsi="宋体" w:eastAsia="宋体" w:cs="宋体"/>
                <w:color w:val="auto"/>
                <w:szCs w:val="24"/>
              </w:rPr>
            </w:pPr>
            <w:r>
              <w:rPr>
                <w:rFonts w:ascii="宋体" w:hAnsi="宋体" w:eastAsia="宋体" w:cs="宋体"/>
                <w:color w:val="auto"/>
                <w:szCs w:val="24"/>
              </w:rPr>
              <w:t>1</w:t>
            </w:r>
          </w:p>
        </w:tc>
        <w:tc>
          <w:tcPr>
            <w:tcW w:w="1813" w:type="dxa"/>
            <w:tcBorders>
              <w:top w:val="single" w:color="auto" w:sz="4" w:space="0"/>
              <w:bottom w:val="single" w:color="auto" w:sz="4" w:space="0"/>
            </w:tcBorders>
            <w:noWrap w:val="0"/>
            <w:vAlign w:val="center"/>
          </w:tcPr>
          <w:p w14:paraId="2183148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000000"/>
                <w:sz w:val="24"/>
                <w:szCs w:val="24"/>
                <w:highlight w:val="none"/>
                <w:lang w:val="en-US" w:eastAsia="zh-CN"/>
              </w:rPr>
              <w:t>技术方案</w:t>
            </w:r>
          </w:p>
        </w:tc>
        <w:tc>
          <w:tcPr>
            <w:tcW w:w="835" w:type="dxa"/>
            <w:tcBorders>
              <w:top w:val="single" w:color="auto" w:sz="4" w:space="0"/>
              <w:bottom w:val="single" w:color="auto" w:sz="4" w:space="0"/>
            </w:tcBorders>
            <w:noWrap w:val="0"/>
            <w:vAlign w:val="center"/>
          </w:tcPr>
          <w:p w14:paraId="0E5F04E7">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auto"/>
                <w:sz w:val="24"/>
                <w:szCs w:val="24"/>
                <w:lang w:val="en-US" w:eastAsia="zh-CN"/>
              </w:rPr>
              <w:t>分</w:t>
            </w:r>
          </w:p>
        </w:tc>
        <w:tc>
          <w:tcPr>
            <w:tcW w:w="6659" w:type="dxa"/>
            <w:tcBorders>
              <w:top w:val="single" w:color="auto" w:sz="4" w:space="0"/>
              <w:bottom w:val="single" w:color="auto" w:sz="4" w:space="0"/>
            </w:tcBorders>
            <w:noWrap w:val="0"/>
            <w:vAlign w:val="center"/>
          </w:tcPr>
          <w:p w14:paraId="71CFD5C8">
            <w:pPr>
              <w:keepNext w:val="0"/>
              <w:keepLines w:val="0"/>
              <w:pageBreakBefore w:val="0"/>
              <w:widowControl/>
              <w:suppressLineNumbers w:val="0"/>
              <w:kinsoku/>
              <w:topLinePunct w:val="0"/>
              <w:bidi w:val="0"/>
              <w:jc w:val="left"/>
              <w:rPr>
                <w:rFonts w:hint="default" w:ascii="宋体" w:hAnsi="宋体" w:eastAsia="宋体" w:cs="宋体"/>
                <w:color w:val="auto"/>
                <w:szCs w:val="24"/>
                <w:lang w:val="en-US" w:eastAsia="zh-CN"/>
              </w:rPr>
            </w:pPr>
            <w:r>
              <w:rPr>
                <w:rFonts w:hint="eastAsia" w:ascii="宋体" w:hAnsi="宋体" w:eastAsia="宋体" w:cs="宋体"/>
                <w:color w:val="auto"/>
                <w:kern w:val="0"/>
                <w:sz w:val="24"/>
                <w:szCs w:val="24"/>
                <w:lang w:val="en-US" w:eastAsia="zh-CN" w:bidi="ar"/>
              </w:rPr>
              <w:t>从技术方案、时间进度等方面进行综合评比。根据本项目做出规划及建设方案。本项得0-24分，未提供的不得分。</w:t>
            </w:r>
          </w:p>
        </w:tc>
      </w:tr>
      <w:tr w14:paraId="1071B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14:paraId="6563AC21">
            <w:pPr>
              <w:pStyle w:val="27"/>
              <w:pageBreakBefore w:val="0"/>
              <w:kinsoku/>
              <w:topLinePunct w:val="0"/>
              <w:bidi w:val="0"/>
              <w:ind w:firstLine="240" w:firstLineChars="1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w:t>
            </w:r>
          </w:p>
        </w:tc>
        <w:tc>
          <w:tcPr>
            <w:tcW w:w="1813" w:type="dxa"/>
            <w:tcBorders>
              <w:top w:val="single" w:color="auto" w:sz="4" w:space="0"/>
              <w:bottom w:val="single" w:color="auto" w:sz="4" w:space="0"/>
            </w:tcBorders>
            <w:noWrap w:val="0"/>
            <w:vAlign w:val="center"/>
          </w:tcPr>
          <w:p w14:paraId="2297B32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质量保证措施方案</w:t>
            </w:r>
          </w:p>
        </w:tc>
        <w:tc>
          <w:tcPr>
            <w:tcW w:w="835" w:type="dxa"/>
            <w:tcBorders>
              <w:top w:val="single" w:color="auto" w:sz="4" w:space="0"/>
              <w:bottom w:val="single" w:color="auto" w:sz="4" w:space="0"/>
            </w:tcBorders>
            <w:noWrap w:val="0"/>
            <w:vAlign w:val="center"/>
          </w:tcPr>
          <w:p w14:paraId="372478C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lang w:val="en-US" w:eastAsia="zh-CN"/>
              </w:rPr>
              <w:t>分</w:t>
            </w:r>
          </w:p>
        </w:tc>
        <w:tc>
          <w:tcPr>
            <w:tcW w:w="6659" w:type="dxa"/>
            <w:tcBorders>
              <w:top w:val="single" w:color="auto" w:sz="4" w:space="0"/>
              <w:bottom w:val="single" w:color="auto" w:sz="4" w:space="0"/>
            </w:tcBorders>
            <w:noWrap w:val="0"/>
            <w:vAlign w:val="center"/>
          </w:tcPr>
          <w:p w14:paraId="66209013">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针对供应商提供的质量保证措施方案，内容包括：①质量控制要求；② 质量管控措施；③质量通病防治措施；④质量自查监督方案等四项内容进行综合评审。</w:t>
            </w:r>
          </w:p>
          <w:p w14:paraId="5AB0153C">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Cs w:val="24"/>
                <w:lang w:val="en-US" w:eastAsia="zh-CN"/>
              </w:rPr>
            </w:pPr>
            <w:r>
              <w:rPr>
                <w:rFonts w:hint="default" w:ascii="宋体" w:hAnsi="宋体" w:eastAsia="宋体" w:cs="宋体"/>
                <w:color w:val="auto"/>
                <w:szCs w:val="24"/>
                <w:highlight w:val="none"/>
                <w:lang w:val="en-US" w:eastAsia="zh-CN"/>
              </w:rPr>
              <w:t>以上内容</w:t>
            </w:r>
            <w:r>
              <w:rPr>
                <w:rFonts w:hint="eastAsia" w:ascii="宋体" w:hAnsi="宋体" w:eastAsia="宋体" w:cs="宋体"/>
                <w:color w:val="auto"/>
                <w:szCs w:val="24"/>
                <w:highlight w:val="none"/>
                <w:lang w:val="en-US" w:eastAsia="zh-CN"/>
              </w:rPr>
              <w:t>每项得0-3分，未提供不得分。</w:t>
            </w:r>
          </w:p>
        </w:tc>
      </w:tr>
      <w:tr w14:paraId="17DF4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14:paraId="5BEF7072">
            <w:pPr>
              <w:pStyle w:val="27"/>
              <w:pageBreakBefore w:val="0"/>
              <w:kinsoku/>
              <w:topLinePunct w:val="0"/>
              <w:bidi w:val="0"/>
              <w:ind w:firstLine="240" w:firstLineChars="100"/>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p>
        </w:tc>
        <w:tc>
          <w:tcPr>
            <w:tcW w:w="1813" w:type="dxa"/>
            <w:tcBorders>
              <w:top w:val="single" w:color="auto" w:sz="4" w:space="0"/>
            </w:tcBorders>
            <w:noWrap w:val="0"/>
            <w:vAlign w:val="center"/>
          </w:tcPr>
          <w:p w14:paraId="139B0ED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项目管理机构运作方法及管理制度</w:t>
            </w:r>
          </w:p>
        </w:tc>
        <w:tc>
          <w:tcPr>
            <w:tcW w:w="835" w:type="dxa"/>
            <w:tcBorders>
              <w:top w:val="single" w:color="auto" w:sz="4" w:space="0"/>
            </w:tcBorders>
            <w:noWrap w:val="0"/>
            <w:vAlign w:val="center"/>
          </w:tcPr>
          <w:p w14:paraId="46373BC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lang w:val="en-US" w:eastAsia="zh-CN"/>
              </w:rPr>
              <w:t>分</w:t>
            </w:r>
          </w:p>
        </w:tc>
        <w:tc>
          <w:tcPr>
            <w:tcW w:w="6659" w:type="dxa"/>
            <w:tcBorders>
              <w:top w:val="single" w:color="auto" w:sz="4" w:space="0"/>
            </w:tcBorders>
            <w:noWrap w:val="0"/>
            <w:vAlign w:val="center"/>
          </w:tcPr>
          <w:p w14:paraId="4DD72DD2">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供应商提供：①工作职能组织运行方案；②项目负责人的管理职责、内部管理的职责分工；③对施工人员有日常管理制度和考核办法。</w:t>
            </w:r>
          </w:p>
          <w:p w14:paraId="2071B04D">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default" w:ascii="宋体" w:hAnsi="宋体" w:eastAsia="宋体" w:cs="宋体"/>
                <w:color w:val="auto"/>
                <w:szCs w:val="24"/>
                <w:lang w:val="en-US" w:eastAsia="zh-CN"/>
              </w:rPr>
            </w:pPr>
            <w:r>
              <w:rPr>
                <w:rFonts w:hint="default" w:ascii="宋体" w:hAnsi="宋体" w:eastAsia="宋体" w:cs="宋体"/>
                <w:color w:val="000000"/>
                <w:szCs w:val="24"/>
                <w:highlight w:val="none"/>
                <w:lang w:val="en-US" w:eastAsia="zh-CN"/>
              </w:rPr>
              <w:t>以上内容</w:t>
            </w:r>
            <w:r>
              <w:rPr>
                <w:rFonts w:hint="eastAsia" w:ascii="宋体" w:hAnsi="宋体" w:eastAsia="宋体" w:cs="宋体"/>
                <w:color w:val="000000"/>
                <w:szCs w:val="24"/>
                <w:highlight w:val="none"/>
                <w:lang w:val="en-US" w:eastAsia="zh-CN"/>
              </w:rPr>
              <w:t>每项得0-3分（满分9分），未提供不得分。</w:t>
            </w:r>
          </w:p>
        </w:tc>
      </w:tr>
      <w:tr w14:paraId="1AF22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82" w:hRule="atLeast"/>
          <w:jc w:val="center"/>
        </w:trPr>
        <w:tc>
          <w:tcPr>
            <w:tcW w:w="746" w:type="dxa"/>
            <w:tcBorders>
              <w:top w:val="single" w:color="auto" w:sz="4" w:space="0"/>
            </w:tcBorders>
            <w:noWrap w:val="0"/>
            <w:vAlign w:val="center"/>
          </w:tcPr>
          <w:p w14:paraId="7086D70F">
            <w:pPr>
              <w:pStyle w:val="27"/>
              <w:pageBreakBefore w:val="0"/>
              <w:kinsoku/>
              <w:topLinePunct w:val="0"/>
              <w:bidi w:val="0"/>
              <w:ind w:firstLine="240" w:firstLineChars="1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4</w:t>
            </w:r>
          </w:p>
        </w:tc>
        <w:tc>
          <w:tcPr>
            <w:tcW w:w="1813" w:type="dxa"/>
            <w:tcBorders>
              <w:top w:val="single" w:color="auto" w:sz="4" w:space="0"/>
            </w:tcBorders>
            <w:noWrap w:val="0"/>
            <w:vAlign w:val="center"/>
          </w:tcPr>
          <w:p w14:paraId="64E6C7F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lang w:val="en-US"/>
              </w:rPr>
            </w:pPr>
            <w:r>
              <w:rPr>
                <w:rFonts w:hint="eastAsia" w:ascii="宋体" w:hAnsi="宋体" w:eastAsia="宋体" w:cs="宋体"/>
                <w:sz w:val="24"/>
                <w:szCs w:val="24"/>
                <w:lang w:val="en-US" w:eastAsia="zh-CN"/>
              </w:rPr>
              <w:t>技术难点及施工重点难点解决方案</w:t>
            </w:r>
          </w:p>
        </w:tc>
        <w:tc>
          <w:tcPr>
            <w:tcW w:w="835" w:type="dxa"/>
            <w:tcBorders>
              <w:top w:val="single" w:color="auto" w:sz="4" w:space="0"/>
            </w:tcBorders>
            <w:noWrap w:val="0"/>
            <w:vAlign w:val="center"/>
          </w:tcPr>
          <w:p w14:paraId="7F58FCE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10分</w:t>
            </w:r>
          </w:p>
        </w:tc>
        <w:tc>
          <w:tcPr>
            <w:tcW w:w="6659" w:type="dxa"/>
            <w:tcBorders>
              <w:top w:val="single" w:color="auto" w:sz="4" w:space="0"/>
            </w:tcBorders>
            <w:noWrap w:val="0"/>
            <w:vAlign w:val="center"/>
          </w:tcPr>
          <w:p w14:paraId="34B26B90">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①</w:t>
            </w:r>
            <w:r>
              <w:rPr>
                <w:rFonts w:hint="eastAsia" w:ascii="宋体" w:hAnsi="宋体" w:eastAsia="宋体" w:cs="宋体"/>
                <w:sz w:val="24"/>
                <w:szCs w:val="24"/>
                <w:lang w:val="en-US" w:eastAsia="zh-CN"/>
              </w:rPr>
              <w:t>对项目技术难点及施工重点难点进行分析，制定相应解决方案，切合项目实际情况，能完全有效的解决项目难点、重点问题；</w:t>
            </w:r>
            <w:r>
              <w:rPr>
                <w:rFonts w:hint="eastAsia" w:ascii="宋体" w:hAnsi="宋体" w:eastAsia="宋体" w:cs="宋体"/>
                <w:color w:val="auto"/>
                <w:kern w:val="2"/>
                <w:sz w:val="24"/>
                <w:szCs w:val="24"/>
                <w:lang w:val="en-US" w:eastAsia="zh-CN" w:bidi="ar-SA"/>
              </w:rPr>
              <w:t>②</w:t>
            </w:r>
            <w:r>
              <w:rPr>
                <w:rFonts w:hint="eastAsia" w:ascii="宋体" w:hAnsi="宋体" w:eastAsia="宋体" w:cs="宋体"/>
                <w:sz w:val="24"/>
                <w:szCs w:val="24"/>
                <w:lang w:val="en-US" w:eastAsia="zh-CN"/>
              </w:rPr>
              <w:t>符合项目情况，充分考虑施工地点，周围环境，地理位置，完全满足项目服务要求；</w:t>
            </w:r>
            <w:r>
              <w:rPr>
                <w:rFonts w:hint="eastAsia" w:ascii="宋体" w:hAnsi="宋体" w:eastAsia="宋体" w:cs="宋体"/>
                <w:color w:val="auto"/>
                <w:kern w:val="2"/>
                <w:sz w:val="24"/>
                <w:szCs w:val="24"/>
                <w:lang w:val="en-US" w:eastAsia="zh-CN" w:bidi="ar-SA"/>
              </w:rPr>
              <w:t>③</w:t>
            </w:r>
            <w:r>
              <w:rPr>
                <w:rFonts w:hint="eastAsia" w:ascii="宋体" w:hAnsi="宋体" w:eastAsia="宋体" w:cs="宋体"/>
                <w:sz w:val="24"/>
                <w:szCs w:val="24"/>
                <w:lang w:val="en-US" w:eastAsia="zh-CN"/>
              </w:rPr>
              <w:t>施工设备满足实际施工要求、设备投入充足，劳动力计划满足工期要求及施工要求；</w:t>
            </w:r>
            <w:r>
              <w:rPr>
                <w:rFonts w:hint="eastAsia" w:ascii="宋体" w:hAnsi="宋体" w:eastAsia="宋体" w:cs="宋体"/>
                <w:color w:val="auto"/>
                <w:kern w:val="2"/>
                <w:sz w:val="24"/>
                <w:szCs w:val="24"/>
                <w:lang w:val="en-US" w:eastAsia="zh-CN" w:bidi="ar-SA"/>
              </w:rPr>
              <w:t>④</w:t>
            </w:r>
            <w:r>
              <w:rPr>
                <w:rFonts w:hint="eastAsia" w:ascii="宋体" w:hAnsi="宋体" w:eastAsia="宋体" w:cs="宋体"/>
                <w:sz w:val="24"/>
                <w:szCs w:val="24"/>
                <w:lang w:val="en-US" w:eastAsia="zh-CN"/>
              </w:rPr>
              <w:t>确保工程质量、安全措施的举措；</w:t>
            </w:r>
            <w:r>
              <w:rPr>
                <w:rFonts w:hint="eastAsia" w:ascii="微软雅黑" w:hAnsi="微软雅黑" w:eastAsia="微软雅黑" w:cs="微软雅黑"/>
                <w:color w:val="auto"/>
                <w:kern w:val="2"/>
                <w:sz w:val="24"/>
                <w:szCs w:val="24"/>
                <w:lang w:val="en-US" w:eastAsia="zh-CN" w:bidi="ar-SA"/>
              </w:rPr>
              <w:t>⑤</w:t>
            </w:r>
            <w:r>
              <w:rPr>
                <w:rFonts w:hint="eastAsia" w:ascii="宋体" w:hAnsi="宋体" w:eastAsia="宋体" w:cs="宋体"/>
                <w:sz w:val="24"/>
                <w:szCs w:val="24"/>
                <w:lang w:val="en-US" w:eastAsia="zh-CN"/>
              </w:rPr>
              <w:t>平面布置可行，动线合理，不会造成施工现场混乱。</w:t>
            </w:r>
          </w:p>
          <w:p w14:paraId="694A1644">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以上内容每项0-2分，满分10分。</w:t>
            </w:r>
          </w:p>
        </w:tc>
      </w:tr>
      <w:tr w14:paraId="267E6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14:paraId="18891921">
            <w:pPr>
              <w:pStyle w:val="27"/>
              <w:pageBreakBefore w:val="0"/>
              <w:kinsoku/>
              <w:topLinePunct w:val="0"/>
              <w:bidi w:val="0"/>
              <w:ind w:firstLine="240" w:firstLineChars="1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5</w:t>
            </w:r>
          </w:p>
        </w:tc>
        <w:tc>
          <w:tcPr>
            <w:tcW w:w="1813" w:type="dxa"/>
            <w:tcBorders>
              <w:top w:val="single" w:color="auto" w:sz="4" w:space="0"/>
              <w:bottom w:val="single" w:color="auto" w:sz="4" w:space="0"/>
            </w:tcBorders>
            <w:noWrap w:val="0"/>
            <w:vAlign w:val="center"/>
          </w:tcPr>
          <w:p w14:paraId="6ACE818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安全管理体系 </w:t>
            </w:r>
          </w:p>
          <w:p w14:paraId="09D49A2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auto"/>
                <w:szCs w:val="24"/>
              </w:rPr>
            </w:pPr>
            <w:r>
              <w:rPr>
                <w:rFonts w:hint="eastAsia" w:ascii="宋体" w:hAnsi="宋体" w:eastAsia="宋体" w:cs="宋体"/>
                <w:sz w:val="24"/>
                <w:szCs w:val="24"/>
                <w:lang w:val="en-US" w:eastAsia="zh-CN"/>
              </w:rPr>
              <w:t>与措施10分</w:t>
            </w:r>
          </w:p>
        </w:tc>
        <w:tc>
          <w:tcPr>
            <w:tcW w:w="835" w:type="dxa"/>
            <w:tcBorders>
              <w:top w:val="single" w:color="auto" w:sz="4" w:space="0"/>
              <w:bottom w:val="single" w:color="auto" w:sz="4" w:space="0"/>
            </w:tcBorders>
            <w:noWrap w:val="0"/>
            <w:vAlign w:val="center"/>
          </w:tcPr>
          <w:p w14:paraId="0ED80987">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auto"/>
                <w:sz w:val="24"/>
                <w:szCs w:val="24"/>
                <w:lang w:val="en-US" w:eastAsia="zh-CN"/>
              </w:rPr>
              <w:t>分</w:t>
            </w:r>
          </w:p>
        </w:tc>
        <w:tc>
          <w:tcPr>
            <w:tcW w:w="6659" w:type="dxa"/>
            <w:tcBorders>
              <w:top w:val="single" w:color="auto" w:sz="4" w:space="0"/>
              <w:bottom w:val="single" w:color="auto" w:sz="4" w:space="0"/>
            </w:tcBorders>
            <w:noWrap w:val="0"/>
            <w:vAlign w:val="center"/>
          </w:tcPr>
          <w:p w14:paraId="063B1D8A">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根据供应商针对本项目特点及需求制定的项目施工方案进行综合评审，方案至少包含4个要素：①安全管理目标；②安全生产管理小组；③职责分工；④管理制度。</w:t>
            </w:r>
          </w:p>
          <w:p w14:paraId="1224405E">
            <w:pPr>
              <w:pStyle w:val="31"/>
              <w:keepNext w:val="0"/>
              <w:keepLines w:val="0"/>
              <w:pageBreakBefore w:val="0"/>
              <w:kinsoku/>
              <w:wordWrap/>
              <w:overflowPunct/>
              <w:topLinePunct w:val="0"/>
              <w:autoSpaceDE/>
              <w:autoSpaceDN/>
              <w:bidi w:val="0"/>
              <w:adjustRightInd/>
              <w:snapToGrid/>
              <w:spacing w:line="280" w:lineRule="exact"/>
              <w:ind w:firstLine="0" w:firstLineChars="0"/>
              <w:textAlignment w:val="auto"/>
              <w:rPr>
                <w:rFonts w:hint="default" w:ascii="宋体" w:hAnsi="宋体" w:eastAsia="宋体" w:cs="宋体"/>
                <w:color w:val="auto"/>
                <w:szCs w:val="24"/>
                <w:lang w:val="en-US"/>
              </w:rPr>
            </w:pPr>
            <w:r>
              <w:rPr>
                <w:rFonts w:hint="default" w:ascii="宋体" w:hAnsi="宋体" w:eastAsia="宋体" w:cs="宋体"/>
                <w:color w:val="000000"/>
                <w:szCs w:val="24"/>
                <w:highlight w:val="none"/>
                <w:lang w:val="en-US" w:eastAsia="zh-CN"/>
              </w:rPr>
              <w:t>以上内容</w:t>
            </w:r>
            <w:r>
              <w:rPr>
                <w:rFonts w:hint="eastAsia" w:ascii="宋体" w:hAnsi="宋体" w:eastAsia="宋体" w:cs="宋体"/>
                <w:color w:val="000000"/>
                <w:szCs w:val="24"/>
                <w:highlight w:val="none"/>
                <w:lang w:val="en-US" w:eastAsia="zh-CN"/>
              </w:rPr>
              <w:t>每项得0-2.5分（满分10分），未提供不得分。</w:t>
            </w:r>
          </w:p>
        </w:tc>
      </w:tr>
      <w:tr w14:paraId="4404F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14:paraId="2E2262A8">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szCs w:val="24"/>
                <w:lang w:val="en-US" w:eastAsia="zh-CN"/>
              </w:rPr>
            </w:pPr>
            <w:r>
              <w:rPr>
                <w:rFonts w:hint="eastAsia" w:ascii="宋体" w:hAnsi="宋体" w:eastAsia="宋体" w:cs="宋体"/>
                <w:color w:val="000000"/>
                <w:sz w:val="24"/>
                <w:szCs w:val="24"/>
                <w:highlight w:val="none"/>
                <w:lang w:val="en-US" w:eastAsia="zh-CN"/>
              </w:rPr>
              <w:t>6</w:t>
            </w:r>
          </w:p>
        </w:tc>
        <w:tc>
          <w:tcPr>
            <w:tcW w:w="1813" w:type="dxa"/>
            <w:tcBorders>
              <w:top w:val="single" w:color="auto" w:sz="4" w:space="0"/>
              <w:bottom w:val="single" w:color="auto" w:sz="4" w:space="0"/>
            </w:tcBorders>
            <w:noWrap w:val="0"/>
            <w:vAlign w:val="center"/>
          </w:tcPr>
          <w:p w14:paraId="362399D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先进性4分</w:t>
            </w:r>
          </w:p>
        </w:tc>
        <w:tc>
          <w:tcPr>
            <w:tcW w:w="835" w:type="dxa"/>
            <w:tcBorders>
              <w:top w:val="single" w:color="auto" w:sz="4" w:space="0"/>
              <w:bottom w:val="single" w:color="auto" w:sz="4" w:space="0"/>
            </w:tcBorders>
            <w:noWrap w:val="0"/>
            <w:vAlign w:val="center"/>
          </w:tcPr>
          <w:p w14:paraId="5CBE9FD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4分</w:t>
            </w:r>
          </w:p>
        </w:tc>
        <w:tc>
          <w:tcPr>
            <w:tcW w:w="6659" w:type="dxa"/>
            <w:tcBorders>
              <w:top w:val="single" w:color="auto" w:sz="4" w:space="0"/>
              <w:bottom w:val="single" w:color="auto" w:sz="4" w:space="0"/>
            </w:tcBorders>
            <w:noWrap w:val="0"/>
            <w:vAlign w:val="center"/>
          </w:tcPr>
          <w:p w14:paraId="6E0483FD">
            <w:pPr>
              <w:keepNext w:val="0"/>
              <w:keepLines w:val="0"/>
              <w:pageBreakBefore w:val="0"/>
              <w:widowControl/>
              <w:suppressLineNumbers w:val="0"/>
              <w:kinsoku/>
              <w:topLinePunct w:val="0"/>
              <w:bidi w:val="0"/>
              <w:jc w:val="left"/>
              <w:rPr>
                <w:rFonts w:hint="default" w:ascii="宋体" w:hAnsi="宋体" w:eastAsia="宋体" w:cs="宋体"/>
                <w:color w:val="000000"/>
                <w:szCs w:val="24"/>
                <w:highlight w:val="none"/>
                <w:lang w:val="en-US" w:eastAsia="zh-CN"/>
              </w:rPr>
            </w:pPr>
            <w:r>
              <w:rPr>
                <w:rFonts w:hint="default" w:ascii="宋体" w:hAnsi="宋体" w:eastAsia="宋体" w:cs="宋体"/>
                <w:snapToGrid w:val="0"/>
                <w:color w:val="000000"/>
                <w:kern w:val="0"/>
                <w:sz w:val="24"/>
                <w:szCs w:val="24"/>
                <w:highlight w:val="none"/>
                <w:lang w:val="en-US" w:eastAsia="zh-CN" w:bidi="ar-SA"/>
              </w:rPr>
              <w:t>在确保工程质量前提下，有降低成本、缩短工期、减轻劳动强度、提高进度。本项得0-</w:t>
            </w:r>
            <w:r>
              <w:rPr>
                <w:rFonts w:hint="eastAsia" w:ascii="宋体" w:hAnsi="宋体" w:eastAsia="宋体" w:cs="宋体"/>
                <w:snapToGrid w:val="0"/>
                <w:color w:val="000000"/>
                <w:kern w:val="0"/>
                <w:sz w:val="24"/>
                <w:szCs w:val="24"/>
                <w:highlight w:val="none"/>
                <w:lang w:val="en-US" w:eastAsia="zh-CN" w:bidi="ar-SA"/>
              </w:rPr>
              <w:t>4</w:t>
            </w:r>
            <w:r>
              <w:rPr>
                <w:rFonts w:hint="default" w:ascii="宋体" w:hAnsi="宋体" w:eastAsia="宋体" w:cs="宋体"/>
                <w:snapToGrid w:val="0"/>
                <w:color w:val="000000"/>
                <w:kern w:val="0"/>
                <w:sz w:val="24"/>
                <w:szCs w:val="24"/>
                <w:highlight w:val="none"/>
                <w:lang w:val="en-US" w:eastAsia="zh-CN" w:bidi="ar-SA"/>
              </w:rPr>
              <w:t>分。</w:t>
            </w:r>
          </w:p>
        </w:tc>
      </w:tr>
      <w:tr w14:paraId="4E03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14:paraId="0F8DC2E5">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1813" w:type="dxa"/>
            <w:tcBorders>
              <w:top w:val="single" w:color="auto" w:sz="4" w:space="0"/>
              <w:bottom w:val="single" w:color="auto" w:sz="4" w:space="0"/>
            </w:tcBorders>
            <w:shd w:val="clear" w:color="auto" w:fill="auto"/>
            <w:noWrap w:val="0"/>
            <w:vAlign w:val="center"/>
          </w:tcPr>
          <w:p w14:paraId="5A2182E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z w:val="24"/>
                <w:szCs w:val="24"/>
                <w:highlight w:val="none"/>
                <w:lang w:val="en-US" w:eastAsia="zh-CN"/>
              </w:rPr>
              <w:t>业绩1分</w:t>
            </w:r>
          </w:p>
        </w:tc>
        <w:tc>
          <w:tcPr>
            <w:tcW w:w="835" w:type="dxa"/>
            <w:tcBorders>
              <w:top w:val="single" w:color="auto" w:sz="4" w:space="0"/>
              <w:bottom w:val="single" w:color="auto" w:sz="4" w:space="0"/>
            </w:tcBorders>
            <w:shd w:val="clear" w:color="auto" w:fill="auto"/>
            <w:noWrap w:val="0"/>
            <w:vAlign w:val="center"/>
          </w:tcPr>
          <w:p w14:paraId="2754B32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1分</w:t>
            </w:r>
          </w:p>
        </w:tc>
        <w:tc>
          <w:tcPr>
            <w:tcW w:w="6659" w:type="dxa"/>
            <w:tcBorders>
              <w:top w:val="single" w:color="auto" w:sz="4" w:space="0"/>
              <w:bottom w:val="single" w:color="auto" w:sz="4" w:space="0"/>
            </w:tcBorders>
            <w:shd w:val="clear" w:color="auto" w:fill="auto"/>
            <w:noWrap w:val="0"/>
            <w:vAlign w:val="center"/>
          </w:tcPr>
          <w:p w14:paraId="5C894C83">
            <w:pPr>
              <w:keepNext w:val="0"/>
              <w:keepLines w:val="0"/>
              <w:pageBreakBefore w:val="0"/>
              <w:widowControl/>
              <w:suppressLineNumbers w:val="0"/>
              <w:kinsoku/>
              <w:topLinePunct w:val="0"/>
              <w:bidi w:val="0"/>
              <w:jc w:val="left"/>
              <w:rPr>
                <w:rFonts w:hint="default"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供应商提供2023年至今类似业绩，每提供一个业绩得1分，满分1分。</w:t>
            </w:r>
          </w:p>
        </w:tc>
      </w:tr>
    </w:tbl>
    <w:p w14:paraId="4FCEBC57">
      <w:pPr>
        <w:pStyle w:val="4"/>
        <w:pageBreakBefore w:val="0"/>
        <w:kinsoku/>
        <w:topLinePunct w:val="0"/>
        <w:bidi w:val="0"/>
        <w:spacing w:line="421" w:lineRule="auto"/>
      </w:pPr>
    </w:p>
    <w:p w14:paraId="5D6F765C">
      <w:pPr>
        <w:pageBreakBefore w:val="0"/>
        <w:kinsoku/>
        <w:topLinePunct w:val="0"/>
        <w:bidi w:val="0"/>
        <w:spacing w:before="78" w:line="220" w:lineRule="auto"/>
        <w:ind w:left="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注：计分原则：</w:t>
      </w:r>
    </w:p>
    <w:p w14:paraId="2B09935B">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（1）技术部分由磋商小组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rPr>
        <w:t>分别打分后，取平均分作为技术分最后得分。</w:t>
      </w:r>
    </w:p>
    <w:p w14:paraId="01ED6E28">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（2）磋商小组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rPr>
        <w:t>评分的算术平均值为供应商的最终得分。评分计算保留2位小数，第三位小数四舍五入。</w:t>
      </w:r>
    </w:p>
    <w:p w14:paraId="10F7D0BB">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（3）得分相同的，按技术指标优劣顺序排列。</w:t>
      </w:r>
    </w:p>
    <w:p w14:paraId="55537EC4">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（4）磋商小组按评分排序确定</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，同时提交</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报告，由磋商小组成员集体签名。</w:t>
      </w:r>
    </w:p>
    <w:p w14:paraId="17A90613">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（5）</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中如遇未考虑到的问题，由磋商小组成员集体研究处理决定。</w:t>
      </w:r>
    </w:p>
    <w:p w14:paraId="6759A30F">
      <w:pPr>
        <w:pageBreakBefore w:val="0"/>
        <w:kinsoku/>
        <w:topLinePunct w:val="0"/>
        <w:bidi w:val="0"/>
        <w:spacing w:before="182" w:line="220" w:lineRule="auto"/>
        <w:ind w:left="527"/>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5.其他注意事项：</w:t>
      </w:r>
    </w:p>
    <w:p w14:paraId="75D02491">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工作在磋商小组内独立进行。</w:t>
      </w:r>
    </w:p>
    <w:p w14:paraId="425BFC53">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（2）为了有助于审查、评估和比较，磋商小组有权向供应商质疑、查看有关资质原件、供应商解释响应文件内容。供应商有责任按照磋商小组通知的时间、地点指派专人进行答疑、澄清、提供有关资质原件。</w:t>
      </w:r>
    </w:p>
    <w:p w14:paraId="13A332D0">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（3）在评审期间，供应商不得向磋商小组成员询问情况，不得进行影响评审结果的活动。</w:t>
      </w:r>
    </w:p>
    <w:p w14:paraId="188A1E10">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（4）采购人、采购代理机构及磋商小组不退还磋商响应文件。</w:t>
      </w:r>
    </w:p>
    <w:p w14:paraId="34CE468C">
      <w:pPr>
        <w:pageBreakBefore w:val="0"/>
        <w:kinsoku/>
        <w:wordWrap/>
        <w:topLinePunct w:val="0"/>
        <w:bidi w:val="0"/>
        <w:spacing w:before="182" w:line="359" w:lineRule="auto"/>
        <w:ind w:left="122" w:firstLine="485"/>
        <w:jc w:val="both"/>
        <w:rPr>
          <w:rFonts w:ascii="宋体" w:hAnsi="宋体" w:eastAsia="宋体" w:cs="宋体"/>
          <w:spacing w:val="1"/>
          <w:sz w:val="24"/>
          <w:szCs w:val="24"/>
          <w:lang w:val="en-US" w:eastAsia="en-US"/>
        </w:rPr>
      </w:pPr>
      <w:r>
        <w:rPr>
          <w:rFonts w:hint="eastAsia" w:ascii="宋体" w:hAnsi="宋体" w:eastAsia="宋体" w:cs="宋体"/>
          <w:spacing w:val="1"/>
          <w:sz w:val="24"/>
          <w:szCs w:val="24"/>
          <w:lang w:val="en-US" w:eastAsia="en-US"/>
        </w:rPr>
        <w:t>（5）在</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val="en-US" w:eastAsia="en-US"/>
        </w:rPr>
        <w:t>过程中如供应商有不正当行为时，磋商小组有权</w:t>
      </w:r>
      <w:r>
        <w:rPr>
          <w:rFonts w:hint="eastAsia" w:ascii="宋体" w:hAnsi="宋体" w:eastAsia="宋体" w:cs="宋体"/>
          <w:spacing w:val="1"/>
          <w:sz w:val="24"/>
          <w:szCs w:val="24"/>
          <w:lang w:val="en-US" w:eastAsia="zh-CN"/>
        </w:rPr>
        <w:t>终止</w:t>
      </w:r>
      <w:r>
        <w:rPr>
          <w:rFonts w:hint="eastAsia" w:ascii="宋体" w:hAnsi="宋体" w:eastAsia="宋体" w:cs="宋体"/>
          <w:spacing w:val="1"/>
          <w:sz w:val="24"/>
          <w:szCs w:val="24"/>
          <w:lang w:val="en-US" w:eastAsia="en-US"/>
        </w:rPr>
        <w:t>其资格。</w:t>
      </w:r>
    </w:p>
    <w:p w14:paraId="66D4F2BD">
      <w:pPr>
        <w:pageBreakBefore w:val="0"/>
        <w:kinsoku/>
        <w:topLinePunct w:val="0"/>
        <w:bidi w:val="0"/>
        <w:spacing w:before="182" w:line="359" w:lineRule="auto"/>
        <w:ind w:left="122" w:firstLine="485"/>
        <w:jc w:val="both"/>
        <w:rPr>
          <w:rFonts w:ascii="宋体" w:hAnsi="宋体" w:eastAsia="宋体" w:cs="宋体"/>
          <w:spacing w:val="1"/>
          <w:sz w:val="24"/>
          <w:szCs w:val="24"/>
          <w:lang w:val="en-US" w:eastAsia="en-US"/>
        </w:rPr>
      </w:pPr>
    </w:p>
    <w:p w14:paraId="20E1829A">
      <w:pPr>
        <w:pStyle w:val="4"/>
        <w:pageBreakBefore w:val="0"/>
        <w:kinsoku/>
        <w:topLinePunct w:val="0"/>
        <w:bidi w:val="0"/>
        <w:rPr>
          <w:rFonts w:ascii="宋体" w:hAnsi="宋体" w:eastAsia="宋体" w:cs="宋体"/>
          <w:spacing w:val="1"/>
          <w:sz w:val="24"/>
          <w:szCs w:val="24"/>
          <w:lang w:val="en-US" w:eastAsia="en-US"/>
        </w:rPr>
      </w:pPr>
    </w:p>
    <w:p w14:paraId="645A0698">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bookmarkStart w:id="9" w:name="bookmark5"/>
      <w:bookmarkEnd w:id="9"/>
      <w:bookmarkStart w:id="10" w:name="bookmark4"/>
      <w:bookmarkEnd w:id="10"/>
    </w:p>
    <w:p w14:paraId="1AEEE6EF">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619BF43F">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6EE26C0E">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412C9728">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5F1BEFB8">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1819AFA5">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060EF820">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05EF4767">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530DE22E">
      <w:pPr>
        <w:pageBreakBefore w:val="0"/>
        <w:kinsoku/>
        <w:topLinePunct w:val="0"/>
        <w:bidi w:val="0"/>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0982B2E3">
      <w:pPr>
        <w:rPr>
          <w:rFonts w:ascii="黑体" w:hAnsi="黑体" w:eastAsia="黑体" w:cs="黑体"/>
          <w:spacing w:val="9"/>
          <w:sz w:val="35"/>
          <w:szCs w:val="35"/>
          <w14:textOutline w14:w="6537" w14:cap="sq" w14:cmpd="sng">
            <w14:solidFill>
              <w14:srgbClr w14:val="000000"/>
            </w14:solidFill>
            <w14:prstDash w14:val="solid"/>
            <w14:bevel/>
          </w14:textOutline>
        </w:rPr>
      </w:pPr>
      <w:r>
        <w:rPr>
          <w:rFonts w:ascii="黑体" w:hAnsi="黑体" w:eastAsia="黑体" w:cs="黑体"/>
          <w:spacing w:val="9"/>
          <w:sz w:val="35"/>
          <w:szCs w:val="35"/>
          <w14:textOutline w14:w="6537" w14:cap="sq" w14:cmpd="sng">
            <w14:solidFill>
              <w14:srgbClr w14:val="000000"/>
            </w14:solidFill>
            <w14:prstDash w14:val="solid"/>
            <w14:bevel/>
          </w14:textOutline>
        </w:rPr>
        <w:br w:type="page"/>
      </w:r>
    </w:p>
    <w:p w14:paraId="5B94A4D9">
      <w:pPr>
        <w:pageBreakBefore w:val="0"/>
        <w:kinsoku/>
        <w:topLinePunct w:val="0"/>
        <w:bidi w:val="0"/>
        <w:spacing w:before="145" w:line="227" w:lineRule="auto"/>
        <w:ind w:left="2525"/>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第四章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采购内容及需求</w:t>
      </w:r>
    </w:p>
    <w:p w14:paraId="5C9482B8">
      <w:pPr>
        <w:pStyle w:val="4"/>
        <w:pageBreakBefore w:val="0"/>
        <w:kinsoku/>
        <w:topLinePunct w:val="0"/>
        <w:bidi w:val="0"/>
        <w:spacing w:line="248" w:lineRule="auto"/>
      </w:pPr>
    </w:p>
    <w:p w14:paraId="688E2FEB">
      <w:pPr>
        <w:pStyle w:val="4"/>
        <w:pageBreakBefore w:val="0"/>
        <w:kinsoku/>
        <w:topLinePunct w:val="0"/>
        <w:bidi w:val="0"/>
        <w:spacing w:line="305" w:lineRule="auto"/>
        <w:jc w:val="center"/>
        <w:rPr>
          <w:rFonts w:hint="eastAsia" w:ascii="宋体" w:hAnsi="宋体" w:eastAsia="宋体" w:cs="宋体"/>
          <w:lang w:eastAsia="zh-CN"/>
        </w:rPr>
      </w:pPr>
      <w:r>
        <w:rPr>
          <w:rFonts w:hint="eastAsia" w:ascii="宋体" w:hAnsi="宋体" w:eastAsia="宋体" w:cs="宋体"/>
          <w:lang w:eastAsia="zh-CN"/>
        </w:rPr>
        <w:t>（详见附件工程量清单）</w:t>
      </w:r>
    </w:p>
    <w:p w14:paraId="1EB7FD1A">
      <w:pPr>
        <w:pStyle w:val="4"/>
        <w:pageBreakBefore w:val="0"/>
        <w:kinsoku/>
        <w:topLinePunct w:val="0"/>
        <w:bidi w:val="0"/>
        <w:spacing w:line="305" w:lineRule="auto"/>
        <w:rPr>
          <w:rFonts w:hint="eastAsia" w:ascii="宋体" w:hAnsi="宋体" w:eastAsia="宋体" w:cs="宋体"/>
        </w:rPr>
      </w:pPr>
    </w:p>
    <w:p w14:paraId="576F1D2D">
      <w:pPr>
        <w:pStyle w:val="4"/>
        <w:pageBreakBefore w:val="0"/>
        <w:kinsoku/>
        <w:topLinePunct w:val="0"/>
        <w:bidi w:val="0"/>
        <w:spacing w:line="305" w:lineRule="auto"/>
        <w:rPr>
          <w:rFonts w:hint="eastAsia" w:ascii="宋体" w:hAnsi="宋体" w:eastAsia="宋体" w:cs="宋体"/>
        </w:rPr>
      </w:pPr>
    </w:p>
    <w:p w14:paraId="67C70282">
      <w:pPr>
        <w:pStyle w:val="4"/>
        <w:pageBreakBefore w:val="0"/>
        <w:kinsoku/>
        <w:topLinePunct w:val="0"/>
        <w:bidi w:val="0"/>
        <w:spacing w:line="305" w:lineRule="auto"/>
        <w:rPr>
          <w:rFonts w:hint="eastAsia" w:ascii="宋体" w:hAnsi="宋体" w:eastAsia="宋体" w:cs="宋体"/>
        </w:rPr>
      </w:pPr>
    </w:p>
    <w:p w14:paraId="5BAC0741">
      <w:pPr>
        <w:pStyle w:val="4"/>
        <w:pageBreakBefore w:val="0"/>
        <w:kinsoku/>
        <w:topLinePunct w:val="0"/>
        <w:bidi w:val="0"/>
        <w:spacing w:line="305" w:lineRule="auto"/>
        <w:rPr>
          <w:rFonts w:hint="eastAsia" w:ascii="宋体" w:hAnsi="宋体" w:eastAsia="宋体" w:cs="宋体"/>
        </w:rPr>
      </w:pPr>
    </w:p>
    <w:p w14:paraId="0B01D9CF">
      <w:pPr>
        <w:pStyle w:val="4"/>
        <w:pageBreakBefore w:val="0"/>
        <w:kinsoku/>
        <w:topLinePunct w:val="0"/>
        <w:bidi w:val="0"/>
        <w:spacing w:line="305" w:lineRule="auto"/>
        <w:rPr>
          <w:rFonts w:hint="eastAsia" w:ascii="宋体" w:hAnsi="宋体" w:eastAsia="宋体" w:cs="宋体"/>
        </w:rPr>
      </w:pPr>
    </w:p>
    <w:p w14:paraId="2D72E5B3">
      <w:pPr>
        <w:pStyle w:val="4"/>
        <w:pageBreakBefore w:val="0"/>
        <w:kinsoku/>
        <w:topLinePunct w:val="0"/>
        <w:bidi w:val="0"/>
        <w:spacing w:line="305" w:lineRule="auto"/>
        <w:rPr>
          <w:rFonts w:hint="eastAsia" w:ascii="宋体" w:hAnsi="宋体" w:eastAsia="宋体" w:cs="宋体"/>
        </w:rPr>
      </w:pPr>
    </w:p>
    <w:p w14:paraId="60AD99A3">
      <w:pPr>
        <w:pStyle w:val="4"/>
        <w:pageBreakBefore w:val="0"/>
        <w:kinsoku/>
        <w:topLinePunct w:val="0"/>
        <w:bidi w:val="0"/>
        <w:spacing w:line="305" w:lineRule="auto"/>
        <w:rPr>
          <w:rFonts w:hint="eastAsia" w:ascii="宋体" w:hAnsi="宋体" w:eastAsia="宋体" w:cs="宋体"/>
        </w:rPr>
      </w:pPr>
    </w:p>
    <w:p w14:paraId="61D7CDE7">
      <w:pPr>
        <w:pStyle w:val="4"/>
        <w:pageBreakBefore w:val="0"/>
        <w:kinsoku/>
        <w:topLinePunct w:val="0"/>
        <w:bidi w:val="0"/>
        <w:spacing w:line="305" w:lineRule="auto"/>
        <w:rPr>
          <w:rFonts w:hint="eastAsia" w:ascii="宋体" w:hAnsi="宋体" w:eastAsia="宋体" w:cs="宋体"/>
        </w:rPr>
      </w:pPr>
    </w:p>
    <w:p w14:paraId="55720E2F">
      <w:pPr>
        <w:pStyle w:val="4"/>
        <w:pageBreakBefore w:val="0"/>
        <w:kinsoku/>
        <w:topLinePunct w:val="0"/>
        <w:bidi w:val="0"/>
        <w:spacing w:line="305" w:lineRule="auto"/>
        <w:rPr>
          <w:rFonts w:hint="eastAsia" w:ascii="宋体" w:hAnsi="宋体" w:eastAsia="宋体" w:cs="宋体"/>
        </w:rPr>
      </w:pPr>
    </w:p>
    <w:p w14:paraId="03F0FBD2">
      <w:pPr>
        <w:pStyle w:val="4"/>
        <w:pageBreakBefore w:val="0"/>
        <w:kinsoku/>
        <w:topLinePunct w:val="0"/>
        <w:bidi w:val="0"/>
        <w:spacing w:line="305" w:lineRule="auto"/>
        <w:rPr>
          <w:rFonts w:hint="eastAsia" w:ascii="宋体" w:hAnsi="宋体" w:eastAsia="宋体" w:cs="宋体"/>
        </w:rPr>
      </w:pPr>
    </w:p>
    <w:p w14:paraId="4C040AB2">
      <w:pPr>
        <w:pStyle w:val="4"/>
        <w:pageBreakBefore w:val="0"/>
        <w:kinsoku/>
        <w:topLinePunct w:val="0"/>
        <w:bidi w:val="0"/>
        <w:spacing w:line="305" w:lineRule="auto"/>
        <w:rPr>
          <w:rFonts w:hint="eastAsia" w:ascii="宋体" w:hAnsi="宋体" w:eastAsia="宋体" w:cs="宋体"/>
        </w:rPr>
      </w:pPr>
    </w:p>
    <w:p w14:paraId="7FC9248B">
      <w:pPr>
        <w:pStyle w:val="4"/>
        <w:pageBreakBefore w:val="0"/>
        <w:kinsoku/>
        <w:topLinePunct w:val="0"/>
        <w:bidi w:val="0"/>
        <w:spacing w:line="305" w:lineRule="auto"/>
        <w:rPr>
          <w:rFonts w:hint="eastAsia" w:ascii="宋体" w:hAnsi="宋体" w:eastAsia="宋体" w:cs="宋体"/>
        </w:rPr>
      </w:pPr>
    </w:p>
    <w:p w14:paraId="53B342AC">
      <w:pPr>
        <w:pStyle w:val="4"/>
        <w:pageBreakBefore w:val="0"/>
        <w:kinsoku/>
        <w:topLinePunct w:val="0"/>
        <w:bidi w:val="0"/>
        <w:spacing w:line="305" w:lineRule="auto"/>
        <w:rPr>
          <w:rFonts w:hint="eastAsia" w:ascii="宋体" w:hAnsi="宋体" w:eastAsia="宋体" w:cs="宋体"/>
        </w:rPr>
      </w:pPr>
    </w:p>
    <w:p w14:paraId="08822204">
      <w:pPr>
        <w:pStyle w:val="4"/>
        <w:pageBreakBefore w:val="0"/>
        <w:kinsoku/>
        <w:topLinePunct w:val="0"/>
        <w:bidi w:val="0"/>
        <w:spacing w:line="305" w:lineRule="auto"/>
        <w:rPr>
          <w:rFonts w:hint="eastAsia" w:ascii="宋体" w:hAnsi="宋体" w:eastAsia="宋体" w:cs="宋体"/>
        </w:rPr>
      </w:pPr>
    </w:p>
    <w:p w14:paraId="5C02A081">
      <w:pPr>
        <w:pStyle w:val="4"/>
        <w:pageBreakBefore w:val="0"/>
        <w:kinsoku/>
        <w:topLinePunct w:val="0"/>
        <w:bidi w:val="0"/>
        <w:spacing w:line="305" w:lineRule="auto"/>
        <w:rPr>
          <w:rFonts w:hint="eastAsia" w:ascii="宋体" w:hAnsi="宋体" w:eastAsia="宋体" w:cs="宋体"/>
        </w:rPr>
      </w:pPr>
    </w:p>
    <w:p w14:paraId="5D2A996D">
      <w:pPr>
        <w:pStyle w:val="4"/>
        <w:pageBreakBefore w:val="0"/>
        <w:kinsoku/>
        <w:topLinePunct w:val="0"/>
        <w:bidi w:val="0"/>
        <w:spacing w:line="305" w:lineRule="auto"/>
        <w:rPr>
          <w:rFonts w:hint="eastAsia" w:ascii="宋体" w:hAnsi="宋体" w:eastAsia="宋体" w:cs="宋体"/>
        </w:rPr>
      </w:pPr>
    </w:p>
    <w:p w14:paraId="49F9B516">
      <w:pPr>
        <w:pStyle w:val="4"/>
        <w:pageBreakBefore w:val="0"/>
        <w:kinsoku/>
        <w:topLinePunct w:val="0"/>
        <w:bidi w:val="0"/>
        <w:spacing w:line="305" w:lineRule="auto"/>
        <w:rPr>
          <w:rFonts w:hint="eastAsia" w:ascii="宋体" w:hAnsi="宋体" w:eastAsia="宋体" w:cs="宋体"/>
        </w:rPr>
      </w:pPr>
    </w:p>
    <w:p w14:paraId="36D360F0">
      <w:pPr>
        <w:pStyle w:val="4"/>
        <w:pageBreakBefore w:val="0"/>
        <w:kinsoku/>
        <w:topLinePunct w:val="0"/>
        <w:bidi w:val="0"/>
        <w:spacing w:line="305" w:lineRule="auto"/>
        <w:rPr>
          <w:rFonts w:hint="eastAsia" w:ascii="宋体" w:hAnsi="宋体" w:eastAsia="宋体" w:cs="宋体"/>
        </w:rPr>
      </w:pPr>
    </w:p>
    <w:p w14:paraId="62C268F2">
      <w:pPr>
        <w:pStyle w:val="4"/>
        <w:pageBreakBefore w:val="0"/>
        <w:kinsoku/>
        <w:topLinePunct w:val="0"/>
        <w:bidi w:val="0"/>
        <w:spacing w:line="305" w:lineRule="auto"/>
        <w:rPr>
          <w:rFonts w:hint="eastAsia" w:ascii="宋体" w:hAnsi="宋体" w:eastAsia="宋体" w:cs="宋体"/>
        </w:rPr>
      </w:pPr>
    </w:p>
    <w:p w14:paraId="3F2DF5E4">
      <w:pPr>
        <w:pStyle w:val="4"/>
        <w:pageBreakBefore w:val="0"/>
        <w:kinsoku/>
        <w:topLinePunct w:val="0"/>
        <w:bidi w:val="0"/>
        <w:spacing w:line="305" w:lineRule="auto"/>
        <w:rPr>
          <w:rFonts w:hint="eastAsia" w:ascii="宋体" w:hAnsi="宋体" w:eastAsia="宋体" w:cs="宋体"/>
        </w:rPr>
      </w:pPr>
    </w:p>
    <w:p w14:paraId="0B20F9EA">
      <w:pPr>
        <w:pStyle w:val="4"/>
        <w:pageBreakBefore w:val="0"/>
        <w:kinsoku/>
        <w:topLinePunct w:val="0"/>
        <w:bidi w:val="0"/>
        <w:spacing w:line="305" w:lineRule="auto"/>
        <w:rPr>
          <w:rFonts w:hint="eastAsia" w:ascii="宋体" w:hAnsi="宋体" w:eastAsia="宋体" w:cs="宋体"/>
        </w:rPr>
      </w:pPr>
    </w:p>
    <w:p w14:paraId="58B7841E">
      <w:pPr>
        <w:pStyle w:val="4"/>
        <w:pageBreakBefore w:val="0"/>
        <w:kinsoku/>
        <w:topLinePunct w:val="0"/>
        <w:bidi w:val="0"/>
        <w:spacing w:line="305" w:lineRule="auto"/>
        <w:rPr>
          <w:rFonts w:hint="eastAsia" w:ascii="宋体" w:hAnsi="宋体" w:eastAsia="宋体" w:cs="宋体"/>
        </w:rPr>
      </w:pPr>
    </w:p>
    <w:p w14:paraId="3099FDED">
      <w:pPr>
        <w:rPr>
          <w:rFonts w:ascii="黑体" w:hAnsi="黑体" w:eastAsia="黑体" w:cs="黑体"/>
          <w:spacing w:val="9"/>
          <w:sz w:val="35"/>
          <w:szCs w:val="35"/>
          <w14:textOutline w14:w="6537" w14:cap="sq" w14:cmpd="sng">
            <w14:solidFill>
              <w14:srgbClr w14:val="000000"/>
            </w14:solidFill>
            <w14:prstDash w14:val="solid"/>
            <w14:bevel/>
          </w14:textOutline>
        </w:rPr>
      </w:pPr>
      <w:r>
        <w:rPr>
          <w:rFonts w:ascii="黑体" w:hAnsi="黑体" w:eastAsia="黑体" w:cs="黑体"/>
          <w:spacing w:val="9"/>
          <w:sz w:val="35"/>
          <w:szCs w:val="35"/>
          <w14:textOutline w14:w="6537" w14:cap="sq" w14:cmpd="sng">
            <w14:solidFill>
              <w14:srgbClr w14:val="000000"/>
            </w14:solidFill>
            <w14:prstDash w14:val="solid"/>
            <w14:bevel/>
          </w14:textOutline>
        </w:rPr>
        <w:br w:type="page"/>
      </w:r>
    </w:p>
    <w:p w14:paraId="6DF4D0C8">
      <w:pPr>
        <w:pageBreakBefore w:val="0"/>
        <w:kinsoku/>
        <w:topLinePunct w:val="0"/>
        <w:bidi w:val="0"/>
        <w:spacing w:before="1" w:line="214" w:lineRule="auto"/>
        <w:ind w:left="2689"/>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第五章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磋商响应文件格式</w:t>
      </w:r>
    </w:p>
    <w:p w14:paraId="33E222A7">
      <w:pPr>
        <w:pageBreakBefore w:val="0"/>
        <w:kinsoku/>
        <w:topLinePunct w:val="0"/>
        <w:bidi w:val="0"/>
        <w:spacing w:before="173" w:line="905" w:lineRule="exact"/>
      </w:pPr>
    </w:p>
    <w:p w14:paraId="242D8D0C">
      <w:pPr>
        <w:pageBreakBefore w:val="0"/>
        <w:kinsoku/>
        <w:topLinePunct w:val="0"/>
        <w:bidi w:val="0"/>
        <w:spacing w:before="9" w:line="194" w:lineRule="auto"/>
        <w:ind w:left="48"/>
        <w:rPr>
          <w:rFonts w:ascii="宋体" w:hAnsi="宋体" w:eastAsia="宋体" w:cs="宋体"/>
          <w:sz w:val="31"/>
          <w:szCs w:val="31"/>
        </w:rPr>
      </w:pPr>
      <w:r>
        <w:rPr>
          <w:rFonts w:ascii="宋体" w:hAnsi="宋体" w:eastAsia="宋体" w:cs="宋体"/>
          <w:spacing w:val="3"/>
          <w:sz w:val="31"/>
          <w:szCs w:val="31"/>
          <w:u w:val="single" w:color="000000"/>
          <w14:textOutline w14:w="5793" w14:cap="sq" w14:cmpd="sng">
            <w14:solidFill>
              <w14:srgbClr w14:val="000000"/>
            </w14:solidFill>
            <w14:prstDash w14:val="solid"/>
            <w14:bevel/>
          </w14:textOutline>
        </w:rPr>
        <w:t>磋商响应封面格式</w:t>
      </w:r>
    </w:p>
    <w:tbl>
      <w:tblPr>
        <w:tblStyle w:val="15"/>
        <w:tblW w:w="1985" w:type="dxa"/>
        <w:tblInd w:w="662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985"/>
      </w:tblGrid>
      <w:tr w14:paraId="3F463D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99" w:hRule="atLeast"/>
        </w:trPr>
        <w:tc>
          <w:tcPr>
            <w:tcW w:w="1985" w:type="dxa"/>
            <w:vAlign w:val="top"/>
          </w:tcPr>
          <w:p w14:paraId="64F5F16B">
            <w:pPr>
              <w:pageBreakBefore w:val="0"/>
              <w:kinsoku/>
              <w:topLinePunct w:val="0"/>
              <w:bidi w:val="0"/>
              <w:spacing w:line="365" w:lineRule="auto"/>
              <w:rPr>
                <w:rFonts w:ascii="Arial"/>
                <w:sz w:val="21"/>
              </w:rPr>
            </w:pPr>
          </w:p>
          <w:p w14:paraId="66462CF9">
            <w:pPr>
              <w:pageBreakBefore w:val="0"/>
              <w:kinsoku/>
              <w:topLinePunct w:val="0"/>
              <w:bidi w:val="0"/>
              <w:spacing w:before="98" w:line="219" w:lineRule="auto"/>
              <w:ind w:left="250"/>
              <w:rPr>
                <w:rFonts w:ascii="宋体" w:hAnsi="宋体" w:eastAsia="宋体" w:cs="宋体"/>
                <w:sz w:val="30"/>
                <w:szCs w:val="30"/>
              </w:rPr>
            </w:pPr>
            <w:r>
              <w:rPr>
                <w:rFonts w:ascii="宋体" w:hAnsi="宋体" w:eastAsia="宋体" w:cs="宋体"/>
                <w:spacing w:val="-3"/>
                <w:sz w:val="30"/>
                <w:szCs w:val="30"/>
              </w:rPr>
              <w:t>标明正副本</w:t>
            </w:r>
          </w:p>
        </w:tc>
      </w:tr>
    </w:tbl>
    <w:p w14:paraId="45A5C553">
      <w:pPr>
        <w:pStyle w:val="4"/>
        <w:pageBreakBefore w:val="0"/>
        <w:kinsoku/>
        <w:topLinePunct w:val="0"/>
        <w:bidi w:val="0"/>
        <w:spacing w:line="299" w:lineRule="auto"/>
      </w:pPr>
    </w:p>
    <w:p w14:paraId="4EBFB796">
      <w:pPr>
        <w:pStyle w:val="4"/>
        <w:pageBreakBefore w:val="0"/>
        <w:kinsoku/>
        <w:topLinePunct w:val="0"/>
        <w:bidi w:val="0"/>
        <w:spacing w:line="299" w:lineRule="auto"/>
      </w:pPr>
    </w:p>
    <w:p w14:paraId="0B046687">
      <w:pPr>
        <w:pStyle w:val="4"/>
        <w:pageBreakBefore w:val="0"/>
        <w:kinsoku/>
        <w:topLinePunct w:val="0"/>
        <w:bidi w:val="0"/>
        <w:spacing w:line="300" w:lineRule="auto"/>
      </w:pPr>
    </w:p>
    <w:p w14:paraId="6380C3B7">
      <w:pPr>
        <w:pageBreakBefore w:val="0"/>
        <w:kinsoku/>
        <w:topLinePunct w:val="0"/>
        <w:bidi w:val="0"/>
        <w:spacing w:before="97" w:line="220" w:lineRule="auto"/>
        <w:ind w:left="28"/>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项目名称：</w:t>
      </w:r>
    </w:p>
    <w:p w14:paraId="3ACD7A34">
      <w:pPr>
        <w:pStyle w:val="4"/>
        <w:pageBreakBefore w:val="0"/>
        <w:kinsoku/>
        <w:topLinePunct w:val="0"/>
        <w:bidi w:val="0"/>
        <w:spacing w:line="263" w:lineRule="auto"/>
      </w:pPr>
    </w:p>
    <w:p w14:paraId="7EFD9A72">
      <w:pPr>
        <w:pStyle w:val="4"/>
        <w:pageBreakBefore w:val="0"/>
        <w:kinsoku/>
        <w:topLinePunct w:val="0"/>
        <w:bidi w:val="0"/>
        <w:spacing w:line="263" w:lineRule="auto"/>
      </w:pPr>
    </w:p>
    <w:p w14:paraId="779F7A18">
      <w:pPr>
        <w:pStyle w:val="4"/>
        <w:pageBreakBefore w:val="0"/>
        <w:kinsoku/>
        <w:topLinePunct w:val="0"/>
        <w:bidi w:val="0"/>
        <w:spacing w:line="263" w:lineRule="auto"/>
      </w:pPr>
    </w:p>
    <w:p w14:paraId="522E740E">
      <w:pPr>
        <w:pStyle w:val="4"/>
        <w:pageBreakBefore w:val="0"/>
        <w:kinsoku/>
        <w:topLinePunct w:val="0"/>
        <w:bidi w:val="0"/>
        <w:spacing w:line="264" w:lineRule="auto"/>
      </w:pPr>
    </w:p>
    <w:p w14:paraId="43E09289">
      <w:pPr>
        <w:pStyle w:val="4"/>
        <w:pageBreakBefore w:val="0"/>
        <w:kinsoku/>
        <w:topLinePunct w:val="0"/>
        <w:bidi w:val="0"/>
        <w:spacing w:line="264" w:lineRule="auto"/>
      </w:pPr>
    </w:p>
    <w:p w14:paraId="3AA0D87D">
      <w:pPr>
        <w:pStyle w:val="4"/>
        <w:pageBreakBefore w:val="0"/>
        <w:kinsoku/>
        <w:topLinePunct w:val="0"/>
        <w:bidi w:val="0"/>
        <w:spacing w:line="264" w:lineRule="auto"/>
      </w:pPr>
    </w:p>
    <w:p w14:paraId="4782E72C">
      <w:pPr>
        <w:pStyle w:val="4"/>
        <w:pageBreakBefore w:val="0"/>
        <w:kinsoku/>
        <w:topLinePunct w:val="0"/>
        <w:bidi w:val="0"/>
        <w:spacing w:line="264" w:lineRule="auto"/>
      </w:pPr>
    </w:p>
    <w:p w14:paraId="7C773021">
      <w:pPr>
        <w:pageBreakBefore w:val="0"/>
        <w:kinsoku/>
        <w:topLinePunct w:val="0"/>
        <w:bidi w:val="0"/>
        <w:spacing w:before="325" w:line="220" w:lineRule="auto"/>
        <w:ind w:left="1191"/>
        <w:outlineLvl w:val="0"/>
        <w:rPr>
          <w:rFonts w:ascii="宋体" w:hAnsi="宋体" w:eastAsia="宋体" w:cs="宋体"/>
          <w:sz w:val="100"/>
          <w:szCs w:val="100"/>
        </w:rPr>
      </w:pPr>
      <w:r>
        <w:rPr>
          <w:rFonts w:ascii="宋体" w:hAnsi="宋体" w:eastAsia="宋体" w:cs="宋体"/>
          <w:spacing w:val="-3"/>
          <w:sz w:val="100"/>
          <w:szCs w:val="100"/>
          <w14:textOutline w14:w="18179" w14:cap="sq" w14:cmpd="sng">
            <w14:solidFill>
              <w14:srgbClr w14:val="000000"/>
            </w14:solidFill>
            <w14:prstDash w14:val="solid"/>
            <w14:bevel/>
          </w14:textOutline>
        </w:rPr>
        <w:t>磋商响应文件</w:t>
      </w:r>
    </w:p>
    <w:p w14:paraId="43EBF2C0">
      <w:pPr>
        <w:pStyle w:val="4"/>
        <w:pageBreakBefore w:val="0"/>
        <w:kinsoku/>
        <w:topLinePunct w:val="0"/>
        <w:bidi w:val="0"/>
        <w:spacing w:line="253" w:lineRule="auto"/>
      </w:pPr>
    </w:p>
    <w:p w14:paraId="1AA989DA">
      <w:pPr>
        <w:pStyle w:val="4"/>
        <w:pageBreakBefore w:val="0"/>
        <w:kinsoku/>
        <w:topLinePunct w:val="0"/>
        <w:bidi w:val="0"/>
        <w:spacing w:line="253" w:lineRule="auto"/>
      </w:pPr>
    </w:p>
    <w:p w14:paraId="46CBFEBB">
      <w:pPr>
        <w:pStyle w:val="4"/>
        <w:pageBreakBefore w:val="0"/>
        <w:kinsoku/>
        <w:topLinePunct w:val="0"/>
        <w:bidi w:val="0"/>
        <w:spacing w:line="253" w:lineRule="auto"/>
      </w:pPr>
    </w:p>
    <w:p w14:paraId="3F887704">
      <w:pPr>
        <w:pStyle w:val="4"/>
        <w:pageBreakBefore w:val="0"/>
        <w:kinsoku/>
        <w:topLinePunct w:val="0"/>
        <w:bidi w:val="0"/>
        <w:spacing w:line="254" w:lineRule="auto"/>
      </w:pPr>
    </w:p>
    <w:p w14:paraId="224FA406">
      <w:pPr>
        <w:pStyle w:val="4"/>
        <w:pageBreakBefore w:val="0"/>
        <w:kinsoku/>
        <w:topLinePunct w:val="0"/>
        <w:bidi w:val="0"/>
        <w:spacing w:line="254" w:lineRule="auto"/>
      </w:pPr>
    </w:p>
    <w:p w14:paraId="7D869EBA">
      <w:pPr>
        <w:pStyle w:val="4"/>
        <w:pageBreakBefore w:val="0"/>
        <w:kinsoku/>
        <w:topLinePunct w:val="0"/>
        <w:bidi w:val="0"/>
        <w:spacing w:line="254" w:lineRule="auto"/>
      </w:pPr>
    </w:p>
    <w:p w14:paraId="207E8A7E">
      <w:pPr>
        <w:pStyle w:val="4"/>
        <w:pageBreakBefore w:val="0"/>
        <w:kinsoku/>
        <w:topLinePunct w:val="0"/>
        <w:bidi w:val="0"/>
        <w:spacing w:line="254" w:lineRule="auto"/>
      </w:pPr>
    </w:p>
    <w:p w14:paraId="4224ACE1">
      <w:pPr>
        <w:pStyle w:val="4"/>
        <w:pageBreakBefore w:val="0"/>
        <w:kinsoku/>
        <w:topLinePunct w:val="0"/>
        <w:bidi w:val="0"/>
        <w:spacing w:line="254" w:lineRule="auto"/>
      </w:pPr>
    </w:p>
    <w:p w14:paraId="1FA2EC66">
      <w:pPr>
        <w:pStyle w:val="4"/>
        <w:pageBreakBefore w:val="0"/>
        <w:kinsoku/>
        <w:topLinePunct w:val="0"/>
        <w:bidi w:val="0"/>
        <w:spacing w:line="254" w:lineRule="auto"/>
      </w:pPr>
    </w:p>
    <w:p w14:paraId="2BEAEDE5">
      <w:pPr>
        <w:pageBreakBefore w:val="0"/>
        <w:kinsoku/>
        <w:topLinePunct w:val="0"/>
        <w:bidi w:val="0"/>
        <w:spacing w:before="91" w:line="220" w:lineRule="auto"/>
        <w:ind w:left="1287"/>
        <w:rPr>
          <w:rFonts w:ascii="宋体" w:hAnsi="宋体" w:eastAsia="宋体" w:cs="宋体"/>
          <w:sz w:val="28"/>
          <w:szCs w:val="28"/>
        </w:rPr>
      </w:pPr>
      <w:r>
        <w:rPr>
          <w:rFonts w:ascii="宋体" w:hAnsi="宋体" w:eastAsia="宋体" w:cs="宋体"/>
          <w:spacing w:val="-3"/>
          <w:sz w:val="28"/>
          <w:szCs w:val="28"/>
        </w:rPr>
        <w:t>项目编号：</w:t>
      </w:r>
    </w:p>
    <w:p w14:paraId="594FD67E">
      <w:pPr>
        <w:pageBreakBefore w:val="0"/>
        <w:kinsoku/>
        <w:topLinePunct w:val="0"/>
        <w:bidi w:val="0"/>
        <w:spacing w:before="266" w:line="600" w:lineRule="exact"/>
        <w:ind w:left="1282"/>
        <w:rPr>
          <w:rFonts w:ascii="宋体" w:hAnsi="宋体" w:eastAsia="宋体" w:cs="宋体"/>
          <w:sz w:val="28"/>
          <w:szCs w:val="28"/>
        </w:rPr>
      </w:pPr>
      <w:r>
        <w:rPr>
          <w:rFonts w:ascii="宋体" w:hAnsi="宋体" w:eastAsia="宋体" w:cs="宋体"/>
          <w:spacing w:val="-3"/>
          <w:position w:val="24"/>
          <w:sz w:val="28"/>
          <w:szCs w:val="28"/>
        </w:rPr>
        <w:t>供   应   商：</w:t>
      </w:r>
      <w:r>
        <w:rPr>
          <w:rFonts w:ascii="宋体" w:hAnsi="宋体" w:eastAsia="宋体" w:cs="宋体"/>
          <w:spacing w:val="-82"/>
          <w:position w:val="24"/>
          <w:sz w:val="28"/>
          <w:szCs w:val="28"/>
        </w:rPr>
        <w:t xml:space="preserve"> </w:t>
      </w:r>
      <w:r>
        <w:rPr>
          <w:rFonts w:ascii="宋体" w:hAnsi="宋体" w:eastAsia="宋体" w:cs="宋体"/>
          <w:spacing w:val="-3"/>
          <w:position w:val="24"/>
          <w:sz w:val="28"/>
          <w:szCs w:val="28"/>
        </w:rPr>
        <w:t>×××××××（加盖公章）</w:t>
      </w:r>
    </w:p>
    <w:p w14:paraId="1E4F5F97">
      <w:pPr>
        <w:pageBreakBefore w:val="0"/>
        <w:kinsoku/>
        <w:topLinePunct w:val="0"/>
        <w:bidi w:val="0"/>
        <w:spacing w:before="2" w:line="219" w:lineRule="auto"/>
        <w:ind w:left="1283"/>
        <w:rPr>
          <w:rFonts w:ascii="宋体" w:hAnsi="宋体" w:eastAsia="宋体" w:cs="宋体"/>
          <w:sz w:val="28"/>
          <w:szCs w:val="28"/>
        </w:rPr>
      </w:pPr>
      <w:r>
        <w:rPr>
          <w:rFonts w:ascii="宋体" w:hAnsi="宋体" w:eastAsia="宋体" w:cs="宋体"/>
          <w:spacing w:val="-4"/>
          <w:sz w:val="28"/>
          <w:szCs w:val="28"/>
        </w:rPr>
        <w:t>法定代表人或委托代理人：</w:t>
      </w:r>
      <w:r>
        <w:rPr>
          <w:rFonts w:ascii="宋体" w:hAnsi="宋体" w:eastAsia="宋体" w:cs="宋体"/>
          <w:spacing w:val="-77"/>
          <w:sz w:val="28"/>
          <w:szCs w:val="28"/>
        </w:rPr>
        <w:t xml:space="preserve"> </w:t>
      </w:r>
      <w:r>
        <w:rPr>
          <w:rFonts w:ascii="宋体" w:hAnsi="宋体" w:eastAsia="宋体" w:cs="宋体"/>
          <w:spacing w:val="-4"/>
          <w:sz w:val="28"/>
          <w:szCs w:val="28"/>
        </w:rPr>
        <w:t>×××（签字</w:t>
      </w:r>
      <w:r>
        <w:rPr>
          <w:rFonts w:hint="eastAsia" w:ascii="宋体" w:hAnsi="宋体" w:eastAsia="宋体" w:cs="宋体"/>
          <w:spacing w:val="-4"/>
          <w:sz w:val="28"/>
          <w:szCs w:val="28"/>
          <w:lang w:eastAsia="zh-CN"/>
        </w:rPr>
        <w:t>或盖章</w:t>
      </w:r>
      <w:r>
        <w:rPr>
          <w:rFonts w:ascii="宋体" w:hAnsi="宋体" w:eastAsia="宋体" w:cs="宋体"/>
          <w:spacing w:val="-4"/>
          <w:sz w:val="28"/>
          <w:szCs w:val="28"/>
        </w:rPr>
        <w:t>）</w:t>
      </w:r>
    </w:p>
    <w:p w14:paraId="35AFB83D">
      <w:pPr>
        <w:pageBreakBefore w:val="0"/>
        <w:kinsoku/>
        <w:topLinePunct w:val="0"/>
        <w:bidi w:val="0"/>
        <w:spacing w:before="266" w:line="222" w:lineRule="auto"/>
        <w:ind w:left="1283"/>
        <w:rPr>
          <w:rFonts w:ascii="宋体" w:hAnsi="宋体" w:eastAsia="宋体" w:cs="宋体"/>
          <w:sz w:val="28"/>
          <w:szCs w:val="28"/>
        </w:rPr>
      </w:pPr>
      <w:r>
        <w:rPr>
          <w:rFonts w:ascii="宋体" w:hAnsi="宋体" w:eastAsia="宋体" w:cs="宋体"/>
          <w:spacing w:val="-3"/>
          <w:sz w:val="28"/>
          <w:szCs w:val="28"/>
        </w:rPr>
        <w:t>联系人：</w:t>
      </w:r>
    </w:p>
    <w:p w14:paraId="166FD942">
      <w:pPr>
        <w:pageBreakBefore w:val="0"/>
        <w:kinsoku/>
        <w:topLinePunct w:val="0"/>
        <w:bidi w:val="0"/>
        <w:spacing w:before="264" w:line="222" w:lineRule="auto"/>
        <w:ind w:left="1283"/>
        <w:rPr>
          <w:rFonts w:ascii="宋体" w:hAnsi="宋体" w:eastAsia="宋体" w:cs="宋体"/>
          <w:sz w:val="28"/>
          <w:szCs w:val="28"/>
        </w:rPr>
      </w:pPr>
      <w:r>
        <w:rPr>
          <w:rFonts w:ascii="宋体" w:hAnsi="宋体" w:eastAsia="宋体" w:cs="宋体"/>
          <w:spacing w:val="-3"/>
          <w:sz w:val="28"/>
          <w:szCs w:val="28"/>
        </w:rPr>
        <w:t>联系电话：</w:t>
      </w:r>
    </w:p>
    <w:p w14:paraId="619F48B3">
      <w:pPr>
        <w:pageBreakBefore w:val="0"/>
        <w:kinsoku/>
        <w:topLinePunct w:val="0"/>
        <w:bidi w:val="0"/>
        <w:spacing w:before="263" w:line="220" w:lineRule="auto"/>
        <w:ind w:left="1285"/>
        <w:rPr>
          <w:rFonts w:ascii="宋体" w:hAnsi="宋体" w:eastAsia="宋体" w:cs="宋体"/>
          <w:sz w:val="28"/>
          <w:szCs w:val="28"/>
        </w:rPr>
      </w:pPr>
      <w:r>
        <w:rPr>
          <w:rFonts w:hint="eastAsia" w:ascii="宋体" w:hAnsi="宋体" w:eastAsia="宋体" w:cs="宋体"/>
          <w:spacing w:val="-8"/>
          <w:sz w:val="28"/>
          <w:szCs w:val="28"/>
          <w:lang w:eastAsia="zh-CN"/>
        </w:rPr>
        <w:t>响</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应</w:t>
      </w:r>
      <w:r>
        <w:rPr>
          <w:rFonts w:ascii="宋体" w:hAnsi="宋体" w:eastAsia="宋体" w:cs="宋体"/>
          <w:spacing w:val="66"/>
          <w:sz w:val="28"/>
          <w:szCs w:val="28"/>
        </w:rPr>
        <w:t xml:space="preserve"> </w:t>
      </w:r>
      <w:r>
        <w:rPr>
          <w:rFonts w:ascii="宋体" w:hAnsi="宋体" w:eastAsia="宋体" w:cs="宋体"/>
          <w:spacing w:val="-8"/>
          <w:sz w:val="28"/>
          <w:szCs w:val="28"/>
        </w:rPr>
        <w:t>日</w:t>
      </w:r>
      <w:r>
        <w:rPr>
          <w:rFonts w:ascii="宋体" w:hAnsi="宋体" w:eastAsia="宋体" w:cs="宋体"/>
          <w:spacing w:val="13"/>
          <w:sz w:val="28"/>
          <w:szCs w:val="28"/>
        </w:rPr>
        <w:t xml:space="preserve"> </w:t>
      </w:r>
      <w:r>
        <w:rPr>
          <w:rFonts w:ascii="宋体" w:hAnsi="宋体" w:eastAsia="宋体" w:cs="宋体"/>
          <w:spacing w:val="-8"/>
          <w:sz w:val="28"/>
          <w:szCs w:val="28"/>
        </w:rPr>
        <w:t>期：XX年</w:t>
      </w:r>
      <w:r>
        <w:rPr>
          <w:rFonts w:ascii="宋体" w:hAnsi="宋体" w:eastAsia="宋体" w:cs="宋体"/>
          <w:spacing w:val="-65"/>
          <w:sz w:val="28"/>
          <w:szCs w:val="28"/>
        </w:rPr>
        <w:t xml:space="preserve"> </w:t>
      </w:r>
      <w:r>
        <w:rPr>
          <w:rFonts w:ascii="宋体" w:hAnsi="宋体" w:eastAsia="宋体" w:cs="宋体"/>
          <w:spacing w:val="-8"/>
          <w:sz w:val="28"/>
          <w:szCs w:val="28"/>
        </w:rPr>
        <w:t>XX</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63"/>
          <w:sz w:val="28"/>
          <w:szCs w:val="28"/>
        </w:rPr>
        <w:t xml:space="preserve"> </w:t>
      </w:r>
      <w:r>
        <w:rPr>
          <w:rFonts w:ascii="宋体" w:hAnsi="宋体" w:eastAsia="宋体" w:cs="宋体"/>
          <w:spacing w:val="-8"/>
          <w:sz w:val="28"/>
          <w:szCs w:val="28"/>
        </w:rPr>
        <w:t>XX 日</w:t>
      </w:r>
    </w:p>
    <w:p w14:paraId="68DD4C3F">
      <w:pPr>
        <w:pageBreakBefore w:val="0"/>
        <w:kinsoku/>
        <w:topLinePunct w:val="0"/>
        <w:bidi w:val="0"/>
        <w:spacing w:before="265" w:line="222" w:lineRule="auto"/>
        <w:ind w:left="4090"/>
        <w:outlineLvl w:val="1"/>
        <w:rPr>
          <w:rFonts w:ascii="黑体" w:hAnsi="黑体" w:eastAsia="黑体" w:cs="黑体"/>
          <w:spacing w:val="-3"/>
          <w:sz w:val="30"/>
          <w:szCs w:val="30"/>
          <w14:textOutline w14:w="5448" w14:cap="sq" w14:cmpd="sng">
            <w14:solidFill>
              <w14:srgbClr w14:val="000000"/>
            </w14:solidFill>
            <w14:prstDash w14:val="solid"/>
            <w14:bevel/>
          </w14:textOutline>
        </w:rPr>
      </w:pPr>
    </w:p>
    <w:p w14:paraId="381AD73B">
      <w:pPr>
        <w:pageBreakBefore w:val="0"/>
        <w:kinsoku/>
        <w:topLinePunct w:val="0"/>
        <w:bidi w:val="0"/>
        <w:spacing w:before="65" w:line="232" w:lineRule="auto"/>
        <w:ind w:left="4216"/>
        <w:rPr>
          <w:rFonts w:ascii="仿宋" w:hAnsi="仿宋" w:eastAsia="仿宋" w:cs="仿宋"/>
          <w:sz w:val="32"/>
          <w:szCs w:val="32"/>
        </w:rPr>
      </w:pPr>
      <w:r>
        <w:rPr>
          <w:rFonts w:ascii="仿宋" w:hAnsi="仿宋" w:eastAsia="仿宋" w:cs="仿宋"/>
          <w:b/>
          <w:bCs/>
          <w:spacing w:val="-18"/>
          <w:sz w:val="32"/>
          <w:szCs w:val="32"/>
        </w:rPr>
        <w:t>目录</w:t>
      </w:r>
    </w:p>
    <w:p w14:paraId="14B17BB4">
      <w:pPr>
        <w:pStyle w:val="4"/>
        <w:pageBreakBefore w:val="0"/>
        <w:kinsoku/>
        <w:topLinePunct w:val="0"/>
        <w:bidi w:val="0"/>
        <w:spacing w:line="243" w:lineRule="auto"/>
      </w:pPr>
    </w:p>
    <w:p w14:paraId="3D17BD57">
      <w:pPr>
        <w:pStyle w:val="4"/>
        <w:pageBreakBefore w:val="0"/>
        <w:kinsoku/>
        <w:topLinePunct w:val="0"/>
        <w:bidi w:val="0"/>
        <w:spacing w:line="244" w:lineRule="auto"/>
      </w:pPr>
    </w:p>
    <w:p w14:paraId="1A257AB0">
      <w:pPr>
        <w:keepNext w:val="0"/>
        <w:keepLines w:val="0"/>
        <w:pageBreakBefore w:val="0"/>
        <w:widowControl/>
        <w:kinsoku/>
        <w:wordWrap/>
        <w:overflowPunct/>
        <w:topLinePunct w:val="0"/>
        <w:autoSpaceDE w:val="0"/>
        <w:autoSpaceDN w:val="0"/>
        <w:bidi w:val="0"/>
        <w:adjustRightInd w:val="0"/>
        <w:snapToGrid w:val="0"/>
        <w:spacing w:before="65" w:line="440" w:lineRule="exact"/>
        <w:ind w:left="670"/>
        <w:textAlignment w:val="baseline"/>
        <w:outlineLvl w:val="1"/>
        <w:rPr>
          <w:rFonts w:ascii="仿宋" w:hAnsi="仿宋" w:eastAsia="仿宋" w:cs="仿宋"/>
          <w:sz w:val="24"/>
          <w:szCs w:val="24"/>
        </w:rPr>
      </w:pPr>
      <w:r>
        <w:rPr>
          <w:rFonts w:ascii="仿宋" w:hAnsi="仿宋" w:eastAsia="仿宋" w:cs="仿宋"/>
          <w:b/>
          <w:bCs/>
          <w:spacing w:val="1"/>
          <w:sz w:val="24"/>
          <w:szCs w:val="24"/>
        </w:rPr>
        <w:t>1.</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0514CD1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sz w:val="24"/>
          <w:szCs w:val="24"/>
        </w:rPr>
      </w:pPr>
      <w:r>
        <w:rPr>
          <w:rFonts w:ascii="仿宋" w:hAnsi="仿宋" w:eastAsia="仿宋" w:cs="仿宋"/>
          <w:b/>
          <w:bCs/>
          <w:spacing w:val="6"/>
          <w:position w:val="14"/>
          <w:sz w:val="24"/>
          <w:szCs w:val="24"/>
        </w:rPr>
        <w:t>2.报价一览表</w:t>
      </w:r>
    </w:p>
    <w:p w14:paraId="3A3E9E88">
      <w:pPr>
        <w:keepNext w:val="0"/>
        <w:keepLines w:val="0"/>
        <w:pageBreakBefore w:val="0"/>
        <w:widowControl/>
        <w:kinsoku/>
        <w:wordWrap/>
        <w:overflowPunct/>
        <w:topLinePunct w:val="0"/>
        <w:autoSpaceDE w:val="0"/>
        <w:autoSpaceDN w:val="0"/>
        <w:bidi w:val="0"/>
        <w:adjustRightInd w:val="0"/>
        <w:snapToGrid w:val="0"/>
        <w:spacing w:before="1" w:line="440" w:lineRule="exact"/>
        <w:ind w:left="659"/>
        <w:textAlignment w:val="baseline"/>
        <w:rPr>
          <w:rFonts w:ascii="仿宋" w:hAnsi="仿宋" w:eastAsia="仿宋" w:cs="仿宋"/>
          <w:b/>
          <w:bCs/>
          <w:spacing w:val="6"/>
          <w:sz w:val="24"/>
          <w:szCs w:val="24"/>
        </w:rPr>
      </w:pPr>
      <w:r>
        <w:rPr>
          <w:rFonts w:ascii="仿宋" w:hAnsi="仿宋" w:eastAsia="仿宋" w:cs="仿宋"/>
          <w:b/>
          <w:bCs/>
          <w:spacing w:val="6"/>
          <w:sz w:val="24"/>
          <w:szCs w:val="24"/>
        </w:rPr>
        <w:t>3.分项报价明细表</w:t>
      </w:r>
    </w:p>
    <w:p w14:paraId="77AFC621">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4.</w:t>
      </w:r>
      <w:r>
        <w:rPr>
          <w:rFonts w:ascii="仿宋" w:hAnsi="仿宋" w:eastAsia="仿宋" w:cs="仿宋"/>
          <w:b/>
          <w:bCs/>
          <w:spacing w:val="6"/>
          <w:position w:val="14"/>
          <w:sz w:val="24"/>
          <w:szCs w:val="24"/>
        </w:rPr>
        <w:t>法定代表人身份证明</w:t>
      </w:r>
    </w:p>
    <w:p w14:paraId="44EF7949">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5</w:t>
      </w:r>
      <w:r>
        <w:rPr>
          <w:rFonts w:ascii="仿宋" w:hAnsi="仿宋" w:eastAsia="仿宋" w:cs="仿宋"/>
          <w:b/>
          <w:bCs/>
          <w:spacing w:val="6"/>
          <w:position w:val="14"/>
          <w:sz w:val="24"/>
          <w:szCs w:val="24"/>
        </w:rPr>
        <w:t>.法定代表人授权委托书</w:t>
      </w:r>
    </w:p>
    <w:p w14:paraId="7903E24E">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6</w:t>
      </w:r>
      <w:r>
        <w:rPr>
          <w:rFonts w:ascii="仿宋" w:hAnsi="仿宋" w:eastAsia="仿宋" w:cs="仿宋"/>
          <w:b/>
          <w:bCs/>
          <w:spacing w:val="6"/>
          <w:position w:val="14"/>
          <w:sz w:val="24"/>
          <w:szCs w:val="24"/>
        </w:rPr>
        <w:t>.</w:t>
      </w:r>
      <w:r>
        <w:rPr>
          <w:rFonts w:hint="eastAsia" w:ascii="仿宋" w:hAnsi="仿宋" w:eastAsia="仿宋" w:cs="仿宋"/>
          <w:b/>
          <w:bCs/>
          <w:spacing w:val="6"/>
          <w:position w:val="14"/>
          <w:sz w:val="24"/>
          <w:szCs w:val="24"/>
          <w:lang w:eastAsia="zh-CN"/>
        </w:rPr>
        <w:t>供应商</w:t>
      </w:r>
      <w:r>
        <w:rPr>
          <w:rFonts w:ascii="仿宋" w:hAnsi="仿宋" w:eastAsia="仿宋" w:cs="仿宋"/>
          <w:b/>
          <w:bCs/>
          <w:spacing w:val="6"/>
          <w:position w:val="14"/>
          <w:sz w:val="24"/>
          <w:szCs w:val="24"/>
        </w:rPr>
        <w:t>基本情况</w:t>
      </w:r>
    </w:p>
    <w:p w14:paraId="3F4FAE24">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7</w:t>
      </w:r>
      <w:r>
        <w:rPr>
          <w:rFonts w:ascii="仿宋" w:hAnsi="仿宋" w:eastAsia="仿宋" w:cs="仿宋"/>
          <w:b/>
          <w:bCs/>
          <w:spacing w:val="6"/>
          <w:position w:val="14"/>
          <w:sz w:val="24"/>
          <w:szCs w:val="24"/>
        </w:rPr>
        <w:t>.近三年无重大违法记录声明</w:t>
      </w:r>
    </w:p>
    <w:p w14:paraId="5A3220EA">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8.具有履行合同所必须的设备和专业技术能力的承诺函</w:t>
      </w:r>
    </w:p>
    <w:p w14:paraId="5C967F78">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9.提供单位负责人为同一人或者存在直接控股、管理关系的不同供应商，不得参加同一合同项下的政府采购活动的书面声明（格式自拟）</w:t>
      </w:r>
    </w:p>
    <w:p w14:paraId="43272B10">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10.拟投入本项目管理、服务、其他人员情况表</w:t>
      </w:r>
    </w:p>
    <w:p w14:paraId="260E5EB4">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11.方案</w:t>
      </w:r>
    </w:p>
    <w:p w14:paraId="5261381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12.其它证明材料</w:t>
      </w:r>
    </w:p>
    <w:p w14:paraId="2867D71E">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13.项目经理无在建项目承诺函</w:t>
      </w:r>
    </w:p>
    <w:p w14:paraId="6532FB5F">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14.声明函</w:t>
      </w:r>
    </w:p>
    <w:p w14:paraId="0D7F7F8B">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6BF2A36D">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4481991D">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5EC5A98E">
      <w:pPr>
        <w:pageBreakBefore w:val="0"/>
        <w:kinsoku/>
        <w:topLinePunct w:val="0"/>
        <w:bidi w:val="0"/>
        <w:spacing w:before="182" w:line="534" w:lineRule="exact"/>
        <w:ind w:left="3440"/>
        <w:rPr>
          <w:rFonts w:hint="eastAsia" w:ascii="仿宋" w:hAnsi="仿宋" w:eastAsia="仿宋" w:cs="仿宋"/>
          <w:b/>
          <w:bCs/>
          <w:spacing w:val="1"/>
          <w:position w:val="15"/>
          <w:sz w:val="31"/>
          <w:szCs w:val="31"/>
          <w:lang w:eastAsia="zh-CN"/>
        </w:rPr>
      </w:pPr>
    </w:p>
    <w:p w14:paraId="7175E5DC">
      <w:pPr>
        <w:pageBreakBefore w:val="0"/>
        <w:kinsoku/>
        <w:topLinePunct w:val="0"/>
        <w:bidi w:val="0"/>
        <w:spacing w:before="182" w:line="534" w:lineRule="exact"/>
        <w:ind w:left="3440"/>
        <w:rPr>
          <w:rFonts w:hint="eastAsia" w:ascii="仿宋" w:hAnsi="仿宋" w:eastAsia="仿宋" w:cs="仿宋"/>
          <w:b/>
          <w:bCs/>
          <w:spacing w:val="1"/>
          <w:position w:val="15"/>
          <w:sz w:val="31"/>
          <w:szCs w:val="31"/>
          <w:lang w:eastAsia="zh-CN"/>
        </w:rPr>
      </w:pPr>
    </w:p>
    <w:p w14:paraId="478B4459">
      <w:pPr>
        <w:pageBreakBefore w:val="0"/>
        <w:kinsoku/>
        <w:topLinePunct w:val="0"/>
        <w:bidi w:val="0"/>
        <w:spacing w:before="182" w:line="534" w:lineRule="exact"/>
        <w:ind w:left="3440"/>
        <w:rPr>
          <w:rFonts w:ascii="仿宋" w:hAnsi="仿宋" w:eastAsia="仿宋" w:cs="仿宋"/>
          <w:sz w:val="31"/>
          <w:szCs w:val="31"/>
        </w:rPr>
      </w:pPr>
      <w:r>
        <w:rPr>
          <w:rFonts w:ascii="仿宋" w:hAnsi="仿宋" w:eastAsia="仿宋" w:cs="仿宋"/>
          <w:b/>
          <w:bCs/>
          <w:spacing w:val="1"/>
          <w:position w:val="15"/>
          <w:sz w:val="31"/>
          <w:szCs w:val="31"/>
        </w:rPr>
        <w:t>（报价文件）</w:t>
      </w:r>
    </w:p>
    <w:p w14:paraId="7955EBAB">
      <w:pPr>
        <w:pageBreakBefore w:val="0"/>
        <w:kinsoku/>
        <w:topLinePunct w:val="0"/>
        <w:bidi w:val="0"/>
        <w:spacing w:line="230" w:lineRule="auto"/>
        <w:ind w:left="3925"/>
        <w:rPr>
          <w:rFonts w:ascii="仿宋" w:hAnsi="仿宋" w:eastAsia="仿宋" w:cs="仿宋"/>
          <w:sz w:val="24"/>
          <w:szCs w:val="24"/>
        </w:rPr>
      </w:pPr>
      <w:r>
        <w:rPr>
          <w:rFonts w:ascii="仿宋" w:hAnsi="仿宋" w:eastAsia="仿宋" w:cs="仿宋"/>
          <w:b/>
          <w:bCs/>
          <w:spacing w:val="-1"/>
          <w:sz w:val="24"/>
          <w:szCs w:val="24"/>
        </w:rPr>
        <w:t>1.</w:t>
      </w:r>
      <w:r>
        <w:rPr>
          <w:rFonts w:ascii="仿宋" w:hAnsi="仿宋" w:eastAsia="仿宋" w:cs="仿宋"/>
          <w:spacing w:val="21"/>
          <w:sz w:val="24"/>
          <w:szCs w:val="24"/>
        </w:rPr>
        <w:t xml:space="preserve"> </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4CB863BD">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致：</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采购人</w:t>
      </w:r>
      <w:r>
        <w:rPr>
          <w:rFonts w:ascii="仿宋" w:hAnsi="仿宋" w:eastAsia="仿宋" w:cs="仿宋"/>
          <w:spacing w:val="7"/>
          <w:sz w:val="24"/>
          <w:szCs w:val="24"/>
          <w:u w:val="single"/>
        </w:rPr>
        <w:t>)：</w:t>
      </w:r>
    </w:p>
    <w:p w14:paraId="643BD404">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根据贵方为</w:t>
      </w:r>
      <w:r>
        <w:rPr>
          <w:rFonts w:ascii="仿宋" w:hAnsi="仿宋" w:eastAsia="仿宋" w:cs="仿宋"/>
          <w:spacing w:val="7"/>
          <w:sz w:val="24"/>
          <w:szCs w:val="24"/>
          <w:u w:val="single"/>
        </w:rPr>
        <w:t xml:space="preserve">           （项目名称、项目编号）</w:t>
      </w:r>
      <w:r>
        <w:rPr>
          <w:rFonts w:ascii="仿宋" w:hAnsi="仿宋" w:eastAsia="仿宋" w:cs="仿宋"/>
          <w:spacing w:val="7"/>
          <w:sz w:val="24"/>
          <w:szCs w:val="24"/>
        </w:rPr>
        <w:t>的要求，签字代表</w:t>
      </w:r>
      <w:r>
        <w:rPr>
          <w:rFonts w:ascii="仿宋" w:hAnsi="仿宋" w:eastAsia="仿宋" w:cs="仿宋"/>
          <w:spacing w:val="7"/>
          <w:sz w:val="24"/>
          <w:szCs w:val="24"/>
          <w:u w:val="single"/>
        </w:rPr>
        <w:t xml:space="preserve">         （姓名、 职务）</w:t>
      </w:r>
      <w:r>
        <w:rPr>
          <w:rFonts w:ascii="仿宋" w:hAnsi="仿宋" w:eastAsia="仿宋" w:cs="仿宋"/>
          <w:spacing w:val="7"/>
          <w:sz w:val="24"/>
          <w:szCs w:val="24"/>
        </w:rPr>
        <w:t>经正式授权并代表</w:t>
      </w:r>
      <w:r>
        <w:rPr>
          <w:rFonts w:hint="eastAsia" w:ascii="仿宋" w:hAnsi="仿宋" w:eastAsia="仿宋" w:cs="仿宋"/>
          <w:spacing w:val="7"/>
          <w:sz w:val="24"/>
          <w:szCs w:val="24"/>
          <w:lang w:eastAsia="zh-CN"/>
        </w:rPr>
        <w:t>供应商</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供应商</w:t>
      </w:r>
      <w:r>
        <w:rPr>
          <w:rFonts w:ascii="仿宋" w:hAnsi="仿宋" w:eastAsia="仿宋" w:cs="仿宋"/>
          <w:spacing w:val="7"/>
          <w:sz w:val="24"/>
          <w:szCs w:val="24"/>
          <w:u w:val="single"/>
        </w:rPr>
        <w:t>名称、地址）</w:t>
      </w:r>
      <w:r>
        <w:rPr>
          <w:rFonts w:ascii="仿宋" w:hAnsi="仿宋" w:eastAsia="仿宋" w:cs="仿宋"/>
          <w:spacing w:val="7"/>
          <w:sz w:val="24"/>
          <w:szCs w:val="24"/>
        </w:rPr>
        <w:t>提交下述</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rPr>
        <w:t>并在此声明，所递交的</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rPr>
        <w:t>内容完整、真实。在此，签字代表承诺如下：</w:t>
      </w:r>
    </w:p>
    <w:p w14:paraId="6AB8C706">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1、我方在详细阅读</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各项要求，根据对应采购内容及采购要求规定愿以</w:t>
      </w:r>
      <w:r>
        <w:rPr>
          <w:rFonts w:hint="eastAsia" w:ascii="仿宋" w:hAnsi="仿宋" w:eastAsia="仿宋" w:cs="仿宋"/>
          <w:spacing w:val="7"/>
          <w:sz w:val="24"/>
          <w:szCs w:val="24"/>
          <w:lang w:eastAsia="zh-CN"/>
        </w:rPr>
        <w:t>总报价（元）</w:t>
      </w:r>
      <w:r>
        <w:rPr>
          <w:rFonts w:ascii="仿宋" w:hAnsi="仿宋" w:eastAsia="仿宋" w:cs="仿宋"/>
          <w:spacing w:val="7"/>
          <w:sz w:val="24"/>
          <w:szCs w:val="24"/>
        </w:rPr>
        <w:t>：</w:t>
      </w:r>
      <w:r>
        <w:rPr>
          <w:rFonts w:ascii="仿宋" w:hAnsi="仿宋" w:eastAsia="仿宋" w:cs="仿宋"/>
          <w:spacing w:val="7"/>
          <w:sz w:val="24"/>
          <w:szCs w:val="24"/>
          <w:u w:val="single"/>
        </w:rPr>
        <w:t>小写：           (大写：            )</w:t>
      </w:r>
      <w:r>
        <w:rPr>
          <w:rFonts w:ascii="仿宋" w:hAnsi="仿宋" w:eastAsia="仿宋" w:cs="仿宋"/>
          <w:spacing w:val="7"/>
          <w:sz w:val="24"/>
          <w:szCs w:val="24"/>
        </w:rPr>
        <w:t>完成本项目全部相关</w:t>
      </w:r>
      <w:r>
        <w:rPr>
          <w:rFonts w:hint="eastAsia" w:ascii="仿宋" w:hAnsi="仿宋" w:eastAsia="仿宋" w:cs="仿宋"/>
          <w:spacing w:val="7"/>
          <w:sz w:val="24"/>
          <w:szCs w:val="24"/>
          <w:lang w:eastAsia="zh-CN"/>
        </w:rPr>
        <w:t>工程</w:t>
      </w:r>
      <w:r>
        <w:rPr>
          <w:rFonts w:ascii="仿宋" w:hAnsi="仿宋" w:eastAsia="仿宋" w:cs="仿宋"/>
          <w:spacing w:val="7"/>
          <w:sz w:val="24"/>
          <w:szCs w:val="24"/>
        </w:rPr>
        <w:t>。</w:t>
      </w:r>
    </w:p>
    <w:p w14:paraId="4AA2C7A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2、我方将按</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的规定履行合同责任和义务。</w:t>
      </w:r>
    </w:p>
    <w:p w14:paraId="646D27C8">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3、我方已详细审查全部</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，我们完全理解并同意放弃对这方面有不明及误解的权力。</w:t>
      </w:r>
    </w:p>
    <w:p w14:paraId="4D03210F">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4、若我方取得</w:t>
      </w:r>
      <w:r>
        <w:rPr>
          <w:rFonts w:hint="eastAsia" w:ascii="仿宋" w:hAnsi="仿宋" w:eastAsia="仿宋" w:cs="仿宋"/>
          <w:spacing w:val="7"/>
          <w:sz w:val="24"/>
          <w:szCs w:val="24"/>
          <w:lang w:eastAsia="zh-CN"/>
        </w:rPr>
        <w:t>成交资格</w:t>
      </w:r>
      <w:r>
        <w:rPr>
          <w:rFonts w:ascii="仿宋" w:hAnsi="仿宋" w:eastAsia="仿宋" w:cs="仿宋"/>
          <w:spacing w:val="7"/>
          <w:sz w:val="24"/>
          <w:szCs w:val="24"/>
        </w:rPr>
        <w:t>，愿以本项目</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规定，向</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rPr>
        <w:t>缴纳</w:t>
      </w:r>
      <w:r>
        <w:rPr>
          <w:rFonts w:hint="eastAsia" w:ascii="仿宋" w:hAnsi="仿宋" w:eastAsia="仿宋" w:cs="仿宋"/>
          <w:spacing w:val="7"/>
          <w:sz w:val="24"/>
          <w:szCs w:val="24"/>
          <w:lang w:eastAsia="zh-CN"/>
        </w:rPr>
        <w:t>采购代理服务费</w:t>
      </w:r>
      <w:r>
        <w:rPr>
          <w:rFonts w:ascii="仿宋" w:hAnsi="仿宋" w:eastAsia="仿宋" w:cs="仿宋"/>
          <w:spacing w:val="7"/>
          <w:sz w:val="24"/>
          <w:szCs w:val="24"/>
        </w:rPr>
        <w:t>。</w:t>
      </w:r>
    </w:p>
    <w:p w14:paraId="2F8114E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val="en-US" w:eastAsia="zh-CN"/>
        </w:rPr>
        <w:t>5</w:t>
      </w:r>
      <w:r>
        <w:rPr>
          <w:rFonts w:ascii="仿宋" w:hAnsi="仿宋" w:eastAsia="仿宋" w:cs="仿宋"/>
          <w:spacing w:val="7"/>
          <w:sz w:val="24"/>
          <w:szCs w:val="24"/>
        </w:rPr>
        <w:t>、我方同意提供贵方可能要求的与其</w:t>
      </w:r>
      <w:r>
        <w:rPr>
          <w:rFonts w:hint="eastAsia" w:ascii="仿宋" w:hAnsi="仿宋" w:eastAsia="仿宋" w:cs="仿宋"/>
          <w:spacing w:val="7"/>
          <w:sz w:val="24"/>
          <w:szCs w:val="24"/>
          <w:lang w:eastAsia="zh-CN"/>
        </w:rPr>
        <w:t>项目</w:t>
      </w:r>
      <w:r>
        <w:rPr>
          <w:rFonts w:ascii="仿宋" w:hAnsi="仿宋" w:eastAsia="仿宋" w:cs="仿宋"/>
          <w:spacing w:val="7"/>
          <w:sz w:val="24"/>
          <w:szCs w:val="24"/>
        </w:rPr>
        <w:t>有关的一切数据或资料。</w:t>
      </w:r>
    </w:p>
    <w:p w14:paraId="62858FD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w:t>
      </w:r>
      <w:r>
        <w:rPr>
          <w:rFonts w:hint="eastAsia" w:ascii="仿宋" w:hAnsi="仿宋" w:eastAsia="仿宋" w:cs="仿宋"/>
          <w:spacing w:val="7"/>
          <w:sz w:val="24"/>
          <w:szCs w:val="24"/>
          <w:u w:val="single"/>
          <w:lang w:val="en-US" w:eastAsia="zh-CN"/>
        </w:rPr>
        <w:t xml:space="preserve">                                           </w:t>
      </w:r>
      <w:r>
        <w:rPr>
          <w:rFonts w:hint="eastAsia" w:ascii="仿宋" w:hAnsi="仿宋" w:eastAsia="仿宋" w:cs="仿宋"/>
          <w:spacing w:val="7"/>
          <w:sz w:val="24"/>
          <w:szCs w:val="24"/>
          <w:lang w:val="en-US" w:eastAsia="zh-CN"/>
        </w:rPr>
        <w:t>（供应商认为需要的其他补充说明）。</w:t>
      </w:r>
    </w:p>
    <w:p w14:paraId="0E917C95">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7、与本</w:t>
      </w:r>
      <w:r>
        <w:rPr>
          <w:rFonts w:hint="eastAsia" w:ascii="仿宋" w:hAnsi="仿宋" w:eastAsia="仿宋" w:cs="仿宋"/>
          <w:spacing w:val="7"/>
          <w:sz w:val="24"/>
          <w:szCs w:val="24"/>
          <w:lang w:eastAsia="zh-CN"/>
        </w:rPr>
        <w:t>项目</w:t>
      </w:r>
      <w:r>
        <w:rPr>
          <w:rFonts w:ascii="仿宋" w:hAnsi="仿宋" w:eastAsia="仿宋" w:cs="仿宋"/>
          <w:spacing w:val="7"/>
          <w:sz w:val="24"/>
          <w:szCs w:val="24"/>
        </w:rPr>
        <w:t>有关的一切正式往来信函请寄：</w:t>
      </w:r>
    </w:p>
    <w:p w14:paraId="1C9F0E46">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u w:val="single"/>
        </w:rPr>
        <w:t xml:space="preserve">地址：              邮编：         电话：              传真：         </w:t>
      </w:r>
    </w:p>
    <w:p w14:paraId="43DAD292">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名称(盖公章)：</w:t>
      </w:r>
      <w:r>
        <w:rPr>
          <w:rFonts w:ascii="仿宋" w:hAnsi="仿宋" w:eastAsia="仿宋" w:cs="仿宋"/>
          <w:spacing w:val="7"/>
          <w:sz w:val="24"/>
          <w:szCs w:val="24"/>
          <w:u w:val="single"/>
        </w:rPr>
        <w:t xml:space="preserve">                              </w:t>
      </w:r>
    </w:p>
    <w:p w14:paraId="4A84E7E8">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法定代表人或其授权的代理人（签字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val="en-US" w:eastAsia="zh-CN"/>
        </w:rPr>
        <w:t xml:space="preserve"> </w:t>
      </w:r>
      <w:r>
        <w:rPr>
          <w:rFonts w:ascii="仿宋" w:hAnsi="仿宋" w:eastAsia="仿宋" w:cs="仿宋"/>
          <w:spacing w:val="7"/>
          <w:sz w:val="24"/>
          <w:szCs w:val="24"/>
          <w:u w:val="single"/>
        </w:rPr>
        <w:t xml:space="preserve">       </w:t>
      </w:r>
    </w:p>
    <w:p w14:paraId="2097B58B">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rPr>
        <w:t>日期：</w:t>
      </w:r>
      <w:r>
        <w:rPr>
          <w:rFonts w:ascii="仿宋" w:hAnsi="仿宋" w:eastAsia="仿宋" w:cs="仿宋"/>
          <w:spacing w:val="7"/>
          <w:sz w:val="24"/>
          <w:szCs w:val="24"/>
          <w:u w:val="single"/>
        </w:rPr>
        <w:t xml:space="preserve">           年       月      日</w:t>
      </w:r>
    </w:p>
    <w:p w14:paraId="3A762CC6">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sectPr>
          <w:headerReference r:id="rId8" w:type="default"/>
          <w:footerReference r:id="rId9" w:type="default"/>
          <w:pgSz w:w="11906" w:h="16839"/>
          <w:pgMar w:top="1440" w:right="1080" w:bottom="1440" w:left="1080" w:header="0" w:footer="989" w:gutter="0"/>
          <w:pgNumType w:fmt="decimal"/>
          <w:cols w:space="720" w:num="1"/>
        </w:sectPr>
      </w:pPr>
    </w:p>
    <w:p w14:paraId="6E367A54">
      <w:pPr>
        <w:pageBreakBefore w:val="0"/>
        <w:kinsoku/>
        <w:topLinePunct w:val="0"/>
        <w:bidi w:val="0"/>
        <w:spacing w:before="274" w:line="231" w:lineRule="auto"/>
        <w:ind w:left="3620"/>
        <w:outlineLvl w:val="2"/>
        <w:rPr>
          <w:rFonts w:ascii="仿宋" w:hAnsi="仿宋" w:eastAsia="仿宋" w:cs="仿宋"/>
          <w:sz w:val="24"/>
          <w:szCs w:val="24"/>
        </w:rPr>
      </w:pPr>
      <w:r>
        <w:rPr>
          <w:rFonts w:ascii="仿宋" w:hAnsi="仿宋" w:eastAsia="仿宋" w:cs="仿宋"/>
          <w:b/>
          <w:bCs/>
          <w:spacing w:val="6"/>
          <w:sz w:val="24"/>
          <w:szCs w:val="24"/>
        </w:rPr>
        <w:t>2.报价一览表</w:t>
      </w:r>
    </w:p>
    <w:p w14:paraId="2EC76B3E">
      <w:pPr>
        <w:pStyle w:val="4"/>
        <w:pageBreakBefore w:val="0"/>
        <w:kinsoku/>
        <w:topLinePunct w:val="0"/>
        <w:bidi w:val="0"/>
        <w:spacing w:line="448" w:lineRule="auto"/>
      </w:pPr>
    </w:p>
    <w:p w14:paraId="6377B93A">
      <w:pPr>
        <w:pageBreakBefore w:val="0"/>
        <w:kinsoku/>
        <w:topLinePunct w:val="0"/>
        <w:bidi w:val="0"/>
        <w:spacing w:before="78" w:line="221" w:lineRule="auto"/>
        <w:ind w:left="319"/>
        <w:rPr>
          <w:rFonts w:ascii="仿宋" w:hAnsi="仿宋" w:eastAsia="仿宋" w:cs="仿宋"/>
          <w:sz w:val="24"/>
          <w:szCs w:val="24"/>
        </w:rPr>
      </w:pPr>
      <w:r>
        <w:rPr>
          <w:rFonts w:ascii="仿宋" w:hAnsi="仿宋" w:eastAsia="仿宋" w:cs="仿宋"/>
          <w:spacing w:val="-2"/>
          <w:sz w:val="24"/>
          <w:szCs w:val="24"/>
        </w:rPr>
        <w:t>项目名称：</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
          <w:sz w:val="24"/>
          <w:szCs w:val="24"/>
        </w:rPr>
        <w:t>项目编号：</w:t>
      </w:r>
      <w:r>
        <w:rPr>
          <w:rFonts w:ascii="仿宋" w:hAnsi="仿宋" w:eastAsia="仿宋" w:cs="仿宋"/>
          <w:sz w:val="24"/>
          <w:szCs w:val="24"/>
          <w:u w:val="single" w:color="auto"/>
        </w:rPr>
        <w:t xml:space="preserve">              </w:t>
      </w:r>
    </w:p>
    <w:p w14:paraId="62FDC4B3">
      <w:pPr>
        <w:pageBreakBefore w:val="0"/>
        <w:kinsoku/>
        <w:topLinePunct w:val="0"/>
        <w:bidi w:val="0"/>
        <w:spacing w:before="69"/>
      </w:pPr>
    </w:p>
    <w:p w14:paraId="101F8639">
      <w:pPr>
        <w:pageBreakBefore w:val="0"/>
        <w:kinsoku/>
        <w:topLinePunct w:val="0"/>
        <w:bidi w:val="0"/>
        <w:spacing w:before="69"/>
      </w:pPr>
    </w:p>
    <w:p w14:paraId="3F66DD74">
      <w:pPr>
        <w:pageBreakBefore w:val="0"/>
        <w:kinsoku/>
        <w:topLinePunct w:val="0"/>
        <w:bidi w:val="0"/>
        <w:spacing w:before="68"/>
      </w:pPr>
    </w:p>
    <w:tbl>
      <w:tblPr>
        <w:tblStyle w:val="15"/>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6E36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vAlign w:val="top"/>
          </w:tcPr>
          <w:p w14:paraId="40481863">
            <w:pPr>
              <w:pageBreakBefore w:val="0"/>
              <w:kinsoku/>
              <w:topLinePunct w:val="0"/>
              <w:bidi w:val="0"/>
              <w:spacing w:line="254" w:lineRule="auto"/>
              <w:rPr>
                <w:rFonts w:ascii="Arial"/>
                <w:sz w:val="24"/>
                <w:szCs w:val="24"/>
              </w:rPr>
            </w:pPr>
          </w:p>
          <w:p w14:paraId="20493FB6">
            <w:pPr>
              <w:pageBreakBefore w:val="0"/>
              <w:kinsoku/>
              <w:topLinePunct w:val="0"/>
              <w:bidi w:val="0"/>
              <w:spacing w:line="254" w:lineRule="auto"/>
              <w:rPr>
                <w:rFonts w:ascii="Arial"/>
                <w:sz w:val="24"/>
                <w:szCs w:val="24"/>
              </w:rPr>
            </w:pPr>
          </w:p>
          <w:p w14:paraId="66628B00">
            <w:pPr>
              <w:pageBreakBefore w:val="0"/>
              <w:kinsoku/>
              <w:topLinePunct w:val="0"/>
              <w:bidi w:val="0"/>
              <w:spacing w:line="254" w:lineRule="auto"/>
              <w:rPr>
                <w:rFonts w:ascii="Arial"/>
                <w:sz w:val="24"/>
                <w:szCs w:val="24"/>
              </w:rPr>
            </w:pPr>
          </w:p>
          <w:p w14:paraId="5E8BFFA4">
            <w:pPr>
              <w:pageBreakBefore w:val="0"/>
              <w:kinsoku/>
              <w:topLinePunct w:val="0"/>
              <w:bidi w:val="0"/>
              <w:spacing w:line="254" w:lineRule="auto"/>
              <w:rPr>
                <w:rFonts w:ascii="Arial"/>
                <w:sz w:val="24"/>
                <w:szCs w:val="24"/>
              </w:rPr>
            </w:pPr>
          </w:p>
          <w:p w14:paraId="5BE20CD3">
            <w:pPr>
              <w:pageBreakBefore w:val="0"/>
              <w:kinsoku/>
              <w:topLinePunct w:val="0"/>
              <w:bidi w:val="0"/>
              <w:spacing w:line="254" w:lineRule="auto"/>
              <w:rPr>
                <w:rFonts w:ascii="Arial"/>
                <w:sz w:val="24"/>
                <w:szCs w:val="24"/>
              </w:rPr>
            </w:pPr>
          </w:p>
          <w:p w14:paraId="70F6CB9C">
            <w:pPr>
              <w:pageBreakBefore w:val="0"/>
              <w:kinsoku/>
              <w:topLinePunct w:val="0"/>
              <w:bidi w:val="0"/>
              <w:spacing w:line="255" w:lineRule="auto"/>
              <w:rPr>
                <w:rFonts w:ascii="Arial"/>
                <w:sz w:val="24"/>
                <w:szCs w:val="24"/>
              </w:rPr>
            </w:pPr>
          </w:p>
          <w:p w14:paraId="184BA1D4">
            <w:pPr>
              <w:pStyle w:val="16"/>
              <w:pageBreakBefore w:val="0"/>
              <w:kinsoku/>
              <w:topLinePunct w:val="0"/>
              <w:bidi w:val="0"/>
              <w:spacing w:before="78" w:line="222" w:lineRule="auto"/>
              <w:jc w:val="center"/>
              <w:rPr>
                <w:sz w:val="24"/>
                <w:szCs w:val="24"/>
              </w:rPr>
            </w:pPr>
            <w:r>
              <w:rPr>
                <w:rFonts w:hint="eastAsia"/>
                <w:spacing w:val="-2"/>
                <w:sz w:val="24"/>
                <w:szCs w:val="24"/>
                <w:lang w:eastAsia="zh-CN"/>
              </w:rPr>
              <w:t>响应报价（元）</w:t>
            </w:r>
          </w:p>
        </w:tc>
        <w:tc>
          <w:tcPr>
            <w:tcW w:w="5939" w:type="dxa"/>
            <w:vAlign w:val="top"/>
          </w:tcPr>
          <w:p w14:paraId="1DBFC0F0">
            <w:pPr>
              <w:pageBreakBefore w:val="0"/>
              <w:kinsoku/>
              <w:topLinePunct w:val="0"/>
              <w:bidi w:val="0"/>
              <w:spacing w:line="341" w:lineRule="auto"/>
              <w:rPr>
                <w:rFonts w:ascii="Arial"/>
                <w:sz w:val="24"/>
                <w:szCs w:val="24"/>
              </w:rPr>
            </w:pPr>
          </w:p>
          <w:p w14:paraId="6A5235B4">
            <w:pPr>
              <w:pageBreakBefore w:val="0"/>
              <w:kinsoku/>
              <w:topLinePunct w:val="0"/>
              <w:bidi w:val="0"/>
              <w:spacing w:line="342" w:lineRule="auto"/>
              <w:rPr>
                <w:rFonts w:ascii="Arial"/>
                <w:sz w:val="24"/>
                <w:szCs w:val="24"/>
              </w:rPr>
            </w:pPr>
          </w:p>
          <w:p w14:paraId="2E7FFE80">
            <w:pPr>
              <w:pStyle w:val="16"/>
              <w:pageBreakBefore w:val="0"/>
              <w:kinsoku/>
              <w:topLinePunct w:val="0"/>
              <w:bidi w:val="0"/>
              <w:spacing w:before="78" w:line="224" w:lineRule="auto"/>
              <w:ind w:left="27"/>
              <w:rPr>
                <w:sz w:val="24"/>
                <w:szCs w:val="24"/>
              </w:rPr>
            </w:pPr>
            <w:r>
              <w:rPr>
                <w:spacing w:val="-6"/>
                <w:sz w:val="24"/>
                <w:szCs w:val="24"/>
              </w:rPr>
              <w:t>小写：</w:t>
            </w:r>
            <w:r>
              <w:rPr>
                <w:sz w:val="24"/>
                <w:szCs w:val="24"/>
                <w:u w:val="single" w:color="auto"/>
              </w:rPr>
              <w:t xml:space="preserve">                    </w:t>
            </w:r>
          </w:p>
        </w:tc>
      </w:tr>
      <w:tr w14:paraId="4549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vAlign w:val="top"/>
          </w:tcPr>
          <w:p w14:paraId="74E0300B">
            <w:pPr>
              <w:pageBreakBefore w:val="0"/>
              <w:kinsoku/>
              <w:topLinePunct w:val="0"/>
              <w:bidi w:val="0"/>
              <w:rPr>
                <w:rFonts w:ascii="Arial"/>
                <w:sz w:val="24"/>
                <w:szCs w:val="24"/>
              </w:rPr>
            </w:pPr>
          </w:p>
        </w:tc>
        <w:tc>
          <w:tcPr>
            <w:tcW w:w="5939" w:type="dxa"/>
            <w:vAlign w:val="top"/>
          </w:tcPr>
          <w:p w14:paraId="2C35465F">
            <w:pPr>
              <w:pageBreakBefore w:val="0"/>
              <w:kinsoku/>
              <w:topLinePunct w:val="0"/>
              <w:bidi w:val="0"/>
              <w:spacing w:line="320" w:lineRule="auto"/>
              <w:rPr>
                <w:rFonts w:ascii="Arial"/>
                <w:sz w:val="24"/>
                <w:szCs w:val="24"/>
              </w:rPr>
            </w:pPr>
          </w:p>
          <w:p w14:paraId="0EBC54A7">
            <w:pPr>
              <w:pageBreakBefore w:val="0"/>
              <w:kinsoku/>
              <w:topLinePunct w:val="0"/>
              <w:bidi w:val="0"/>
              <w:spacing w:line="320" w:lineRule="auto"/>
              <w:rPr>
                <w:rFonts w:ascii="Arial"/>
                <w:sz w:val="24"/>
                <w:szCs w:val="24"/>
              </w:rPr>
            </w:pPr>
          </w:p>
          <w:p w14:paraId="067CEB35">
            <w:pPr>
              <w:pStyle w:val="16"/>
              <w:pageBreakBefore w:val="0"/>
              <w:kinsoku/>
              <w:topLinePunct w:val="0"/>
              <w:bidi w:val="0"/>
              <w:spacing w:before="78" w:line="224" w:lineRule="auto"/>
              <w:ind w:left="29"/>
              <w:rPr>
                <w:sz w:val="24"/>
                <w:szCs w:val="24"/>
              </w:rPr>
            </w:pPr>
            <w:r>
              <w:rPr>
                <w:spacing w:val="-7"/>
                <w:sz w:val="24"/>
                <w:szCs w:val="24"/>
              </w:rPr>
              <w:t>大写：</w:t>
            </w:r>
            <w:r>
              <w:rPr>
                <w:sz w:val="24"/>
                <w:szCs w:val="24"/>
                <w:u w:val="single" w:color="auto"/>
              </w:rPr>
              <w:t xml:space="preserve">                    </w:t>
            </w:r>
          </w:p>
        </w:tc>
      </w:tr>
      <w:tr w14:paraId="270E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05021B56">
            <w:pPr>
              <w:pageBreakBefore w:val="0"/>
              <w:kinsoku/>
              <w:topLinePunct w:val="0"/>
              <w:bidi w:val="0"/>
              <w:spacing w:line="404" w:lineRule="auto"/>
              <w:rPr>
                <w:rFonts w:ascii="Arial"/>
                <w:sz w:val="24"/>
                <w:szCs w:val="24"/>
              </w:rPr>
            </w:pPr>
          </w:p>
          <w:p w14:paraId="4E5E7A99">
            <w:pPr>
              <w:pStyle w:val="16"/>
              <w:pageBreakBefore w:val="0"/>
              <w:kinsoku/>
              <w:topLinePunct w:val="0"/>
              <w:bidi w:val="0"/>
              <w:spacing w:before="78" w:line="222" w:lineRule="auto"/>
              <w:ind w:left="1014"/>
              <w:rPr>
                <w:sz w:val="24"/>
                <w:szCs w:val="24"/>
              </w:rPr>
            </w:pPr>
            <w:r>
              <w:rPr>
                <w:rFonts w:hint="eastAsia"/>
                <w:sz w:val="24"/>
                <w:szCs w:val="24"/>
                <w:lang w:eastAsia="zh-CN"/>
              </w:rPr>
              <w:t>合同履约</w:t>
            </w:r>
            <w:r>
              <w:rPr>
                <w:sz w:val="24"/>
                <w:szCs w:val="24"/>
              </w:rPr>
              <w:t>期限</w:t>
            </w:r>
          </w:p>
        </w:tc>
        <w:tc>
          <w:tcPr>
            <w:tcW w:w="5939" w:type="dxa"/>
            <w:vAlign w:val="top"/>
          </w:tcPr>
          <w:p w14:paraId="6138484D">
            <w:pPr>
              <w:pageBreakBefore w:val="0"/>
              <w:kinsoku/>
              <w:topLinePunct w:val="0"/>
              <w:bidi w:val="0"/>
              <w:rPr>
                <w:rFonts w:ascii="Arial"/>
                <w:sz w:val="24"/>
                <w:szCs w:val="24"/>
              </w:rPr>
            </w:pPr>
          </w:p>
        </w:tc>
      </w:tr>
      <w:tr w14:paraId="4CB0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42643D8C">
            <w:pPr>
              <w:pageBreakBefore w:val="0"/>
              <w:kinsoku/>
              <w:topLinePunct w:val="0"/>
              <w:bidi w:val="0"/>
              <w:spacing w:line="404" w:lineRule="auto"/>
              <w:rPr>
                <w:rFonts w:ascii="Arial"/>
                <w:sz w:val="24"/>
                <w:szCs w:val="24"/>
              </w:rPr>
            </w:pPr>
          </w:p>
          <w:p w14:paraId="584C52F1">
            <w:pPr>
              <w:pStyle w:val="16"/>
              <w:pageBreakBefore w:val="0"/>
              <w:kinsoku/>
              <w:topLinePunct w:val="0"/>
              <w:bidi w:val="0"/>
              <w:spacing w:before="78" w:line="223" w:lineRule="auto"/>
              <w:ind w:left="295"/>
              <w:rPr>
                <w:sz w:val="24"/>
                <w:szCs w:val="24"/>
              </w:rPr>
            </w:pPr>
            <w:r>
              <w:rPr>
                <w:spacing w:val="-2"/>
                <w:sz w:val="24"/>
                <w:szCs w:val="24"/>
              </w:rPr>
              <w:t>项目负责人及联系方式</w:t>
            </w:r>
          </w:p>
        </w:tc>
        <w:tc>
          <w:tcPr>
            <w:tcW w:w="5939" w:type="dxa"/>
            <w:vAlign w:val="top"/>
          </w:tcPr>
          <w:p w14:paraId="3C390E96">
            <w:pPr>
              <w:pageBreakBefore w:val="0"/>
              <w:kinsoku/>
              <w:topLinePunct w:val="0"/>
              <w:bidi w:val="0"/>
              <w:rPr>
                <w:rFonts w:ascii="Arial"/>
                <w:sz w:val="24"/>
                <w:szCs w:val="24"/>
              </w:rPr>
            </w:pPr>
          </w:p>
        </w:tc>
      </w:tr>
      <w:tr w14:paraId="1D3D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vAlign w:val="top"/>
          </w:tcPr>
          <w:p w14:paraId="3547DEC6">
            <w:pPr>
              <w:pageBreakBefore w:val="0"/>
              <w:kinsoku/>
              <w:topLinePunct w:val="0"/>
              <w:bidi w:val="0"/>
              <w:spacing w:line="407" w:lineRule="auto"/>
              <w:rPr>
                <w:rFonts w:ascii="Arial"/>
                <w:sz w:val="24"/>
                <w:szCs w:val="24"/>
              </w:rPr>
            </w:pPr>
          </w:p>
          <w:p w14:paraId="6D7EEAE0">
            <w:pPr>
              <w:pStyle w:val="16"/>
              <w:pageBreakBefore w:val="0"/>
              <w:kinsoku/>
              <w:topLinePunct w:val="0"/>
              <w:bidi w:val="0"/>
              <w:spacing w:before="78" w:line="224" w:lineRule="auto"/>
              <w:ind w:left="1256"/>
              <w:rPr>
                <w:sz w:val="24"/>
                <w:szCs w:val="24"/>
              </w:rPr>
            </w:pPr>
            <w:r>
              <w:rPr>
                <w:spacing w:val="-9"/>
                <w:sz w:val="24"/>
                <w:szCs w:val="24"/>
              </w:rPr>
              <w:t>备注</w:t>
            </w:r>
          </w:p>
        </w:tc>
        <w:tc>
          <w:tcPr>
            <w:tcW w:w="5939" w:type="dxa"/>
            <w:vAlign w:val="top"/>
          </w:tcPr>
          <w:p w14:paraId="3287D72E">
            <w:pPr>
              <w:pageBreakBefore w:val="0"/>
              <w:kinsoku/>
              <w:topLinePunct w:val="0"/>
              <w:bidi w:val="0"/>
              <w:rPr>
                <w:rFonts w:ascii="Arial"/>
                <w:sz w:val="24"/>
                <w:szCs w:val="24"/>
              </w:rPr>
            </w:pPr>
          </w:p>
        </w:tc>
      </w:tr>
    </w:tbl>
    <w:p w14:paraId="1E0BF2BF">
      <w:pPr>
        <w:pageBreakBefore w:val="0"/>
        <w:kinsoku/>
        <w:topLinePunct w:val="0"/>
        <w:bidi w:val="0"/>
        <w:spacing w:before="302" w:line="503" w:lineRule="auto"/>
        <w:ind w:left="192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0"/>
          <w:sz w:val="24"/>
          <w:szCs w:val="24"/>
        </w:rPr>
        <w:t>）</w:t>
      </w:r>
      <w:r>
        <w:rPr>
          <w:rFonts w:ascii="仿宋" w:hAnsi="仿宋" w:eastAsia="仿宋" w:cs="仿宋"/>
          <w:spacing w:val="-59"/>
          <w:sz w:val="24"/>
          <w:szCs w:val="24"/>
        </w:rPr>
        <w:t xml:space="preserve"> </w:t>
      </w:r>
      <w:r>
        <w:rPr>
          <w:rFonts w:ascii="仿宋" w:hAnsi="仿宋" w:eastAsia="仿宋" w:cs="仿宋"/>
          <w:spacing w:val="-10"/>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
          <w:sz w:val="24"/>
          <w:szCs w:val="24"/>
        </w:rPr>
        <w:t>_</w:t>
      </w:r>
    </w:p>
    <w:p w14:paraId="24305971">
      <w:pPr>
        <w:pageBreakBefore w:val="0"/>
        <w:kinsoku/>
        <w:topLinePunct w:val="0"/>
        <w:bidi w:val="0"/>
        <w:spacing w:before="1" w:line="226" w:lineRule="auto"/>
        <w:ind w:left="1934"/>
        <w:rPr>
          <w:rFonts w:ascii="仿宋" w:hAnsi="仿宋" w:eastAsia="仿宋" w:cs="仿宋"/>
          <w:sz w:val="24"/>
          <w:szCs w:val="24"/>
        </w:rPr>
      </w:pPr>
      <w:r>
        <w:rPr>
          <w:rFonts w:ascii="仿宋" w:hAnsi="仿宋" w:eastAsia="仿宋" w:cs="仿宋"/>
          <w:spacing w:val="7"/>
          <w:sz w:val="24"/>
          <w:szCs w:val="24"/>
        </w:rPr>
        <w:t>法定代表人或其授权委托人</w:t>
      </w:r>
      <w:r>
        <w:rPr>
          <w:rFonts w:ascii="仿宋" w:hAnsi="仿宋" w:eastAsia="仿宋" w:cs="仿宋"/>
          <w:spacing w:val="8"/>
          <w:sz w:val="24"/>
          <w:szCs w:val="24"/>
        </w:rPr>
        <w:t>（签字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7"/>
          <w:sz w:val="24"/>
          <w:szCs w:val="24"/>
        </w:rPr>
        <w:t>_</w:t>
      </w:r>
    </w:p>
    <w:p w14:paraId="3C715235">
      <w:pPr>
        <w:pageBreakBefore w:val="0"/>
        <w:kinsoku/>
        <w:topLinePunct w:val="0"/>
        <w:bidi w:val="0"/>
        <w:spacing w:before="299" w:line="231" w:lineRule="auto"/>
        <w:ind w:left="1971"/>
        <w:rPr>
          <w:rFonts w:ascii="仿宋" w:hAnsi="仿宋" w:eastAsia="仿宋" w:cs="仿宋"/>
          <w:sz w:val="24"/>
          <w:szCs w:val="24"/>
        </w:rPr>
      </w:pPr>
      <w:r>
        <w:rPr>
          <w:rFonts w:ascii="仿宋" w:hAnsi="仿宋" w:eastAsia="仿宋" w:cs="仿宋"/>
          <w:spacing w:val="-9"/>
          <w:sz w:val="24"/>
          <w:szCs w:val="24"/>
        </w:rPr>
        <w:t>日期：</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9"/>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9"/>
          <w:sz w:val="24"/>
          <w:szCs w:val="24"/>
        </w:rPr>
        <w:t>月</w:t>
      </w:r>
      <w:r>
        <w:rPr>
          <w:rFonts w:ascii="仿宋" w:hAnsi="仿宋" w:eastAsia="仿宋" w:cs="仿宋"/>
          <w:spacing w:val="-98"/>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9"/>
          <w:sz w:val="24"/>
          <w:szCs w:val="24"/>
        </w:rPr>
        <w:t>日</w:t>
      </w:r>
    </w:p>
    <w:p w14:paraId="6E27E7AA">
      <w:pPr>
        <w:pageBreakBefore w:val="0"/>
        <w:kinsoku/>
        <w:topLinePunct w:val="0"/>
        <w:bidi w:val="0"/>
        <w:spacing w:before="17" w:line="224" w:lineRule="auto"/>
        <w:ind w:left="740"/>
        <w:rPr>
          <w:rFonts w:ascii="仿宋" w:hAnsi="仿宋" w:eastAsia="仿宋" w:cs="仿宋"/>
          <w:sz w:val="24"/>
          <w:szCs w:val="24"/>
        </w:rPr>
      </w:pPr>
      <w:r>
        <w:rPr>
          <w:rFonts w:ascii="仿宋" w:hAnsi="仿宋" w:eastAsia="仿宋" w:cs="仿宋"/>
          <w:b/>
          <w:bCs/>
          <w:spacing w:val="-7"/>
          <w:sz w:val="24"/>
          <w:szCs w:val="24"/>
        </w:rPr>
        <w:t>说明：</w:t>
      </w:r>
    </w:p>
    <w:p w14:paraId="75D713DF">
      <w:pPr>
        <w:pageBreakBefore w:val="0"/>
        <w:kinsoku/>
        <w:topLinePunct w:val="0"/>
        <w:bidi w:val="0"/>
        <w:spacing w:before="65" w:line="253" w:lineRule="auto"/>
        <w:ind w:left="744" w:right="319" w:firstLine="3"/>
        <w:rPr>
          <w:rFonts w:ascii="仿宋" w:hAnsi="仿宋" w:eastAsia="仿宋" w:cs="仿宋"/>
          <w:sz w:val="24"/>
          <w:szCs w:val="24"/>
        </w:rPr>
      </w:pPr>
      <w:r>
        <w:rPr>
          <w:rFonts w:ascii="仿宋" w:hAnsi="仿宋" w:eastAsia="仿宋" w:cs="仿宋"/>
          <w:b/>
          <w:bCs/>
          <w:spacing w:val="-2"/>
          <w:sz w:val="24"/>
          <w:szCs w:val="24"/>
        </w:rPr>
        <w:t>1、请严格按此“</w:t>
      </w:r>
      <w:r>
        <w:rPr>
          <w:rFonts w:hint="eastAsia" w:ascii="仿宋" w:hAnsi="仿宋" w:eastAsia="仿宋" w:cs="仿宋"/>
          <w:b/>
          <w:bCs/>
          <w:spacing w:val="-2"/>
          <w:sz w:val="24"/>
          <w:szCs w:val="24"/>
          <w:lang w:eastAsia="zh-CN"/>
        </w:rPr>
        <w:t>报价</w:t>
      </w:r>
      <w:r>
        <w:rPr>
          <w:rFonts w:ascii="仿宋" w:hAnsi="仿宋" w:eastAsia="仿宋" w:cs="仿宋"/>
          <w:b/>
          <w:bCs/>
          <w:spacing w:val="-2"/>
          <w:sz w:val="24"/>
          <w:szCs w:val="24"/>
        </w:rPr>
        <w:t>一览表</w:t>
      </w:r>
      <w:r>
        <w:rPr>
          <w:rFonts w:ascii="仿宋" w:hAnsi="仿宋" w:eastAsia="仿宋" w:cs="仿宋"/>
          <w:spacing w:val="-66"/>
          <w:sz w:val="24"/>
          <w:szCs w:val="24"/>
        </w:rPr>
        <w:t xml:space="preserve"> </w:t>
      </w:r>
      <w:r>
        <w:rPr>
          <w:rFonts w:ascii="仿宋" w:hAnsi="仿宋" w:eastAsia="仿宋" w:cs="仿宋"/>
          <w:b/>
          <w:bCs/>
          <w:spacing w:val="-2"/>
          <w:sz w:val="24"/>
          <w:szCs w:val="24"/>
        </w:rPr>
        <w:t>”格式填写，</w:t>
      </w:r>
      <w:r>
        <w:rPr>
          <w:rFonts w:hint="eastAsia" w:ascii="仿宋" w:hAnsi="仿宋" w:eastAsia="仿宋" w:cs="仿宋"/>
          <w:b/>
          <w:bCs/>
          <w:spacing w:val="-2"/>
          <w:sz w:val="24"/>
          <w:szCs w:val="24"/>
          <w:lang w:eastAsia="zh-CN"/>
        </w:rPr>
        <w:t>供应商</w:t>
      </w:r>
      <w:r>
        <w:rPr>
          <w:rFonts w:ascii="仿宋" w:hAnsi="仿宋" w:eastAsia="仿宋" w:cs="仿宋"/>
          <w:b/>
          <w:bCs/>
          <w:spacing w:val="-2"/>
          <w:sz w:val="24"/>
          <w:szCs w:val="24"/>
        </w:rPr>
        <w:t>报价时应详细</w:t>
      </w:r>
      <w:r>
        <w:rPr>
          <w:rFonts w:ascii="仿宋" w:hAnsi="仿宋" w:eastAsia="仿宋" w:cs="仿宋"/>
          <w:b/>
          <w:bCs/>
          <w:spacing w:val="-3"/>
          <w:sz w:val="24"/>
          <w:szCs w:val="24"/>
        </w:rPr>
        <w:t>阅读</w:t>
      </w:r>
      <w:r>
        <w:rPr>
          <w:rFonts w:hint="eastAsia" w:ascii="仿宋" w:hAnsi="仿宋" w:eastAsia="仿宋" w:cs="仿宋"/>
          <w:b/>
          <w:bCs/>
          <w:spacing w:val="-3"/>
          <w:sz w:val="24"/>
          <w:szCs w:val="24"/>
          <w:lang w:eastAsia="zh-CN"/>
        </w:rPr>
        <w:t>磋商文件</w:t>
      </w:r>
      <w:r>
        <w:rPr>
          <w:rFonts w:ascii="仿宋" w:hAnsi="仿宋" w:eastAsia="仿宋" w:cs="仿宋"/>
          <w:b/>
          <w:bCs/>
          <w:spacing w:val="-3"/>
          <w:sz w:val="24"/>
          <w:szCs w:val="24"/>
        </w:rPr>
        <w:t>报价要求并自行考虑市场风险以及价格合理性。</w:t>
      </w:r>
    </w:p>
    <w:p w14:paraId="243EAAED">
      <w:pPr>
        <w:pageBreakBefore w:val="0"/>
        <w:kinsoku/>
        <w:topLinePunct w:val="0"/>
        <w:bidi w:val="0"/>
        <w:spacing w:before="66" w:line="281" w:lineRule="exact"/>
        <w:ind w:left="736"/>
        <w:rPr>
          <w:rFonts w:ascii="仿宋" w:hAnsi="仿宋" w:eastAsia="仿宋" w:cs="仿宋"/>
          <w:sz w:val="24"/>
          <w:szCs w:val="24"/>
        </w:rPr>
      </w:pPr>
      <w:r>
        <w:rPr>
          <w:rFonts w:ascii="仿宋" w:hAnsi="仿宋" w:eastAsia="仿宋" w:cs="仿宋"/>
          <w:b/>
          <w:bCs/>
          <w:spacing w:val="-2"/>
          <w:position w:val="7"/>
          <w:sz w:val="24"/>
          <w:szCs w:val="24"/>
        </w:rPr>
        <w:t>2、合价之和即为总报价，合价依据为分项价格表计算得出。</w:t>
      </w:r>
    </w:p>
    <w:p w14:paraId="5B919937">
      <w:pPr>
        <w:pageBreakBefore w:val="0"/>
        <w:kinsoku/>
        <w:topLinePunct w:val="0"/>
        <w:bidi w:val="0"/>
        <w:spacing w:line="222" w:lineRule="auto"/>
        <w:ind w:left="737"/>
        <w:rPr>
          <w:rFonts w:ascii="仿宋" w:hAnsi="仿宋" w:eastAsia="仿宋" w:cs="仿宋"/>
          <w:sz w:val="24"/>
          <w:szCs w:val="24"/>
        </w:rPr>
      </w:pPr>
      <w:r>
        <w:rPr>
          <w:rFonts w:ascii="仿宋" w:hAnsi="仿宋" w:eastAsia="仿宋" w:cs="仿宋"/>
          <w:b/>
          <w:bCs/>
          <w:spacing w:val="-2"/>
          <w:sz w:val="24"/>
          <w:szCs w:val="24"/>
        </w:rPr>
        <w:t>3、报价一览表中总报价应与</w:t>
      </w:r>
      <w:r>
        <w:rPr>
          <w:rFonts w:hint="eastAsia" w:ascii="仿宋" w:hAnsi="仿宋" w:eastAsia="仿宋" w:cs="仿宋"/>
          <w:b/>
          <w:bCs/>
          <w:spacing w:val="-2"/>
          <w:sz w:val="24"/>
          <w:szCs w:val="24"/>
          <w:lang w:eastAsia="zh-CN"/>
        </w:rPr>
        <w:t>响应</w:t>
      </w:r>
      <w:r>
        <w:rPr>
          <w:rFonts w:ascii="仿宋" w:hAnsi="仿宋" w:eastAsia="仿宋" w:cs="仿宋"/>
          <w:b/>
          <w:bCs/>
          <w:spacing w:val="-2"/>
          <w:sz w:val="24"/>
          <w:szCs w:val="24"/>
        </w:rPr>
        <w:t>函一致。</w:t>
      </w:r>
    </w:p>
    <w:p w14:paraId="43592E64">
      <w:pPr>
        <w:pageBreakBefore w:val="0"/>
        <w:kinsoku/>
        <w:topLinePunct w:val="0"/>
        <w:bidi w:val="0"/>
        <w:spacing w:line="222" w:lineRule="auto"/>
        <w:rPr>
          <w:rFonts w:ascii="仿宋" w:hAnsi="仿宋" w:eastAsia="仿宋" w:cs="仿宋"/>
          <w:sz w:val="18"/>
          <w:szCs w:val="18"/>
        </w:rPr>
      </w:pPr>
    </w:p>
    <w:p w14:paraId="0B7EA150">
      <w:pPr>
        <w:pStyle w:val="4"/>
        <w:pageBreakBefore w:val="0"/>
        <w:kinsoku/>
        <w:topLinePunct w:val="0"/>
        <w:bidi w:val="0"/>
        <w:sectPr>
          <w:footerReference r:id="rId10" w:type="default"/>
          <w:pgSz w:w="11906" w:h="16839"/>
          <w:pgMar w:top="1440" w:right="1080" w:bottom="1440" w:left="1080" w:header="0" w:footer="989" w:gutter="0"/>
          <w:pgNumType w:fmt="decimal"/>
          <w:cols w:space="720" w:num="1"/>
        </w:sectPr>
      </w:pPr>
    </w:p>
    <w:p w14:paraId="36640A5F">
      <w:pPr>
        <w:pageBreakBefore w:val="0"/>
        <w:kinsoku/>
        <w:topLinePunct w:val="0"/>
        <w:bidi w:val="0"/>
        <w:spacing w:before="274" w:line="231" w:lineRule="auto"/>
        <w:jc w:val="center"/>
        <w:outlineLvl w:val="2"/>
        <w:rPr>
          <w:rFonts w:ascii="仿宋" w:hAnsi="仿宋" w:eastAsia="仿宋" w:cs="仿宋"/>
          <w:sz w:val="24"/>
          <w:szCs w:val="24"/>
        </w:rPr>
      </w:pPr>
      <w:r>
        <w:rPr>
          <w:rFonts w:ascii="仿宋" w:hAnsi="仿宋" w:eastAsia="仿宋" w:cs="仿宋"/>
          <w:b/>
          <w:bCs/>
          <w:spacing w:val="5"/>
          <w:sz w:val="24"/>
          <w:szCs w:val="24"/>
        </w:rPr>
        <w:t>3.分项报价明细表</w:t>
      </w:r>
    </w:p>
    <w:p w14:paraId="3D4C8524">
      <w:pPr>
        <w:pStyle w:val="4"/>
        <w:pageBreakBefore w:val="0"/>
        <w:kinsoku/>
        <w:topLinePunct w:val="0"/>
        <w:bidi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（详见工程量清单）</w:t>
      </w:r>
    </w:p>
    <w:p w14:paraId="1367B375">
      <w:pPr>
        <w:pStyle w:val="4"/>
        <w:pageBreakBefore w:val="0"/>
        <w:kinsoku/>
        <w:topLinePunct w:val="0"/>
        <w:bidi w:val="0"/>
        <w:rPr>
          <w:rFonts w:ascii="仿宋" w:hAnsi="仿宋" w:eastAsia="仿宋" w:cs="仿宋"/>
          <w:sz w:val="20"/>
          <w:szCs w:val="20"/>
        </w:rPr>
      </w:pPr>
    </w:p>
    <w:p w14:paraId="18F0DB66">
      <w:pPr>
        <w:pStyle w:val="4"/>
        <w:pageBreakBefore w:val="0"/>
        <w:kinsoku/>
        <w:topLinePunct w:val="0"/>
        <w:bidi w:val="0"/>
        <w:rPr>
          <w:rFonts w:ascii="仿宋" w:hAnsi="仿宋" w:eastAsia="仿宋" w:cs="仿宋"/>
          <w:sz w:val="20"/>
          <w:szCs w:val="20"/>
        </w:rPr>
      </w:pPr>
    </w:p>
    <w:p w14:paraId="76FE2CFA">
      <w:pPr>
        <w:pStyle w:val="4"/>
        <w:pageBreakBefore w:val="0"/>
        <w:kinsoku/>
        <w:topLinePunct w:val="0"/>
        <w:bidi w:val="0"/>
        <w:rPr>
          <w:rFonts w:ascii="仿宋" w:hAnsi="仿宋" w:eastAsia="仿宋" w:cs="仿宋"/>
          <w:sz w:val="20"/>
          <w:szCs w:val="20"/>
        </w:rPr>
      </w:pPr>
    </w:p>
    <w:p w14:paraId="7F889CEC">
      <w:pPr>
        <w:pStyle w:val="4"/>
        <w:pageBreakBefore w:val="0"/>
        <w:kinsoku/>
        <w:topLinePunct w:val="0"/>
        <w:bidi w:val="0"/>
        <w:rPr>
          <w:rFonts w:ascii="仿宋" w:hAnsi="仿宋" w:eastAsia="仿宋" w:cs="仿宋"/>
          <w:sz w:val="20"/>
          <w:szCs w:val="20"/>
        </w:rPr>
        <w:sectPr>
          <w:footerReference r:id="rId11" w:type="default"/>
          <w:pgSz w:w="11906" w:h="16839"/>
          <w:pgMar w:top="1440" w:right="1080" w:bottom="1440" w:left="1080" w:header="0" w:footer="1054" w:gutter="0"/>
          <w:pgNumType w:fmt="decimal"/>
          <w:cols w:space="720" w:num="1"/>
        </w:sectPr>
      </w:pPr>
    </w:p>
    <w:p w14:paraId="19E1D79A">
      <w:pPr>
        <w:pageBreakBefore w:val="0"/>
        <w:kinsoku/>
        <w:topLinePunct w:val="0"/>
        <w:bidi w:val="0"/>
        <w:spacing w:before="140" w:line="460" w:lineRule="exact"/>
        <w:ind w:left="3770"/>
        <w:rPr>
          <w:rFonts w:ascii="仿宋" w:hAnsi="仿宋" w:eastAsia="仿宋" w:cs="仿宋"/>
          <w:sz w:val="28"/>
          <w:szCs w:val="28"/>
        </w:rPr>
      </w:pPr>
      <w:r>
        <mc:AlternateContent>
          <mc:Choice Requires="wps">
            <w:drawing>
              <wp:anchor distT="0" distB="0" distL="114300" distR="114300" simplePos="0" relativeHeight="251659264" behindDoc="0" locked="0" layoutInCell="0" allowOverlap="1">
                <wp:simplePos x="0" y="0"/>
                <wp:positionH relativeFrom="page">
                  <wp:posOffset>968375</wp:posOffset>
                </wp:positionH>
                <wp:positionV relativeFrom="page">
                  <wp:posOffset>5436870</wp:posOffset>
                </wp:positionV>
                <wp:extent cx="2654300" cy="1825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54300" cy="1825625"/>
                        </a:xfrm>
                        <a:prstGeom prst="rect">
                          <a:avLst/>
                        </a:prstGeom>
                        <a:noFill/>
                        <a:ln>
                          <a:noFill/>
                        </a:ln>
                      </wps:spPr>
                      <wps:txbx>
                        <w:txbxContent>
                          <w:p w14:paraId="1BDFE555">
                            <w:pPr>
                              <w:spacing w:line="20" w:lineRule="exact"/>
                            </w:pPr>
                          </w:p>
                          <w:tbl>
                            <w:tblPr>
                              <w:tblStyle w:val="15"/>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4"/>
                            </w:pPr>
                          </w:p>
                        </w:txbxContent>
                      </wps:txbx>
                      <wps:bodyPr lIns="0" tIns="0" rIns="0" bIns="0" upright="1"/>
                    </wps:wsp>
                  </a:graphicData>
                </a:graphic>
              </wp:anchor>
            </w:drawing>
          </mc:Choice>
          <mc:Fallback>
            <w:pict>
              <v:shape id="_x0000_s1026" o:spid="_x0000_s1026" o:spt="202" type="#_x0000_t202" style="position:absolute;left:0pt;margin-left:76.25pt;margin-top:428.1pt;height:143.75pt;width:209pt;mso-position-horizontal-relative:page;mso-position-vertical-relative:page;z-index:251659264;mso-width-relative:page;mso-height-relative:page;" filled="f" stroked="f" coordsize="21600,21600" o:allowincell="f" o:gfxdata="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iZzkPaAAAADAEAAA8AAAAAAAAAAQAgAAAAIgAAAGRycy9kb3ducmV2LnhtbFBL&#10;AQIUABQAAAAIAIdO4kAN03ptuwEAAHMDAAAOAAAAAAAAAAEAIAAAACkBAABkcnMvZTJvRG9jLnht&#10;bFBLBQYAAAAABgAGAFkBAABWBQAAAAA=&#10;">
                <v:fill on="f" focussize="0,0"/>
                <v:stroke on="f"/>
                <v:imagedata o:title=""/>
                <o:lock v:ext="edit" aspectratio="f"/>
                <v:textbox inset="0mm,0mm,0mm,0mm">
                  <w:txbxContent>
                    <w:p w14:paraId="1BDFE555">
                      <w:pPr>
                        <w:spacing w:line="20" w:lineRule="exact"/>
                      </w:pPr>
                    </w:p>
                    <w:tbl>
                      <w:tblPr>
                        <w:tblStyle w:val="15"/>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4"/>
                      </w:pPr>
                    </w:p>
                  </w:txbxContent>
                </v:textbox>
              </v:shape>
            </w:pict>
          </mc:Fallback>
        </mc:AlternateContent>
      </w:r>
      <w:r>
        <w:rPr>
          <w:rFonts w:ascii="仿宋" w:hAnsi="仿宋" w:eastAsia="仿宋" w:cs="仿宋"/>
          <w:b/>
          <w:bCs/>
          <w:spacing w:val="-5"/>
          <w:position w:val="12"/>
          <w:sz w:val="28"/>
          <w:szCs w:val="28"/>
        </w:rPr>
        <w:t>（商务技术文件）</w:t>
      </w:r>
    </w:p>
    <w:p w14:paraId="413341C1">
      <w:pPr>
        <w:pageBreakBefore w:val="0"/>
        <w:kinsoku/>
        <w:topLinePunct w:val="0"/>
        <w:bidi w:val="0"/>
        <w:spacing w:line="230" w:lineRule="auto"/>
        <w:ind w:left="3827"/>
        <w:rPr>
          <w:rFonts w:ascii="仿宋" w:hAnsi="仿宋" w:eastAsia="仿宋" w:cs="仿宋"/>
          <w:sz w:val="24"/>
          <w:szCs w:val="24"/>
        </w:rPr>
      </w:pPr>
      <w:r>
        <w:rPr>
          <w:rFonts w:hint="eastAsia" w:ascii="仿宋" w:hAnsi="仿宋" w:eastAsia="仿宋" w:cs="仿宋"/>
          <w:b/>
          <w:bCs/>
          <w:spacing w:val="7"/>
          <w:sz w:val="24"/>
          <w:szCs w:val="24"/>
          <w:lang w:val="en-US" w:eastAsia="zh-CN"/>
        </w:rPr>
        <w:t>4</w:t>
      </w:r>
      <w:r>
        <w:rPr>
          <w:rFonts w:ascii="仿宋" w:hAnsi="仿宋" w:eastAsia="仿宋" w:cs="仿宋"/>
          <w:b/>
          <w:bCs/>
          <w:spacing w:val="7"/>
          <w:sz w:val="24"/>
          <w:szCs w:val="24"/>
        </w:rPr>
        <w:t>.法定代表人身份证明</w:t>
      </w:r>
    </w:p>
    <w:p w14:paraId="51A2168C">
      <w:pPr>
        <w:pStyle w:val="4"/>
        <w:pageBreakBefore w:val="0"/>
        <w:kinsoku/>
        <w:topLinePunct w:val="0"/>
        <w:bidi w:val="0"/>
        <w:spacing w:line="255" w:lineRule="auto"/>
        <w:rPr>
          <w:sz w:val="24"/>
          <w:szCs w:val="24"/>
        </w:rPr>
      </w:pPr>
    </w:p>
    <w:p w14:paraId="48971DFF">
      <w:pPr>
        <w:pStyle w:val="4"/>
        <w:pageBreakBefore w:val="0"/>
        <w:kinsoku/>
        <w:topLinePunct w:val="0"/>
        <w:bidi w:val="0"/>
        <w:spacing w:line="255" w:lineRule="auto"/>
        <w:rPr>
          <w:sz w:val="24"/>
          <w:szCs w:val="24"/>
        </w:rPr>
      </w:pPr>
    </w:p>
    <w:p w14:paraId="314031CF">
      <w:pPr>
        <w:pStyle w:val="4"/>
        <w:pageBreakBefore w:val="0"/>
        <w:kinsoku/>
        <w:topLinePunct w:val="0"/>
        <w:bidi w:val="0"/>
        <w:spacing w:line="256" w:lineRule="auto"/>
        <w:rPr>
          <w:sz w:val="24"/>
          <w:szCs w:val="24"/>
        </w:rPr>
      </w:pPr>
    </w:p>
    <w:p w14:paraId="43CFA2C8">
      <w:pPr>
        <w:pStyle w:val="4"/>
        <w:pageBreakBefore w:val="0"/>
        <w:kinsoku/>
        <w:topLinePunct w:val="0"/>
        <w:bidi w:val="0"/>
        <w:spacing w:line="256" w:lineRule="auto"/>
        <w:rPr>
          <w:sz w:val="24"/>
          <w:szCs w:val="24"/>
        </w:rPr>
      </w:pPr>
    </w:p>
    <w:p w14:paraId="58A576DD">
      <w:pPr>
        <w:pStyle w:val="4"/>
        <w:pageBreakBefore w:val="0"/>
        <w:kinsoku/>
        <w:topLinePunct w:val="0"/>
        <w:bidi w:val="0"/>
        <w:spacing w:line="256" w:lineRule="auto"/>
        <w:rPr>
          <w:sz w:val="24"/>
          <w:szCs w:val="24"/>
        </w:rPr>
      </w:pPr>
    </w:p>
    <w:p w14:paraId="5977463C">
      <w:pPr>
        <w:pageBreakBefore w:val="0"/>
        <w:kinsoku/>
        <w:topLinePunct w:val="0"/>
        <w:bidi w:val="0"/>
        <w:spacing w:before="65" w:line="229"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77A9D549">
      <w:pPr>
        <w:pageBreakBefore w:val="0"/>
        <w:kinsoku/>
        <w:topLinePunct w:val="0"/>
        <w:bidi w:val="0"/>
        <w:spacing w:before="152" w:line="231"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类型：</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2FD23E2B">
      <w:pPr>
        <w:pageBreakBefore w:val="0"/>
        <w:kinsoku/>
        <w:topLinePunct w:val="0"/>
        <w:bidi w:val="0"/>
        <w:spacing w:before="148"/>
        <w:ind w:left="644"/>
        <w:rPr>
          <w:rFonts w:ascii="仿宋" w:hAnsi="仿宋" w:eastAsia="仿宋" w:cs="仿宋"/>
          <w:sz w:val="24"/>
          <w:szCs w:val="24"/>
        </w:rPr>
      </w:pPr>
      <w:r>
        <w:rPr>
          <w:rFonts w:ascii="仿宋" w:hAnsi="仿宋" w:eastAsia="仿宋" w:cs="仿宋"/>
          <w:spacing w:val="-1"/>
          <w:sz w:val="24"/>
          <w:szCs w:val="24"/>
        </w:rPr>
        <w:t>地</w:t>
      </w:r>
      <w:r>
        <w:rPr>
          <w:rFonts w:ascii="仿宋" w:hAnsi="仿宋" w:eastAsia="仿宋" w:cs="仿宋"/>
          <w:spacing w:val="11"/>
          <w:sz w:val="24"/>
          <w:szCs w:val="24"/>
        </w:rPr>
        <w:t xml:space="preserve">    </w:t>
      </w:r>
      <w:r>
        <w:rPr>
          <w:rFonts w:ascii="仿宋" w:hAnsi="仿宋" w:eastAsia="仿宋" w:cs="仿宋"/>
          <w:spacing w:val="-1"/>
          <w:sz w:val="24"/>
          <w:szCs w:val="24"/>
        </w:rPr>
        <w:t>址：</w:t>
      </w:r>
      <w:r>
        <w:rPr>
          <w:rFonts w:ascii="仿宋" w:hAnsi="仿宋" w:eastAsia="仿宋" w:cs="仿宋"/>
          <w:spacing w:val="-1"/>
          <w:sz w:val="24"/>
          <w:szCs w:val="24"/>
          <w:u w:val="single" w:color="auto"/>
        </w:rPr>
        <w:t xml:space="preserve">                                                      </w:t>
      </w:r>
    </w:p>
    <w:p w14:paraId="0336F6E1">
      <w:pPr>
        <w:pageBreakBefore w:val="0"/>
        <w:kinsoku/>
        <w:topLinePunct w:val="0"/>
        <w:bidi w:val="0"/>
        <w:spacing w:before="140" w:line="231" w:lineRule="auto"/>
        <w:ind w:left="649"/>
        <w:rPr>
          <w:rFonts w:ascii="仿宋" w:hAnsi="仿宋" w:eastAsia="仿宋" w:cs="仿宋"/>
          <w:sz w:val="24"/>
          <w:szCs w:val="24"/>
        </w:rPr>
      </w:pPr>
      <w:r>
        <w:rPr>
          <w:rFonts w:ascii="仿宋" w:hAnsi="仿宋" w:eastAsia="仿宋" w:cs="仿宋"/>
          <w:spacing w:val="3"/>
          <w:sz w:val="24"/>
          <w:szCs w:val="24"/>
        </w:rPr>
        <w:t>营业期限：</w:t>
      </w:r>
      <w:r>
        <w:rPr>
          <w:rFonts w:ascii="仿宋" w:hAnsi="仿宋" w:eastAsia="仿宋" w:cs="仿宋"/>
          <w:spacing w:val="3"/>
          <w:sz w:val="24"/>
          <w:szCs w:val="24"/>
          <w:u w:val="single" w:color="auto"/>
        </w:rPr>
        <w:t xml:space="preserve">                                                    </w:t>
      </w:r>
    </w:p>
    <w:p w14:paraId="02A75030">
      <w:pPr>
        <w:pageBreakBefore w:val="0"/>
        <w:kinsoku/>
        <w:topLinePunct w:val="0"/>
        <w:bidi w:val="0"/>
        <w:spacing w:before="151" w:line="232" w:lineRule="auto"/>
        <w:ind w:left="646"/>
        <w:rPr>
          <w:rFonts w:ascii="仿宋" w:hAnsi="仿宋" w:eastAsia="仿宋" w:cs="仿宋"/>
          <w:sz w:val="24"/>
          <w:szCs w:val="24"/>
        </w:rPr>
      </w:pPr>
      <w:r>
        <w:rPr>
          <w:rFonts w:ascii="仿宋" w:hAnsi="仿宋" w:eastAsia="仿宋" w:cs="仿宋"/>
          <w:spacing w:val="3"/>
          <w:sz w:val="24"/>
          <w:szCs w:val="24"/>
        </w:rPr>
        <w:t>成立时间：</w:t>
      </w:r>
      <w:r>
        <w:rPr>
          <w:rFonts w:ascii="仿宋" w:hAnsi="仿宋" w:eastAsia="仿宋" w:cs="仿宋"/>
          <w:spacing w:val="3"/>
          <w:sz w:val="24"/>
          <w:szCs w:val="24"/>
          <w:u w:val="single" w:color="auto"/>
        </w:rPr>
        <w:t xml:space="preserve">                                                    </w:t>
      </w:r>
    </w:p>
    <w:p w14:paraId="74494448">
      <w:pPr>
        <w:pageBreakBefore w:val="0"/>
        <w:kinsoku/>
        <w:topLinePunct w:val="0"/>
        <w:bidi w:val="0"/>
        <w:spacing w:before="147" w:line="229" w:lineRule="auto"/>
        <w:ind w:left="643"/>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5"/>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p>
    <w:p w14:paraId="5223602B">
      <w:pPr>
        <w:pageBreakBefore w:val="0"/>
        <w:kinsoku/>
        <w:topLinePunct w:val="0"/>
        <w:bidi w:val="0"/>
        <w:spacing w:before="153" w:line="231" w:lineRule="auto"/>
        <w:ind w:left="647"/>
        <w:rPr>
          <w:rFonts w:ascii="仿宋" w:hAnsi="仿宋" w:eastAsia="仿宋" w:cs="仿宋"/>
          <w:sz w:val="24"/>
          <w:szCs w:val="24"/>
        </w:rPr>
      </w:pPr>
      <w:r>
        <w:rPr>
          <w:rFonts w:ascii="仿宋" w:hAnsi="仿宋" w:eastAsia="仿宋" w:cs="仿宋"/>
          <w:spacing w:val="4"/>
          <w:sz w:val="24"/>
          <w:szCs w:val="24"/>
        </w:rPr>
        <w:t>年龄：</w:t>
      </w:r>
      <w:r>
        <w:rPr>
          <w:rFonts w:ascii="仿宋" w:hAnsi="仿宋" w:eastAsia="仿宋" w:cs="仿宋"/>
          <w:spacing w:val="5"/>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0ACB2B33">
      <w:pPr>
        <w:pageBreakBefore w:val="0"/>
        <w:kinsoku/>
        <w:topLinePunct w:val="0"/>
        <w:bidi w:val="0"/>
        <w:spacing w:before="151" w:line="229" w:lineRule="auto"/>
        <w:ind w:left="651"/>
        <w:rPr>
          <w:rFonts w:ascii="仿宋" w:hAnsi="仿宋" w:eastAsia="仿宋" w:cs="仿宋"/>
          <w:sz w:val="24"/>
          <w:szCs w:val="24"/>
        </w:rPr>
      </w:pPr>
      <w:r>
        <w:rPr>
          <w:rFonts w:ascii="仿宋" w:hAnsi="仿宋" w:eastAsia="仿宋" w:cs="仿宋"/>
          <w:spacing w:val="5"/>
          <w:sz w:val="24"/>
          <w:szCs w:val="24"/>
        </w:rPr>
        <w:t xml:space="preserve">系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hint="eastAsia" w:ascii="仿宋" w:hAnsi="仿宋" w:eastAsia="仿宋" w:cs="仿宋"/>
          <w:spacing w:val="5"/>
          <w:sz w:val="24"/>
          <w:szCs w:val="24"/>
          <w:lang w:eastAsia="zh-CN"/>
        </w:rPr>
        <w:t>供应商</w:t>
      </w:r>
      <w:r>
        <w:rPr>
          <w:rFonts w:ascii="仿宋" w:hAnsi="仿宋" w:eastAsia="仿宋" w:cs="仿宋"/>
          <w:spacing w:val="5"/>
          <w:sz w:val="24"/>
          <w:szCs w:val="24"/>
        </w:rPr>
        <w:t>名称）</w:t>
      </w:r>
      <w:r>
        <w:rPr>
          <w:rFonts w:ascii="仿宋" w:hAnsi="仿宋" w:eastAsia="仿宋" w:cs="仿宋"/>
          <w:spacing w:val="5"/>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5"/>
          <w:sz w:val="24"/>
          <w:szCs w:val="24"/>
        </w:rPr>
        <w:t>的法定代表人。</w:t>
      </w:r>
    </w:p>
    <w:p w14:paraId="3AEDF5E2">
      <w:pPr>
        <w:pStyle w:val="4"/>
        <w:pageBreakBefore w:val="0"/>
        <w:kinsoku/>
        <w:topLinePunct w:val="0"/>
        <w:bidi w:val="0"/>
        <w:spacing w:line="241" w:lineRule="auto"/>
        <w:rPr>
          <w:sz w:val="24"/>
          <w:szCs w:val="24"/>
        </w:rPr>
      </w:pPr>
    </w:p>
    <w:p w14:paraId="5AA32894">
      <w:pPr>
        <w:pStyle w:val="4"/>
        <w:pageBreakBefore w:val="0"/>
        <w:kinsoku/>
        <w:topLinePunct w:val="0"/>
        <w:bidi w:val="0"/>
        <w:spacing w:line="241" w:lineRule="auto"/>
        <w:rPr>
          <w:sz w:val="24"/>
          <w:szCs w:val="24"/>
        </w:rPr>
      </w:pPr>
    </w:p>
    <w:p w14:paraId="33C1AE28">
      <w:pPr>
        <w:pageBreakBefore w:val="0"/>
        <w:kinsoku/>
        <w:topLinePunct w:val="0"/>
        <w:bidi w:val="0"/>
        <w:spacing w:before="66" w:line="232" w:lineRule="auto"/>
        <w:ind w:left="642"/>
        <w:rPr>
          <w:rFonts w:ascii="仿宋" w:hAnsi="仿宋" w:eastAsia="仿宋" w:cs="仿宋"/>
          <w:sz w:val="24"/>
          <w:szCs w:val="24"/>
        </w:rPr>
      </w:pPr>
      <w:r>
        <w:rPr>
          <w:rFonts w:ascii="仿宋" w:hAnsi="仿宋" w:eastAsia="仿宋" w:cs="仿宋"/>
          <w:spacing w:val="4"/>
          <w:sz w:val="24"/>
          <w:szCs w:val="24"/>
        </w:rPr>
        <w:t>特此证明。</w:t>
      </w:r>
    </w:p>
    <w:p w14:paraId="16688A84">
      <w:pPr>
        <w:pageBreakBefore w:val="0"/>
        <w:kinsoku/>
        <w:topLinePunct w:val="0"/>
        <w:bidi w:val="0"/>
        <w:spacing w:before="25"/>
      </w:pPr>
    </w:p>
    <w:tbl>
      <w:tblPr>
        <w:tblStyle w:val="15"/>
        <w:tblW w:w="4251" w:type="dxa"/>
        <w:tblInd w:w="482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060FCD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vAlign w:val="top"/>
          </w:tcPr>
          <w:p w14:paraId="48FE65D2">
            <w:pPr>
              <w:pageBreakBefore w:val="0"/>
              <w:kinsoku/>
              <w:topLinePunct w:val="0"/>
              <w:bidi w:val="0"/>
              <w:spacing w:line="260" w:lineRule="auto"/>
              <w:rPr>
                <w:rFonts w:ascii="Arial"/>
                <w:sz w:val="21"/>
              </w:rPr>
            </w:pPr>
          </w:p>
          <w:p w14:paraId="422CA5A8">
            <w:pPr>
              <w:pageBreakBefore w:val="0"/>
              <w:kinsoku/>
              <w:topLinePunct w:val="0"/>
              <w:bidi w:val="0"/>
              <w:spacing w:line="260" w:lineRule="auto"/>
              <w:rPr>
                <w:rFonts w:ascii="Arial"/>
                <w:sz w:val="21"/>
              </w:rPr>
            </w:pPr>
          </w:p>
          <w:p w14:paraId="4EB823F1">
            <w:pPr>
              <w:pageBreakBefore w:val="0"/>
              <w:kinsoku/>
              <w:topLinePunct w:val="0"/>
              <w:bidi w:val="0"/>
              <w:spacing w:line="261" w:lineRule="auto"/>
              <w:rPr>
                <w:rFonts w:ascii="Arial"/>
                <w:sz w:val="21"/>
              </w:rPr>
            </w:pPr>
          </w:p>
          <w:p w14:paraId="1D3585D0">
            <w:pPr>
              <w:pageBreakBefore w:val="0"/>
              <w:kinsoku/>
              <w:topLinePunct w:val="0"/>
              <w:bidi w:val="0"/>
              <w:spacing w:line="261" w:lineRule="auto"/>
              <w:rPr>
                <w:rFonts w:ascii="Arial"/>
                <w:sz w:val="21"/>
              </w:rPr>
            </w:pPr>
          </w:p>
          <w:p w14:paraId="7463E039">
            <w:pPr>
              <w:pageBreakBefore w:val="0"/>
              <w:kinsoku/>
              <w:topLinePunct w:val="0"/>
              <w:bidi w:val="0"/>
              <w:spacing w:line="261" w:lineRule="auto"/>
              <w:rPr>
                <w:rFonts w:ascii="Arial"/>
                <w:sz w:val="21"/>
              </w:rPr>
            </w:pPr>
          </w:p>
          <w:p w14:paraId="0771B94A">
            <w:pPr>
              <w:pageBreakBefore w:val="0"/>
              <w:kinsoku/>
              <w:topLinePunct w:val="0"/>
              <w:bidi w:val="0"/>
              <w:spacing w:before="65" w:line="227" w:lineRule="auto"/>
              <w:ind w:left="1118"/>
              <w:rPr>
                <w:rFonts w:ascii="宋体" w:hAnsi="宋体" w:eastAsia="宋体" w:cs="宋体"/>
                <w:sz w:val="20"/>
                <w:szCs w:val="20"/>
              </w:rPr>
            </w:pPr>
            <w:r>
              <w:rPr>
                <w:rFonts w:ascii="宋体" w:hAnsi="宋体" w:eastAsia="宋体" w:cs="宋体"/>
                <w:spacing w:val="7"/>
                <w:sz w:val="20"/>
                <w:szCs w:val="20"/>
              </w:rPr>
              <w:t>附法人身份证复印件反面</w:t>
            </w:r>
          </w:p>
        </w:tc>
      </w:tr>
    </w:tbl>
    <w:p w14:paraId="2F00B8EC">
      <w:pPr>
        <w:pStyle w:val="4"/>
        <w:pageBreakBefore w:val="0"/>
        <w:kinsoku/>
        <w:topLinePunct w:val="0"/>
        <w:bidi w:val="0"/>
        <w:spacing w:line="282" w:lineRule="auto"/>
      </w:pPr>
    </w:p>
    <w:p w14:paraId="7A60556B">
      <w:pPr>
        <w:pStyle w:val="4"/>
        <w:pageBreakBefore w:val="0"/>
        <w:kinsoku/>
        <w:topLinePunct w:val="0"/>
        <w:bidi w:val="0"/>
        <w:spacing w:line="283" w:lineRule="auto"/>
      </w:pPr>
    </w:p>
    <w:p w14:paraId="0284FD9E">
      <w:pPr>
        <w:pStyle w:val="4"/>
        <w:pageBreakBefore w:val="0"/>
        <w:kinsoku/>
        <w:topLinePunct w:val="0"/>
        <w:bidi w:val="0"/>
        <w:spacing w:line="283" w:lineRule="auto"/>
      </w:pPr>
    </w:p>
    <w:p w14:paraId="6A676296">
      <w:pPr>
        <w:pStyle w:val="4"/>
        <w:pageBreakBefore w:val="0"/>
        <w:kinsoku/>
        <w:topLinePunct w:val="0"/>
        <w:bidi w:val="0"/>
        <w:spacing w:line="283" w:lineRule="auto"/>
      </w:pPr>
    </w:p>
    <w:p w14:paraId="2D1AB853">
      <w:pPr>
        <w:pStyle w:val="4"/>
        <w:pageBreakBefore w:val="0"/>
        <w:kinsoku/>
        <w:topLinePunct w:val="0"/>
        <w:bidi w:val="0"/>
        <w:spacing w:line="283" w:lineRule="auto"/>
        <w:rPr>
          <w:sz w:val="24"/>
          <w:szCs w:val="24"/>
        </w:rPr>
      </w:pPr>
    </w:p>
    <w:p w14:paraId="756C6AA8">
      <w:pPr>
        <w:pageBreakBefore w:val="0"/>
        <w:kinsoku/>
        <w:topLinePunct w:val="0"/>
        <w:bidi w:val="0"/>
        <w:spacing w:before="66" w:line="229" w:lineRule="auto"/>
        <w:ind w:left="4364"/>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2BF41AF6">
      <w:pPr>
        <w:pageBreakBefore w:val="0"/>
        <w:kinsoku/>
        <w:topLinePunct w:val="0"/>
        <w:bidi w:val="0"/>
        <w:spacing w:before="25" w:line="231" w:lineRule="auto"/>
        <w:ind w:left="436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3BE451A3">
      <w:pPr>
        <w:pageBreakBefore w:val="0"/>
        <w:kinsoku/>
        <w:topLinePunct w:val="0"/>
        <w:bidi w:val="0"/>
        <w:spacing w:before="131" w:line="231" w:lineRule="auto"/>
        <w:ind w:left="4409"/>
        <w:rPr>
          <w:rFonts w:ascii="仿宋" w:hAnsi="仿宋" w:eastAsia="仿宋" w:cs="仿宋"/>
          <w:sz w:val="20"/>
          <w:szCs w:val="20"/>
        </w:rPr>
      </w:pPr>
      <w:r>
        <w:rPr>
          <w:rFonts w:ascii="仿宋" w:hAnsi="仿宋" w:eastAsia="仿宋" w:cs="仿宋"/>
          <w:spacing w:val="-13"/>
          <w:sz w:val="24"/>
          <w:szCs w:val="24"/>
        </w:rPr>
        <w:t>日</w:t>
      </w:r>
      <w:r>
        <w:rPr>
          <w:rFonts w:ascii="仿宋" w:hAnsi="仿宋" w:eastAsia="仿宋" w:cs="仿宋"/>
          <w:spacing w:val="9"/>
          <w:sz w:val="24"/>
          <w:szCs w:val="24"/>
        </w:rPr>
        <w:t xml:space="preserve">   </w:t>
      </w:r>
      <w:r>
        <w:rPr>
          <w:rFonts w:ascii="仿宋" w:hAnsi="仿宋" w:eastAsia="仿宋" w:cs="仿宋"/>
          <w:spacing w:val="-13"/>
          <w:sz w:val="24"/>
          <w:szCs w:val="24"/>
        </w:rPr>
        <w:t>期：</w:t>
      </w:r>
      <w:r>
        <w:rPr>
          <w:rFonts w:ascii="仿宋" w:hAnsi="仿宋" w:eastAsia="仿宋" w:cs="仿宋"/>
          <w:spacing w:val="16"/>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3"/>
          <w:sz w:val="24"/>
          <w:szCs w:val="24"/>
        </w:rPr>
        <w:t>年</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13"/>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0"/>
          <w:sz w:val="24"/>
          <w:szCs w:val="24"/>
        </w:rPr>
        <w:t xml:space="preserve"> </w:t>
      </w:r>
      <w:r>
        <w:rPr>
          <w:rFonts w:ascii="仿宋" w:hAnsi="仿宋" w:eastAsia="仿宋" w:cs="仿宋"/>
          <w:spacing w:val="-13"/>
          <w:sz w:val="20"/>
          <w:szCs w:val="20"/>
        </w:rPr>
        <w:t>日</w:t>
      </w:r>
    </w:p>
    <w:p w14:paraId="2BB8AE0C">
      <w:pPr>
        <w:pageBreakBefore w:val="0"/>
        <w:kinsoku/>
        <w:topLinePunct w:val="0"/>
        <w:bidi w:val="0"/>
        <w:spacing w:line="231" w:lineRule="auto"/>
        <w:rPr>
          <w:rFonts w:ascii="仿宋" w:hAnsi="仿宋" w:eastAsia="仿宋" w:cs="仿宋"/>
          <w:sz w:val="20"/>
          <w:szCs w:val="20"/>
        </w:rPr>
        <w:sectPr>
          <w:pgSz w:w="11906" w:h="16839"/>
          <w:pgMar w:top="1440" w:right="1080" w:bottom="1440" w:left="1080" w:header="0" w:footer="1054" w:gutter="0"/>
          <w:pgNumType w:fmt="decimal"/>
          <w:cols w:space="720" w:num="1"/>
        </w:sectPr>
      </w:pPr>
    </w:p>
    <w:p w14:paraId="292659C1">
      <w:pPr>
        <w:pStyle w:val="4"/>
        <w:pageBreakBefore w:val="0"/>
        <w:kinsoku/>
        <w:topLinePunct w:val="0"/>
        <w:bidi w:val="0"/>
        <w:spacing w:line="241" w:lineRule="auto"/>
        <w:jc w:val="center"/>
        <w:rPr>
          <w:rFonts w:hint="eastAsia" w:ascii="仿宋" w:hAnsi="仿宋" w:eastAsia="仿宋" w:cs="仿宋"/>
          <w:b/>
          <w:bCs/>
          <w:snapToGrid w:val="0"/>
          <w:color w:val="000000"/>
          <w:spacing w:val="11"/>
          <w:kern w:val="0"/>
          <w:position w:val="20"/>
          <w:sz w:val="24"/>
          <w:szCs w:val="24"/>
          <w:lang w:val="en-US" w:eastAsia="en-US" w:bidi="ar-SA"/>
        </w:rPr>
      </w:pPr>
      <w:r>
        <w:rPr>
          <w:rFonts w:hint="eastAsia" w:ascii="仿宋" w:hAnsi="仿宋" w:eastAsia="仿宋" w:cs="仿宋"/>
          <w:b/>
          <w:bCs/>
          <w:snapToGrid w:val="0"/>
          <w:color w:val="000000"/>
          <w:spacing w:val="11"/>
          <w:kern w:val="0"/>
          <w:position w:val="20"/>
          <w:sz w:val="24"/>
          <w:szCs w:val="24"/>
          <w:lang w:val="en-US" w:eastAsia="zh-CN" w:bidi="ar-SA"/>
        </w:rPr>
        <w:t>5</w:t>
      </w:r>
      <w:r>
        <w:rPr>
          <w:rFonts w:hint="eastAsia" w:ascii="仿宋" w:hAnsi="仿宋" w:eastAsia="仿宋" w:cs="仿宋"/>
          <w:b/>
          <w:bCs/>
          <w:snapToGrid w:val="0"/>
          <w:color w:val="000000"/>
          <w:spacing w:val="11"/>
          <w:kern w:val="0"/>
          <w:position w:val="20"/>
          <w:sz w:val="24"/>
          <w:szCs w:val="24"/>
          <w:lang w:val="en-US" w:eastAsia="en-US" w:bidi="ar-SA"/>
        </w:rPr>
        <w:t>.法定代表人授权委托书</w:t>
      </w:r>
    </w:p>
    <w:p w14:paraId="08F06FF6">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038BE6A3">
      <w:pPr>
        <w:pStyle w:val="4"/>
        <w:pageBreakBefore w:val="0"/>
        <w:kinsoku/>
        <w:topLinePunct w:val="0"/>
        <w:bidi w:val="0"/>
        <w:spacing w:line="241" w:lineRule="auto"/>
        <w:ind w:firstLine="524" w:firstLineChars="200"/>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本授权委托书声明：我</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系</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的法定代表人，现授 权委托</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为我公司代理人，以本公司的名义参加</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采购人</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项目的</w:t>
      </w:r>
      <w:r>
        <w:rPr>
          <w:rFonts w:hint="eastAsia" w:ascii="仿宋" w:hAnsi="仿宋" w:eastAsia="仿宋" w:cs="仿宋"/>
          <w:snapToGrid w:val="0"/>
          <w:color w:val="000000"/>
          <w:spacing w:val="11"/>
          <w:kern w:val="0"/>
          <w:position w:val="20"/>
          <w:sz w:val="24"/>
          <w:szCs w:val="24"/>
          <w:lang w:val="en-US" w:eastAsia="zh-CN" w:bidi="ar-SA"/>
        </w:rPr>
        <w:t>磋商</w:t>
      </w:r>
      <w:r>
        <w:rPr>
          <w:rFonts w:hint="eastAsia" w:ascii="仿宋" w:hAnsi="仿宋" w:eastAsia="仿宋" w:cs="仿宋"/>
          <w:snapToGrid w:val="0"/>
          <w:color w:val="000000"/>
          <w:spacing w:val="11"/>
          <w:kern w:val="0"/>
          <w:position w:val="20"/>
          <w:sz w:val="24"/>
          <w:szCs w:val="24"/>
          <w:lang w:val="en-US" w:eastAsia="en-US" w:bidi="ar-SA"/>
        </w:rPr>
        <w:t>活动。代理人签署的</w:t>
      </w:r>
      <w:r>
        <w:rPr>
          <w:rFonts w:hint="eastAsia" w:ascii="仿宋" w:hAnsi="仿宋" w:eastAsia="仿宋" w:cs="仿宋"/>
          <w:snapToGrid w:val="0"/>
          <w:color w:val="000000"/>
          <w:spacing w:val="11"/>
          <w:kern w:val="0"/>
          <w:position w:val="20"/>
          <w:sz w:val="24"/>
          <w:szCs w:val="24"/>
          <w:lang w:val="en-US" w:eastAsia="zh-CN" w:bidi="ar-SA"/>
        </w:rPr>
        <w:t>响应文件</w:t>
      </w:r>
      <w:r>
        <w:rPr>
          <w:rFonts w:hint="eastAsia" w:ascii="仿宋" w:hAnsi="仿宋" w:eastAsia="仿宋" w:cs="仿宋"/>
          <w:snapToGrid w:val="0"/>
          <w:color w:val="000000"/>
          <w:spacing w:val="11"/>
          <w:kern w:val="0"/>
          <w:position w:val="20"/>
          <w:sz w:val="24"/>
          <w:szCs w:val="24"/>
          <w:lang w:val="en-US" w:eastAsia="en-US" w:bidi="ar-SA"/>
        </w:rPr>
        <w:t>和参加整个</w:t>
      </w:r>
      <w:r>
        <w:rPr>
          <w:rFonts w:hint="eastAsia" w:ascii="仿宋" w:hAnsi="仿宋" w:eastAsia="仿宋" w:cs="仿宋"/>
          <w:snapToGrid w:val="0"/>
          <w:color w:val="000000"/>
          <w:spacing w:val="11"/>
          <w:kern w:val="0"/>
          <w:position w:val="20"/>
          <w:sz w:val="24"/>
          <w:szCs w:val="24"/>
          <w:lang w:val="en-US" w:eastAsia="zh-CN" w:bidi="ar-SA"/>
        </w:rPr>
        <w:t>磋商</w:t>
      </w:r>
      <w:r>
        <w:rPr>
          <w:rFonts w:hint="eastAsia" w:ascii="仿宋" w:hAnsi="仿宋" w:eastAsia="仿宋" w:cs="仿宋"/>
          <w:snapToGrid w:val="0"/>
          <w:color w:val="000000"/>
          <w:spacing w:val="11"/>
          <w:kern w:val="0"/>
          <w:position w:val="20"/>
          <w:sz w:val="24"/>
          <w:szCs w:val="24"/>
          <w:lang w:val="en-US" w:eastAsia="en-US" w:bidi="ar-SA"/>
        </w:rPr>
        <w:t>活动中所签署的一切文件和处理与之有关的一切事物，我均予以承认。</w:t>
      </w:r>
    </w:p>
    <w:p w14:paraId="5C9AE258">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9A65D8B">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性别：</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年龄：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081D2D27">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单  位：</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部门：</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职务：</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1E28F843">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代理人无转委权。特此委托。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4981"/>
      </w:tblGrid>
      <w:tr w14:paraId="767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8" w:hRule="atLeast"/>
        </w:trPr>
        <w:tc>
          <w:tcPr>
            <w:tcW w:w="4981" w:type="dxa"/>
            <w:vAlign w:val="center"/>
          </w:tcPr>
          <w:p w14:paraId="3E11220A">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附法人身份证复印件正面</w:t>
            </w:r>
          </w:p>
          <w:p w14:paraId="3BFC3793">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453ED89">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575EEC5B">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r w14:paraId="3C5E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50A52435">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附委托人身份证复印件正面</w:t>
            </w:r>
          </w:p>
          <w:p w14:paraId="51100682">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3E32683">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7D98D7EC">
            <w:pPr>
              <w:pStyle w:val="4"/>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bl>
    <w:p w14:paraId="5E314C05">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6DA0DBB">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名称(公章)：</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D26BCB8">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 xml:space="preserve">法人（签字或盖章）：  </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E949568">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法定代表人身份证号：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19D5E5F4">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委托人签字：</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062C4F4D">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66390393">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日      期：</w:t>
      </w:r>
      <w:r>
        <w:rPr>
          <w:rFonts w:hint="eastAsia" w:ascii="仿宋" w:hAnsi="仿宋" w:eastAsia="仿宋" w:cs="仿宋"/>
          <w:snapToGrid w:val="0"/>
          <w:color w:val="000000"/>
          <w:spacing w:val="11"/>
          <w:kern w:val="0"/>
          <w:position w:val="20"/>
          <w:sz w:val="24"/>
          <w:szCs w:val="24"/>
          <w:u w:val="single"/>
          <w:lang w:val="en-US" w:eastAsia="en-US" w:bidi="ar-SA"/>
        </w:rPr>
        <w:t xml:space="preserve">      年    月    日</w:t>
      </w:r>
    </w:p>
    <w:p w14:paraId="3E6CAF8C">
      <w:pPr>
        <w:pStyle w:val="4"/>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17097B57">
      <w:pPr>
        <w:pStyle w:val="4"/>
        <w:pageBreakBefore w:val="0"/>
        <w:kinsoku/>
        <w:topLinePunct w:val="0"/>
        <w:bidi w:val="0"/>
        <w:spacing w:line="241" w:lineRule="auto"/>
        <w:rPr>
          <w:rFonts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注：若公司法人前来参加</w:t>
      </w:r>
      <w:r>
        <w:rPr>
          <w:rFonts w:hint="eastAsia" w:ascii="仿宋" w:hAnsi="仿宋" w:eastAsia="仿宋" w:cs="仿宋"/>
          <w:snapToGrid w:val="0"/>
          <w:color w:val="000000"/>
          <w:spacing w:val="11"/>
          <w:kern w:val="0"/>
          <w:position w:val="20"/>
          <w:sz w:val="24"/>
          <w:szCs w:val="24"/>
          <w:lang w:val="en-US" w:eastAsia="zh-CN" w:bidi="ar-SA"/>
        </w:rPr>
        <w:t>活动</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，可以不提供此项证明文件。</w:t>
      </w:r>
    </w:p>
    <w:p w14:paraId="09FFB08A">
      <w:pPr>
        <w:pageBreakBefore w:val="0"/>
        <w:kinsoku/>
        <w:topLinePunct w:val="0"/>
        <w:bidi w:val="0"/>
        <w:spacing w:before="42" w:line="231" w:lineRule="auto"/>
        <w:outlineLvl w:val="2"/>
        <w:rPr>
          <w:rFonts w:ascii="仿宋" w:hAnsi="仿宋" w:eastAsia="仿宋" w:cs="仿宋"/>
          <w:b/>
          <w:bCs/>
          <w:spacing w:val="6"/>
          <w:sz w:val="20"/>
          <w:szCs w:val="20"/>
        </w:rPr>
      </w:pPr>
    </w:p>
    <w:p w14:paraId="09198EA5">
      <w:pPr>
        <w:pageBreakBefore w:val="0"/>
        <w:kinsoku/>
        <w:topLinePunct w:val="0"/>
        <w:bidi w:val="0"/>
        <w:spacing w:before="42" w:line="231" w:lineRule="auto"/>
        <w:ind w:left="398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6</w:t>
      </w:r>
      <w:r>
        <w:rPr>
          <w:rFonts w:ascii="仿宋" w:hAnsi="仿宋" w:eastAsia="仿宋" w:cs="仿宋"/>
          <w:b/>
          <w:bCs/>
          <w:spacing w:val="6"/>
          <w:sz w:val="24"/>
          <w:szCs w:val="24"/>
        </w:rPr>
        <w:t>、</w:t>
      </w:r>
      <w:r>
        <w:rPr>
          <w:rFonts w:hint="eastAsia" w:ascii="仿宋" w:hAnsi="仿宋" w:eastAsia="仿宋" w:cs="仿宋"/>
          <w:b/>
          <w:bCs/>
          <w:spacing w:val="6"/>
          <w:sz w:val="24"/>
          <w:szCs w:val="24"/>
          <w:lang w:eastAsia="zh-CN"/>
        </w:rPr>
        <w:t>供应商</w:t>
      </w:r>
      <w:r>
        <w:rPr>
          <w:rFonts w:ascii="仿宋" w:hAnsi="仿宋" w:eastAsia="仿宋" w:cs="仿宋"/>
          <w:b/>
          <w:bCs/>
          <w:spacing w:val="6"/>
          <w:sz w:val="24"/>
          <w:szCs w:val="24"/>
        </w:rPr>
        <w:t>基本情况</w:t>
      </w:r>
    </w:p>
    <w:p w14:paraId="3ACE6FBA">
      <w:pPr>
        <w:pageBreakBefore w:val="0"/>
        <w:kinsoku/>
        <w:topLinePunct w:val="0"/>
        <w:bidi w:val="0"/>
        <w:spacing w:line="89" w:lineRule="exact"/>
        <w:rPr>
          <w:sz w:val="24"/>
          <w:szCs w:val="24"/>
        </w:rPr>
      </w:pPr>
    </w:p>
    <w:tbl>
      <w:tblPr>
        <w:tblStyle w:val="15"/>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483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vAlign w:val="top"/>
          </w:tcPr>
          <w:p w14:paraId="3D782FF9">
            <w:pPr>
              <w:pStyle w:val="16"/>
              <w:pageBreakBefore w:val="0"/>
              <w:kinsoku/>
              <w:topLinePunct w:val="0"/>
              <w:bidi w:val="0"/>
              <w:spacing w:before="150" w:line="229" w:lineRule="auto"/>
              <w:ind w:left="531"/>
              <w:rPr>
                <w:sz w:val="24"/>
                <w:szCs w:val="24"/>
              </w:rPr>
            </w:pPr>
            <w:r>
              <w:rPr>
                <w:rFonts w:hint="eastAsia"/>
                <w:b/>
                <w:bCs/>
                <w:spacing w:val="5"/>
                <w:sz w:val="24"/>
                <w:szCs w:val="24"/>
                <w:lang w:eastAsia="zh-CN"/>
              </w:rPr>
              <w:t>供应商</w:t>
            </w:r>
            <w:r>
              <w:rPr>
                <w:b/>
                <w:bCs/>
                <w:spacing w:val="5"/>
                <w:sz w:val="24"/>
                <w:szCs w:val="24"/>
              </w:rPr>
              <w:t>名称</w:t>
            </w:r>
          </w:p>
        </w:tc>
        <w:tc>
          <w:tcPr>
            <w:tcW w:w="6512" w:type="dxa"/>
            <w:gridSpan w:val="4"/>
            <w:vAlign w:val="top"/>
          </w:tcPr>
          <w:p w14:paraId="62CBC57E">
            <w:pPr>
              <w:pageBreakBefore w:val="0"/>
              <w:kinsoku/>
              <w:topLinePunct w:val="0"/>
              <w:bidi w:val="0"/>
              <w:rPr>
                <w:rFonts w:ascii="Arial"/>
                <w:sz w:val="24"/>
                <w:szCs w:val="24"/>
              </w:rPr>
            </w:pPr>
          </w:p>
        </w:tc>
      </w:tr>
      <w:tr w14:paraId="257A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1942464">
            <w:pPr>
              <w:pStyle w:val="16"/>
              <w:pageBreakBefore w:val="0"/>
              <w:kinsoku/>
              <w:topLinePunct w:val="0"/>
              <w:bidi w:val="0"/>
              <w:spacing w:before="147" w:line="232" w:lineRule="auto"/>
              <w:ind w:left="643"/>
              <w:rPr>
                <w:sz w:val="24"/>
                <w:szCs w:val="24"/>
              </w:rPr>
            </w:pPr>
            <w:r>
              <w:rPr>
                <w:b/>
                <w:bCs/>
                <w:spacing w:val="3"/>
                <w:sz w:val="24"/>
                <w:szCs w:val="24"/>
              </w:rPr>
              <w:t>注册地址</w:t>
            </w:r>
          </w:p>
        </w:tc>
        <w:tc>
          <w:tcPr>
            <w:tcW w:w="6512" w:type="dxa"/>
            <w:gridSpan w:val="4"/>
            <w:vAlign w:val="top"/>
          </w:tcPr>
          <w:p w14:paraId="11C1FF31">
            <w:pPr>
              <w:pageBreakBefore w:val="0"/>
              <w:kinsoku/>
              <w:topLinePunct w:val="0"/>
              <w:bidi w:val="0"/>
              <w:rPr>
                <w:rFonts w:ascii="Arial"/>
                <w:sz w:val="24"/>
                <w:szCs w:val="24"/>
              </w:rPr>
            </w:pPr>
          </w:p>
        </w:tc>
      </w:tr>
      <w:tr w14:paraId="4215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vAlign w:val="top"/>
          </w:tcPr>
          <w:p w14:paraId="642AC635">
            <w:pPr>
              <w:pageBreakBefore w:val="0"/>
              <w:kinsoku/>
              <w:topLinePunct w:val="0"/>
              <w:bidi w:val="0"/>
              <w:spacing w:line="332" w:lineRule="auto"/>
              <w:rPr>
                <w:rFonts w:ascii="Arial"/>
                <w:sz w:val="24"/>
                <w:szCs w:val="24"/>
              </w:rPr>
            </w:pPr>
          </w:p>
          <w:p w14:paraId="1CA4E9EE">
            <w:pPr>
              <w:pStyle w:val="16"/>
              <w:pageBreakBefore w:val="0"/>
              <w:kinsoku/>
              <w:topLinePunct w:val="0"/>
              <w:bidi w:val="0"/>
              <w:spacing w:before="65" w:line="232" w:lineRule="auto"/>
              <w:ind w:left="635"/>
              <w:rPr>
                <w:sz w:val="24"/>
                <w:szCs w:val="24"/>
              </w:rPr>
            </w:pPr>
            <w:r>
              <w:rPr>
                <w:b/>
                <w:bCs/>
                <w:spacing w:val="5"/>
                <w:sz w:val="24"/>
                <w:szCs w:val="24"/>
              </w:rPr>
              <w:t>联系方式</w:t>
            </w:r>
          </w:p>
        </w:tc>
        <w:tc>
          <w:tcPr>
            <w:tcW w:w="1765" w:type="dxa"/>
            <w:vAlign w:val="top"/>
          </w:tcPr>
          <w:p w14:paraId="1E271310">
            <w:pPr>
              <w:pStyle w:val="16"/>
              <w:pageBreakBefore w:val="0"/>
              <w:kinsoku/>
              <w:topLinePunct w:val="0"/>
              <w:bidi w:val="0"/>
              <w:spacing w:before="146" w:line="233" w:lineRule="auto"/>
              <w:ind w:left="574"/>
              <w:rPr>
                <w:sz w:val="24"/>
                <w:szCs w:val="24"/>
              </w:rPr>
            </w:pPr>
            <w:r>
              <w:rPr>
                <w:b/>
                <w:bCs/>
                <w:spacing w:val="4"/>
                <w:sz w:val="24"/>
                <w:szCs w:val="24"/>
              </w:rPr>
              <w:t>联系人</w:t>
            </w:r>
          </w:p>
        </w:tc>
        <w:tc>
          <w:tcPr>
            <w:tcW w:w="1210" w:type="dxa"/>
            <w:vAlign w:val="top"/>
          </w:tcPr>
          <w:p w14:paraId="787310C0">
            <w:pPr>
              <w:pageBreakBefore w:val="0"/>
              <w:kinsoku/>
              <w:topLinePunct w:val="0"/>
              <w:bidi w:val="0"/>
              <w:rPr>
                <w:rFonts w:ascii="Arial"/>
                <w:sz w:val="24"/>
                <w:szCs w:val="24"/>
              </w:rPr>
            </w:pPr>
          </w:p>
        </w:tc>
        <w:tc>
          <w:tcPr>
            <w:tcW w:w="1766" w:type="dxa"/>
            <w:vAlign w:val="top"/>
          </w:tcPr>
          <w:p w14:paraId="4F098142">
            <w:pPr>
              <w:pStyle w:val="16"/>
              <w:pageBreakBefore w:val="0"/>
              <w:kinsoku/>
              <w:topLinePunct w:val="0"/>
              <w:bidi w:val="0"/>
              <w:spacing w:before="145" w:line="232" w:lineRule="auto"/>
              <w:ind w:left="706"/>
              <w:rPr>
                <w:sz w:val="24"/>
                <w:szCs w:val="24"/>
              </w:rPr>
            </w:pPr>
            <w:r>
              <w:rPr>
                <w:b/>
                <w:bCs/>
                <w:spacing w:val="-11"/>
                <w:sz w:val="24"/>
                <w:szCs w:val="24"/>
              </w:rPr>
              <w:t>电话</w:t>
            </w:r>
          </w:p>
        </w:tc>
        <w:tc>
          <w:tcPr>
            <w:tcW w:w="1771" w:type="dxa"/>
            <w:vAlign w:val="top"/>
          </w:tcPr>
          <w:p w14:paraId="09A80238">
            <w:pPr>
              <w:pageBreakBefore w:val="0"/>
              <w:kinsoku/>
              <w:topLinePunct w:val="0"/>
              <w:bidi w:val="0"/>
              <w:rPr>
                <w:rFonts w:ascii="Arial"/>
                <w:sz w:val="24"/>
                <w:szCs w:val="24"/>
              </w:rPr>
            </w:pPr>
          </w:p>
        </w:tc>
      </w:tr>
      <w:tr w14:paraId="193D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vAlign w:val="top"/>
          </w:tcPr>
          <w:p w14:paraId="14B0AC07">
            <w:pPr>
              <w:pageBreakBefore w:val="0"/>
              <w:kinsoku/>
              <w:topLinePunct w:val="0"/>
              <w:bidi w:val="0"/>
              <w:rPr>
                <w:rFonts w:ascii="Arial"/>
                <w:sz w:val="24"/>
                <w:szCs w:val="24"/>
              </w:rPr>
            </w:pPr>
          </w:p>
        </w:tc>
        <w:tc>
          <w:tcPr>
            <w:tcW w:w="1765" w:type="dxa"/>
            <w:vAlign w:val="top"/>
          </w:tcPr>
          <w:p w14:paraId="11F9EE15">
            <w:pPr>
              <w:pStyle w:val="16"/>
              <w:pageBreakBefore w:val="0"/>
              <w:kinsoku/>
              <w:topLinePunct w:val="0"/>
              <w:bidi w:val="0"/>
              <w:spacing w:before="144" w:line="232" w:lineRule="auto"/>
              <w:ind w:left="685"/>
              <w:rPr>
                <w:sz w:val="24"/>
                <w:szCs w:val="24"/>
              </w:rPr>
            </w:pPr>
            <w:r>
              <w:rPr>
                <w:b/>
                <w:bCs/>
                <w:spacing w:val="-1"/>
                <w:sz w:val="24"/>
                <w:szCs w:val="24"/>
              </w:rPr>
              <w:t>传真</w:t>
            </w:r>
          </w:p>
        </w:tc>
        <w:tc>
          <w:tcPr>
            <w:tcW w:w="1210" w:type="dxa"/>
            <w:vAlign w:val="top"/>
          </w:tcPr>
          <w:p w14:paraId="3036F7B6">
            <w:pPr>
              <w:pageBreakBefore w:val="0"/>
              <w:kinsoku/>
              <w:topLinePunct w:val="0"/>
              <w:bidi w:val="0"/>
              <w:rPr>
                <w:rFonts w:ascii="Arial"/>
                <w:sz w:val="24"/>
                <w:szCs w:val="24"/>
              </w:rPr>
            </w:pPr>
          </w:p>
        </w:tc>
        <w:tc>
          <w:tcPr>
            <w:tcW w:w="1766" w:type="dxa"/>
            <w:vAlign w:val="top"/>
          </w:tcPr>
          <w:p w14:paraId="7C9BA86E">
            <w:pPr>
              <w:pStyle w:val="16"/>
              <w:pageBreakBefore w:val="0"/>
              <w:kinsoku/>
              <w:topLinePunct w:val="0"/>
              <w:bidi w:val="0"/>
              <w:spacing w:before="145" w:line="229" w:lineRule="auto"/>
              <w:ind w:left="497"/>
              <w:rPr>
                <w:sz w:val="24"/>
                <w:szCs w:val="24"/>
              </w:rPr>
            </w:pPr>
            <w:r>
              <w:rPr>
                <w:b/>
                <w:bCs/>
                <w:spacing w:val="-1"/>
                <w:sz w:val="24"/>
                <w:szCs w:val="24"/>
              </w:rPr>
              <w:t>电子邮箱</w:t>
            </w:r>
          </w:p>
        </w:tc>
        <w:tc>
          <w:tcPr>
            <w:tcW w:w="1771" w:type="dxa"/>
            <w:vAlign w:val="top"/>
          </w:tcPr>
          <w:p w14:paraId="58C497C4">
            <w:pPr>
              <w:pageBreakBefore w:val="0"/>
              <w:kinsoku/>
              <w:topLinePunct w:val="0"/>
              <w:bidi w:val="0"/>
              <w:rPr>
                <w:rFonts w:ascii="Arial"/>
                <w:sz w:val="24"/>
                <w:szCs w:val="24"/>
              </w:rPr>
            </w:pPr>
          </w:p>
        </w:tc>
      </w:tr>
      <w:tr w14:paraId="7833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vAlign w:val="top"/>
          </w:tcPr>
          <w:p w14:paraId="318DC76E">
            <w:pPr>
              <w:pStyle w:val="16"/>
              <w:pageBreakBefore w:val="0"/>
              <w:kinsoku/>
              <w:topLinePunct w:val="0"/>
              <w:bidi w:val="0"/>
              <w:spacing w:before="126" w:line="274" w:lineRule="exact"/>
              <w:ind w:left="538"/>
              <w:rPr>
                <w:sz w:val="24"/>
                <w:szCs w:val="24"/>
              </w:rPr>
            </w:pPr>
            <w:r>
              <w:rPr>
                <w:b/>
                <w:bCs/>
                <w:spacing w:val="4"/>
                <w:position w:val="4"/>
                <w:sz w:val="24"/>
                <w:szCs w:val="24"/>
              </w:rPr>
              <w:t>法定代表人</w:t>
            </w:r>
          </w:p>
          <w:p w14:paraId="266EDB6C">
            <w:pPr>
              <w:pStyle w:val="16"/>
              <w:pageBreakBefore w:val="0"/>
              <w:kinsoku/>
              <w:topLinePunct w:val="0"/>
              <w:bidi w:val="0"/>
              <w:spacing w:line="232" w:lineRule="auto"/>
              <w:ind w:left="431"/>
              <w:rPr>
                <w:sz w:val="24"/>
                <w:szCs w:val="24"/>
              </w:rPr>
            </w:pPr>
            <w:r>
              <w:rPr>
                <w:b/>
                <w:bCs/>
                <w:spacing w:val="3"/>
                <w:sz w:val="24"/>
                <w:szCs w:val="24"/>
              </w:rPr>
              <w:t>（或负责人）</w:t>
            </w:r>
          </w:p>
        </w:tc>
        <w:tc>
          <w:tcPr>
            <w:tcW w:w="1765" w:type="dxa"/>
            <w:vAlign w:val="top"/>
          </w:tcPr>
          <w:p w14:paraId="4390E2A6">
            <w:pPr>
              <w:pStyle w:val="16"/>
              <w:pageBreakBefore w:val="0"/>
              <w:kinsoku/>
              <w:topLinePunct w:val="0"/>
              <w:bidi w:val="0"/>
              <w:spacing w:before="263" w:line="233" w:lineRule="auto"/>
              <w:ind w:left="682"/>
              <w:rPr>
                <w:sz w:val="24"/>
                <w:szCs w:val="24"/>
              </w:rPr>
            </w:pPr>
            <w:r>
              <w:rPr>
                <w:b/>
                <w:bCs/>
                <w:spacing w:val="1"/>
                <w:sz w:val="24"/>
                <w:szCs w:val="24"/>
              </w:rPr>
              <w:t>姓名</w:t>
            </w:r>
          </w:p>
        </w:tc>
        <w:tc>
          <w:tcPr>
            <w:tcW w:w="1210" w:type="dxa"/>
            <w:vAlign w:val="top"/>
          </w:tcPr>
          <w:p w14:paraId="2BD0A9E3">
            <w:pPr>
              <w:pageBreakBefore w:val="0"/>
              <w:kinsoku/>
              <w:topLinePunct w:val="0"/>
              <w:bidi w:val="0"/>
              <w:rPr>
                <w:rFonts w:ascii="Arial"/>
                <w:sz w:val="24"/>
                <w:szCs w:val="24"/>
              </w:rPr>
            </w:pPr>
          </w:p>
        </w:tc>
        <w:tc>
          <w:tcPr>
            <w:tcW w:w="1766" w:type="dxa"/>
            <w:vAlign w:val="top"/>
          </w:tcPr>
          <w:p w14:paraId="70F3336D">
            <w:pPr>
              <w:pStyle w:val="16"/>
              <w:pageBreakBefore w:val="0"/>
              <w:kinsoku/>
              <w:topLinePunct w:val="0"/>
              <w:bidi w:val="0"/>
              <w:spacing w:before="263" w:line="232" w:lineRule="auto"/>
              <w:ind w:left="706"/>
              <w:rPr>
                <w:sz w:val="24"/>
                <w:szCs w:val="24"/>
              </w:rPr>
            </w:pPr>
            <w:r>
              <w:rPr>
                <w:b/>
                <w:bCs/>
                <w:spacing w:val="-11"/>
                <w:sz w:val="24"/>
                <w:szCs w:val="24"/>
              </w:rPr>
              <w:t>电话</w:t>
            </w:r>
          </w:p>
        </w:tc>
        <w:tc>
          <w:tcPr>
            <w:tcW w:w="1771" w:type="dxa"/>
            <w:vAlign w:val="top"/>
          </w:tcPr>
          <w:p w14:paraId="62677BB3">
            <w:pPr>
              <w:pageBreakBefore w:val="0"/>
              <w:kinsoku/>
              <w:topLinePunct w:val="0"/>
              <w:bidi w:val="0"/>
              <w:rPr>
                <w:rFonts w:ascii="Arial"/>
                <w:sz w:val="24"/>
                <w:szCs w:val="24"/>
              </w:rPr>
            </w:pPr>
          </w:p>
        </w:tc>
      </w:tr>
      <w:tr w14:paraId="56B6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30BB64FD">
            <w:pPr>
              <w:pStyle w:val="16"/>
              <w:pageBreakBefore w:val="0"/>
              <w:kinsoku/>
              <w:topLinePunct w:val="0"/>
              <w:bidi w:val="0"/>
              <w:spacing w:before="147" w:line="230" w:lineRule="auto"/>
              <w:ind w:left="219"/>
              <w:rPr>
                <w:sz w:val="24"/>
                <w:szCs w:val="24"/>
              </w:rPr>
            </w:pPr>
            <w:r>
              <w:rPr>
                <w:b/>
                <w:bCs/>
                <w:spacing w:val="6"/>
                <w:sz w:val="24"/>
                <w:szCs w:val="24"/>
              </w:rPr>
              <w:t>统一社会信用代码</w:t>
            </w:r>
          </w:p>
        </w:tc>
        <w:tc>
          <w:tcPr>
            <w:tcW w:w="2975" w:type="dxa"/>
            <w:gridSpan w:val="2"/>
            <w:vAlign w:val="top"/>
          </w:tcPr>
          <w:p w14:paraId="42D5D251">
            <w:pPr>
              <w:pageBreakBefore w:val="0"/>
              <w:kinsoku/>
              <w:topLinePunct w:val="0"/>
              <w:bidi w:val="0"/>
              <w:rPr>
                <w:rFonts w:ascii="Arial"/>
                <w:sz w:val="24"/>
                <w:szCs w:val="24"/>
              </w:rPr>
            </w:pPr>
          </w:p>
        </w:tc>
        <w:tc>
          <w:tcPr>
            <w:tcW w:w="1766" w:type="dxa"/>
            <w:vAlign w:val="top"/>
          </w:tcPr>
          <w:p w14:paraId="149ECFD6">
            <w:pPr>
              <w:pStyle w:val="16"/>
              <w:pageBreakBefore w:val="0"/>
              <w:kinsoku/>
              <w:topLinePunct w:val="0"/>
              <w:bidi w:val="0"/>
              <w:spacing w:before="146" w:line="232" w:lineRule="auto"/>
              <w:ind w:left="385"/>
              <w:rPr>
                <w:sz w:val="24"/>
                <w:szCs w:val="24"/>
              </w:rPr>
            </w:pPr>
            <w:r>
              <w:rPr>
                <w:b/>
                <w:bCs/>
                <w:spacing w:val="2"/>
                <w:sz w:val="24"/>
                <w:szCs w:val="24"/>
              </w:rPr>
              <w:t>员工总人数</w:t>
            </w:r>
          </w:p>
        </w:tc>
        <w:tc>
          <w:tcPr>
            <w:tcW w:w="1771" w:type="dxa"/>
            <w:vAlign w:val="top"/>
          </w:tcPr>
          <w:p w14:paraId="2A70D76D">
            <w:pPr>
              <w:pageBreakBefore w:val="0"/>
              <w:kinsoku/>
              <w:topLinePunct w:val="0"/>
              <w:bidi w:val="0"/>
              <w:rPr>
                <w:rFonts w:ascii="Arial"/>
                <w:sz w:val="24"/>
                <w:szCs w:val="24"/>
              </w:rPr>
            </w:pPr>
          </w:p>
        </w:tc>
      </w:tr>
      <w:tr w14:paraId="34AB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2DA3B26">
            <w:pPr>
              <w:pStyle w:val="16"/>
              <w:pageBreakBefore w:val="0"/>
              <w:kinsoku/>
              <w:topLinePunct w:val="0"/>
              <w:bidi w:val="0"/>
              <w:spacing w:before="146" w:line="233" w:lineRule="auto"/>
              <w:ind w:left="851"/>
              <w:rPr>
                <w:sz w:val="24"/>
                <w:szCs w:val="24"/>
              </w:rPr>
            </w:pPr>
            <w:r>
              <w:rPr>
                <w:b/>
                <w:bCs/>
                <w:spacing w:val="-1"/>
                <w:sz w:val="24"/>
                <w:szCs w:val="24"/>
              </w:rPr>
              <w:t>类型</w:t>
            </w:r>
          </w:p>
        </w:tc>
        <w:tc>
          <w:tcPr>
            <w:tcW w:w="1765" w:type="dxa"/>
            <w:vAlign w:val="top"/>
          </w:tcPr>
          <w:p w14:paraId="0EF8BF7E">
            <w:pPr>
              <w:pageBreakBefore w:val="0"/>
              <w:kinsoku/>
              <w:topLinePunct w:val="0"/>
              <w:bidi w:val="0"/>
              <w:rPr>
                <w:rFonts w:ascii="Arial"/>
                <w:sz w:val="24"/>
                <w:szCs w:val="24"/>
              </w:rPr>
            </w:pPr>
          </w:p>
        </w:tc>
        <w:tc>
          <w:tcPr>
            <w:tcW w:w="1210" w:type="dxa"/>
            <w:vMerge w:val="restart"/>
            <w:tcBorders>
              <w:bottom w:val="nil"/>
            </w:tcBorders>
            <w:vAlign w:val="top"/>
          </w:tcPr>
          <w:p w14:paraId="2B055F4C">
            <w:pPr>
              <w:pageBreakBefore w:val="0"/>
              <w:kinsoku/>
              <w:topLinePunct w:val="0"/>
              <w:bidi w:val="0"/>
              <w:spacing w:line="273" w:lineRule="auto"/>
              <w:rPr>
                <w:rFonts w:ascii="Arial"/>
                <w:sz w:val="24"/>
                <w:szCs w:val="24"/>
              </w:rPr>
            </w:pPr>
          </w:p>
          <w:p w14:paraId="018FFDE3">
            <w:pPr>
              <w:pageBreakBefore w:val="0"/>
              <w:kinsoku/>
              <w:topLinePunct w:val="0"/>
              <w:bidi w:val="0"/>
              <w:spacing w:line="273" w:lineRule="auto"/>
              <w:rPr>
                <w:rFonts w:ascii="Arial"/>
                <w:sz w:val="24"/>
                <w:szCs w:val="24"/>
              </w:rPr>
            </w:pPr>
          </w:p>
          <w:p w14:paraId="106784F2">
            <w:pPr>
              <w:pageBreakBefore w:val="0"/>
              <w:kinsoku/>
              <w:topLinePunct w:val="0"/>
              <w:bidi w:val="0"/>
              <w:spacing w:line="274" w:lineRule="auto"/>
              <w:rPr>
                <w:rFonts w:ascii="Arial"/>
                <w:sz w:val="24"/>
                <w:szCs w:val="24"/>
              </w:rPr>
            </w:pPr>
          </w:p>
          <w:p w14:paraId="0007996E">
            <w:pPr>
              <w:pageBreakBefore w:val="0"/>
              <w:kinsoku/>
              <w:topLinePunct w:val="0"/>
              <w:bidi w:val="0"/>
              <w:spacing w:line="274" w:lineRule="auto"/>
              <w:rPr>
                <w:rFonts w:ascii="Arial"/>
                <w:sz w:val="24"/>
                <w:szCs w:val="24"/>
              </w:rPr>
            </w:pPr>
          </w:p>
          <w:p w14:paraId="015162B3">
            <w:pPr>
              <w:pStyle w:val="16"/>
              <w:pageBreakBefore w:val="0"/>
              <w:kinsoku/>
              <w:topLinePunct w:val="0"/>
              <w:bidi w:val="0"/>
              <w:spacing w:before="65" w:line="231" w:lineRule="auto"/>
              <w:ind w:left="407"/>
              <w:rPr>
                <w:sz w:val="24"/>
                <w:szCs w:val="24"/>
              </w:rPr>
            </w:pPr>
            <w:r>
              <w:rPr>
                <w:b/>
                <w:bCs/>
                <w:sz w:val="24"/>
                <w:szCs w:val="24"/>
              </w:rPr>
              <w:t>其中</w:t>
            </w:r>
          </w:p>
        </w:tc>
        <w:tc>
          <w:tcPr>
            <w:tcW w:w="1766" w:type="dxa"/>
            <w:vMerge w:val="restart"/>
            <w:tcBorders>
              <w:bottom w:val="nil"/>
            </w:tcBorders>
            <w:vAlign w:val="top"/>
          </w:tcPr>
          <w:p w14:paraId="1C0A3EA4">
            <w:pPr>
              <w:pStyle w:val="16"/>
              <w:pageBreakBefore w:val="0"/>
              <w:kinsoku/>
              <w:topLinePunct w:val="0"/>
              <w:bidi w:val="0"/>
              <w:spacing w:before="65"/>
              <w:ind w:right="143"/>
              <w:rPr>
                <w:sz w:val="24"/>
                <w:szCs w:val="24"/>
              </w:rPr>
            </w:pPr>
            <w:r>
              <w:rPr>
                <w:b/>
                <w:bCs/>
                <w:spacing w:val="6"/>
                <w:sz w:val="24"/>
                <w:szCs w:val="24"/>
              </w:rPr>
              <w:t>基本账户开户银</w:t>
            </w:r>
            <w:r>
              <w:rPr>
                <w:spacing w:val="2"/>
                <w:sz w:val="24"/>
                <w:szCs w:val="24"/>
              </w:rPr>
              <w:t xml:space="preserve"> </w:t>
            </w:r>
            <w:r>
              <w:rPr>
                <w:b/>
                <w:bCs/>
                <w:spacing w:val="-3"/>
                <w:sz w:val="24"/>
                <w:szCs w:val="24"/>
              </w:rPr>
              <w:t>行</w:t>
            </w:r>
          </w:p>
        </w:tc>
        <w:tc>
          <w:tcPr>
            <w:tcW w:w="1771" w:type="dxa"/>
            <w:vMerge w:val="restart"/>
            <w:tcBorders>
              <w:bottom w:val="nil"/>
            </w:tcBorders>
            <w:vAlign w:val="top"/>
          </w:tcPr>
          <w:p w14:paraId="32E49713">
            <w:pPr>
              <w:pageBreakBefore w:val="0"/>
              <w:kinsoku/>
              <w:topLinePunct w:val="0"/>
              <w:bidi w:val="0"/>
              <w:rPr>
                <w:rFonts w:ascii="Arial"/>
                <w:sz w:val="24"/>
                <w:szCs w:val="24"/>
              </w:rPr>
            </w:pPr>
          </w:p>
        </w:tc>
      </w:tr>
      <w:tr w14:paraId="7AB8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2088CDDD">
            <w:pPr>
              <w:pStyle w:val="16"/>
              <w:pageBreakBefore w:val="0"/>
              <w:kinsoku/>
              <w:topLinePunct w:val="0"/>
              <w:bidi w:val="0"/>
              <w:spacing w:before="147" w:line="231" w:lineRule="auto"/>
              <w:ind w:left="643"/>
              <w:rPr>
                <w:sz w:val="24"/>
                <w:szCs w:val="24"/>
              </w:rPr>
            </w:pPr>
            <w:r>
              <w:rPr>
                <w:b/>
                <w:bCs/>
                <w:spacing w:val="3"/>
                <w:sz w:val="24"/>
                <w:szCs w:val="24"/>
              </w:rPr>
              <w:t>注册资本</w:t>
            </w:r>
          </w:p>
        </w:tc>
        <w:tc>
          <w:tcPr>
            <w:tcW w:w="1765" w:type="dxa"/>
            <w:vAlign w:val="top"/>
          </w:tcPr>
          <w:p w14:paraId="6180D5F4">
            <w:pPr>
              <w:pageBreakBefore w:val="0"/>
              <w:kinsoku/>
              <w:topLinePunct w:val="0"/>
              <w:bidi w:val="0"/>
              <w:rPr>
                <w:rFonts w:ascii="Arial"/>
                <w:sz w:val="24"/>
                <w:szCs w:val="24"/>
              </w:rPr>
            </w:pPr>
          </w:p>
        </w:tc>
        <w:tc>
          <w:tcPr>
            <w:tcW w:w="1210" w:type="dxa"/>
            <w:vMerge w:val="continue"/>
            <w:tcBorders>
              <w:top w:val="nil"/>
              <w:bottom w:val="nil"/>
            </w:tcBorders>
            <w:vAlign w:val="top"/>
          </w:tcPr>
          <w:p w14:paraId="000F0008">
            <w:pPr>
              <w:pageBreakBefore w:val="0"/>
              <w:kinsoku/>
              <w:topLinePunct w:val="0"/>
              <w:bidi w:val="0"/>
              <w:rPr>
                <w:rFonts w:ascii="Arial"/>
                <w:sz w:val="24"/>
                <w:szCs w:val="24"/>
              </w:rPr>
            </w:pPr>
          </w:p>
        </w:tc>
        <w:tc>
          <w:tcPr>
            <w:tcW w:w="1766" w:type="dxa"/>
            <w:vMerge w:val="continue"/>
            <w:tcBorders>
              <w:top w:val="nil"/>
              <w:bottom w:val="nil"/>
            </w:tcBorders>
            <w:vAlign w:val="top"/>
          </w:tcPr>
          <w:p w14:paraId="53BB4074">
            <w:pPr>
              <w:pageBreakBefore w:val="0"/>
              <w:kinsoku/>
              <w:topLinePunct w:val="0"/>
              <w:bidi w:val="0"/>
              <w:rPr>
                <w:rFonts w:ascii="Arial"/>
                <w:sz w:val="24"/>
                <w:szCs w:val="24"/>
              </w:rPr>
            </w:pPr>
          </w:p>
        </w:tc>
        <w:tc>
          <w:tcPr>
            <w:tcW w:w="1771" w:type="dxa"/>
            <w:vMerge w:val="continue"/>
            <w:tcBorders>
              <w:top w:val="nil"/>
              <w:bottom w:val="nil"/>
            </w:tcBorders>
            <w:vAlign w:val="top"/>
          </w:tcPr>
          <w:p w14:paraId="221B6F96">
            <w:pPr>
              <w:pageBreakBefore w:val="0"/>
              <w:kinsoku/>
              <w:topLinePunct w:val="0"/>
              <w:bidi w:val="0"/>
              <w:rPr>
                <w:rFonts w:ascii="Arial"/>
                <w:sz w:val="24"/>
                <w:szCs w:val="24"/>
              </w:rPr>
            </w:pPr>
          </w:p>
        </w:tc>
      </w:tr>
      <w:tr w14:paraId="157B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84A76AC">
            <w:pPr>
              <w:pStyle w:val="16"/>
              <w:pageBreakBefore w:val="0"/>
              <w:kinsoku/>
              <w:topLinePunct w:val="0"/>
              <w:bidi w:val="0"/>
              <w:spacing w:before="145" w:line="232" w:lineRule="auto"/>
              <w:ind w:left="641"/>
              <w:rPr>
                <w:sz w:val="24"/>
                <w:szCs w:val="24"/>
              </w:rPr>
            </w:pPr>
            <w:r>
              <w:rPr>
                <w:b/>
                <w:bCs/>
                <w:spacing w:val="4"/>
                <w:sz w:val="24"/>
                <w:szCs w:val="24"/>
              </w:rPr>
              <w:t>成立日期</w:t>
            </w:r>
          </w:p>
        </w:tc>
        <w:tc>
          <w:tcPr>
            <w:tcW w:w="1765" w:type="dxa"/>
            <w:vAlign w:val="top"/>
          </w:tcPr>
          <w:p w14:paraId="76FE71DD">
            <w:pPr>
              <w:pageBreakBefore w:val="0"/>
              <w:kinsoku/>
              <w:topLinePunct w:val="0"/>
              <w:bidi w:val="0"/>
              <w:rPr>
                <w:rFonts w:ascii="Arial"/>
                <w:sz w:val="24"/>
                <w:szCs w:val="24"/>
              </w:rPr>
            </w:pPr>
          </w:p>
        </w:tc>
        <w:tc>
          <w:tcPr>
            <w:tcW w:w="1210" w:type="dxa"/>
            <w:vMerge w:val="continue"/>
            <w:tcBorders>
              <w:top w:val="nil"/>
              <w:bottom w:val="nil"/>
            </w:tcBorders>
            <w:vAlign w:val="top"/>
          </w:tcPr>
          <w:p w14:paraId="02C398A4">
            <w:pPr>
              <w:pageBreakBefore w:val="0"/>
              <w:kinsoku/>
              <w:topLinePunct w:val="0"/>
              <w:bidi w:val="0"/>
              <w:rPr>
                <w:rFonts w:ascii="Arial"/>
                <w:sz w:val="24"/>
                <w:szCs w:val="24"/>
              </w:rPr>
            </w:pPr>
          </w:p>
        </w:tc>
        <w:tc>
          <w:tcPr>
            <w:tcW w:w="1766" w:type="dxa"/>
            <w:vMerge w:val="continue"/>
            <w:tcBorders>
              <w:top w:val="nil"/>
            </w:tcBorders>
            <w:vAlign w:val="top"/>
          </w:tcPr>
          <w:p w14:paraId="0CD3BBB5">
            <w:pPr>
              <w:pageBreakBefore w:val="0"/>
              <w:kinsoku/>
              <w:topLinePunct w:val="0"/>
              <w:bidi w:val="0"/>
              <w:rPr>
                <w:rFonts w:ascii="Arial"/>
                <w:sz w:val="24"/>
                <w:szCs w:val="24"/>
              </w:rPr>
            </w:pPr>
          </w:p>
        </w:tc>
        <w:tc>
          <w:tcPr>
            <w:tcW w:w="1771" w:type="dxa"/>
            <w:vMerge w:val="continue"/>
            <w:tcBorders>
              <w:top w:val="nil"/>
            </w:tcBorders>
            <w:vAlign w:val="top"/>
          </w:tcPr>
          <w:p w14:paraId="0A15E5FD">
            <w:pPr>
              <w:pageBreakBefore w:val="0"/>
              <w:kinsoku/>
              <w:topLinePunct w:val="0"/>
              <w:bidi w:val="0"/>
              <w:rPr>
                <w:rFonts w:ascii="Arial"/>
                <w:sz w:val="24"/>
                <w:szCs w:val="24"/>
              </w:rPr>
            </w:pPr>
          </w:p>
        </w:tc>
      </w:tr>
      <w:tr w14:paraId="6468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top"/>
          </w:tcPr>
          <w:p w14:paraId="4E68E7D0">
            <w:pPr>
              <w:pStyle w:val="16"/>
              <w:pageBreakBefore w:val="0"/>
              <w:kinsoku/>
              <w:topLinePunct w:val="0"/>
              <w:bidi w:val="0"/>
              <w:spacing w:before="147" w:line="231" w:lineRule="auto"/>
              <w:ind w:left="643"/>
              <w:rPr>
                <w:sz w:val="24"/>
                <w:szCs w:val="24"/>
              </w:rPr>
            </w:pPr>
            <w:r>
              <w:rPr>
                <w:b/>
                <w:bCs/>
                <w:spacing w:val="3"/>
                <w:sz w:val="24"/>
                <w:szCs w:val="24"/>
              </w:rPr>
              <w:t>营业期限</w:t>
            </w:r>
          </w:p>
        </w:tc>
        <w:tc>
          <w:tcPr>
            <w:tcW w:w="1765" w:type="dxa"/>
            <w:vAlign w:val="top"/>
          </w:tcPr>
          <w:p w14:paraId="10707455">
            <w:pPr>
              <w:pageBreakBefore w:val="0"/>
              <w:kinsoku/>
              <w:topLinePunct w:val="0"/>
              <w:bidi w:val="0"/>
              <w:rPr>
                <w:rFonts w:ascii="Arial"/>
                <w:sz w:val="24"/>
                <w:szCs w:val="24"/>
              </w:rPr>
            </w:pPr>
          </w:p>
        </w:tc>
        <w:tc>
          <w:tcPr>
            <w:tcW w:w="1210" w:type="dxa"/>
            <w:vMerge w:val="continue"/>
            <w:tcBorders>
              <w:top w:val="nil"/>
              <w:bottom w:val="nil"/>
            </w:tcBorders>
            <w:vAlign w:val="top"/>
          </w:tcPr>
          <w:p w14:paraId="61999DDA">
            <w:pPr>
              <w:pageBreakBefore w:val="0"/>
              <w:kinsoku/>
              <w:topLinePunct w:val="0"/>
              <w:bidi w:val="0"/>
              <w:rPr>
                <w:rFonts w:ascii="Arial"/>
                <w:sz w:val="24"/>
                <w:szCs w:val="24"/>
              </w:rPr>
            </w:pPr>
          </w:p>
        </w:tc>
        <w:tc>
          <w:tcPr>
            <w:tcW w:w="1766" w:type="dxa"/>
            <w:vMerge w:val="restart"/>
            <w:tcBorders>
              <w:bottom w:val="nil"/>
            </w:tcBorders>
            <w:vAlign w:val="top"/>
          </w:tcPr>
          <w:p w14:paraId="0D8FD12C">
            <w:pPr>
              <w:pStyle w:val="16"/>
              <w:pageBreakBefore w:val="0"/>
              <w:kinsoku/>
              <w:topLinePunct w:val="0"/>
              <w:bidi w:val="0"/>
              <w:spacing w:before="265" w:line="241" w:lineRule="auto"/>
              <w:ind w:right="143"/>
              <w:rPr>
                <w:sz w:val="24"/>
                <w:szCs w:val="24"/>
              </w:rPr>
            </w:pPr>
            <w:r>
              <w:rPr>
                <w:b/>
                <w:bCs/>
                <w:spacing w:val="6"/>
                <w:sz w:val="24"/>
                <w:szCs w:val="24"/>
              </w:rPr>
              <w:t>基本账户银行账</w:t>
            </w:r>
            <w:r>
              <w:rPr>
                <w:spacing w:val="2"/>
                <w:sz w:val="24"/>
                <w:szCs w:val="24"/>
              </w:rPr>
              <w:t xml:space="preserve"> </w:t>
            </w:r>
            <w:r>
              <w:rPr>
                <w:b/>
                <w:bCs/>
                <w:spacing w:val="-3"/>
                <w:sz w:val="24"/>
                <w:szCs w:val="24"/>
              </w:rPr>
              <w:t>号</w:t>
            </w:r>
          </w:p>
        </w:tc>
        <w:tc>
          <w:tcPr>
            <w:tcW w:w="1771" w:type="dxa"/>
            <w:vMerge w:val="restart"/>
            <w:tcBorders>
              <w:bottom w:val="nil"/>
            </w:tcBorders>
            <w:vAlign w:val="top"/>
          </w:tcPr>
          <w:p w14:paraId="2DAF0DCD">
            <w:pPr>
              <w:pageBreakBefore w:val="0"/>
              <w:kinsoku/>
              <w:topLinePunct w:val="0"/>
              <w:bidi w:val="0"/>
              <w:rPr>
                <w:rFonts w:ascii="Arial"/>
                <w:sz w:val="24"/>
                <w:szCs w:val="24"/>
              </w:rPr>
            </w:pPr>
          </w:p>
        </w:tc>
      </w:tr>
      <w:tr w14:paraId="4B21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D61EB1B">
            <w:pPr>
              <w:pStyle w:val="16"/>
              <w:pageBreakBefore w:val="0"/>
              <w:kinsoku/>
              <w:topLinePunct w:val="0"/>
              <w:bidi w:val="0"/>
              <w:spacing w:before="147" w:line="231" w:lineRule="auto"/>
              <w:ind w:left="641"/>
              <w:rPr>
                <w:sz w:val="24"/>
                <w:szCs w:val="24"/>
              </w:rPr>
            </w:pPr>
            <w:r>
              <w:rPr>
                <w:b/>
                <w:bCs/>
                <w:spacing w:val="4"/>
                <w:sz w:val="24"/>
                <w:szCs w:val="24"/>
              </w:rPr>
              <w:t>登记机关</w:t>
            </w:r>
          </w:p>
        </w:tc>
        <w:tc>
          <w:tcPr>
            <w:tcW w:w="1765" w:type="dxa"/>
            <w:vAlign w:val="top"/>
          </w:tcPr>
          <w:p w14:paraId="6A6D88AE">
            <w:pPr>
              <w:pageBreakBefore w:val="0"/>
              <w:kinsoku/>
              <w:topLinePunct w:val="0"/>
              <w:bidi w:val="0"/>
              <w:rPr>
                <w:rFonts w:ascii="Arial"/>
                <w:sz w:val="24"/>
                <w:szCs w:val="24"/>
              </w:rPr>
            </w:pPr>
          </w:p>
        </w:tc>
        <w:tc>
          <w:tcPr>
            <w:tcW w:w="1210" w:type="dxa"/>
            <w:vMerge w:val="continue"/>
            <w:tcBorders>
              <w:top w:val="nil"/>
            </w:tcBorders>
            <w:vAlign w:val="top"/>
          </w:tcPr>
          <w:p w14:paraId="5857BEAF">
            <w:pPr>
              <w:pageBreakBefore w:val="0"/>
              <w:kinsoku/>
              <w:topLinePunct w:val="0"/>
              <w:bidi w:val="0"/>
              <w:rPr>
                <w:rFonts w:ascii="Arial"/>
                <w:sz w:val="24"/>
                <w:szCs w:val="24"/>
              </w:rPr>
            </w:pPr>
          </w:p>
        </w:tc>
        <w:tc>
          <w:tcPr>
            <w:tcW w:w="1766" w:type="dxa"/>
            <w:vMerge w:val="continue"/>
            <w:tcBorders>
              <w:top w:val="nil"/>
            </w:tcBorders>
            <w:vAlign w:val="top"/>
          </w:tcPr>
          <w:p w14:paraId="71A058F2">
            <w:pPr>
              <w:pageBreakBefore w:val="0"/>
              <w:kinsoku/>
              <w:topLinePunct w:val="0"/>
              <w:bidi w:val="0"/>
              <w:rPr>
                <w:rFonts w:ascii="Arial"/>
                <w:sz w:val="24"/>
                <w:szCs w:val="24"/>
              </w:rPr>
            </w:pPr>
          </w:p>
        </w:tc>
        <w:tc>
          <w:tcPr>
            <w:tcW w:w="1771" w:type="dxa"/>
            <w:vMerge w:val="continue"/>
            <w:tcBorders>
              <w:top w:val="nil"/>
            </w:tcBorders>
            <w:vAlign w:val="top"/>
          </w:tcPr>
          <w:p w14:paraId="47C0C0BB">
            <w:pPr>
              <w:pageBreakBefore w:val="0"/>
              <w:kinsoku/>
              <w:topLinePunct w:val="0"/>
              <w:bidi w:val="0"/>
              <w:rPr>
                <w:rFonts w:ascii="Arial"/>
                <w:sz w:val="24"/>
                <w:szCs w:val="24"/>
              </w:rPr>
            </w:pPr>
          </w:p>
        </w:tc>
      </w:tr>
      <w:tr w14:paraId="70F2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vAlign w:val="top"/>
          </w:tcPr>
          <w:p w14:paraId="0B1419A7">
            <w:pPr>
              <w:pageBreakBefore w:val="0"/>
              <w:kinsoku/>
              <w:topLinePunct w:val="0"/>
              <w:bidi w:val="0"/>
              <w:spacing w:line="252" w:lineRule="auto"/>
              <w:rPr>
                <w:rFonts w:ascii="Arial"/>
                <w:sz w:val="24"/>
                <w:szCs w:val="24"/>
              </w:rPr>
            </w:pPr>
          </w:p>
          <w:p w14:paraId="106EB43F">
            <w:pPr>
              <w:pageBreakBefore w:val="0"/>
              <w:kinsoku/>
              <w:topLinePunct w:val="0"/>
              <w:bidi w:val="0"/>
              <w:spacing w:line="252" w:lineRule="auto"/>
              <w:rPr>
                <w:rFonts w:ascii="Arial"/>
                <w:sz w:val="24"/>
                <w:szCs w:val="24"/>
              </w:rPr>
            </w:pPr>
          </w:p>
          <w:p w14:paraId="45555A7A">
            <w:pPr>
              <w:pageBreakBefore w:val="0"/>
              <w:kinsoku/>
              <w:topLinePunct w:val="0"/>
              <w:bidi w:val="0"/>
              <w:spacing w:line="252" w:lineRule="auto"/>
              <w:rPr>
                <w:rFonts w:ascii="Arial"/>
                <w:sz w:val="24"/>
                <w:szCs w:val="24"/>
              </w:rPr>
            </w:pPr>
          </w:p>
          <w:p w14:paraId="6216AA07">
            <w:pPr>
              <w:pageBreakBefore w:val="0"/>
              <w:kinsoku/>
              <w:topLinePunct w:val="0"/>
              <w:bidi w:val="0"/>
              <w:spacing w:line="252" w:lineRule="auto"/>
              <w:rPr>
                <w:rFonts w:ascii="Arial"/>
                <w:sz w:val="24"/>
                <w:szCs w:val="24"/>
              </w:rPr>
            </w:pPr>
          </w:p>
          <w:p w14:paraId="224EDED2">
            <w:pPr>
              <w:pageBreakBefore w:val="0"/>
              <w:kinsoku/>
              <w:topLinePunct w:val="0"/>
              <w:bidi w:val="0"/>
              <w:spacing w:line="252" w:lineRule="auto"/>
              <w:rPr>
                <w:rFonts w:ascii="Arial"/>
                <w:sz w:val="24"/>
                <w:szCs w:val="24"/>
              </w:rPr>
            </w:pPr>
          </w:p>
          <w:p w14:paraId="71DA268D">
            <w:pPr>
              <w:pageBreakBefore w:val="0"/>
              <w:kinsoku/>
              <w:topLinePunct w:val="0"/>
              <w:bidi w:val="0"/>
              <w:spacing w:line="252" w:lineRule="auto"/>
              <w:rPr>
                <w:rFonts w:ascii="Arial"/>
                <w:sz w:val="24"/>
                <w:szCs w:val="24"/>
              </w:rPr>
            </w:pPr>
          </w:p>
          <w:p w14:paraId="73A9FEF8">
            <w:pPr>
              <w:pageBreakBefore w:val="0"/>
              <w:kinsoku/>
              <w:topLinePunct w:val="0"/>
              <w:bidi w:val="0"/>
              <w:spacing w:line="252" w:lineRule="auto"/>
              <w:rPr>
                <w:rFonts w:ascii="Arial"/>
                <w:sz w:val="24"/>
                <w:szCs w:val="24"/>
              </w:rPr>
            </w:pPr>
          </w:p>
          <w:p w14:paraId="4E9E1813">
            <w:pPr>
              <w:pageBreakBefore w:val="0"/>
              <w:kinsoku/>
              <w:topLinePunct w:val="0"/>
              <w:bidi w:val="0"/>
              <w:spacing w:line="252" w:lineRule="auto"/>
              <w:rPr>
                <w:rFonts w:ascii="Arial"/>
                <w:sz w:val="24"/>
                <w:szCs w:val="24"/>
              </w:rPr>
            </w:pPr>
          </w:p>
          <w:p w14:paraId="624C404B">
            <w:pPr>
              <w:pageBreakBefore w:val="0"/>
              <w:kinsoku/>
              <w:topLinePunct w:val="0"/>
              <w:bidi w:val="0"/>
              <w:spacing w:line="253" w:lineRule="auto"/>
              <w:rPr>
                <w:rFonts w:ascii="Arial"/>
                <w:sz w:val="24"/>
                <w:szCs w:val="24"/>
              </w:rPr>
            </w:pPr>
          </w:p>
          <w:p w14:paraId="652A9314">
            <w:pPr>
              <w:pStyle w:val="16"/>
              <w:pageBreakBefore w:val="0"/>
              <w:kinsoku/>
              <w:topLinePunct w:val="0"/>
              <w:bidi w:val="0"/>
              <w:spacing w:before="65" w:line="232" w:lineRule="auto"/>
              <w:ind w:left="637"/>
              <w:rPr>
                <w:sz w:val="24"/>
                <w:szCs w:val="24"/>
              </w:rPr>
            </w:pPr>
            <w:r>
              <w:rPr>
                <w:b/>
                <w:bCs/>
                <w:spacing w:val="5"/>
                <w:sz w:val="24"/>
                <w:szCs w:val="24"/>
              </w:rPr>
              <w:t>经营范围</w:t>
            </w:r>
          </w:p>
        </w:tc>
        <w:tc>
          <w:tcPr>
            <w:tcW w:w="6512" w:type="dxa"/>
            <w:gridSpan w:val="4"/>
            <w:vAlign w:val="top"/>
          </w:tcPr>
          <w:p w14:paraId="0D9B2205">
            <w:pPr>
              <w:pageBreakBefore w:val="0"/>
              <w:kinsoku/>
              <w:topLinePunct w:val="0"/>
              <w:bidi w:val="0"/>
              <w:rPr>
                <w:rFonts w:ascii="Arial"/>
                <w:sz w:val="24"/>
                <w:szCs w:val="24"/>
              </w:rPr>
            </w:pPr>
          </w:p>
        </w:tc>
      </w:tr>
    </w:tbl>
    <w:p w14:paraId="5FAE7488">
      <w:pPr>
        <w:pageBreakBefore w:val="0"/>
        <w:kinsoku/>
        <w:topLinePunct w:val="0"/>
        <w:bidi w:val="0"/>
        <w:spacing w:before="188" w:line="229" w:lineRule="auto"/>
        <w:jc w:val="right"/>
        <w:rPr>
          <w:rFonts w:ascii="仿宋" w:hAnsi="仿宋" w:eastAsia="仿宋" w:cs="仿宋"/>
          <w:b/>
          <w:bCs/>
          <w:spacing w:val="8"/>
          <w:sz w:val="24"/>
          <w:szCs w:val="24"/>
        </w:rPr>
      </w:pPr>
      <w:r>
        <w:rPr>
          <w:rFonts w:ascii="仿宋" w:hAnsi="仿宋" w:eastAsia="仿宋" w:cs="仿宋"/>
          <w:b/>
          <w:bCs/>
          <w:spacing w:val="8"/>
          <w:sz w:val="24"/>
          <w:szCs w:val="24"/>
        </w:rPr>
        <w:t>注：本表后应附企业法人营业执照等资格审查所需相关材料的复印件。</w:t>
      </w:r>
    </w:p>
    <w:p w14:paraId="4E028927">
      <w:pPr>
        <w:pageBreakBefore w:val="0"/>
        <w:kinsoku/>
        <w:topLinePunct w:val="0"/>
        <w:bidi w:val="0"/>
        <w:spacing w:before="188" w:line="229" w:lineRule="auto"/>
        <w:jc w:val="right"/>
        <w:rPr>
          <w:rFonts w:ascii="仿宋" w:hAnsi="仿宋" w:eastAsia="仿宋" w:cs="仿宋"/>
          <w:sz w:val="24"/>
          <w:szCs w:val="24"/>
        </w:rPr>
      </w:pPr>
      <w:r>
        <w:rPr>
          <w:rFonts w:ascii="仿宋" w:hAnsi="仿宋" w:eastAsia="仿宋" w:cs="仿宋"/>
          <w:b/>
          <w:bCs/>
          <w:spacing w:val="8"/>
          <w:sz w:val="24"/>
          <w:szCs w:val="24"/>
        </w:rPr>
        <w:t>（</w:t>
      </w:r>
      <w:r>
        <w:rPr>
          <w:rFonts w:hint="eastAsia" w:ascii="仿宋" w:hAnsi="仿宋" w:eastAsia="仿宋" w:cs="仿宋"/>
          <w:b/>
          <w:bCs/>
          <w:spacing w:val="8"/>
          <w:sz w:val="24"/>
          <w:szCs w:val="24"/>
          <w:lang w:eastAsia="zh-CN"/>
        </w:rPr>
        <w:t>供应商</w:t>
      </w:r>
      <w:r>
        <w:rPr>
          <w:rFonts w:ascii="仿宋" w:hAnsi="仿宋" w:eastAsia="仿宋" w:cs="仿宋"/>
          <w:b/>
          <w:bCs/>
          <w:spacing w:val="8"/>
          <w:sz w:val="24"/>
          <w:szCs w:val="24"/>
        </w:rPr>
        <w:t>可</w:t>
      </w:r>
      <w:r>
        <w:rPr>
          <w:rFonts w:ascii="仿宋" w:hAnsi="仿宋" w:eastAsia="仿宋" w:cs="仿宋"/>
          <w:b/>
          <w:bCs/>
          <w:spacing w:val="7"/>
          <w:sz w:val="24"/>
          <w:szCs w:val="24"/>
        </w:rPr>
        <w:t>根据本表自行编制）</w:t>
      </w:r>
    </w:p>
    <w:p w14:paraId="485E58C3">
      <w:pPr>
        <w:pStyle w:val="4"/>
        <w:pageBreakBefore w:val="0"/>
        <w:kinsoku/>
        <w:topLinePunct w:val="0"/>
        <w:bidi w:val="0"/>
        <w:spacing w:line="262" w:lineRule="auto"/>
      </w:pPr>
    </w:p>
    <w:p w14:paraId="4388A346">
      <w:pPr>
        <w:pStyle w:val="4"/>
        <w:pageBreakBefore w:val="0"/>
        <w:kinsoku/>
        <w:topLinePunct w:val="0"/>
        <w:bidi w:val="0"/>
        <w:spacing w:line="262" w:lineRule="auto"/>
      </w:pPr>
    </w:p>
    <w:p w14:paraId="3DC697C0">
      <w:pPr>
        <w:pStyle w:val="4"/>
        <w:pageBreakBefore w:val="0"/>
        <w:kinsoku/>
        <w:topLinePunct w:val="0"/>
        <w:bidi w:val="0"/>
        <w:spacing w:line="263" w:lineRule="auto"/>
      </w:pPr>
    </w:p>
    <w:p w14:paraId="1CE26F80">
      <w:pPr>
        <w:pStyle w:val="4"/>
        <w:pageBreakBefore w:val="0"/>
        <w:kinsoku/>
        <w:topLinePunct w:val="0"/>
        <w:bidi w:val="0"/>
        <w:spacing w:line="263" w:lineRule="auto"/>
      </w:pPr>
    </w:p>
    <w:p w14:paraId="074EC0DC">
      <w:pPr>
        <w:pStyle w:val="4"/>
        <w:pageBreakBefore w:val="0"/>
        <w:kinsoku/>
        <w:topLinePunct w:val="0"/>
        <w:bidi w:val="0"/>
        <w:spacing w:line="263" w:lineRule="auto"/>
      </w:pPr>
    </w:p>
    <w:p w14:paraId="3641EF78">
      <w:pPr>
        <w:pageBreakBefore w:val="0"/>
        <w:kinsoku/>
        <w:topLinePunct w:val="0"/>
        <w:bidi w:val="0"/>
        <w:spacing w:before="65" w:line="231" w:lineRule="auto"/>
        <w:ind w:left="372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7</w:t>
      </w:r>
      <w:r>
        <w:rPr>
          <w:rFonts w:ascii="仿宋" w:hAnsi="仿宋" w:eastAsia="仿宋" w:cs="仿宋"/>
          <w:b/>
          <w:bCs/>
          <w:spacing w:val="6"/>
          <w:sz w:val="24"/>
          <w:szCs w:val="24"/>
        </w:rPr>
        <w:t>.近三年无重大违法记录声明</w:t>
      </w:r>
    </w:p>
    <w:p w14:paraId="22FD104A">
      <w:pPr>
        <w:pStyle w:val="4"/>
        <w:pageBreakBefore w:val="0"/>
        <w:kinsoku/>
        <w:topLinePunct w:val="0"/>
        <w:bidi w:val="0"/>
        <w:spacing w:line="295" w:lineRule="auto"/>
        <w:rPr>
          <w:sz w:val="24"/>
          <w:szCs w:val="24"/>
        </w:rPr>
      </w:pPr>
    </w:p>
    <w:p w14:paraId="0E4744C2">
      <w:pPr>
        <w:pStyle w:val="4"/>
        <w:pageBreakBefore w:val="0"/>
        <w:kinsoku/>
        <w:topLinePunct w:val="0"/>
        <w:bidi w:val="0"/>
        <w:spacing w:line="295" w:lineRule="auto"/>
        <w:rPr>
          <w:sz w:val="24"/>
          <w:szCs w:val="24"/>
        </w:rPr>
      </w:pPr>
    </w:p>
    <w:p w14:paraId="12262DE5">
      <w:pPr>
        <w:pageBreakBefore w:val="0"/>
        <w:kinsoku/>
        <w:topLinePunct w:val="0"/>
        <w:bidi w:val="0"/>
        <w:spacing w:before="78"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2EBBAA18">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我公司在参加本次政府采购活动前，做出以下郑重声明：</w:t>
      </w:r>
    </w:p>
    <w:p w14:paraId="11E645E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一、参加本次政府采购活动前三年内，在经营活动中没有重大违法记录。</w:t>
      </w:r>
    </w:p>
    <w:p w14:paraId="602C37CE">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二、在本次政府采购活动前三年内，我公司在信用中国、 中国政府采购网平台及国家企业信用查询系统中，无任何重大违法记录。</w:t>
      </w:r>
    </w:p>
    <w:p w14:paraId="4C5A42B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若发现我方上述声明与事实不符，愿按照政府采购相关规定接受相关处罚。</w:t>
      </w:r>
    </w:p>
    <w:p w14:paraId="2F569B6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特此声明。</w:t>
      </w:r>
    </w:p>
    <w:p w14:paraId="50873709">
      <w:pPr>
        <w:pStyle w:val="4"/>
        <w:pageBreakBefore w:val="0"/>
        <w:kinsoku/>
        <w:topLinePunct w:val="0"/>
        <w:bidi w:val="0"/>
        <w:spacing w:line="284" w:lineRule="auto"/>
        <w:rPr>
          <w:sz w:val="24"/>
          <w:szCs w:val="24"/>
        </w:rPr>
      </w:pPr>
    </w:p>
    <w:p w14:paraId="1881ED0B">
      <w:pPr>
        <w:pStyle w:val="4"/>
        <w:pageBreakBefore w:val="0"/>
        <w:kinsoku/>
        <w:topLinePunct w:val="0"/>
        <w:bidi w:val="0"/>
        <w:spacing w:line="285" w:lineRule="auto"/>
        <w:rPr>
          <w:sz w:val="24"/>
          <w:szCs w:val="24"/>
        </w:rPr>
      </w:pPr>
    </w:p>
    <w:p w14:paraId="2B02EA0D">
      <w:pPr>
        <w:pStyle w:val="4"/>
        <w:pageBreakBefore w:val="0"/>
        <w:kinsoku/>
        <w:topLinePunct w:val="0"/>
        <w:bidi w:val="0"/>
        <w:spacing w:line="285" w:lineRule="auto"/>
        <w:rPr>
          <w:sz w:val="24"/>
          <w:szCs w:val="24"/>
        </w:rPr>
      </w:pPr>
    </w:p>
    <w:p w14:paraId="1AD80912">
      <w:pPr>
        <w:pStyle w:val="4"/>
        <w:pageBreakBefore w:val="0"/>
        <w:kinsoku/>
        <w:topLinePunct w:val="0"/>
        <w:bidi w:val="0"/>
        <w:spacing w:line="285" w:lineRule="auto"/>
        <w:rPr>
          <w:sz w:val="24"/>
          <w:szCs w:val="24"/>
        </w:rPr>
      </w:pPr>
    </w:p>
    <w:p w14:paraId="2DBDFB13">
      <w:pPr>
        <w:pageBreakBefore w:val="0"/>
        <w:kinsoku/>
        <w:topLinePunct w:val="0"/>
        <w:bidi w:val="0"/>
        <w:spacing w:before="65" w:line="229"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44738A10">
      <w:pPr>
        <w:pageBreakBefore w:val="0"/>
        <w:kinsoku/>
        <w:topLinePunct w:val="0"/>
        <w:bidi w:val="0"/>
        <w:spacing w:before="296" w:line="231"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4A26E1D">
      <w:pPr>
        <w:pStyle w:val="4"/>
        <w:pageBreakBefore w:val="0"/>
        <w:kinsoku/>
        <w:topLinePunct w:val="0"/>
        <w:bidi w:val="0"/>
        <w:spacing w:line="464" w:lineRule="auto"/>
        <w:rPr>
          <w:sz w:val="24"/>
          <w:szCs w:val="24"/>
        </w:rPr>
      </w:pPr>
    </w:p>
    <w:p w14:paraId="27EF27DA">
      <w:pPr>
        <w:pageBreakBefore w:val="0"/>
        <w:kinsoku/>
        <w:topLinePunct w:val="0"/>
        <w:bidi w:val="0"/>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5300B438">
      <w:pPr>
        <w:pageBreakBefore w:val="0"/>
        <w:kinsoku/>
        <w:topLinePunct w:val="0"/>
        <w:bidi w:val="0"/>
        <w:spacing w:line="231" w:lineRule="auto"/>
        <w:rPr>
          <w:rFonts w:ascii="仿宋" w:hAnsi="仿宋" w:eastAsia="仿宋" w:cs="仿宋"/>
          <w:sz w:val="24"/>
          <w:szCs w:val="24"/>
        </w:rPr>
        <w:sectPr>
          <w:footerReference r:id="rId12" w:type="default"/>
          <w:pgSz w:w="11906" w:h="16839"/>
          <w:pgMar w:top="1440" w:right="1080" w:bottom="1440" w:left="1080" w:header="0" w:footer="1054" w:gutter="0"/>
          <w:pgNumType w:fmt="decimal"/>
          <w:cols w:space="720" w:num="1"/>
        </w:sectPr>
      </w:pPr>
    </w:p>
    <w:p w14:paraId="203ED0ED">
      <w:pPr>
        <w:pageBreakBefore w:val="0"/>
        <w:kinsoku/>
        <w:topLinePunct w:val="0"/>
        <w:bidi w:val="0"/>
        <w:spacing w:before="42" w:line="610" w:lineRule="exact"/>
        <w:ind w:left="2562"/>
        <w:rPr>
          <w:rFonts w:ascii="仿宋" w:hAnsi="仿宋" w:eastAsia="仿宋" w:cs="仿宋"/>
          <w:sz w:val="20"/>
          <w:szCs w:val="20"/>
        </w:rPr>
      </w:pPr>
      <w:r>
        <w:rPr>
          <w:rFonts w:hint="eastAsia" w:ascii="仿宋" w:hAnsi="仿宋" w:eastAsia="仿宋" w:cs="仿宋"/>
          <w:b/>
          <w:bCs/>
          <w:spacing w:val="8"/>
          <w:position w:val="31"/>
          <w:sz w:val="24"/>
          <w:szCs w:val="24"/>
          <w:lang w:val="en-US" w:eastAsia="zh-CN"/>
        </w:rPr>
        <w:t>8</w:t>
      </w:r>
      <w:r>
        <w:rPr>
          <w:rFonts w:ascii="仿宋" w:hAnsi="仿宋" w:eastAsia="仿宋" w:cs="仿宋"/>
          <w:b/>
          <w:bCs/>
          <w:spacing w:val="8"/>
          <w:position w:val="31"/>
          <w:sz w:val="24"/>
          <w:szCs w:val="24"/>
        </w:rPr>
        <w:t>.具有履行合同所必须的设备和专业技术能力的</w:t>
      </w:r>
      <w:r>
        <w:rPr>
          <w:rFonts w:ascii="仿宋" w:hAnsi="仿宋" w:eastAsia="仿宋" w:cs="仿宋"/>
          <w:b/>
          <w:bCs/>
          <w:spacing w:val="7"/>
          <w:position w:val="31"/>
          <w:sz w:val="24"/>
          <w:szCs w:val="24"/>
        </w:rPr>
        <w:t>承诺函</w:t>
      </w:r>
    </w:p>
    <w:p w14:paraId="58B9C099">
      <w:pPr>
        <w:pageBreakBefore w:val="0"/>
        <w:kinsoku/>
        <w:topLinePunct w:val="0"/>
        <w:bidi w:val="0"/>
        <w:spacing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1D3E7386">
      <w:pPr>
        <w:pStyle w:val="4"/>
        <w:pageBreakBefore w:val="0"/>
        <w:kinsoku/>
        <w:topLinePunct w:val="0"/>
        <w:bidi w:val="0"/>
        <w:spacing w:line="257" w:lineRule="auto"/>
      </w:pPr>
    </w:p>
    <w:p w14:paraId="4C52867C">
      <w:pPr>
        <w:pStyle w:val="4"/>
        <w:pageBreakBefore w:val="0"/>
        <w:kinsoku/>
        <w:topLinePunct w:val="0"/>
        <w:bidi w:val="0"/>
        <w:spacing w:line="257" w:lineRule="auto"/>
      </w:pPr>
    </w:p>
    <w:p w14:paraId="3EBB3FCC">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我公司仔细阅读了贵方关于</w:t>
      </w:r>
      <w:r>
        <w:rPr>
          <w:rFonts w:ascii="仿宋" w:hAnsi="仿宋" w:eastAsia="仿宋" w:cs="仿宋"/>
          <w:spacing w:val="7"/>
          <w:sz w:val="24"/>
          <w:szCs w:val="24"/>
          <w:u w:val="single"/>
        </w:rPr>
        <w:t xml:space="preserve">                项目(项目编号：    )</w:t>
      </w:r>
      <w:r>
        <w:rPr>
          <w:rFonts w:ascii="仿宋" w:hAnsi="仿宋" w:eastAsia="仿宋" w:cs="仿宋"/>
          <w:spacing w:val="7"/>
          <w:sz w:val="24"/>
          <w:szCs w:val="24"/>
        </w:rPr>
        <w:t>的</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，在完全理解本项目</w:t>
      </w:r>
      <w:r>
        <w:rPr>
          <w:rFonts w:hint="eastAsia" w:ascii="仿宋" w:hAnsi="仿宋" w:eastAsia="仿宋" w:cs="仿宋"/>
          <w:spacing w:val="7"/>
          <w:sz w:val="24"/>
          <w:szCs w:val="24"/>
          <w:lang w:eastAsia="zh-CN"/>
        </w:rPr>
        <w:t>采购</w:t>
      </w:r>
      <w:r>
        <w:rPr>
          <w:rFonts w:ascii="仿宋" w:hAnsi="仿宋" w:eastAsia="仿宋" w:cs="仿宋"/>
          <w:spacing w:val="7"/>
          <w:sz w:val="24"/>
          <w:szCs w:val="24"/>
        </w:rPr>
        <w:t>的技术要求、商务条款及其他内容后，决定参与该项目的</w:t>
      </w:r>
      <w:r>
        <w:rPr>
          <w:rFonts w:hint="eastAsia" w:ascii="仿宋" w:hAnsi="仿宋" w:eastAsia="仿宋" w:cs="仿宋"/>
          <w:spacing w:val="7"/>
          <w:sz w:val="24"/>
          <w:szCs w:val="24"/>
          <w:lang w:eastAsia="zh-CN"/>
        </w:rPr>
        <w:t>磋商</w:t>
      </w:r>
      <w:r>
        <w:rPr>
          <w:rFonts w:ascii="仿宋" w:hAnsi="仿宋" w:eastAsia="仿宋" w:cs="仿宋"/>
          <w:spacing w:val="7"/>
          <w:sz w:val="24"/>
          <w:szCs w:val="24"/>
        </w:rPr>
        <w:t>活动。并承诺，我公司具有履行合同所必须的设备和专业技术能力。如我方中标，我公司将提供足够的设备和专业技术能力保证本合同履行。</w:t>
      </w:r>
    </w:p>
    <w:p w14:paraId="1391A2FE">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本公司对上述承诺的真实性负责。如有虚假，我公司同意按我方合同违约处理，并依法承担相应法律责任。</w:t>
      </w:r>
    </w:p>
    <w:p w14:paraId="7865BA94">
      <w:pPr>
        <w:pStyle w:val="4"/>
        <w:pageBreakBefore w:val="0"/>
        <w:kinsoku/>
        <w:topLinePunct w:val="0"/>
        <w:bidi w:val="0"/>
        <w:spacing w:line="259" w:lineRule="auto"/>
        <w:rPr>
          <w:sz w:val="24"/>
          <w:szCs w:val="24"/>
        </w:rPr>
      </w:pPr>
    </w:p>
    <w:p w14:paraId="63B81A8F">
      <w:pPr>
        <w:pStyle w:val="4"/>
        <w:pageBreakBefore w:val="0"/>
        <w:kinsoku/>
        <w:topLinePunct w:val="0"/>
        <w:bidi w:val="0"/>
        <w:spacing w:line="260" w:lineRule="auto"/>
        <w:rPr>
          <w:sz w:val="24"/>
          <w:szCs w:val="24"/>
        </w:rPr>
      </w:pPr>
    </w:p>
    <w:p w14:paraId="78A74B4B">
      <w:pPr>
        <w:pageBreakBefore w:val="0"/>
        <w:kinsoku/>
        <w:topLinePunct w:val="0"/>
        <w:bidi w:val="0"/>
        <w:spacing w:before="65" w:line="503"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68457A15">
      <w:pPr>
        <w:pageBreakBefore w:val="0"/>
        <w:kinsoku/>
        <w:topLinePunct w:val="0"/>
        <w:bidi w:val="0"/>
        <w:spacing w:before="1" w:line="230"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E8A6AC2">
      <w:pPr>
        <w:pStyle w:val="4"/>
        <w:pageBreakBefore w:val="0"/>
        <w:kinsoku/>
        <w:topLinePunct w:val="0"/>
        <w:bidi w:val="0"/>
        <w:spacing w:line="464" w:lineRule="auto"/>
        <w:rPr>
          <w:sz w:val="24"/>
          <w:szCs w:val="24"/>
        </w:rPr>
      </w:pPr>
    </w:p>
    <w:p w14:paraId="3AA85E63">
      <w:pPr>
        <w:pageBreakBefore w:val="0"/>
        <w:kinsoku/>
        <w:topLinePunct w:val="0"/>
        <w:bidi w:val="0"/>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473CE5FF">
      <w:pPr>
        <w:pageBreakBefore w:val="0"/>
        <w:kinsoku/>
        <w:topLinePunct w:val="0"/>
        <w:bidi w:val="0"/>
        <w:spacing w:line="231" w:lineRule="auto"/>
        <w:rPr>
          <w:rFonts w:ascii="仿宋" w:hAnsi="仿宋" w:eastAsia="仿宋" w:cs="仿宋"/>
          <w:sz w:val="20"/>
          <w:szCs w:val="20"/>
        </w:rPr>
        <w:sectPr>
          <w:footerReference r:id="rId13" w:type="default"/>
          <w:pgSz w:w="11906" w:h="16839"/>
          <w:pgMar w:top="1440" w:right="1080" w:bottom="1440" w:left="1080" w:header="0" w:footer="1054" w:gutter="0"/>
          <w:pgNumType w:fmt="decimal"/>
          <w:cols w:space="720" w:num="1"/>
        </w:sectPr>
      </w:pPr>
    </w:p>
    <w:p w14:paraId="14794669">
      <w:pPr>
        <w:pStyle w:val="4"/>
        <w:pageBreakBefore w:val="0"/>
        <w:kinsoku/>
        <w:topLinePunct w:val="0"/>
        <w:bidi w:val="0"/>
        <w:spacing w:line="346" w:lineRule="auto"/>
      </w:pPr>
    </w:p>
    <w:p w14:paraId="05633F96">
      <w:pPr>
        <w:pageBreakBefore w:val="0"/>
        <w:kinsoku/>
        <w:topLinePunct w:val="0"/>
        <w:bidi w:val="0"/>
        <w:spacing w:before="42" w:line="230" w:lineRule="auto"/>
        <w:jc w:val="center"/>
        <w:outlineLvl w:val="2"/>
        <w:rPr>
          <w:rFonts w:hint="eastAsia" w:ascii="仿宋" w:hAnsi="仿宋" w:eastAsia="仿宋" w:cs="仿宋"/>
          <w:b/>
          <w:bCs/>
          <w:spacing w:val="7"/>
          <w:sz w:val="24"/>
          <w:szCs w:val="24"/>
          <w:lang w:val="en-US" w:eastAsia="zh-CN"/>
        </w:rPr>
      </w:pPr>
      <w:r>
        <w:rPr>
          <w:rFonts w:ascii="仿宋" w:hAnsi="仿宋" w:eastAsia="仿宋" w:cs="仿宋"/>
          <w:b/>
          <w:bCs/>
          <w:spacing w:val="7"/>
          <w:sz w:val="24"/>
          <w:szCs w:val="24"/>
        </w:rPr>
        <w:t>9.</w:t>
      </w:r>
      <w:r>
        <w:rPr>
          <w:rFonts w:hint="eastAsia" w:ascii="仿宋" w:hAnsi="仿宋" w:eastAsia="仿宋" w:cs="仿宋"/>
          <w:b/>
          <w:bCs/>
          <w:spacing w:val="7"/>
          <w:sz w:val="24"/>
          <w:szCs w:val="24"/>
          <w:lang w:val="en-US" w:eastAsia="zh-CN"/>
        </w:rPr>
        <w:t>提供单位负责人为同一人或者存在直接控股、管理关系的不同</w:t>
      </w:r>
      <w:r>
        <w:rPr>
          <w:rFonts w:hint="eastAsia" w:ascii="仿宋" w:hAnsi="仿宋" w:eastAsia="仿宋" w:cs="仿宋"/>
          <w:b/>
          <w:bCs/>
          <w:spacing w:val="7"/>
          <w:sz w:val="24"/>
          <w:szCs w:val="24"/>
          <w:lang w:eastAsia="zh-CN"/>
        </w:rPr>
        <w:t>供应商</w:t>
      </w:r>
      <w:r>
        <w:rPr>
          <w:rFonts w:hint="eastAsia" w:ascii="仿宋" w:hAnsi="仿宋" w:eastAsia="仿宋" w:cs="仿宋"/>
          <w:b/>
          <w:bCs/>
          <w:spacing w:val="7"/>
          <w:sz w:val="24"/>
          <w:szCs w:val="24"/>
          <w:lang w:val="en-US" w:eastAsia="zh-CN"/>
        </w:rPr>
        <w:t>，不得参加同一合同项下的政府采购活动的书面声明（格式自拟）</w:t>
      </w:r>
    </w:p>
    <w:p w14:paraId="1637029A">
      <w:pPr>
        <w:pageBreakBefore w:val="0"/>
        <w:kinsoku/>
        <w:topLinePunct w:val="0"/>
        <w:bidi w:val="0"/>
        <w:rPr>
          <w:rFonts w:hint="eastAsia" w:ascii="仿宋" w:hAnsi="仿宋" w:eastAsia="仿宋" w:cs="仿宋"/>
          <w:b/>
          <w:bCs/>
          <w:spacing w:val="5"/>
          <w:sz w:val="24"/>
          <w:szCs w:val="24"/>
          <w:lang w:val="en-US" w:eastAsia="zh-CN"/>
        </w:rPr>
      </w:pPr>
      <w:r>
        <w:rPr>
          <w:rFonts w:hint="eastAsia" w:ascii="仿宋" w:hAnsi="仿宋" w:eastAsia="仿宋" w:cs="仿宋"/>
          <w:b/>
          <w:bCs/>
          <w:spacing w:val="7"/>
          <w:sz w:val="24"/>
          <w:szCs w:val="24"/>
          <w:lang w:val="en-US" w:eastAsia="zh-CN"/>
        </w:rPr>
        <w:br w:type="page"/>
      </w:r>
    </w:p>
    <w:p w14:paraId="5B91691A">
      <w:pPr>
        <w:pageBreakBefore w:val="0"/>
        <w:kinsoku/>
        <w:topLinePunct w:val="0"/>
        <w:bidi w:val="0"/>
        <w:spacing w:before="42" w:line="230" w:lineRule="auto"/>
        <w:ind w:left="2684"/>
        <w:outlineLvl w:val="2"/>
        <w:rPr>
          <w:rFonts w:ascii="仿宋" w:hAnsi="仿宋" w:eastAsia="仿宋" w:cs="仿宋"/>
          <w:sz w:val="24"/>
          <w:szCs w:val="24"/>
        </w:rPr>
      </w:pPr>
      <w:r>
        <w:rPr>
          <w:rFonts w:ascii="仿宋" w:hAnsi="仿宋" w:eastAsia="仿宋" w:cs="仿宋"/>
          <w:b/>
          <w:bCs/>
          <w:spacing w:val="7"/>
          <w:sz w:val="24"/>
          <w:szCs w:val="24"/>
        </w:rPr>
        <w:t>1</w:t>
      </w:r>
      <w:r>
        <w:rPr>
          <w:rFonts w:hint="eastAsia" w:ascii="仿宋" w:hAnsi="仿宋" w:eastAsia="仿宋" w:cs="仿宋"/>
          <w:b/>
          <w:bCs/>
          <w:spacing w:val="7"/>
          <w:sz w:val="24"/>
          <w:szCs w:val="24"/>
          <w:lang w:val="en-US" w:eastAsia="zh-CN"/>
        </w:rPr>
        <w:t>0</w:t>
      </w:r>
      <w:r>
        <w:rPr>
          <w:rFonts w:ascii="仿宋" w:hAnsi="仿宋" w:eastAsia="仿宋" w:cs="仿宋"/>
          <w:b/>
          <w:bCs/>
          <w:spacing w:val="7"/>
          <w:sz w:val="24"/>
          <w:szCs w:val="24"/>
        </w:rPr>
        <w:t>、拟投入本项目管理、服务、其他人员情况表</w:t>
      </w:r>
    </w:p>
    <w:p w14:paraId="087BDD1D">
      <w:pPr>
        <w:pageBreakBefore w:val="0"/>
        <w:kinsoku/>
        <w:topLinePunct w:val="0"/>
        <w:bidi w:val="0"/>
        <w:spacing w:line="90" w:lineRule="exact"/>
        <w:rPr>
          <w:sz w:val="24"/>
          <w:szCs w:val="24"/>
        </w:rPr>
      </w:pPr>
    </w:p>
    <w:tbl>
      <w:tblPr>
        <w:tblStyle w:val="15"/>
        <w:tblW w:w="9579"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023"/>
        <w:gridCol w:w="1024"/>
        <w:gridCol w:w="1024"/>
        <w:gridCol w:w="1025"/>
        <w:gridCol w:w="1334"/>
        <w:gridCol w:w="939"/>
        <w:gridCol w:w="1068"/>
        <w:gridCol w:w="950"/>
      </w:tblGrid>
      <w:tr w14:paraId="1482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92" w:type="dxa"/>
            <w:vMerge w:val="restart"/>
            <w:tcBorders>
              <w:bottom w:val="nil"/>
            </w:tcBorders>
            <w:vAlign w:val="top"/>
          </w:tcPr>
          <w:p w14:paraId="574912EF">
            <w:pPr>
              <w:pageBreakBefore w:val="0"/>
              <w:kinsoku/>
              <w:topLinePunct w:val="0"/>
              <w:bidi w:val="0"/>
              <w:spacing w:line="477" w:lineRule="auto"/>
              <w:rPr>
                <w:rFonts w:ascii="Arial"/>
                <w:sz w:val="24"/>
                <w:szCs w:val="24"/>
              </w:rPr>
            </w:pPr>
          </w:p>
          <w:p w14:paraId="5F78F990">
            <w:pPr>
              <w:pStyle w:val="16"/>
              <w:pageBreakBefore w:val="0"/>
              <w:kinsoku/>
              <w:topLinePunct w:val="0"/>
              <w:bidi w:val="0"/>
              <w:spacing w:before="65" w:line="232" w:lineRule="auto"/>
              <w:ind w:left="399"/>
              <w:rPr>
                <w:sz w:val="24"/>
                <w:szCs w:val="24"/>
              </w:rPr>
            </w:pPr>
            <w:r>
              <w:rPr>
                <w:sz w:val="24"/>
                <w:szCs w:val="24"/>
              </w:rPr>
              <w:t>类别</w:t>
            </w:r>
          </w:p>
        </w:tc>
        <w:tc>
          <w:tcPr>
            <w:tcW w:w="1023" w:type="dxa"/>
            <w:vMerge w:val="restart"/>
            <w:tcBorders>
              <w:bottom w:val="nil"/>
            </w:tcBorders>
            <w:vAlign w:val="top"/>
          </w:tcPr>
          <w:p w14:paraId="06F6D327">
            <w:pPr>
              <w:pageBreakBefore w:val="0"/>
              <w:kinsoku/>
              <w:topLinePunct w:val="0"/>
              <w:bidi w:val="0"/>
              <w:spacing w:line="478" w:lineRule="auto"/>
              <w:rPr>
                <w:rFonts w:ascii="Arial"/>
                <w:sz w:val="24"/>
                <w:szCs w:val="24"/>
              </w:rPr>
            </w:pPr>
          </w:p>
          <w:p w14:paraId="474E9C7F">
            <w:pPr>
              <w:pStyle w:val="16"/>
              <w:pageBreakBefore w:val="0"/>
              <w:kinsoku/>
              <w:topLinePunct w:val="0"/>
              <w:bidi w:val="0"/>
              <w:spacing w:before="65" w:line="233" w:lineRule="auto"/>
              <w:ind w:left="310"/>
              <w:rPr>
                <w:sz w:val="24"/>
                <w:szCs w:val="24"/>
              </w:rPr>
            </w:pPr>
            <w:r>
              <w:rPr>
                <w:spacing w:val="2"/>
                <w:sz w:val="24"/>
                <w:szCs w:val="24"/>
              </w:rPr>
              <w:t>姓名</w:t>
            </w:r>
          </w:p>
        </w:tc>
        <w:tc>
          <w:tcPr>
            <w:tcW w:w="1024" w:type="dxa"/>
            <w:vMerge w:val="restart"/>
            <w:tcBorders>
              <w:bottom w:val="nil"/>
            </w:tcBorders>
            <w:vAlign w:val="top"/>
          </w:tcPr>
          <w:p w14:paraId="56640DDA">
            <w:pPr>
              <w:pageBreakBefore w:val="0"/>
              <w:kinsoku/>
              <w:topLinePunct w:val="0"/>
              <w:bidi w:val="0"/>
              <w:spacing w:line="277" w:lineRule="auto"/>
              <w:rPr>
                <w:rFonts w:ascii="Arial"/>
                <w:sz w:val="24"/>
                <w:szCs w:val="24"/>
              </w:rPr>
            </w:pPr>
          </w:p>
          <w:p w14:paraId="718CCD8D">
            <w:pPr>
              <w:pStyle w:val="16"/>
              <w:pageBreakBefore w:val="0"/>
              <w:kinsoku/>
              <w:topLinePunct w:val="0"/>
              <w:bidi w:val="0"/>
              <w:spacing w:before="65" w:line="401" w:lineRule="exact"/>
              <w:ind w:left="204"/>
              <w:rPr>
                <w:sz w:val="24"/>
                <w:szCs w:val="24"/>
              </w:rPr>
            </w:pPr>
            <w:r>
              <w:rPr>
                <w:spacing w:val="5"/>
                <w:position w:val="14"/>
                <w:sz w:val="24"/>
                <w:szCs w:val="24"/>
              </w:rPr>
              <w:t>联系方</w:t>
            </w:r>
          </w:p>
          <w:p w14:paraId="5870D38C">
            <w:pPr>
              <w:pStyle w:val="16"/>
              <w:pageBreakBefore w:val="0"/>
              <w:kinsoku/>
              <w:topLinePunct w:val="0"/>
              <w:bidi w:val="0"/>
              <w:spacing w:line="231" w:lineRule="auto"/>
              <w:ind w:left="421"/>
              <w:rPr>
                <w:sz w:val="24"/>
                <w:szCs w:val="24"/>
              </w:rPr>
            </w:pPr>
            <w:r>
              <w:rPr>
                <w:sz w:val="24"/>
                <w:szCs w:val="24"/>
              </w:rPr>
              <w:t>式</w:t>
            </w:r>
          </w:p>
        </w:tc>
        <w:tc>
          <w:tcPr>
            <w:tcW w:w="1024" w:type="dxa"/>
            <w:vMerge w:val="restart"/>
            <w:tcBorders>
              <w:bottom w:val="nil"/>
            </w:tcBorders>
            <w:vAlign w:val="top"/>
          </w:tcPr>
          <w:p w14:paraId="01513F8A">
            <w:pPr>
              <w:pageBreakBefore w:val="0"/>
              <w:kinsoku/>
              <w:topLinePunct w:val="0"/>
              <w:bidi w:val="0"/>
              <w:spacing w:line="277" w:lineRule="auto"/>
              <w:rPr>
                <w:rFonts w:ascii="Arial"/>
                <w:sz w:val="24"/>
                <w:szCs w:val="24"/>
              </w:rPr>
            </w:pPr>
          </w:p>
          <w:p w14:paraId="734EC0E5">
            <w:pPr>
              <w:pStyle w:val="16"/>
              <w:pageBreakBefore w:val="0"/>
              <w:kinsoku/>
              <w:topLinePunct w:val="0"/>
              <w:bidi w:val="0"/>
              <w:spacing w:before="65" w:line="401" w:lineRule="exact"/>
              <w:ind w:left="207"/>
              <w:rPr>
                <w:sz w:val="24"/>
                <w:szCs w:val="24"/>
              </w:rPr>
            </w:pPr>
            <w:r>
              <w:rPr>
                <w:spacing w:val="5"/>
                <w:position w:val="14"/>
                <w:sz w:val="24"/>
                <w:szCs w:val="24"/>
              </w:rPr>
              <w:t>职称或</w:t>
            </w:r>
          </w:p>
          <w:p w14:paraId="1AC7AB99">
            <w:pPr>
              <w:pStyle w:val="16"/>
              <w:pageBreakBefore w:val="0"/>
              <w:kinsoku/>
              <w:topLinePunct w:val="0"/>
              <w:bidi w:val="0"/>
              <w:spacing w:line="231" w:lineRule="auto"/>
              <w:ind w:left="312"/>
              <w:rPr>
                <w:sz w:val="24"/>
                <w:szCs w:val="24"/>
              </w:rPr>
            </w:pPr>
            <w:r>
              <w:rPr>
                <w:spacing w:val="2"/>
                <w:sz w:val="24"/>
                <w:szCs w:val="24"/>
              </w:rPr>
              <w:t>职务</w:t>
            </w:r>
          </w:p>
        </w:tc>
        <w:tc>
          <w:tcPr>
            <w:tcW w:w="1025" w:type="dxa"/>
            <w:vMerge w:val="restart"/>
            <w:tcBorders>
              <w:bottom w:val="nil"/>
            </w:tcBorders>
            <w:vAlign w:val="top"/>
          </w:tcPr>
          <w:p w14:paraId="578B2394">
            <w:pPr>
              <w:pageBreakBefore w:val="0"/>
              <w:kinsoku/>
              <w:topLinePunct w:val="0"/>
              <w:bidi w:val="0"/>
              <w:spacing w:line="478" w:lineRule="auto"/>
              <w:rPr>
                <w:rFonts w:ascii="Arial"/>
                <w:sz w:val="24"/>
                <w:szCs w:val="24"/>
              </w:rPr>
            </w:pPr>
          </w:p>
          <w:p w14:paraId="6F7D9574">
            <w:pPr>
              <w:pStyle w:val="16"/>
              <w:pageBreakBefore w:val="0"/>
              <w:kinsoku/>
              <w:topLinePunct w:val="0"/>
              <w:bidi w:val="0"/>
              <w:spacing w:before="65" w:line="230" w:lineRule="auto"/>
              <w:ind w:left="220"/>
              <w:rPr>
                <w:sz w:val="24"/>
                <w:szCs w:val="24"/>
              </w:rPr>
            </w:pPr>
            <w:r>
              <w:rPr>
                <w:spacing w:val="1"/>
                <w:sz w:val="24"/>
                <w:szCs w:val="24"/>
              </w:rPr>
              <w:t>常住地</w:t>
            </w:r>
          </w:p>
        </w:tc>
        <w:tc>
          <w:tcPr>
            <w:tcW w:w="4291" w:type="dxa"/>
            <w:gridSpan w:val="4"/>
            <w:vAlign w:val="top"/>
          </w:tcPr>
          <w:p w14:paraId="2BE08756">
            <w:pPr>
              <w:pStyle w:val="16"/>
              <w:pageBreakBefore w:val="0"/>
              <w:kinsoku/>
              <w:topLinePunct w:val="0"/>
              <w:bidi w:val="0"/>
              <w:spacing w:before="241" w:line="231" w:lineRule="auto"/>
              <w:ind w:left="1745"/>
              <w:rPr>
                <w:sz w:val="24"/>
                <w:szCs w:val="24"/>
              </w:rPr>
            </w:pPr>
            <w:r>
              <w:rPr>
                <w:spacing w:val="3"/>
                <w:sz w:val="24"/>
                <w:szCs w:val="24"/>
              </w:rPr>
              <w:t>资格证明</w:t>
            </w:r>
          </w:p>
        </w:tc>
      </w:tr>
      <w:tr w14:paraId="6209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tcBorders>
            <w:vAlign w:val="top"/>
          </w:tcPr>
          <w:p w14:paraId="33712B05">
            <w:pPr>
              <w:pageBreakBefore w:val="0"/>
              <w:kinsoku/>
              <w:topLinePunct w:val="0"/>
              <w:bidi w:val="0"/>
              <w:rPr>
                <w:rFonts w:ascii="Arial"/>
                <w:sz w:val="24"/>
                <w:szCs w:val="24"/>
              </w:rPr>
            </w:pPr>
          </w:p>
        </w:tc>
        <w:tc>
          <w:tcPr>
            <w:tcW w:w="1023" w:type="dxa"/>
            <w:vMerge w:val="continue"/>
            <w:tcBorders>
              <w:top w:val="nil"/>
            </w:tcBorders>
            <w:vAlign w:val="top"/>
          </w:tcPr>
          <w:p w14:paraId="637A8390">
            <w:pPr>
              <w:pageBreakBefore w:val="0"/>
              <w:kinsoku/>
              <w:topLinePunct w:val="0"/>
              <w:bidi w:val="0"/>
              <w:rPr>
                <w:rFonts w:ascii="Arial"/>
                <w:sz w:val="24"/>
                <w:szCs w:val="24"/>
              </w:rPr>
            </w:pPr>
          </w:p>
        </w:tc>
        <w:tc>
          <w:tcPr>
            <w:tcW w:w="1024" w:type="dxa"/>
            <w:vMerge w:val="continue"/>
            <w:tcBorders>
              <w:top w:val="nil"/>
            </w:tcBorders>
            <w:vAlign w:val="top"/>
          </w:tcPr>
          <w:p w14:paraId="6252A7B5">
            <w:pPr>
              <w:pageBreakBefore w:val="0"/>
              <w:kinsoku/>
              <w:topLinePunct w:val="0"/>
              <w:bidi w:val="0"/>
              <w:rPr>
                <w:rFonts w:ascii="Arial"/>
                <w:sz w:val="24"/>
                <w:szCs w:val="24"/>
              </w:rPr>
            </w:pPr>
          </w:p>
        </w:tc>
        <w:tc>
          <w:tcPr>
            <w:tcW w:w="1024" w:type="dxa"/>
            <w:vMerge w:val="continue"/>
            <w:tcBorders>
              <w:top w:val="nil"/>
            </w:tcBorders>
            <w:vAlign w:val="top"/>
          </w:tcPr>
          <w:p w14:paraId="7C1F7C80">
            <w:pPr>
              <w:pageBreakBefore w:val="0"/>
              <w:kinsoku/>
              <w:topLinePunct w:val="0"/>
              <w:bidi w:val="0"/>
              <w:rPr>
                <w:rFonts w:ascii="Arial"/>
                <w:sz w:val="24"/>
                <w:szCs w:val="24"/>
              </w:rPr>
            </w:pPr>
          </w:p>
        </w:tc>
        <w:tc>
          <w:tcPr>
            <w:tcW w:w="1025" w:type="dxa"/>
            <w:vMerge w:val="continue"/>
            <w:tcBorders>
              <w:top w:val="nil"/>
            </w:tcBorders>
            <w:vAlign w:val="top"/>
          </w:tcPr>
          <w:p w14:paraId="653F320A">
            <w:pPr>
              <w:pageBreakBefore w:val="0"/>
              <w:kinsoku/>
              <w:topLinePunct w:val="0"/>
              <w:bidi w:val="0"/>
              <w:rPr>
                <w:rFonts w:ascii="Arial"/>
                <w:sz w:val="24"/>
                <w:szCs w:val="24"/>
              </w:rPr>
            </w:pPr>
          </w:p>
        </w:tc>
        <w:tc>
          <w:tcPr>
            <w:tcW w:w="1334" w:type="dxa"/>
            <w:vAlign w:val="top"/>
          </w:tcPr>
          <w:p w14:paraId="54341C01">
            <w:pPr>
              <w:pStyle w:val="16"/>
              <w:pageBreakBefore w:val="0"/>
              <w:kinsoku/>
              <w:topLinePunct w:val="0"/>
              <w:bidi w:val="0"/>
              <w:spacing w:before="239" w:line="229" w:lineRule="auto"/>
              <w:ind w:left="258"/>
              <w:rPr>
                <w:sz w:val="24"/>
                <w:szCs w:val="24"/>
              </w:rPr>
            </w:pPr>
            <w:r>
              <w:rPr>
                <w:spacing w:val="6"/>
                <w:sz w:val="24"/>
                <w:szCs w:val="24"/>
              </w:rPr>
              <w:t>证书名称</w:t>
            </w:r>
          </w:p>
        </w:tc>
        <w:tc>
          <w:tcPr>
            <w:tcW w:w="939" w:type="dxa"/>
            <w:vAlign w:val="top"/>
          </w:tcPr>
          <w:p w14:paraId="3BA2D598">
            <w:pPr>
              <w:pStyle w:val="16"/>
              <w:pageBreakBefore w:val="0"/>
              <w:kinsoku/>
              <w:topLinePunct w:val="0"/>
              <w:bidi w:val="0"/>
              <w:spacing w:before="238" w:line="232" w:lineRule="auto"/>
              <w:ind w:left="273"/>
              <w:rPr>
                <w:sz w:val="24"/>
                <w:szCs w:val="24"/>
              </w:rPr>
            </w:pPr>
            <w:r>
              <w:rPr>
                <w:sz w:val="24"/>
                <w:szCs w:val="24"/>
              </w:rPr>
              <w:t>级别</w:t>
            </w:r>
          </w:p>
        </w:tc>
        <w:tc>
          <w:tcPr>
            <w:tcW w:w="1068" w:type="dxa"/>
            <w:vAlign w:val="top"/>
          </w:tcPr>
          <w:p w14:paraId="75E7F2A7">
            <w:pPr>
              <w:pStyle w:val="16"/>
              <w:pageBreakBefore w:val="0"/>
              <w:kinsoku/>
              <w:topLinePunct w:val="0"/>
              <w:bidi w:val="0"/>
              <w:spacing w:before="239" w:line="232" w:lineRule="auto"/>
              <w:ind w:left="334"/>
              <w:rPr>
                <w:sz w:val="24"/>
                <w:szCs w:val="24"/>
              </w:rPr>
            </w:pPr>
            <w:r>
              <w:rPr>
                <w:spacing w:val="2"/>
                <w:sz w:val="24"/>
                <w:szCs w:val="24"/>
              </w:rPr>
              <w:t>证号</w:t>
            </w:r>
          </w:p>
        </w:tc>
        <w:tc>
          <w:tcPr>
            <w:tcW w:w="950" w:type="dxa"/>
            <w:vAlign w:val="top"/>
          </w:tcPr>
          <w:p w14:paraId="62E90831">
            <w:pPr>
              <w:pStyle w:val="16"/>
              <w:pageBreakBefore w:val="0"/>
              <w:kinsoku/>
              <w:topLinePunct w:val="0"/>
              <w:bidi w:val="0"/>
              <w:spacing w:before="239" w:line="232" w:lineRule="auto"/>
              <w:ind w:left="278"/>
              <w:rPr>
                <w:sz w:val="24"/>
                <w:szCs w:val="24"/>
              </w:rPr>
            </w:pPr>
            <w:r>
              <w:rPr>
                <w:sz w:val="24"/>
                <w:szCs w:val="24"/>
              </w:rPr>
              <w:t>专业</w:t>
            </w:r>
          </w:p>
        </w:tc>
      </w:tr>
      <w:tr w14:paraId="4DF70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restart"/>
            <w:tcBorders>
              <w:bottom w:val="nil"/>
            </w:tcBorders>
            <w:textDirection w:val="tbRlV"/>
            <w:vAlign w:val="top"/>
          </w:tcPr>
          <w:p w14:paraId="7692D922">
            <w:pPr>
              <w:pageBreakBefore w:val="0"/>
              <w:kinsoku/>
              <w:topLinePunct w:val="0"/>
              <w:bidi w:val="0"/>
              <w:spacing w:line="410" w:lineRule="auto"/>
              <w:rPr>
                <w:rFonts w:ascii="Arial"/>
                <w:sz w:val="24"/>
                <w:szCs w:val="24"/>
              </w:rPr>
            </w:pPr>
          </w:p>
          <w:p w14:paraId="5465F040">
            <w:pPr>
              <w:pStyle w:val="16"/>
              <w:pageBreakBefore w:val="0"/>
              <w:kinsoku/>
              <w:topLinePunct w:val="0"/>
              <w:bidi w:val="0"/>
              <w:spacing w:before="66" w:line="209" w:lineRule="auto"/>
              <w:ind w:left="141"/>
              <w:rPr>
                <w:sz w:val="24"/>
                <w:szCs w:val="24"/>
              </w:rPr>
            </w:pPr>
            <w:r>
              <w:rPr>
                <w:spacing w:val="13"/>
                <w:sz w:val="24"/>
                <w:szCs w:val="24"/>
              </w:rPr>
              <w:t>管</w:t>
            </w:r>
            <w:r>
              <w:rPr>
                <w:spacing w:val="89"/>
                <w:sz w:val="24"/>
                <w:szCs w:val="24"/>
              </w:rPr>
              <w:t xml:space="preserve"> </w:t>
            </w:r>
            <w:r>
              <w:rPr>
                <w:spacing w:val="13"/>
                <w:sz w:val="24"/>
                <w:szCs w:val="24"/>
              </w:rPr>
              <w:t>理</w:t>
            </w:r>
            <w:r>
              <w:rPr>
                <w:spacing w:val="87"/>
                <w:sz w:val="24"/>
                <w:szCs w:val="24"/>
              </w:rPr>
              <w:t xml:space="preserve"> </w:t>
            </w:r>
            <w:r>
              <w:rPr>
                <w:spacing w:val="13"/>
                <w:sz w:val="24"/>
                <w:szCs w:val="24"/>
              </w:rPr>
              <w:t>人</w:t>
            </w:r>
            <w:r>
              <w:rPr>
                <w:spacing w:val="84"/>
                <w:sz w:val="24"/>
                <w:szCs w:val="24"/>
              </w:rPr>
              <w:t xml:space="preserve"> </w:t>
            </w:r>
            <w:r>
              <w:rPr>
                <w:spacing w:val="13"/>
                <w:sz w:val="24"/>
                <w:szCs w:val="24"/>
              </w:rPr>
              <w:t>员</w:t>
            </w:r>
          </w:p>
        </w:tc>
        <w:tc>
          <w:tcPr>
            <w:tcW w:w="1023" w:type="dxa"/>
            <w:vAlign w:val="top"/>
          </w:tcPr>
          <w:p w14:paraId="43EF9987">
            <w:pPr>
              <w:pageBreakBefore w:val="0"/>
              <w:kinsoku/>
              <w:topLinePunct w:val="0"/>
              <w:bidi w:val="0"/>
              <w:rPr>
                <w:rFonts w:ascii="Arial"/>
                <w:sz w:val="24"/>
                <w:szCs w:val="24"/>
              </w:rPr>
            </w:pPr>
          </w:p>
        </w:tc>
        <w:tc>
          <w:tcPr>
            <w:tcW w:w="1024" w:type="dxa"/>
            <w:vAlign w:val="top"/>
          </w:tcPr>
          <w:p w14:paraId="0DF4110F">
            <w:pPr>
              <w:pageBreakBefore w:val="0"/>
              <w:kinsoku/>
              <w:topLinePunct w:val="0"/>
              <w:bidi w:val="0"/>
              <w:rPr>
                <w:rFonts w:ascii="Arial"/>
                <w:sz w:val="24"/>
                <w:szCs w:val="24"/>
              </w:rPr>
            </w:pPr>
          </w:p>
        </w:tc>
        <w:tc>
          <w:tcPr>
            <w:tcW w:w="1024" w:type="dxa"/>
            <w:vAlign w:val="top"/>
          </w:tcPr>
          <w:p w14:paraId="2C83D2E8">
            <w:pPr>
              <w:pageBreakBefore w:val="0"/>
              <w:kinsoku/>
              <w:topLinePunct w:val="0"/>
              <w:bidi w:val="0"/>
              <w:rPr>
                <w:rFonts w:ascii="Arial"/>
                <w:sz w:val="24"/>
                <w:szCs w:val="24"/>
              </w:rPr>
            </w:pPr>
          </w:p>
        </w:tc>
        <w:tc>
          <w:tcPr>
            <w:tcW w:w="1025" w:type="dxa"/>
            <w:vAlign w:val="top"/>
          </w:tcPr>
          <w:p w14:paraId="51A6442B">
            <w:pPr>
              <w:pageBreakBefore w:val="0"/>
              <w:kinsoku/>
              <w:topLinePunct w:val="0"/>
              <w:bidi w:val="0"/>
              <w:rPr>
                <w:rFonts w:ascii="Arial"/>
                <w:sz w:val="24"/>
                <w:szCs w:val="24"/>
              </w:rPr>
            </w:pPr>
          </w:p>
        </w:tc>
        <w:tc>
          <w:tcPr>
            <w:tcW w:w="1334" w:type="dxa"/>
            <w:vAlign w:val="top"/>
          </w:tcPr>
          <w:p w14:paraId="5C3751C4">
            <w:pPr>
              <w:pageBreakBefore w:val="0"/>
              <w:kinsoku/>
              <w:topLinePunct w:val="0"/>
              <w:bidi w:val="0"/>
              <w:rPr>
                <w:rFonts w:ascii="Arial"/>
                <w:sz w:val="24"/>
                <w:szCs w:val="24"/>
              </w:rPr>
            </w:pPr>
          </w:p>
        </w:tc>
        <w:tc>
          <w:tcPr>
            <w:tcW w:w="939" w:type="dxa"/>
            <w:vAlign w:val="top"/>
          </w:tcPr>
          <w:p w14:paraId="22EB2264">
            <w:pPr>
              <w:pageBreakBefore w:val="0"/>
              <w:kinsoku/>
              <w:topLinePunct w:val="0"/>
              <w:bidi w:val="0"/>
              <w:rPr>
                <w:rFonts w:ascii="Arial"/>
                <w:sz w:val="24"/>
                <w:szCs w:val="24"/>
              </w:rPr>
            </w:pPr>
          </w:p>
        </w:tc>
        <w:tc>
          <w:tcPr>
            <w:tcW w:w="1068" w:type="dxa"/>
            <w:vAlign w:val="top"/>
          </w:tcPr>
          <w:p w14:paraId="5D3FF54D">
            <w:pPr>
              <w:pageBreakBefore w:val="0"/>
              <w:kinsoku/>
              <w:topLinePunct w:val="0"/>
              <w:bidi w:val="0"/>
              <w:rPr>
                <w:rFonts w:ascii="Arial"/>
                <w:sz w:val="24"/>
                <w:szCs w:val="24"/>
              </w:rPr>
            </w:pPr>
          </w:p>
        </w:tc>
        <w:tc>
          <w:tcPr>
            <w:tcW w:w="950" w:type="dxa"/>
            <w:vAlign w:val="top"/>
          </w:tcPr>
          <w:p w14:paraId="20FD5A45">
            <w:pPr>
              <w:pageBreakBefore w:val="0"/>
              <w:kinsoku/>
              <w:topLinePunct w:val="0"/>
              <w:bidi w:val="0"/>
              <w:rPr>
                <w:rFonts w:ascii="Arial"/>
                <w:sz w:val="24"/>
                <w:szCs w:val="24"/>
              </w:rPr>
            </w:pPr>
          </w:p>
        </w:tc>
      </w:tr>
      <w:tr w14:paraId="541B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bottom w:val="nil"/>
            </w:tcBorders>
            <w:textDirection w:val="tbRlV"/>
            <w:vAlign w:val="top"/>
          </w:tcPr>
          <w:p w14:paraId="2647EE07">
            <w:pPr>
              <w:pageBreakBefore w:val="0"/>
              <w:kinsoku/>
              <w:topLinePunct w:val="0"/>
              <w:bidi w:val="0"/>
              <w:rPr>
                <w:rFonts w:ascii="Arial"/>
                <w:sz w:val="24"/>
                <w:szCs w:val="24"/>
              </w:rPr>
            </w:pPr>
          </w:p>
        </w:tc>
        <w:tc>
          <w:tcPr>
            <w:tcW w:w="1023" w:type="dxa"/>
            <w:vAlign w:val="top"/>
          </w:tcPr>
          <w:p w14:paraId="297CC43F">
            <w:pPr>
              <w:pageBreakBefore w:val="0"/>
              <w:kinsoku/>
              <w:topLinePunct w:val="0"/>
              <w:bidi w:val="0"/>
              <w:rPr>
                <w:rFonts w:ascii="Arial"/>
                <w:sz w:val="24"/>
                <w:szCs w:val="24"/>
              </w:rPr>
            </w:pPr>
          </w:p>
        </w:tc>
        <w:tc>
          <w:tcPr>
            <w:tcW w:w="1024" w:type="dxa"/>
            <w:vAlign w:val="top"/>
          </w:tcPr>
          <w:p w14:paraId="3D034E12">
            <w:pPr>
              <w:pageBreakBefore w:val="0"/>
              <w:kinsoku/>
              <w:topLinePunct w:val="0"/>
              <w:bidi w:val="0"/>
              <w:rPr>
                <w:rFonts w:ascii="Arial"/>
                <w:sz w:val="24"/>
                <w:szCs w:val="24"/>
              </w:rPr>
            </w:pPr>
          </w:p>
        </w:tc>
        <w:tc>
          <w:tcPr>
            <w:tcW w:w="1024" w:type="dxa"/>
            <w:vAlign w:val="top"/>
          </w:tcPr>
          <w:p w14:paraId="5F984FDB">
            <w:pPr>
              <w:pageBreakBefore w:val="0"/>
              <w:kinsoku/>
              <w:topLinePunct w:val="0"/>
              <w:bidi w:val="0"/>
              <w:rPr>
                <w:rFonts w:ascii="Arial"/>
                <w:sz w:val="24"/>
                <w:szCs w:val="24"/>
              </w:rPr>
            </w:pPr>
          </w:p>
        </w:tc>
        <w:tc>
          <w:tcPr>
            <w:tcW w:w="1025" w:type="dxa"/>
            <w:vAlign w:val="top"/>
          </w:tcPr>
          <w:p w14:paraId="123B75DA">
            <w:pPr>
              <w:pageBreakBefore w:val="0"/>
              <w:kinsoku/>
              <w:topLinePunct w:val="0"/>
              <w:bidi w:val="0"/>
              <w:rPr>
                <w:rFonts w:ascii="Arial"/>
                <w:sz w:val="24"/>
                <w:szCs w:val="24"/>
              </w:rPr>
            </w:pPr>
          </w:p>
        </w:tc>
        <w:tc>
          <w:tcPr>
            <w:tcW w:w="1334" w:type="dxa"/>
            <w:vAlign w:val="top"/>
          </w:tcPr>
          <w:p w14:paraId="0A4CA143">
            <w:pPr>
              <w:pageBreakBefore w:val="0"/>
              <w:kinsoku/>
              <w:topLinePunct w:val="0"/>
              <w:bidi w:val="0"/>
              <w:rPr>
                <w:rFonts w:ascii="Arial"/>
                <w:sz w:val="24"/>
                <w:szCs w:val="24"/>
              </w:rPr>
            </w:pPr>
          </w:p>
        </w:tc>
        <w:tc>
          <w:tcPr>
            <w:tcW w:w="939" w:type="dxa"/>
            <w:vAlign w:val="top"/>
          </w:tcPr>
          <w:p w14:paraId="01AABDB8">
            <w:pPr>
              <w:pageBreakBefore w:val="0"/>
              <w:kinsoku/>
              <w:topLinePunct w:val="0"/>
              <w:bidi w:val="0"/>
              <w:rPr>
                <w:rFonts w:ascii="Arial"/>
                <w:sz w:val="24"/>
                <w:szCs w:val="24"/>
              </w:rPr>
            </w:pPr>
          </w:p>
        </w:tc>
        <w:tc>
          <w:tcPr>
            <w:tcW w:w="1068" w:type="dxa"/>
            <w:vAlign w:val="top"/>
          </w:tcPr>
          <w:p w14:paraId="311A4DAF">
            <w:pPr>
              <w:pageBreakBefore w:val="0"/>
              <w:kinsoku/>
              <w:topLinePunct w:val="0"/>
              <w:bidi w:val="0"/>
              <w:rPr>
                <w:rFonts w:ascii="Arial"/>
                <w:sz w:val="24"/>
                <w:szCs w:val="24"/>
              </w:rPr>
            </w:pPr>
          </w:p>
        </w:tc>
        <w:tc>
          <w:tcPr>
            <w:tcW w:w="950" w:type="dxa"/>
            <w:vAlign w:val="top"/>
          </w:tcPr>
          <w:p w14:paraId="172BAAF9">
            <w:pPr>
              <w:pageBreakBefore w:val="0"/>
              <w:kinsoku/>
              <w:topLinePunct w:val="0"/>
              <w:bidi w:val="0"/>
              <w:rPr>
                <w:rFonts w:ascii="Arial"/>
                <w:sz w:val="24"/>
                <w:szCs w:val="24"/>
              </w:rPr>
            </w:pPr>
          </w:p>
        </w:tc>
      </w:tr>
      <w:tr w14:paraId="3482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vAlign w:val="top"/>
          </w:tcPr>
          <w:p w14:paraId="45987743">
            <w:pPr>
              <w:pageBreakBefore w:val="0"/>
              <w:kinsoku/>
              <w:topLinePunct w:val="0"/>
              <w:bidi w:val="0"/>
              <w:rPr>
                <w:rFonts w:ascii="Arial"/>
                <w:sz w:val="24"/>
                <w:szCs w:val="24"/>
              </w:rPr>
            </w:pPr>
          </w:p>
        </w:tc>
        <w:tc>
          <w:tcPr>
            <w:tcW w:w="1023" w:type="dxa"/>
            <w:vAlign w:val="top"/>
          </w:tcPr>
          <w:p w14:paraId="0D2B781A">
            <w:pPr>
              <w:pageBreakBefore w:val="0"/>
              <w:kinsoku/>
              <w:topLinePunct w:val="0"/>
              <w:bidi w:val="0"/>
              <w:rPr>
                <w:rFonts w:ascii="Arial"/>
                <w:sz w:val="24"/>
                <w:szCs w:val="24"/>
              </w:rPr>
            </w:pPr>
          </w:p>
        </w:tc>
        <w:tc>
          <w:tcPr>
            <w:tcW w:w="1024" w:type="dxa"/>
            <w:vAlign w:val="top"/>
          </w:tcPr>
          <w:p w14:paraId="48CC86AC">
            <w:pPr>
              <w:pageBreakBefore w:val="0"/>
              <w:kinsoku/>
              <w:topLinePunct w:val="0"/>
              <w:bidi w:val="0"/>
              <w:rPr>
                <w:rFonts w:ascii="Arial"/>
                <w:sz w:val="24"/>
                <w:szCs w:val="24"/>
              </w:rPr>
            </w:pPr>
          </w:p>
        </w:tc>
        <w:tc>
          <w:tcPr>
            <w:tcW w:w="1024" w:type="dxa"/>
            <w:vAlign w:val="top"/>
          </w:tcPr>
          <w:p w14:paraId="2C4F9385">
            <w:pPr>
              <w:pageBreakBefore w:val="0"/>
              <w:kinsoku/>
              <w:topLinePunct w:val="0"/>
              <w:bidi w:val="0"/>
              <w:rPr>
                <w:rFonts w:ascii="Arial"/>
                <w:sz w:val="24"/>
                <w:szCs w:val="24"/>
              </w:rPr>
            </w:pPr>
          </w:p>
        </w:tc>
        <w:tc>
          <w:tcPr>
            <w:tcW w:w="1025" w:type="dxa"/>
            <w:vAlign w:val="top"/>
          </w:tcPr>
          <w:p w14:paraId="3089DAF1">
            <w:pPr>
              <w:pageBreakBefore w:val="0"/>
              <w:kinsoku/>
              <w:topLinePunct w:val="0"/>
              <w:bidi w:val="0"/>
              <w:rPr>
                <w:rFonts w:ascii="Arial"/>
                <w:sz w:val="24"/>
                <w:szCs w:val="24"/>
              </w:rPr>
            </w:pPr>
          </w:p>
        </w:tc>
        <w:tc>
          <w:tcPr>
            <w:tcW w:w="1334" w:type="dxa"/>
            <w:vAlign w:val="top"/>
          </w:tcPr>
          <w:p w14:paraId="2C6FB5A8">
            <w:pPr>
              <w:pageBreakBefore w:val="0"/>
              <w:kinsoku/>
              <w:topLinePunct w:val="0"/>
              <w:bidi w:val="0"/>
              <w:rPr>
                <w:rFonts w:ascii="Arial"/>
                <w:sz w:val="24"/>
                <w:szCs w:val="24"/>
              </w:rPr>
            </w:pPr>
          </w:p>
        </w:tc>
        <w:tc>
          <w:tcPr>
            <w:tcW w:w="939" w:type="dxa"/>
            <w:vAlign w:val="top"/>
          </w:tcPr>
          <w:p w14:paraId="51FB4822">
            <w:pPr>
              <w:pageBreakBefore w:val="0"/>
              <w:kinsoku/>
              <w:topLinePunct w:val="0"/>
              <w:bidi w:val="0"/>
              <w:rPr>
                <w:rFonts w:ascii="Arial"/>
                <w:sz w:val="24"/>
                <w:szCs w:val="24"/>
              </w:rPr>
            </w:pPr>
          </w:p>
        </w:tc>
        <w:tc>
          <w:tcPr>
            <w:tcW w:w="1068" w:type="dxa"/>
            <w:vAlign w:val="top"/>
          </w:tcPr>
          <w:p w14:paraId="1B93B0B0">
            <w:pPr>
              <w:pageBreakBefore w:val="0"/>
              <w:kinsoku/>
              <w:topLinePunct w:val="0"/>
              <w:bidi w:val="0"/>
              <w:rPr>
                <w:rFonts w:ascii="Arial"/>
                <w:sz w:val="24"/>
                <w:szCs w:val="24"/>
              </w:rPr>
            </w:pPr>
          </w:p>
        </w:tc>
        <w:tc>
          <w:tcPr>
            <w:tcW w:w="950" w:type="dxa"/>
            <w:vAlign w:val="top"/>
          </w:tcPr>
          <w:p w14:paraId="74EE4605">
            <w:pPr>
              <w:pageBreakBefore w:val="0"/>
              <w:kinsoku/>
              <w:topLinePunct w:val="0"/>
              <w:bidi w:val="0"/>
              <w:rPr>
                <w:rFonts w:ascii="Arial"/>
                <w:sz w:val="24"/>
                <w:szCs w:val="24"/>
              </w:rPr>
            </w:pPr>
          </w:p>
        </w:tc>
      </w:tr>
      <w:tr w14:paraId="002A9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vAlign w:val="top"/>
          </w:tcPr>
          <w:p w14:paraId="3EFE2268">
            <w:pPr>
              <w:pageBreakBefore w:val="0"/>
              <w:kinsoku/>
              <w:topLinePunct w:val="0"/>
              <w:bidi w:val="0"/>
              <w:spacing w:line="409" w:lineRule="auto"/>
              <w:rPr>
                <w:rFonts w:ascii="Arial"/>
                <w:sz w:val="24"/>
                <w:szCs w:val="24"/>
              </w:rPr>
            </w:pPr>
          </w:p>
          <w:p w14:paraId="12C21E38">
            <w:pPr>
              <w:pStyle w:val="16"/>
              <w:pageBreakBefore w:val="0"/>
              <w:kinsoku/>
              <w:topLinePunct w:val="0"/>
              <w:bidi w:val="0"/>
              <w:spacing w:before="67" w:line="210" w:lineRule="auto"/>
              <w:ind w:left="143"/>
              <w:rPr>
                <w:sz w:val="24"/>
                <w:szCs w:val="24"/>
              </w:rPr>
            </w:pPr>
            <w:r>
              <w:rPr>
                <w:spacing w:val="13"/>
                <w:sz w:val="24"/>
                <w:szCs w:val="24"/>
              </w:rPr>
              <w:t>服</w:t>
            </w:r>
            <w:r>
              <w:rPr>
                <w:spacing w:val="89"/>
                <w:sz w:val="24"/>
                <w:szCs w:val="24"/>
              </w:rPr>
              <w:t xml:space="preserve"> </w:t>
            </w:r>
            <w:r>
              <w:rPr>
                <w:spacing w:val="13"/>
                <w:sz w:val="24"/>
                <w:szCs w:val="24"/>
              </w:rPr>
              <w:t>务</w:t>
            </w:r>
            <w:r>
              <w:rPr>
                <w:spacing w:val="87"/>
                <w:sz w:val="24"/>
                <w:szCs w:val="24"/>
              </w:rPr>
              <w:t xml:space="preserve"> </w:t>
            </w:r>
            <w:r>
              <w:rPr>
                <w:spacing w:val="13"/>
                <w:sz w:val="24"/>
                <w:szCs w:val="24"/>
              </w:rPr>
              <w:t>人</w:t>
            </w:r>
            <w:r>
              <w:rPr>
                <w:spacing w:val="84"/>
                <w:sz w:val="24"/>
                <w:szCs w:val="24"/>
              </w:rPr>
              <w:t xml:space="preserve"> </w:t>
            </w:r>
            <w:r>
              <w:rPr>
                <w:spacing w:val="13"/>
                <w:sz w:val="24"/>
                <w:szCs w:val="24"/>
              </w:rPr>
              <w:t>员</w:t>
            </w:r>
          </w:p>
        </w:tc>
        <w:tc>
          <w:tcPr>
            <w:tcW w:w="1023" w:type="dxa"/>
            <w:vAlign w:val="top"/>
          </w:tcPr>
          <w:p w14:paraId="0E69434E">
            <w:pPr>
              <w:pageBreakBefore w:val="0"/>
              <w:kinsoku/>
              <w:topLinePunct w:val="0"/>
              <w:bidi w:val="0"/>
              <w:rPr>
                <w:rFonts w:ascii="Arial"/>
                <w:sz w:val="24"/>
                <w:szCs w:val="24"/>
              </w:rPr>
            </w:pPr>
          </w:p>
        </w:tc>
        <w:tc>
          <w:tcPr>
            <w:tcW w:w="1024" w:type="dxa"/>
            <w:vAlign w:val="top"/>
          </w:tcPr>
          <w:p w14:paraId="23021EF4">
            <w:pPr>
              <w:pageBreakBefore w:val="0"/>
              <w:kinsoku/>
              <w:topLinePunct w:val="0"/>
              <w:bidi w:val="0"/>
              <w:rPr>
                <w:rFonts w:ascii="Arial"/>
                <w:sz w:val="24"/>
                <w:szCs w:val="24"/>
              </w:rPr>
            </w:pPr>
          </w:p>
        </w:tc>
        <w:tc>
          <w:tcPr>
            <w:tcW w:w="1024" w:type="dxa"/>
            <w:vAlign w:val="top"/>
          </w:tcPr>
          <w:p w14:paraId="6D4D9F70">
            <w:pPr>
              <w:pageBreakBefore w:val="0"/>
              <w:kinsoku/>
              <w:topLinePunct w:val="0"/>
              <w:bidi w:val="0"/>
              <w:rPr>
                <w:rFonts w:ascii="Arial"/>
                <w:sz w:val="24"/>
                <w:szCs w:val="24"/>
              </w:rPr>
            </w:pPr>
          </w:p>
        </w:tc>
        <w:tc>
          <w:tcPr>
            <w:tcW w:w="1025" w:type="dxa"/>
            <w:vAlign w:val="top"/>
          </w:tcPr>
          <w:p w14:paraId="0FED6170">
            <w:pPr>
              <w:pageBreakBefore w:val="0"/>
              <w:kinsoku/>
              <w:topLinePunct w:val="0"/>
              <w:bidi w:val="0"/>
              <w:rPr>
                <w:rFonts w:ascii="Arial"/>
                <w:sz w:val="24"/>
                <w:szCs w:val="24"/>
              </w:rPr>
            </w:pPr>
          </w:p>
        </w:tc>
        <w:tc>
          <w:tcPr>
            <w:tcW w:w="1334" w:type="dxa"/>
            <w:vAlign w:val="top"/>
          </w:tcPr>
          <w:p w14:paraId="4191FACA">
            <w:pPr>
              <w:pageBreakBefore w:val="0"/>
              <w:kinsoku/>
              <w:topLinePunct w:val="0"/>
              <w:bidi w:val="0"/>
              <w:rPr>
                <w:rFonts w:ascii="Arial"/>
                <w:sz w:val="24"/>
                <w:szCs w:val="24"/>
              </w:rPr>
            </w:pPr>
          </w:p>
        </w:tc>
        <w:tc>
          <w:tcPr>
            <w:tcW w:w="939" w:type="dxa"/>
            <w:vAlign w:val="top"/>
          </w:tcPr>
          <w:p w14:paraId="66DEC6B3">
            <w:pPr>
              <w:pageBreakBefore w:val="0"/>
              <w:kinsoku/>
              <w:topLinePunct w:val="0"/>
              <w:bidi w:val="0"/>
              <w:rPr>
                <w:rFonts w:ascii="Arial"/>
                <w:sz w:val="24"/>
                <w:szCs w:val="24"/>
              </w:rPr>
            </w:pPr>
          </w:p>
        </w:tc>
        <w:tc>
          <w:tcPr>
            <w:tcW w:w="1068" w:type="dxa"/>
            <w:vAlign w:val="top"/>
          </w:tcPr>
          <w:p w14:paraId="7EC471EF">
            <w:pPr>
              <w:pageBreakBefore w:val="0"/>
              <w:kinsoku/>
              <w:topLinePunct w:val="0"/>
              <w:bidi w:val="0"/>
              <w:rPr>
                <w:rFonts w:ascii="Arial"/>
                <w:sz w:val="24"/>
                <w:szCs w:val="24"/>
              </w:rPr>
            </w:pPr>
          </w:p>
        </w:tc>
        <w:tc>
          <w:tcPr>
            <w:tcW w:w="950" w:type="dxa"/>
            <w:vAlign w:val="top"/>
          </w:tcPr>
          <w:p w14:paraId="63AA0694">
            <w:pPr>
              <w:pageBreakBefore w:val="0"/>
              <w:kinsoku/>
              <w:topLinePunct w:val="0"/>
              <w:bidi w:val="0"/>
              <w:rPr>
                <w:rFonts w:ascii="Arial"/>
                <w:sz w:val="24"/>
                <w:szCs w:val="24"/>
              </w:rPr>
            </w:pPr>
          </w:p>
        </w:tc>
      </w:tr>
      <w:tr w14:paraId="4800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continue"/>
            <w:tcBorders>
              <w:top w:val="nil"/>
              <w:bottom w:val="nil"/>
            </w:tcBorders>
            <w:textDirection w:val="tbRlV"/>
            <w:vAlign w:val="top"/>
          </w:tcPr>
          <w:p w14:paraId="6978FC31">
            <w:pPr>
              <w:pageBreakBefore w:val="0"/>
              <w:kinsoku/>
              <w:topLinePunct w:val="0"/>
              <w:bidi w:val="0"/>
              <w:rPr>
                <w:rFonts w:ascii="Arial"/>
                <w:sz w:val="24"/>
                <w:szCs w:val="24"/>
              </w:rPr>
            </w:pPr>
          </w:p>
        </w:tc>
        <w:tc>
          <w:tcPr>
            <w:tcW w:w="1023" w:type="dxa"/>
            <w:vAlign w:val="top"/>
          </w:tcPr>
          <w:p w14:paraId="51A8E31E">
            <w:pPr>
              <w:pageBreakBefore w:val="0"/>
              <w:kinsoku/>
              <w:topLinePunct w:val="0"/>
              <w:bidi w:val="0"/>
              <w:rPr>
                <w:rFonts w:ascii="Arial"/>
                <w:sz w:val="24"/>
                <w:szCs w:val="24"/>
              </w:rPr>
            </w:pPr>
          </w:p>
        </w:tc>
        <w:tc>
          <w:tcPr>
            <w:tcW w:w="1024" w:type="dxa"/>
            <w:vAlign w:val="top"/>
          </w:tcPr>
          <w:p w14:paraId="66599BD2">
            <w:pPr>
              <w:pageBreakBefore w:val="0"/>
              <w:kinsoku/>
              <w:topLinePunct w:val="0"/>
              <w:bidi w:val="0"/>
              <w:rPr>
                <w:rFonts w:ascii="Arial"/>
                <w:sz w:val="24"/>
                <w:szCs w:val="24"/>
              </w:rPr>
            </w:pPr>
          </w:p>
        </w:tc>
        <w:tc>
          <w:tcPr>
            <w:tcW w:w="1024" w:type="dxa"/>
            <w:vAlign w:val="top"/>
          </w:tcPr>
          <w:p w14:paraId="62F62B5C">
            <w:pPr>
              <w:pageBreakBefore w:val="0"/>
              <w:kinsoku/>
              <w:topLinePunct w:val="0"/>
              <w:bidi w:val="0"/>
              <w:rPr>
                <w:rFonts w:ascii="Arial"/>
                <w:sz w:val="24"/>
                <w:szCs w:val="24"/>
              </w:rPr>
            </w:pPr>
          </w:p>
        </w:tc>
        <w:tc>
          <w:tcPr>
            <w:tcW w:w="1025" w:type="dxa"/>
            <w:vAlign w:val="top"/>
          </w:tcPr>
          <w:p w14:paraId="03F7BC11">
            <w:pPr>
              <w:pageBreakBefore w:val="0"/>
              <w:kinsoku/>
              <w:topLinePunct w:val="0"/>
              <w:bidi w:val="0"/>
              <w:rPr>
                <w:rFonts w:ascii="Arial"/>
                <w:sz w:val="24"/>
                <w:szCs w:val="24"/>
              </w:rPr>
            </w:pPr>
          </w:p>
        </w:tc>
        <w:tc>
          <w:tcPr>
            <w:tcW w:w="1334" w:type="dxa"/>
            <w:vAlign w:val="top"/>
          </w:tcPr>
          <w:p w14:paraId="111F33FE">
            <w:pPr>
              <w:pageBreakBefore w:val="0"/>
              <w:kinsoku/>
              <w:topLinePunct w:val="0"/>
              <w:bidi w:val="0"/>
              <w:rPr>
                <w:rFonts w:ascii="Arial"/>
                <w:sz w:val="24"/>
                <w:szCs w:val="24"/>
              </w:rPr>
            </w:pPr>
          </w:p>
        </w:tc>
        <w:tc>
          <w:tcPr>
            <w:tcW w:w="939" w:type="dxa"/>
            <w:vAlign w:val="top"/>
          </w:tcPr>
          <w:p w14:paraId="1693D02B">
            <w:pPr>
              <w:pageBreakBefore w:val="0"/>
              <w:kinsoku/>
              <w:topLinePunct w:val="0"/>
              <w:bidi w:val="0"/>
              <w:rPr>
                <w:rFonts w:ascii="Arial"/>
                <w:sz w:val="24"/>
                <w:szCs w:val="24"/>
              </w:rPr>
            </w:pPr>
          </w:p>
        </w:tc>
        <w:tc>
          <w:tcPr>
            <w:tcW w:w="1068" w:type="dxa"/>
            <w:vAlign w:val="top"/>
          </w:tcPr>
          <w:p w14:paraId="586B473C">
            <w:pPr>
              <w:pageBreakBefore w:val="0"/>
              <w:kinsoku/>
              <w:topLinePunct w:val="0"/>
              <w:bidi w:val="0"/>
              <w:rPr>
                <w:rFonts w:ascii="Arial"/>
                <w:sz w:val="24"/>
                <w:szCs w:val="24"/>
              </w:rPr>
            </w:pPr>
          </w:p>
        </w:tc>
        <w:tc>
          <w:tcPr>
            <w:tcW w:w="950" w:type="dxa"/>
            <w:vAlign w:val="top"/>
          </w:tcPr>
          <w:p w14:paraId="12692C69">
            <w:pPr>
              <w:pageBreakBefore w:val="0"/>
              <w:kinsoku/>
              <w:topLinePunct w:val="0"/>
              <w:bidi w:val="0"/>
              <w:rPr>
                <w:rFonts w:ascii="Arial"/>
                <w:sz w:val="24"/>
                <w:szCs w:val="24"/>
              </w:rPr>
            </w:pPr>
          </w:p>
        </w:tc>
      </w:tr>
      <w:tr w14:paraId="0DE7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vAlign w:val="top"/>
          </w:tcPr>
          <w:p w14:paraId="0623506C">
            <w:pPr>
              <w:pageBreakBefore w:val="0"/>
              <w:kinsoku/>
              <w:topLinePunct w:val="0"/>
              <w:bidi w:val="0"/>
              <w:rPr>
                <w:rFonts w:ascii="Arial"/>
                <w:sz w:val="24"/>
                <w:szCs w:val="24"/>
              </w:rPr>
            </w:pPr>
          </w:p>
        </w:tc>
        <w:tc>
          <w:tcPr>
            <w:tcW w:w="1023" w:type="dxa"/>
            <w:vAlign w:val="top"/>
          </w:tcPr>
          <w:p w14:paraId="6C592FEE">
            <w:pPr>
              <w:pageBreakBefore w:val="0"/>
              <w:kinsoku/>
              <w:topLinePunct w:val="0"/>
              <w:bidi w:val="0"/>
              <w:rPr>
                <w:rFonts w:ascii="Arial"/>
                <w:sz w:val="24"/>
                <w:szCs w:val="24"/>
              </w:rPr>
            </w:pPr>
          </w:p>
        </w:tc>
        <w:tc>
          <w:tcPr>
            <w:tcW w:w="1024" w:type="dxa"/>
            <w:vAlign w:val="top"/>
          </w:tcPr>
          <w:p w14:paraId="296DB43E">
            <w:pPr>
              <w:pageBreakBefore w:val="0"/>
              <w:kinsoku/>
              <w:topLinePunct w:val="0"/>
              <w:bidi w:val="0"/>
              <w:rPr>
                <w:rFonts w:ascii="Arial"/>
                <w:sz w:val="24"/>
                <w:szCs w:val="24"/>
              </w:rPr>
            </w:pPr>
          </w:p>
        </w:tc>
        <w:tc>
          <w:tcPr>
            <w:tcW w:w="1024" w:type="dxa"/>
            <w:vAlign w:val="top"/>
          </w:tcPr>
          <w:p w14:paraId="5AF8F24E">
            <w:pPr>
              <w:pageBreakBefore w:val="0"/>
              <w:kinsoku/>
              <w:topLinePunct w:val="0"/>
              <w:bidi w:val="0"/>
              <w:rPr>
                <w:rFonts w:ascii="Arial"/>
                <w:sz w:val="24"/>
                <w:szCs w:val="24"/>
              </w:rPr>
            </w:pPr>
          </w:p>
        </w:tc>
        <w:tc>
          <w:tcPr>
            <w:tcW w:w="1025" w:type="dxa"/>
            <w:vAlign w:val="top"/>
          </w:tcPr>
          <w:p w14:paraId="5D48E93D">
            <w:pPr>
              <w:pageBreakBefore w:val="0"/>
              <w:kinsoku/>
              <w:topLinePunct w:val="0"/>
              <w:bidi w:val="0"/>
              <w:rPr>
                <w:rFonts w:ascii="Arial"/>
                <w:sz w:val="24"/>
                <w:szCs w:val="24"/>
              </w:rPr>
            </w:pPr>
          </w:p>
        </w:tc>
        <w:tc>
          <w:tcPr>
            <w:tcW w:w="1334" w:type="dxa"/>
            <w:vAlign w:val="top"/>
          </w:tcPr>
          <w:p w14:paraId="52DC913F">
            <w:pPr>
              <w:pageBreakBefore w:val="0"/>
              <w:kinsoku/>
              <w:topLinePunct w:val="0"/>
              <w:bidi w:val="0"/>
              <w:rPr>
                <w:rFonts w:ascii="Arial"/>
                <w:sz w:val="24"/>
                <w:szCs w:val="24"/>
              </w:rPr>
            </w:pPr>
          </w:p>
        </w:tc>
        <w:tc>
          <w:tcPr>
            <w:tcW w:w="939" w:type="dxa"/>
            <w:vAlign w:val="top"/>
          </w:tcPr>
          <w:p w14:paraId="059E5360">
            <w:pPr>
              <w:pageBreakBefore w:val="0"/>
              <w:kinsoku/>
              <w:topLinePunct w:val="0"/>
              <w:bidi w:val="0"/>
              <w:rPr>
                <w:rFonts w:ascii="Arial"/>
                <w:sz w:val="24"/>
                <w:szCs w:val="24"/>
              </w:rPr>
            </w:pPr>
          </w:p>
        </w:tc>
        <w:tc>
          <w:tcPr>
            <w:tcW w:w="1068" w:type="dxa"/>
            <w:vAlign w:val="top"/>
          </w:tcPr>
          <w:p w14:paraId="69E9DAEC">
            <w:pPr>
              <w:pageBreakBefore w:val="0"/>
              <w:kinsoku/>
              <w:topLinePunct w:val="0"/>
              <w:bidi w:val="0"/>
              <w:rPr>
                <w:rFonts w:ascii="Arial"/>
                <w:sz w:val="24"/>
                <w:szCs w:val="24"/>
              </w:rPr>
            </w:pPr>
          </w:p>
        </w:tc>
        <w:tc>
          <w:tcPr>
            <w:tcW w:w="950" w:type="dxa"/>
            <w:vAlign w:val="top"/>
          </w:tcPr>
          <w:p w14:paraId="4770A00D">
            <w:pPr>
              <w:pageBreakBefore w:val="0"/>
              <w:kinsoku/>
              <w:topLinePunct w:val="0"/>
              <w:bidi w:val="0"/>
              <w:rPr>
                <w:rFonts w:ascii="Arial"/>
                <w:sz w:val="24"/>
                <w:szCs w:val="24"/>
              </w:rPr>
            </w:pPr>
          </w:p>
        </w:tc>
      </w:tr>
      <w:tr w14:paraId="6A97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vAlign w:val="top"/>
          </w:tcPr>
          <w:p w14:paraId="3A3258D8">
            <w:pPr>
              <w:pageBreakBefore w:val="0"/>
              <w:kinsoku/>
              <w:topLinePunct w:val="0"/>
              <w:bidi w:val="0"/>
              <w:spacing w:line="409" w:lineRule="auto"/>
              <w:rPr>
                <w:rFonts w:ascii="Arial"/>
                <w:sz w:val="24"/>
                <w:szCs w:val="24"/>
              </w:rPr>
            </w:pPr>
          </w:p>
          <w:p w14:paraId="5BA7546E">
            <w:pPr>
              <w:pStyle w:val="16"/>
              <w:pageBreakBefore w:val="0"/>
              <w:kinsoku/>
              <w:topLinePunct w:val="0"/>
              <w:bidi w:val="0"/>
              <w:spacing w:before="67" w:line="208" w:lineRule="auto"/>
              <w:ind w:left="144"/>
              <w:rPr>
                <w:sz w:val="24"/>
                <w:szCs w:val="24"/>
              </w:rPr>
            </w:pPr>
            <w:r>
              <w:rPr>
                <w:spacing w:val="13"/>
                <w:sz w:val="24"/>
                <w:szCs w:val="24"/>
              </w:rPr>
              <w:t>其</w:t>
            </w:r>
            <w:r>
              <w:rPr>
                <w:spacing w:val="89"/>
                <w:sz w:val="24"/>
                <w:szCs w:val="24"/>
              </w:rPr>
              <w:t xml:space="preserve"> </w:t>
            </w:r>
            <w:r>
              <w:rPr>
                <w:spacing w:val="13"/>
                <w:sz w:val="24"/>
                <w:szCs w:val="24"/>
              </w:rPr>
              <w:t>他</w:t>
            </w:r>
            <w:r>
              <w:rPr>
                <w:spacing w:val="84"/>
                <w:sz w:val="24"/>
                <w:szCs w:val="24"/>
              </w:rPr>
              <w:t xml:space="preserve"> </w:t>
            </w:r>
            <w:r>
              <w:rPr>
                <w:spacing w:val="13"/>
                <w:sz w:val="24"/>
                <w:szCs w:val="24"/>
              </w:rPr>
              <w:t>人</w:t>
            </w:r>
            <w:r>
              <w:rPr>
                <w:spacing w:val="87"/>
                <w:sz w:val="24"/>
                <w:szCs w:val="24"/>
              </w:rPr>
              <w:t xml:space="preserve"> </w:t>
            </w:r>
            <w:r>
              <w:rPr>
                <w:spacing w:val="13"/>
                <w:sz w:val="24"/>
                <w:szCs w:val="24"/>
              </w:rPr>
              <w:t>员</w:t>
            </w:r>
          </w:p>
        </w:tc>
        <w:tc>
          <w:tcPr>
            <w:tcW w:w="1023" w:type="dxa"/>
            <w:vAlign w:val="top"/>
          </w:tcPr>
          <w:p w14:paraId="5D7B85D6">
            <w:pPr>
              <w:pageBreakBefore w:val="0"/>
              <w:kinsoku/>
              <w:topLinePunct w:val="0"/>
              <w:bidi w:val="0"/>
              <w:rPr>
                <w:rFonts w:ascii="Arial"/>
                <w:sz w:val="24"/>
                <w:szCs w:val="24"/>
              </w:rPr>
            </w:pPr>
          </w:p>
        </w:tc>
        <w:tc>
          <w:tcPr>
            <w:tcW w:w="1024" w:type="dxa"/>
            <w:vAlign w:val="top"/>
          </w:tcPr>
          <w:p w14:paraId="4C32E517">
            <w:pPr>
              <w:pageBreakBefore w:val="0"/>
              <w:kinsoku/>
              <w:topLinePunct w:val="0"/>
              <w:bidi w:val="0"/>
              <w:rPr>
                <w:rFonts w:ascii="Arial"/>
                <w:sz w:val="24"/>
                <w:szCs w:val="24"/>
              </w:rPr>
            </w:pPr>
          </w:p>
        </w:tc>
        <w:tc>
          <w:tcPr>
            <w:tcW w:w="1024" w:type="dxa"/>
            <w:vAlign w:val="top"/>
          </w:tcPr>
          <w:p w14:paraId="2515499A">
            <w:pPr>
              <w:pageBreakBefore w:val="0"/>
              <w:kinsoku/>
              <w:topLinePunct w:val="0"/>
              <w:bidi w:val="0"/>
              <w:rPr>
                <w:rFonts w:ascii="Arial"/>
                <w:sz w:val="24"/>
                <w:szCs w:val="24"/>
              </w:rPr>
            </w:pPr>
          </w:p>
        </w:tc>
        <w:tc>
          <w:tcPr>
            <w:tcW w:w="1025" w:type="dxa"/>
            <w:vAlign w:val="top"/>
          </w:tcPr>
          <w:p w14:paraId="3FB1EF50">
            <w:pPr>
              <w:pageBreakBefore w:val="0"/>
              <w:kinsoku/>
              <w:topLinePunct w:val="0"/>
              <w:bidi w:val="0"/>
              <w:rPr>
                <w:rFonts w:ascii="Arial"/>
                <w:sz w:val="24"/>
                <w:szCs w:val="24"/>
              </w:rPr>
            </w:pPr>
          </w:p>
        </w:tc>
        <w:tc>
          <w:tcPr>
            <w:tcW w:w="1334" w:type="dxa"/>
            <w:vAlign w:val="top"/>
          </w:tcPr>
          <w:p w14:paraId="6DBC587B">
            <w:pPr>
              <w:pageBreakBefore w:val="0"/>
              <w:kinsoku/>
              <w:topLinePunct w:val="0"/>
              <w:bidi w:val="0"/>
              <w:rPr>
                <w:rFonts w:ascii="Arial"/>
                <w:sz w:val="24"/>
                <w:szCs w:val="24"/>
              </w:rPr>
            </w:pPr>
          </w:p>
        </w:tc>
        <w:tc>
          <w:tcPr>
            <w:tcW w:w="939" w:type="dxa"/>
            <w:vAlign w:val="top"/>
          </w:tcPr>
          <w:p w14:paraId="2C9FF813">
            <w:pPr>
              <w:pageBreakBefore w:val="0"/>
              <w:kinsoku/>
              <w:topLinePunct w:val="0"/>
              <w:bidi w:val="0"/>
              <w:rPr>
                <w:rFonts w:ascii="Arial"/>
                <w:sz w:val="24"/>
                <w:szCs w:val="24"/>
              </w:rPr>
            </w:pPr>
          </w:p>
        </w:tc>
        <w:tc>
          <w:tcPr>
            <w:tcW w:w="1068" w:type="dxa"/>
            <w:vAlign w:val="top"/>
          </w:tcPr>
          <w:p w14:paraId="5AE2F425">
            <w:pPr>
              <w:pageBreakBefore w:val="0"/>
              <w:kinsoku/>
              <w:topLinePunct w:val="0"/>
              <w:bidi w:val="0"/>
              <w:rPr>
                <w:rFonts w:ascii="Arial"/>
                <w:sz w:val="24"/>
                <w:szCs w:val="24"/>
              </w:rPr>
            </w:pPr>
          </w:p>
        </w:tc>
        <w:tc>
          <w:tcPr>
            <w:tcW w:w="950" w:type="dxa"/>
            <w:vAlign w:val="top"/>
          </w:tcPr>
          <w:p w14:paraId="39520A07">
            <w:pPr>
              <w:pageBreakBefore w:val="0"/>
              <w:kinsoku/>
              <w:topLinePunct w:val="0"/>
              <w:bidi w:val="0"/>
              <w:rPr>
                <w:rFonts w:ascii="Arial"/>
                <w:sz w:val="24"/>
                <w:szCs w:val="24"/>
              </w:rPr>
            </w:pPr>
          </w:p>
        </w:tc>
      </w:tr>
      <w:tr w14:paraId="59DE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bottom w:val="nil"/>
            </w:tcBorders>
            <w:textDirection w:val="tbRlV"/>
            <w:vAlign w:val="top"/>
          </w:tcPr>
          <w:p w14:paraId="4F5E6785">
            <w:pPr>
              <w:pageBreakBefore w:val="0"/>
              <w:kinsoku/>
              <w:topLinePunct w:val="0"/>
              <w:bidi w:val="0"/>
              <w:rPr>
                <w:rFonts w:ascii="Arial"/>
                <w:sz w:val="24"/>
                <w:szCs w:val="24"/>
              </w:rPr>
            </w:pPr>
          </w:p>
        </w:tc>
        <w:tc>
          <w:tcPr>
            <w:tcW w:w="1023" w:type="dxa"/>
            <w:vAlign w:val="top"/>
          </w:tcPr>
          <w:p w14:paraId="4076B451">
            <w:pPr>
              <w:pageBreakBefore w:val="0"/>
              <w:kinsoku/>
              <w:topLinePunct w:val="0"/>
              <w:bidi w:val="0"/>
              <w:rPr>
                <w:rFonts w:ascii="Arial"/>
                <w:sz w:val="24"/>
                <w:szCs w:val="24"/>
              </w:rPr>
            </w:pPr>
          </w:p>
        </w:tc>
        <w:tc>
          <w:tcPr>
            <w:tcW w:w="1024" w:type="dxa"/>
            <w:vAlign w:val="top"/>
          </w:tcPr>
          <w:p w14:paraId="50717B4A">
            <w:pPr>
              <w:pageBreakBefore w:val="0"/>
              <w:kinsoku/>
              <w:topLinePunct w:val="0"/>
              <w:bidi w:val="0"/>
              <w:rPr>
                <w:rFonts w:ascii="Arial"/>
                <w:sz w:val="24"/>
                <w:szCs w:val="24"/>
              </w:rPr>
            </w:pPr>
          </w:p>
        </w:tc>
        <w:tc>
          <w:tcPr>
            <w:tcW w:w="1024" w:type="dxa"/>
            <w:vAlign w:val="top"/>
          </w:tcPr>
          <w:p w14:paraId="663EA56D">
            <w:pPr>
              <w:pageBreakBefore w:val="0"/>
              <w:kinsoku/>
              <w:topLinePunct w:val="0"/>
              <w:bidi w:val="0"/>
              <w:rPr>
                <w:rFonts w:ascii="Arial"/>
                <w:sz w:val="24"/>
                <w:szCs w:val="24"/>
              </w:rPr>
            </w:pPr>
          </w:p>
        </w:tc>
        <w:tc>
          <w:tcPr>
            <w:tcW w:w="1025" w:type="dxa"/>
            <w:vAlign w:val="top"/>
          </w:tcPr>
          <w:p w14:paraId="5BB37548">
            <w:pPr>
              <w:pageBreakBefore w:val="0"/>
              <w:kinsoku/>
              <w:topLinePunct w:val="0"/>
              <w:bidi w:val="0"/>
              <w:rPr>
                <w:rFonts w:ascii="Arial"/>
                <w:sz w:val="24"/>
                <w:szCs w:val="24"/>
              </w:rPr>
            </w:pPr>
          </w:p>
        </w:tc>
        <w:tc>
          <w:tcPr>
            <w:tcW w:w="1334" w:type="dxa"/>
            <w:vAlign w:val="top"/>
          </w:tcPr>
          <w:p w14:paraId="3033CB65">
            <w:pPr>
              <w:pageBreakBefore w:val="0"/>
              <w:kinsoku/>
              <w:topLinePunct w:val="0"/>
              <w:bidi w:val="0"/>
              <w:rPr>
                <w:rFonts w:ascii="Arial"/>
                <w:sz w:val="24"/>
                <w:szCs w:val="24"/>
              </w:rPr>
            </w:pPr>
          </w:p>
        </w:tc>
        <w:tc>
          <w:tcPr>
            <w:tcW w:w="939" w:type="dxa"/>
            <w:vAlign w:val="top"/>
          </w:tcPr>
          <w:p w14:paraId="4A4F6F19">
            <w:pPr>
              <w:pageBreakBefore w:val="0"/>
              <w:kinsoku/>
              <w:topLinePunct w:val="0"/>
              <w:bidi w:val="0"/>
              <w:rPr>
                <w:rFonts w:ascii="Arial"/>
                <w:sz w:val="24"/>
                <w:szCs w:val="24"/>
              </w:rPr>
            </w:pPr>
          </w:p>
        </w:tc>
        <w:tc>
          <w:tcPr>
            <w:tcW w:w="1068" w:type="dxa"/>
            <w:vAlign w:val="top"/>
          </w:tcPr>
          <w:p w14:paraId="1AD9B083">
            <w:pPr>
              <w:pageBreakBefore w:val="0"/>
              <w:kinsoku/>
              <w:topLinePunct w:val="0"/>
              <w:bidi w:val="0"/>
              <w:rPr>
                <w:rFonts w:ascii="Arial"/>
                <w:sz w:val="24"/>
                <w:szCs w:val="24"/>
              </w:rPr>
            </w:pPr>
          </w:p>
        </w:tc>
        <w:tc>
          <w:tcPr>
            <w:tcW w:w="950" w:type="dxa"/>
            <w:vAlign w:val="top"/>
          </w:tcPr>
          <w:p w14:paraId="372BF6C7">
            <w:pPr>
              <w:pageBreakBefore w:val="0"/>
              <w:kinsoku/>
              <w:topLinePunct w:val="0"/>
              <w:bidi w:val="0"/>
              <w:rPr>
                <w:rFonts w:ascii="Arial"/>
                <w:sz w:val="24"/>
                <w:szCs w:val="24"/>
              </w:rPr>
            </w:pPr>
          </w:p>
        </w:tc>
      </w:tr>
      <w:tr w14:paraId="4CAC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92" w:type="dxa"/>
            <w:vMerge w:val="continue"/>
            <w:tcBorders>
              <w:top w:val="nil"/>
            </w:tcBorders>
            <w:textDirection w:val="tbRlV"/>
            <w:vAlign w:val="top"/>
          </w:tcPr>
          <w:p w14:paraId="48702A8E">
            <w:pPr>
              <w:pageBreakBefore w:val="0"/>
              <w:kinsoku/>
              <w:topLinePunct w:val="0"/>
              <w:bidi w:val="0"/>
              <w:rPr>
                <w:rFonts w:ascii="Arial"/>
                <w:sz w:val="24"/>
                <w:szCs w:val="24"/>
              </w:rPr>
            </w:pPr>
          </w:p>
        </w:tc>
        <w:tc>
          <w:tcPr>
            <w:tcW w:w="1023" w:type="dxa"/>
            <w:vAlign w:val="top"/>
          </w:tcPr>
          <w:p w14:paraId="7F616B29">
            <w:pPr>
              <w:pageBreakBefore w:val="0"/>
              <w:kinsoku/>
              <w:topLinePunct w:val="0"/>
              <w:bidi w:val="0"/>
              <w:rPr>
                <w:rFonts w:ascii="Arial"/>
                <w:sz w:val="24"/>
                <w:szCs w:val="24"/>
              </w:rPr>
            </w:pPr>
          </w:p>
        </w:tc>
        <w:tc>
          <w:tcPr>
            <w:tcW w:w="1024" w:type="dxa"/>
            <w:vAlign w:val="top"/>
          </w:tcPr>
          <w:p w14:paraId="10E1AA6D">
            <w:pPr>
              <w:pageBreakBefore w:val="0"/>
              <w:kinsoku/>
              <w:topLinePunct w:val="0"/>
              <w:bidi w:val="0"/>
              <w:rPr>
                <w:rFonts w:ascii="Arial"/>
                <w:sz w:val="24"/>
                <w:szCs w:val="24"/>
              </w:rPr>
            </w:pPr>
          </w:p>
        </w:tc>
        <w:tc>
          <w:tcPr>
            <w:tcW w:w="1024" w:type="dxa"/>
            <w:vAlign w:val="top"/>
          </w:tcPr>
          <w:p w14:paraId="113579EB">
            <w:pPr>
              <w:pageBreakBefore w:val="0"/>
              <w:kinsoku/>
              <w:topLinePunct w:val="0"/>
              <w:bidi w:val="0"/>
              <w:rPr>
                <w:rFonts w:ascii="Arial"/>
                <w:sz w:val="24"/>
                <w:szCs w:val="24"/>
              </w:rPr>
            </w:pPr>
          </w:p>
        </w:tc>
        <w:tc>
          <w:tcPr>
            <w:tcW w:w="1025" w:type="dxa"/>
            <w:vAlign w:val="top"/>
          </w:tcPr>
          <w:p w14:paraId="06AA829F">
            <w:pPr>
              <w:pageBreakBefore w:val="0"/>
              <w:kinsoku/>
              <w:topLinePunct w:val="0"/>
              <w:bidi w:val="0"/>
              <w:rPr>
                <w:rFonts w:ascii="Arial"/>
                <w:sz w:val="24"/>
                <w:szCs w:val="24"/>
              </w:rPr>
            </w:pPr>
          </w:p>
        </w:tc>
        <w:tc>
          <w:tcPr>
            <w:tcW w:w="1334" w:type="dxa"/>
            <w:vAlign w:val="top"/>
          </w:tcPr>
          <w:p w14:paraId="0120BD82">
            <w:pPr>
              <w:pageBreakBefore w:val="0"/>
              <w:kinsoku/>
              <w:topLinePunct w:val="0"/>
              <w:bidi w:val="0"/>
              <w:rPr>
                <w:rFonts w:ascii="Arial"/>
                <w:sz w:val="24"/>
                <w:szCs w:val="24"/>
              </w:rPr>
            </w:pPr>
          </w:p>
        </w:tc>
        <w:tc>
          <w:tcPr>
            <w:tcW w:w="939" w:type="dxa"/>
            <w:vAlign w:val="top"/>
          </w:tcPr>
          <w:p w14:paraId="559DB02C">
            <w:pPr>
              <w:pageBreakBefore w:val="0"/>
              <w:kinsoku/>
              <w:topLinePunct w:val="0"/>
              <w:bidi w:val="0"/>
              <w:rPr>
                <w:rFonts w:ascii="Arial"/>
                <w:sz w:val="24"/>
                <w:szCs w:val="24"/>
              </w:rPr>
            </w:pPr>
          </w:p>
        </w:tc>
        <w:tc>
          <w:tcPr>
            <w:tcW w:w="1068" w:type="dxa"/>
            <w:vAlign w:val="top"/>
          </w:tcPr>
          <w:p w14:paraId="60100340">
            <w:pPr>
              <w:pageBreakBefore w:val="0"/>
              <w:kinsoku/>
              <w:topLinePunct w:val="0"/>
              <w:bidi w:val="0"/>
              <w:rPr>
                <w:rFonts w:ascii="Arial"/>
                <w:sz w:val="24"/>
                <w:szCs w:val="24"/>
              </w:rPr>
            </w:pPr>
          </w:p>
        </w:tc>
        <w:tc>
          <w:tcPr>
            <w:tcW w:w="950" w:type="dxa"/>
            <w:vAlign w:val="top"/>
          </w:tcPr>
          <w:p w14:paraId="107074D9">
            <w:pPr>
              <w:pageBreakBefore w:val="0"/>
              <w:kinsoku/>
              <w:topLinePunct w:val="0"/>
              <w:bidi w:val="0"/>
              <w:rPr>
                <w:rFonts w:ascii="Arial"/>
                <w:sz w:val="24"/>
                <w:szCs w:val="24"/>
              </w:rPr>
            </w:pPr>
          </w:p>
        </w:tc>
      </w:tr>
    </w:tbl>
    <w:p w14:paraId="00206D24">
      <w:pPr>
        <w:pageBreakBefore w:val="0"/>
        <w:kinsoku/>
        <w:topLinePunct w:val="0"/>
        <w:bidi w:val="0"/>
        <w:spacing w:before="114" w:line="222" w:lineRule="auto"/>
        <w:ind w:left="498"/>
        <w:rPr>
          <w:rFonts w:ascii="仿宋" w:hAnsi="仿宋" w:eastAsia="仿宋" w:cs="仿宋"/>
          <w:sz w:val="24"/>
          <w:szCs w:val="24"/>
        </w:rPr>
      </w:pPr>
      <w:r>
        <w:rPr>
          <w:rFonts w:ascii="仿宋" w:hAnsi="仿宋" w:eastAsia="仿宋" w:cs="仿宋"/>
          <w:spacing w:val="-2"/>
          <w:sz w:val="24"/>
          <w:szCs w:val="24"/>
        </w:rPr>
        <w:t>后附相关证书扫描件</w:t>
      </w:r>
    </w:p>
    <w:p w14:paraId="6E6B28DD">
      <w:pPr>
        <w:pStyle w:val="4"/>
        <w:pageBreakBefore w:val="0"/>
        <w:kinsoku/>
        <w:topLinePunct w:val="0"/>
        <w:bidi w:val="0"/>
        <w:spacing w:line="270" w:lineRule="auto"/>
        <w:rPr>
          <w:sz w:val="24"/>
          <w:szCs w:val="24"/>
        </w:rPr>
      </w:pPr>
    </w:p>
    <w:p w14:paraId="5B250D5F">
      <w:pPr>
        <w:pStyle w:val="4"/>
        <w:pageBreakBefore w:val="0"/>
        <w:kinsoku/>
        <w:topLinePunct w:val="0"/>
        <w:bidi w:val="0"/>
        <w:spacing w:line="270" w:lineRule="auto"/>
        <w:rPr>
          <w:sz w:val="24"/>
          <w:szCs w:val="24"/>
        </w:rPr>
      </w:pPr>
    </w:p>
    <w:p w14:paraId="2F5CDBDF">
      <w:pPr>
        <w:pStyle w:val="4"/>
        <w:pageBreakBefore w:val="0"/>
        <w:kinsoku/>
        <w:topLinePunct w:val="0"/>
        <w:bidi w:val="0"/>
        <w:spacing w:line="270" w:lineRule="auto"/>
        <w:rPr>
          <w:sz w:val="24"/>
          <w:szCs w:val="24"/>
        </w:rPr>
      </w:pPr>
    </w:p>
    <w:p w14:paraId="43E34296">
      <w:pPr>
        <w:pStyle w:val="4"/>
        <w:pageBreakBefore w:val="0"/>
        <w:kinsoku/>
        <w:topLinePunct w:val="0"/>
        <w:bidi w:val="0"/>
        <w:spacing w:line="270" w:lineRule="auto"/>
        <w:rPr>
          <w:sz w:val="24"/>
          <w:szCs w:val="24"/>
        </w:rPr>
      </w:pPr>
    </w:p>
    <w:p w14:paraId="613097D8">
      <w:pPr>
        <w:pStyle w:val="4"/>
        <w:pageBreakBefore w:val="0"/>
        <w:kinsoku/>
        <w:topLinePunct w:val="0"/>
        <w:bidi w:val="0"/>
        <w:spacing w:line="270" w:lineRule="auto"/>
        <w:rPr>
          <w:sz w:val="24"/>
          <w:szCs w:val="24"/>
        </w:rPr>
      </w:pPr>
    </w:p>
    <w:p w14:paraId="54DB10E0">
      <w:pPr>
        <w:pStyle w:val="4"/>
        <w:pageBreakBefore w:val="0"/>
        <w:kinsoku/>
        <w:topLinePunct w:val="0"/>
        <w:bidi w:val="0"/>
        <w:spacing w:line="270" w:lineRule="auto"/>
        <w:rPr>
          <w:sz w:val="24"/>
          <w:szCs w:val="24"/>
        </w:rPr>
      </w:pPr>
    </w:p>
    <w:p w14:paraId="5835EBBD">
      <w:pPr>
        <w:pStyle w:val="4"/>
        <w:pageBreakBefore w:val="0"/>
        <w:kinsoku/>
        <w:topLinePunct w:val="0"/>
        <w:bidi w:val="0"/>
        <w:spacing w:line="271" w:lineRule="auto"/>
        <w:rPr>
          <w:sz w:val="24"/>
          <w:szCs w:val="24"/>
        </w:rPr>
      </w:pPr>
    </w:p>
    <w:p w14:paraId="19210B22">
      <w:pPr>
        <w:pageBreakBefore w:val="0"/>
        <w:kinsoku/>
        <w:topLinePunct w:val="0"/>
        <w:bidi w:val="0"/>
        <w:spacing w:before="65" w:line="503" w:lineRule="auto"/>
        <w:ind w:left="204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1"/>
          <w:sz w:val="24"/>
          <w:szCs w:val="24"/>
        </w:rPr>
        <w:t>）</w:t>
      </w:r>
      <w:r>
        <w:rPr>
          <w:rFonts w:ascii="仿宋" w:hAnsi="仿宋" w:eastAsia="仿宋" w:cs="仿宋"/>
          <w:spacing w:val="-60"/>
          <w:sz w:val="24"/>
          <w:szCs w:val="24"/>
        </w:rPr>
        <w:t xml:space="preserve"> </w:t>
      </w:r>
      <w:r>
        <w:rPr>
          <w:rFonts w:ascii="仿宋" w:hAnsi="仿宋" w:eastAsia="仿宋" w:cs="仿宋"/>
          <w:spacing w:val="-11"/>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8"/>
          <w:sz w:val="24"/>
          <w:szCs w:val="24"/>
        </w:rPr>
        <w:t>_</w:t>
      </w:r>
    </w:p>
    <w:p w14:paraId="36E99452">
      <w:pPr>
        <w:pageBreakBefore w:val="0"/>
        <w:kinsoku/>
        <w:topLinePunct w:val="0"/>
        <w:bidi w:val="0"/>
        <w:spacing w:line="226" w:lineRule="auto"/>
        <w:ind w:left="2051"/>
        <w:rPr>
          <w:rFonts w:ascii="仿宋" w:hAnsi="仿宋" w:eastAsia="仿宋" w:cs="仿宋"/>
          <w:sz w:val="24"/>
          <w:szCs w:val="24"/>
        </w:rPr>
      </w:pPr>
      <w:r>
        <w:rPr>
          <w:rFonts w:ascii="仿宋" w:hAnsi="仿宋" w:eastAsia="仿宋" w:cs="仿宋"/>
          <w:spacing w:val="7"/>
          <w:sz w:val="24"/>
          <w:szCs w:val="24"/>
        </w:rPr>
        <w:t>法定代表人或其授权委托人(签字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5A5C88FF">
      <w:pPr>
        <w:pageBreakBefore w:val="0"/>
        <w:kinsoku/>
        <w:topLinePunct w:val="0"/>
        <w:bidi w:val="0"/>
        <w:spacing w:before="299" w:line="231" w:lineRule="auto"/>
        <w:ind w:left="2088"/>
        <w:rPr>
          <w:rFonts w:ascii="仿宋" w:hAnsi="仿宋" w:eastAsia="仿宋" w:cs="仿宋"/>
          <w:sz w:val="24"/>
          <w:szCs w:val="24"/>
        </w:rPr>
      </w:pPr>
      <w:r>
        <w:rPr>
          <w:rFonts w:ascii="仿宋" w:hAnsi="仿宋" w:eastAsia="仿宋" w:cs="仿宋"/>
          <w:spacing w:val="-6"/>
          <w:sz w:val="24"/>
          <w:szCs w:val="24"/>
        </w:rPr>
        <w:t>日期：</w:t>
      </w:r>
      <w:r>
        <w:rPr>
          <w:rFonts w:ascii="仿宋" w:hAnsi="仿宋" w:eastAsia="仿宋" w:cs="仿宋"/>
          <w:spacing w:val="-6"/>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6"/>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6"/>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6"/>
          <w:sz w:val="24"/>
          <w:szCs w:val="24"/>
        </w:rPr>
        <w:t>日</w:t>
      </w:r>
    </w:p>
    <w:p w14:paraId="648D4F94">
      <w:pPr>
        <w:pStyle w:val="4"/>
        <w:pageBreakBefore w:val="0"/>
        <w:kinsoku/>
        <w:topLinePunct w:val="0"/>
        <w:bidi w:val="0"/>
        <w:spacing w:line="245" w:lineRule="auto"/>
        <w:rPr>
          <w:sz w:val="24"/>
          <w:szCs w:val="24"/>
        </w:rPr>
      </w:pPr>
    </w:p>
    <w:p w14:paraId="3CE4C0B3">
      <w:pPr>
        <w:pStyle w:val="4"/>
        <w:pageBreakBefore w:val="0"/>
        <w:kinsoku/>
        <w:topLinePunct w:val="0"/>
        <w:bidi w:val="0"/>
        <w:spacing w:line="245" w:lineRule="auto"/>
      </w:pPr>
    </w:p>
    <w:p w14:paraId="5F55D5FC">
      <w:pPr>
        <w:pStyle w:val="4"/>
        <w:pageBreakBefore w:val="0"/>
        <w:kinsoku/>
        <w:topLinePunct w:val="0"/>
        <w:bidi w:val="0"/>
        <w:spacing w:line="245" w:lineRule="auto"/>
      </w:pPr>
    </w:p>
    <w:p w14:paraId="16EE428B">
      <w:pPr>
        <w:pStyle w:val="4"/>
        <w:pageBreakBefore w:val="0"/>
        <w:kinsoku/>
        <w:topLinePunct w:val="0"/>
        <w:bidi w:val="0"/>
        <w:spacing w:line="245" w:lineRule="auto"/>
      </w:pPr>
    </w:p>
    <w:p w14:paraId="371365B6">
      <w:pPr>
        <w:pStyle w:val="4"/>
        <w:pageBreakBefore w:val="0"/>
        <w:kinsoku/>
        <w:topLinePunct w:val="0"/>
        <w:bidi w:val="0"/>
        <w:spacing w:line="245" w:lineRule="auto"/>
      </w:pPr>
    </w:p>
    <w:p w14:paraId="00723B2A">
      <w:pPr>
        <w:pStyle w:val="4"/>
        <w:pageBreakBefore w:val="0"/>
        <w:kinsoku/>
        <w:topLinePunct w:val="0"/>
        <w:bidi w:val="0"/>
        <w:spacing w:line="245" w:lineRule="auto"/>
      </w:pPr>
    </w:p>
    <w:p w14:paraId="46F46BE0">
      <w:pPr>
        <w:pStyle w:val="4"/>
        <w:pageBreakBefore w:val="0"/>
        <w:kinsoku/>
        <w:topLinePunct w:val="0"/>
        <w:bidi w:val="0"/>
        <w:spacing w:line="245" w:lineRule="auto"/>
      </w:pPr>
    </w:p>
    <w:p w14:paraId="4CE898C9">
      <w:pPr>
        <w:pStyle w:val="4"/>
        <w:pageBreakBefore w:val="0"/>
        <w:kinsoku/>
        <w:topLinePunct w:val="0"/>
        <w:bidi w:val="0"/>
        <w:spacing w:line="246" w:lineRule="auto"/>
      </w:pPr>
    </w:p>
    <w:p w14:paraId="4C8C9D96">
      <w:pPr>
        <w:pStyle w:val="4"/>
        <w:pageBreakBefore w:val="0"/>
        <w:kinsoku/>
        <w:topLinePunct w:val="0"/>
        <w:bidi w:val="0"/>
        <w:spacing w:line="246" w:lineRule="auto"/>
      </w:pPr>
    </w:p>
    <w:p w14:paraId="067C9711">
      <w:pPr>
        <w:pStyle w:val="4"/>
        <w:pageBreakBefore w:val="0"/>
        <w:kinsoku/>
        <w:topLinePunct w:val="0"/>
        <w:bidi w:val="0"/>
        <w:spacing w:line="246" w:lineRule="auto"/>
      </w:pPr>
    </w:p>
    <w:p w14:paraId="211F0FB0">
      <w:pPr>
        <w:pStyle w:val="4"/>
        <w:pageBreakBefore w:val="0"/>
        <w:kinsoku/>
        <w:topLinePunct w:val="0"/>
        <w:bidi w:val="0"/>
        <w:spacing w:line="253" w:lineRule="auto"/>
      </w:pPr>
    </w:p>
    <w:p w14:paraId="31E60F25">
      <w:pPr>
        <w:pageBreakBefore w:val="0"/>
        <w:kinsoku/>
        <w:topLinePunct w:val="0"/>
        <w:bidi w:val="0"/>
        <w:spacing w:before="65" w:line="231" w:lineRule="auto"/>
        <w:ind w:left="4316"/>
        <w:outlineLvl w:val="3"/>
        <w:rPr>
          <w:rFonts w:ascii="仿宋" w:hAnsi="仿宋" w:eastAsia="仿宋" w:cs="仿宋"/>
          <w:sz w:val="24"/>
          <w:szCs w:val="24"/>
        </w:rPr>
      </w:pPr>
      <w:r>
        <w:rPr>
          <w:rFonts w:hint="eastAsia" w:ascii="仿宋" w:hAnsi="仿宋" w:eastAsia="仿宋" w:cs="仿宋"/>
          <w:b/>
          <w:bCs/>
          <w:spacing w:val="3"/>
          <w:sz w:val="24"/>
          <w:szCs w:val="24"/>
          <w:lang w:val="en-US" w:eastAsia="zh-CN"/>
        </w:rPr>
        <w:t>11.</w:t>
      </w:r>
      <w:r>
        <w:rPr>
          <w:rFonts w:ascii="仿宋" w:hAnsi="仿宋" w:eastAsia="仿宋" w:cs="仿宋"/>
          <w:b/>
          <w:bCs/>
          <w:spacing w:val="3"/>
          <w:sz w:val="24"/>
          <w:szCs w:val="24"/>
        </w:rPr>
        <w:t>方案</w:t>
      </w:r>
    </w:p>
    <w:p w14:paraId="426C896C">
      <w:pPr>
        <w:pageBreakBefore w:val="0"/>
        <w:kinsoku/>
        <w:topLinePunct w:val="0"/>
        <w:bidi w:val="0"/>
        <w:spacing w:before="139" w:line="229" w:lineRule="auto"/>
        <w:jc w:val="center"/>
        <w:rPr>
          <w:rFonts w:ascii="仿宋" w:hAnsi="仿宋" w:eastAsia="仿宋" w:cs="仿宋"/>
          <w:sz w:val="24"/>
          <w:szCs w:val="24"/>
        </w:rPr>
      </w:pPr>
      <w:r>
        <w:rPr>
          <w:rFonts w:hint="eastAsia" w:ascii="仿宋" w:hAnsi="仿宋" w:eastAsia="仿宋" w:cs="仿宋"/>
          <w:spacing w:val="7"/>
          <w:sz w:val="24"/>
          <w:szCs w:val="24"/>
          <w:lang w:eastAsia="zh-CN"/>
        </w:rPr>
        <w:t>供应商结合详细评分标准表自附（格式自拟）</w:t>
      </w:r>
    </w:p>
    <w:p w14:paraId="2A2782E8">
      <w:pPr>
        <w:pStyle w:val="4"/>
        <w:pageBreakBefore w:val="0"/>
        <w:kinsoku/>
        <w:topLinePunct w:val="0"/>
        <w:bidi w:val="0"/>
        <w:spacing w:line="245" w:lineRule="auto"/>
        <w:rPr>
          <w:sz w:val="24"/>
          <w:szCs w:val="24"/>
        </w:rPr>
      </w:pPr>
    </w:p>
    <w:p w14:paraId="0B2716A6">
      <w:pPr>
        <w:pStyle w:val="4"/>
        <w:pageBreakBefore w:val="0"/>
        <w:kinsoku/>
        <w:topLinePunct w:val="0"/>
        <w:bidi w:val="0"/>
        <w:spacing w:line="245" w:lineRule="auto"/>
      </w:pPr>
    </w:p>
    <w:p w14:paraId="03DF4F42">
      <w:pPr>
        <w:pStyle w:val="4"/>
        <w:pageBreakBefore w:val="0"/>
        <w:kinsoku/>
        <w:topLinePunct w:val="0"/>
        <w:bidi w:val="0"/>
        <w:spacing w:line="245" w:lineRule="auto"/>
      </w:pPr>
    </w:p>
    <w:p w14:paraId="6F908802">
      <w:pPr>
        <w:pStyle w:val="4"/>
        <w:pageBreakBefore w:val="0"/>
        <w:kinsoku/>
        <w:topLinePunct w:val="0"/>
        <w:bidi w:val="0"/>
        <w:spacing w:line="245" w:lineRule="auto"/>
      </w:pPr>
    </w:p>
    <w:p w14:paraId="51237508">
      <w:pPr>
        <w:pStyle w:val="4"/>
        <w:pageBreakBefore w:val="0"/>
        <w:kinsoku/>
        <w:topLinePunct w:val="0"/>
        <w:bidi w:val="0"/>
        <w:spacing w:line="245" w:lineRule="auto"/>
      </w:pPr>
    </w:p>
    <w:p w14:paraId="796346BA">
      <w:pPr>
        <w:pStyle w:val="4"/>
        <w:pageBreakBefore w:val="0"/>
        <w:kinsoku/>
        <w:topLinePunct w:val="0"/>
        <w:bidi w:val="0"/>
        <w:spacing w:line="245" w:lineRule="auto"/>
      </w:pPr>
    </w:p>
    <w:p w14:paraId="5469DD06">
      <w:pPr>
        <w:pStyle w:val="4"/>
        <w:pageBreakBefore w:val="0"/>
        <w:kinsoku/>
        <w:topLinePunct w:val="0"/>
        <w:bidi w:val="0"/>
        <w:spacing w:line="245" w:lineRule="auto"/>
      </w:pPr>
    </w:p>
    <w:p w14:paraId="3B15AF92">
      <w:pPr>
        <w:pStyle w:val="4"/>
        <w:pageBreakBefore w:val="0"/>
        <w:kinsoku/>
        <w:topLinePunct w:val="0"/>
        <w:bidi w:val="0"/>
        <w:spacing w:line="245" w:lineRule="auto"/>
      </w:pPr>
    </w:p>
    <w:p w14:paraId="5F4DFE00">
      <w:pPr>
        <w:pStyle w:val="4"/>
        <w:pageBreakBefore w:val="0"/>
        <w:kinsoku/>
        <w:topLinePunct w:val="0"/>
        <w:bidi w:val="0"/>
        <w:spacing w:line="245" w:lineRule="auto"/>
      </w:pPr>
    </w:p>
    <w:p w14:paraId="542382C4">
      <w:pPr>
        <w:pStyle w:val="4"/>
        <w:pageBreakBefore w:val="0"/>
        <w:kinsoku/>
        <w:topLinePunct w:val="0"/>
        <w:bidi w:val="0"/>
        <w:spacing w:line="245" w:lineRule="auto"/>
      </w:pPr>
    </w:p>
    <w:p w14:paraId="0286358C">
      <w:pPr>
        <w:pStyle w:val="4"/>
        <w:pageBreakBefore w:val="0"/>
        <w:kinsoku/>
        <w:topLinePunct w:val="0"/>
        <w:bidi w:val="0"/>
        <w:spacing w:line="245" w:lineRule="auto"/>
      </w:pPr>
    </w:p>
    <w:p w14:paraId="10E58945">
      <w:pPr>
        <w:pStyle w:val="4"/>
        <w:pageBreakBefore w:val="0"/>
        <w:kinsoku/>
        <w:topLinePunct w:val="0"/>
        <w:bidi w:val="0"/>
        <w:spacing w:line="245" w:lineRule="auto"/>
      </w:pPr>
    </w:p>
    <w:p w14:paraId="17FCDD05">
      <w:pPr>
        <w:pStyle w:val="4"/>
        <w:pageBreakBefore w:val="0"/>
        <w:kinsoku/>
        <w:topLinePunct w:val="0"/>
        <w:bidi w:val="0"/>
        <w:spacing w:line="245" w:lineRule="auto"/>
      </w:pPr>
    </w:p>
    <w:p w14:paraId="3D7ED79F">
      <w:pPr>
        <w:pStyle w:val="4"/>
        <w:pageBreakBefore w:val="0"/>
        <w:kinsoku/>
        <w:topLinePunct w:val="0"/>
        <w:bidi w:val="0"/>
        <w:spacing w:line="245" w:lineRule="auto"/>
      </w:pPr>
    </w:p>
    <w:p w14:paraId="33CCEE33">
      <w:pPr>
        <w:pStyle w:val="4"/>
        <w:pageBreakBefore w:val="0"/>
        <w:kinsoku/>
        <w:topLinePunct w:val="0"/>
        <w:bidi w:val="0"/>
        <w:spacing w:line="245" w:lineRule="auto"/>
      </w:pPr>
    </w:p>
    <w:p w14:paraId="235FF409">
      <w:pPr>
        <w:pStyle w:val="4"/>
        <w:pageBreakBefore w:val="0"/>
        <w:kinsoku/>
        <w:topLinePunct w:val="0"/>
        <w:bidi w:val="0"/>
        <w:spacing w:line="245" w:lineRule="auto"/>
      </w:pPr>
    </w:p>
    <w:p w14:paraId="47223E7F">
      <w:pPr>
        <w:pStyle w:val="4"/>
        <w:pageBreakBefore w:val="0"/>
        <w:kinsoku/>
        <w:topLinePunct w:val="0"/>
        <w:bidi w:val="0"/>
        <w:spacing w:line="245" w:lineRule="auto"/>
      </w:pPr>
    </w:p>
    <w:p w14:paraId="35BAFFC6">
      <w:pPr>
        <w:pStyle w:val="4"/>
        <w:pageBreakBefore w:val="0"/>
        <w:kinsoku/>
        <w:topLinePunct w:val="0"/>
        <w:bidi w:val="0"/>
        <w:spacing w:line="246" w:lineRule="auto"/>
      </w:pPr>
    </w:p>
    <w:p w14:paraId="0AA8479B">
      <w:pPr>
        <w:pStyle w:val="4"/>
        <w:pageBreakBefore w:val="0"/>
        <w:kinsoku/>
        <w:topLinePunct w:val="0"/>
        <w:bidi w:val="0"/>
        <w:spacing w:line="246" w:lineRule="auto"/>
      </w:pPr>
    </w:p>
    <w:p w14:paraId="62DB7292">
      <w:pPr>
        <w:pStyle w:val="4"/>
        <w:pageBreakBefore w:val="0"/>
        <w:kinsoku/>
        <w:topLinePunct w:val="0"/>
        <w:bidi w:val="0"/>
        <w:spacing w:line="246" w:lineRule="auto"/>
      </w:pPr>
    </w:p>
    <w:p w14:paraId="727B6BC4">
      <w:pPr>
        <w:pStyle w:val="4"/>
        <w:pageBreakBefore w:val="0"/>
        <w:kinsoku/>
        <w:topLinePunct w:val="0"/>
        <w:bidi w:val="0"/>
        <w:spacing w:line="246" w:lineRule="auto"/>
      </w:pPr>
    </w:p>
    <w:p w14:paraId="17B0A620">
      <w:pPr>
        <w:pageBreakBefore w:val="0"/>
        <w:kinsoku/>
        <w:topLinePunct w:val="0"/>
        <w:bidi w:val="0"/>
      </w:pPr>
      <w:r>
        <w:br w:type="page"/>
      </w:r>
    </w:p>
    <w:p w14:paraId="1B203B96">
      <w:pPr>
        <w:pStyle w:val="4"/>
        <w:pageBreakBefore w:val="0"/>
        <w:kinsoku/>
        <w:topLinePunct w:val="0"/>
        <w:bidi w:val="0"/>
        <w:spacing w:line="246" w:lineRule="auto"/>
      </w:pPr>
    </w:p>
    <w:p w14:paraId="1513340C">
      <w:pPr>
        <w:pageBreakBefore w:val="0"/>
        <w:kinsoku/>
        <w:topLinePunct w:val="0"/>
        <w:bidi w:val="0"/>
        <w:spacing w:before="65" w:line="229" w:lineRule="auto"/>
        <w:ind w:left="4108"/>
        <w:outlineLvl w:val="3"/>
        <w:rPr>
          <w:rFonts w:ascii="仿宋" w:hAnsi="仿宋" w:eastAsia="仿宋" w:cs="仿宋"/>
          <w:sz w:val="24"/>
          <w:szCs w:val="24"/>
        </w:rPr>
      </w:pPr>
      <w:r>
        <w:rPr>
          <w:rFonts w:ascii="仿宋" w:hAnsi="仿宋" w:eastAsia="仿宋" w:cs="仿宋"/>
          <w:b/>
          <w:bCs/>
          <w:spacing w:val="4"/>
          <w:sz w:val="24"/>
          <w:szCs w:val="24"/>
        </w:rPr>
        <w:t>1</w:t>
      </w:r>
      <w:r>
        <w:rPr>
          <w:rFonts w:hint="eastAsia" w:ascii="仿宋" w:hAnsi="仿宋" w:eastAsia="仿宋" w:cs="仿宋"/>
          <w:b/>
          <w:bCs/>
          <w:spacing w:val="4"/>
          <w:sz w:val="24"/>
          <w:szCs w:val="24"/>
          <w:lang w:val="en-US" w:eastAsia="zh-CN"/>
        </w:rPr>
        <w:t>2</w:t>
      </w:r>
      <w:r>
        <w:rPr>
          <w:rFonts w:ascii="仿宋" w:hAnsi="仿宋" w:eastAsia="仿宋" w:cs="仿宋"/>
          <w:b/>
          <w:bCs/>
          <w:spacing w:val="4"/>
          <w:sz w:val="24"/>
          <w:szCs w:val="24"/>
        </w:rPr>
        <w:t>.其它证明材料</w:t>
      </w:r>
    </w:p>
    <w:p w14:paraId="6546F93C">
      <w:pPr>
        <w:pageBreakBefore w:val="0"/>
        <w:kinsoku/>
        <w:topLinePunct w:val="0"/>
        <w:bidi w:val="0"/>
        <w:spacing w:before="143" w:line="229" w:lineRule="auto"/>
        <w:ind w:left="642"/>
        <w:jc w:val="center"/>
        <w:rPr>
          <w:rFonts w:ascii="仿宋" w:hAnsi="仿宋" w:eastAsia="仿宋" w:cs="仿宋"/>
          <w:sz w:val="24"/>
          <w:szCs w:val="24"/>
        </w:rPr>
        <w:sectPr>
          <w:footerReference r:id="rId14" w:type="default"/>
          <w:pgSz w:w="11906" w:h="16839"/>
          <w:pgMar w:top="1440" w:right="1080" w:bottom="1440" w:left="1080" w:header="0" w:footer="1054" w:gutter="0"/>
          <w:pgNumType w:fmt="decimal"/>
          <w:cols w:space="720" w:num="1"/>
        </w:sectPr>
      </w:pPr>
      <w:r>
        <w:rPr>
          <w:rFonts w:hint="eastAsia" w:ascii="仿宋" w:hAnsi="仿宋" w:eastAsia="仿宋" w:cs="仿宋"/>
          <w:spacing w:val="9"/>
          <w:sz w:val="24"/>
          <w:szCs w:val="24"/>
          <w:lang w:eastAsia="zh-CN"/>
        </w:rPr>
        <w:t>供应商</w:t>
      </w:r>
      <w:r>
        <w:rPr>
          <w:rFonts w:ascii="仿宋" w:hAnsi="仿宋" w:eastAsia="仿宋" w:cs="仿宋"/>
          <w:spacing w:val="9"/>
          <w:sz w:val="24"/>
          <w:szCs w:val="24"/>
        </w:rPr>
        <w:t>根据</w:t>
      </w:r>
      <w:r>
        <w:rPr>
          <w:rFonts w:hint="eastAsia" w:ascii="仿宋" w:hAnsi="仿宋" w:eastAsia="仿宋" w:cs="仿宋"/>
          <w:spacing w:val="9"/>
          <w:sz w:val="24"/>
          <w:szCs w:val="24"/>
          <w:lang w:eastAsia="zh-CN"/>
        </w:rPr>
        <w:t>评审</w:t>
      </w:r>
      <w:r>
        <w:rPr>
          <w:rFonts w:ascii="仿宋" w:hAnsi="仿宋" w:eastAsia="仿宋" w:cs="仿宋"/>
          <w:spacing w:val="9"/>
          <w:sz w:val="24"/>
          <w:szCs w:val="24"/>
        </w:rPr>
        <w:t>办法认为对其参与评审有利的其它证明材料（格式自</w:t>
      </w:r>
      <w:r>
        <w:rPr>
          <w:rFonts w:ascii="仿宋" w:hAnsi="仿宋" w:eastAsia="仿宋" w:cs="仿宋"/>
          <w:spacing w:val="8"/>
          <w:sz w:val="24"/>
          <w:szCs w:val="24"/>
        </w:rPr>
        <w:t>拟）。</w:t>
      </w:r>
    </w:p>
    <w:p w14:paraId="4022754F">
      <w:pPr>
        <w:pageBreakBefore w:val="0"/>
        <w:widowControl/>
        <w:shd w:val="clear" w:color="auto" w:fill="auto"/>
        <w:kinsoku/>
        <w:topLinePunct w:val="0"/>
        <w:bidi w:val="0"/>
        <w:spacing w:line="500" w:lineRule="exact"/>
        <w:ind w:left="-617" w:leftChars="-294" w:firstLine="318" w:firstLineChars="130"/>
        <w:jc w:val="center"/>
        <w:rPr>
          <w:rFonts w:hint="default" w:ascii="宋体" w:hAnsi="宋体" w:eastAsia="宋体" w:cs="Times New Roman"/>
          <w:b/>
          <w:bCs/>
          <w:color w:val="auto"/>
          <w:sz w:val="24"/>
          <w:szCs w:val="24"/>
          <w:highlight w:val="none"/>
          <w:lang w:val="en-US" w:eastAsia="zh-CN"/>
        </w:rPr>
      </w:pPr>
      <w:r>
        <w:rPr>
          <w:rFonts w:ascii="仿宋" w:hAnsi="仿宋" w:eastAsia="仿宋" w:cs="仿宋"/>
          <w:b/>
          <w:bCs/>
          <w:spacing w:val="2"/>
          <w:sz w:val="24"/>
          <w:szCs w:val="24"/>
        </w:rPr>
        <w:t>1</w:t>
      </w:r>
      <w:r>
        <w:rPr>
          <w:rFonts w:hint="eastAsia" w:ascii="仿宋" w:hAnsi="仿宋" w:eastAsia="仿宋" w:cs="仿宋"/>
          <w:b/>
          <w:bCs/>
          <w:spacing w:val="2"/>
          <w:sz w:val="24"/>
          <w:szCs w:val="24"/>
          <w:lang w:val="en-US" w:eastAsia="zh-CN"/>
        </w:rPr>
        <w:t>3</w:t>
      </w:r>
      <w:r>
        <w:rPr>
          <w:rFonts w:ascii="仿宋" w:hAnsi="仿宋" w:eastAsia="仿宋" w:cs="仿宋"/>
          <w:b/>
          <w:bCs/>
          <w:spacing w:val="2"/>
          <w:sz w:val="24"/>
          <w:szCs w:val="24"/>
        </w:rPr>
        <w:t>.</w:t>
      </w:r>
      <w:r>
        <w:rPr>
          <w:rFonts w:hint="eastAsia" w:ascii="仿宋" w:hAnsi="仿宋" w:eastAsia="仿宋" w:cs="仿宋"/>
          <w:b/>
          <w:bCs/>
          <w:color w:val="auto"/>
          <w:kern w:val="1"/>
          <w:sz w:val="24"/>
          <w:szCs w:val="24"/>
          <w:highlight w:val="none"/>
          <w:lang w:val="en-US" w:eastAsia="zh-CN"/>
        </w:rPr>
        <w:t>项目经理无在建项目承诺函</w:t>
      </w:r>
    </w:p>
    <w:p w14:paraId="02050A8C">
      <w:pPr>
        <w:pageBreakBefore w:val="0"/>
        <w:widowControl/>
        <w:shd w:val="clear" w:color="auto" w:fill="auto"/>
        <w:kinsoku/>
        <w:topLinePunct w:val="0"/>
        <w:bidi w:val="0"/>
        <w:spacing w:line="500" w:lineRule="exact"/>
        <w:ind w:firstLine="480"/>
        <w:rPr>
          <w:rFonts w:hint="eastAsia" w:ascii="宋体" w:hAnsi="宋体" w:cs="Times New Roman"/>
          <w:color w:val="auto"/>
          <w:sz w:val="18"/>
          <w:szCs w:val="18"/>
          <w:highlight w:val="none"/>
          <w:lang w:eastAsia="zh-CN"/>
        </w:rPr>
      </w:pPr>
    </w:p>
    <w:p w14:paraId="2F0F1557">
      <w:pPr>
        <w:pageBreakBefore w:val="0"/>
        <w:shd w:val="clear" w:color="auto" w:fill="auto"/>
        <w:kinsoku/>
        <w:topLinePunct w:val="0"/>
        <w:bidi w:val="0"/>
        <w:spacing w:line="560" w:lineRule="exact"/>
        <w:rPr>
          <w:rFonts w:hint="eastAsia" w:ascii="宋体" w:hAnsi="宋体" w:eastAsia="宋体" w:cs="Times New Roman"/>
          <w:color w:val="auto"/>
          <w:sz w:val="21"/>
          <w:szCs w:val="20"/>
          <w:highlight w:val="none"/>
          <w:lang w:eastAsia="zh-CN"/>
        </w:rPr>
      </w:pPr>
    </w:p>
    <w:p w14:paraId="58EBC439">
      <w:pPr>
        <w:pageBreakBefore w:val="0"/>
        <w:shd w:val="clear" w:color="auto" w:fill="auto"/>
        <w:kinsoku/>
        <w:topLinePunct w:val="0"/>
        <w:bidi w:val="0"/>
        <w:spacing w:line="560" w:lineRule="exact"/>
        <w:rPr>
          <w:rFonts w:hint="eastAsia" w:ascii="宋体" w:hAnsi="宋体" w:eastAsia="宋体" w:cs="Times New Roman"/>
          <w:color w:val="auto"/>
          <w:sz w:val="21"/>
          <w:szCs w:val="20"/>
          <w:highlight w:val="none"/>
          <w:lang w:eastAsia="zh-CN"/>
        </w:rPr>
      </w:pPr>
    </w:p>
    <w:p w14:paraId="58AF0042">
      <w:pPr>
        <w:pageBreakBefore w:val="0"/>
        <w:shd w:val="clear" w:color="auto" w:fill="auto"/>
        <w:kinsoku/>
        <w:topLinePunct w:val="0"/>
        <w:bidi w:val="0"/>
        <w:spacing w:line="560" w:lineRule="exact"/>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eastAsia="zh-CN"/>
        </w:rPr>
        <w:t>致：</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（采购人）</w:t>
      </w:r>
    </w:p>
    <w:p w14:paraId="58D2502E">
      <w:pPr>
        <w:pageBreakBefore w:val="0"/>
        <w:shd w:val="clear" w:color="auto" w:fill="auto"/>
        <w:kinsoku/>
        <w:topLinePunct w:val="0"/>
        <w:bidi w:val="0"/>
        <w:spacing w:line="560" w:lineRule="exact"/>
        <w:ind w:firstLine="525" w:firstLineChars="250"/>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 xml:space="preserve">我 </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（姓名）系</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（供应商名称）的拟派的项目经理，身份证号：</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 xml:space="preserve">  ：注册证书编号：</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 xml:space="preserve"> ，目前未担任其他在建建设工程项目经理。</w:t>
      </w:r>
    </w:p>
    <w:p w14:paraId="01B755A2">
      <w:pPr>
        <w:pageBreakBefore w:val="0"/>
        <w:shd w:val="clear" w:color="auto" w:fill="auto"/>
        <w:kinsoku/>
        <w:topLinePunct w:val="0"/>
        <w:bidi w:val="0"/>
        <w:spacing w:line="560" w:lineRule="exact"/>
        <w:ind w:firstLine="525" w:firstLineChars="250"/>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若有虚假一经查实，愿意承担一切责任，并由此承担造成的一切损失。</w:t>
      </w:r>
    </w:p>
    <w:p w14:paraId="7264C94C">
      <w:pPr>
        <w:pageBreakBefore w:val="0"/>
        <w:shd w:val="clear" w:color="auto" w:fill="auto"/>
        <w:kinsoku/>
        <w:topLinePunct w:val="0"/>
        <w:bidi w:val="0"/>
        <w:spacing w:line="560" w:lineRule="exact"/>
        <w:ind w:firstLine="525" w:firstLineChars="250"/>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我方特此承诺。</w:t>
      </w:r>
    </w:p>
    <w:p w14:paraId="3B69EA17">
      <w:pPr>
        <w:pageBreakBefore w:val="0"/>
        <w:shd w:val="clear" w:color="auto" w:fill="auto"/>
        <w:kinsoku/>
        <w:topLinePunct w:val="0"/>
        <w:bidi w:val="0"/>
        <w:spacing w:line="480" w:lineRule="auto"/>
        <w:ind w:firstLine="420" w:firstLineChars="200"/>
        <w:rPr>
          <w:rFonts w:hint="eastAsia" w:ascii="仿宋" w:hAnsi="仿宋" w:eastAsia="仿宋" w:cs="仿宋"/>
          <w:color w:val="auto"/>
          <w:sz w:val="21"/>
          <w:szCs w:val="18"/>
          <w:highlight w:val="none"/>
          <w:lang w:val="en-US" w:eastAsia="zh-CN"/>
        </w:rPr>
      </w:pPr>
    </w:p>
    <w:p w14:paraId="36912DA3">
      <w:pPr>
        <w:pageBreakBefore w:val="0"/>
        <w:shd w:val="clear" w:color="auto" w:fill="auto"/>
        <w:kinsoku/>
        <w:topLinePunct w:val="0"/>
        <w:bidi w:val="0"/>
        <w:spacing w:line="480" w:lineRule="auto"/>
        <w:ind w:firstLine="420" w:firstLineChars="200"/>
        <w:rPr>
          <w:rFonts w:hint="eastAsia" w:ascii="仿宋" w:hAnsi="仿宋" w:eastAsia="仿宋" w:cs="仿宋"/>
          <w:color w:val="auto"/>
          <w:sz w:val="21"/>
          <w:szCs w:val="18"/>
          <w:highlight w:val="none"/>
          <w:lang w:val="en-US" w:eastAsia="zh-CN"/>
        </w:rPr>
      </w:pPr>
    </w:p>
    <w:p w14:paraId="2F982CED">
      <w:pPr>
        <w:pageBreakBefore w:val="0"/>
        <w:shd w:val="clear" w:color="auto" w:fill="auto"/>
        <w:kinsoku/>
        <w:topLinePunct w:val="0"/>
        <w:bidi w:val="0"/>
        <w:spacing w:line="240" w:lineRule="auto"/>
        <w:jc w:val="right"/>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供应商名称</w:t>
      </w:r>
      <w:r>
        <w:rPr>
          <w:rFonts w:hint="eastAsia" w:ascii="仿宋" w:hAnsi="仿宋" w:eastAsia="仿宋" w:cs="仿宋"/>
          <w:color w:val="auto"/>
          <w:sz w:val="21"/>
          <w:szCs w:val="18"/>
          <w:highlight w:val="none"/>
          <w:u w:val="single"/>
          <w:lang w:val="en-US" w:eastAsia="zh-CN"/>
        </w:rPr>
        <w:t xml:space="preserve">     </w:t>
      </w:r>
      <w:r>
        <w:rPr>
          <w:rFonts w:hint="eastAsia" w:ascii="仿宋" w:hAnsi="仿宋" w:eastAsia="仿宋" w:cs="仿宋"/>
          <w:color w:val="auto"/>
          <w:sz w:val="21"/>
          <w:szCs w:val="18"/>
          <w:highlight w:val="none"/>
          <w:lang w:val="en-US" w:eastAsia="zh-CN"/>
        </w:rPr>
        <w:t>（盖单位章）：</w:t>
      </w:r>
    </w:p>
    <w:p w14:paraId="6FD27E3C">
      <w:pPr>
        <w:pageBreakBefore w:val="0"/>
        <w:shd w:val="clear" w:color="auto" w:fill="auto"/>
        <w:kinsoku/>
        <w:topLinePunct w:val="0"/>
        <w:bidi w:val="0"/>
        <w:spacing w:line="240" w:lineRule="auto"/>
        <w:jc w:val="right"/>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法定代表人</w:t>
      </w:r>
      <w:r>
        <w:rPr>
          <w:rFonts w:hint="eastAsia" w:ascii="仿宋" w:hAnsi="仿宋" w:eastAsia="仿宋" w:cs="仿宋"/>
          <w:color w:val="auto"/>
          <w:sz w:val="21"/>
          <w:szCs w:val="18"/>
          <w:highlight w:val="none"/>
          <w:u w:val="single"/>
          <w:lang w:val="en-US" w:eastAsia="zh-CN"/>
        </w:rPr>
        <w:t xml:space="preserve">     </w:t>
      </w:r>
      <w:r>
        <w:rPr>
          <w:rFonts w:hint="eastAsia" w:ascii="仿宋" w:hAnsi="仿宋" w:eastAsia="仿宋" w:cs="仿宋"/>
          <w:color w:val="auto"/>
          <w:sz w:val="21"/>
          <w:szCs w:val="18"/>
          <w:highlight w:val="none"/>
          <w:lang w:val="en-US" w:eastAsia="zh-CN"/>
        </w:rPr>
        <w:t>（签字或盖章）：</w:t>
      </w:r>
    </w:p>
    <w:p w14:paraId="71903F6F">
      <w:pPr>
        <w:pageBreakBefore w:val="0"/>
        <w:shd w:val="clear" w:color="auto" w:fill="auto"/>
        <w:kinsoku/>
        <w:topLinePunct w:val="0"/>
        <w:bidi w:val="0"/>
        <w:spacing w:line="240" w:lineRule="auto"/>
        <w:jc w:val="right"/>
        <w:rPr>
          <w:rFonts w:hint="eastAsia"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项目经理</w:t>
      </w:r>
      <w:r>
        <w:rPr>
          <w:rFonts w:hint="eastAsia" w:ascii="仿宋" w:hAnsi="仿宋" w:eastAsia="仿宋" w:cs="仿宋"/>
          <w:color w:val="auto"/>
          <w:sz w:val="21"/>
          <w:szCs w:val="18"/>
          <w:highlight w:val="none"/>
          <w:u w:val="single"/>
          <w:lang w:val="en-US" w:eastAsia="zh-CN"/>
        </w:rPr>
        <w:t xml:space="preserve">         </w:t>
      </w:r>
      <w:r>
        <w:rPr>
          <w:rFonts w:hint="eastAsia" w:ascii="仿宋" w:hAnsi="仿宋" w:eastAsia="仿宋" w:cs="仿宋"/>
          <w:color w:val="auto"/>
          <w:sz w:val="21"/>
          <w:szCs w:val="18"/>
          <w:highlight w:val="none"/>
          <w:lang w:val="en-US" w:eastAsia="zh-CN"/>
        </w:rPr>
        <w:t>（签字）：</w:t>
      </w:r>
    </w:p>
    <w:p w14:paraId="7CE534AE">
      <w:pPr>
        <w:pageBreakBefore w:val="0"/>
        <w:shd w:val="clear" w:color="auto" w:fill="auto"/>
        <w:kinsoku/>
        <w:wordWrap w:val="0"/>
        <w:topLinePunct w:val="0"/>
        <w:bidi w:val="0"/>
        <w:spacing w:line="240" w:lineRule="auto"/>
        <w:ind w:firstLine="4830" w:firstLineChars="2300"/>
        <w:jc w:val="right"/>
        <w:rPr>
          <w:rFonts w:hint="default" w:ascii="仿宋" w:hAnsi="仿宋" w:eastAsia="仿宋" w:cs="仿宋"/>
          <w:color w:val="auto"/>
          <w:sz w:val="21"/>
          <w:szCs w:val="18"/>
          <w:highlight w:val="none"/>
          <w:lang w:val="en-US" w:eastAsia="zh-CN"/>
        </w:rPr>
      </w:pPr>
      <w:r>
        <w:rPr>
          <w:rFonts w:hint="eastAsia" w:ascii="仿宋" w:hAnsi="仿宋" w:eastAsia="仿宋" w:cs="仿宋"/>
          <w:color w:val="auto"/>
          <w:sz w:val="21"/>
          <w:szCs w:val="18"/>
          <w:highlight w:val="none"/>
          <w:lang w:val="en-US" w:eastAsia="zh-CN"/>
        </w:rPr>
        <w:t xml:space="preserve"> </w:t>
      </w:r>
    </w:p>
    <w:p w14:paraId="5F846758">
      <w:pPr>
        <w:pageBreakBefore w:val="0"/>
        <w:shd w:val="clear" w:color="auto" w:fill="auto"/>
        <w:kinsoku/>
        <w:topLinePunct w:val="0"/>
        <w:bidi w:val="0"/>
        <w:spacing w:line="240" w:lineRule="auto"/>
        <w:ind w:firstLine="4830" w:firstLineChars="2300"/>
        <w:jc w:val="center"/>
        <w:rPr>
          <w:rFonts w:hint="eastAsia" w:ascii="仿宋" w:hAnsi="仿宋" w:eastAsia="仿宋" w:cs="仿宋"/>
          <w:color w:val="auto"/>
          <w:sz w:val="21"/>
          <w:szCs w:val="18"/>
          <w:highlight w:val="none"/>
          <w:lang w:val="en-US" w:eastAsia="zh-CN"/>
        </w:rPr>
      </w:pPr>
    </w:p>
    <w:p w14:paraId="5C4DB870">
      <w:pPr>
        <w:pageBreakBefore w:val="0"/>
        <w:shd w:val="clear" w:color="auto" w:fill="auto"/>
        <w:kinsoku/>
        <w:topLinePunct w:val="0"/>
        <w:bidi w:val="0"/>
        <w:spacing w:line="240" w:lineRule="auto"/>
        <w:ind w:firstLine="4830" w:firstLineChars="2300"/>
        <w:jc w:val="center"/>
        <w:rPr>
          <w:rFonts w:hint="eastAsia" w:ascii="仿宋" w:hAnsi="仿宋" w:eastAsia="仿宋" w:cs="仿宋"/>
          <w:color w:val="auto"/>
          <w:sz w:val="21"/>
          <w:szCs w:val="18"/>
          <w:highlight w:val="none"/>
          <w:lang w:val="en-US" w:eastAsia="zh-CN"/>
        </w:rPr>
      </w:pPr>
    </w:p>
    <w:p w14:paraId="3FA16010">
      <w:pPr>
        <w:pStyle w:val="7"/>
        <w:pageBreakBefore w:val="0"/>
        <w:kinsoku/>
        <w:topLinePunct w:val="0"/>
        <w:bidi w:val="0"/>
        <w:jc w:val="right"/>
        <w:rPr>
          <w:rStyle w:val="29"/>
          <w:rFonts w:hint="eastAsia" w:ascii="仿宋" w:hAnsi="仿宋" w:eastAsia="仿宋" w:cs="仿宋"/>
          <w:color w:val="auto"/>
          <w:sz w:val="21"/>
          <w:szCs w:val="21"/>
          <w:highlight w:val="none"/>
          <w:lang w:eastAsia="ar-SA"/>
        </w:rPr>
      </w:pPr>
      <w:r>
        <w:rPr>
          <w:rStyle w:val="29"/>
          <w:rFonts w:hint="eastAsia" w:ascii="仿宋" w:hAnsi="仿宋" w:eastAsia="仿宋" w:cs="仿宋"/>
          <w:color w:val="auto"/>
          <w:sz w:val="21"/>
          <w:szCs w:val="21"/>
          <w:highlight w:val="none"/>
          <w:lang w:eastAsia="ar-SA"/>
        </w:rPr>
        <w:t>日期：</w:t>
      </w:r>
      <w:r>
        <w:rPr>
          <w:rStyle w:val="29"/>
          <w:rFonts w:hint="eastAsia" w:ascii="仿宋" w:hAnsi="仿宋" w:eastAsia="仿宋" w:cs="仿宋"/>
          <w:color w:val="auto"/>
          <w:sz w:val="21"/>
          <w:szCs w:val="21"/>
          <w:highlight w:val="none"/>
          <w:u w:val="single"/>
          <w:lang w:val="en-US" w:eastAsia="zh-CN"/>
        </w:rPr>
        <w:t xml:space="preserve">        </w:t>
      </w:r>
      <w:r>
        <w:rPr>
          <w:rStyle w:val="29"/>
          <w:rFonts w:hint="eastAsia" w:ascii="仿宋" w:hAnsi="仿宋" w:eastAsia="仿宋" w:cs="仿宋"/>
          <w:color w:val="auto"/>
          <w:sz w:val="21"/>
          <w:szCs w:val="21"/>
          <w:highlight w:val="none"/>
          <w:lang w:eastAsia="ar-SA"/>
        </w:rPr>
        <w:t>年</w:t>
      </w:r>
      <w:r>
        <w:rPr>
          <w:rStyle w:val="29"/>
          <w:rFonts w:hint="eastAsia" w:ascii="仿宋" w:hAnsi="仿宋" w:eastAsia="仿宋" w:cs="仿宋"/>
          <w:color w:val="auto"/>
          <w:sz w:val="21"/>
          <w:szCs w:val="21"/>
          <w:highlight w:val="none"/>
          <w:u w:val="single"/>
          <w:lang w:val="en-US" w:eastAsia="zh-CN"/>
        </w:rPr>
        <w:t xml:space="preserve">        </w:t>
      </w:r>
      <w:r>
        <w:rPr>
          <w:rStyle w:val="29"/>
          <w:rFonts w:hint="eastAsia" w:ascii="仿宋" w:hAnsi="仿宋" w:eastAsia="仿宋" w:cs="仿宋"/>
          <w:color w:val="auto"/>
          <w:sz w:val="21"/>
          <w:szCs w:val="21"/>
          <w:highlight w:val="none"/>
          <w:lang w:eastAsia="ar-SA"/>
        </w:rPr>
        <w:t>月</w:t>
      </w:r>
      <w:r>
        <w:rPr>
          <w:rStyle w:val="29"/>
          <w:rFonts w:hint="eastAsia" w:ascii="仿宋" w:hAnsi="仿宋" w:eastAsia="仿宋" w:cs="仿宋"/>
          <w:color w:val="auto"/>
          <w:sz w:val="21"/>
          <w:szCs w:val="21"/>
          <w:highlight w:val="none"/>
          <w:u w:val="single"/>
          <w:lang w:val="en-US" w:eastAsia="zh-CN"/>
        </w:rPr>
        <w:t xml:space="preserve">        </w:t>
      </w:r>
      <w:r>
        <w:rPr>
          <w:rStyle w:val="29"/>
          <w:rFonts w:hint="eastAsia" w:ascii="仿宋" w:hAnsi="仿宋" w:eastAsia="仿宋" w:cs="仿宋"/>
          <w:color w:val="auto"/>
          <w:sz w:val="21"/>
          <w:szCs w:val="21"/>
          <w:highlight w:val="none"/>
          <w:lang w:eastAsia="ar-SA"/>
        </w:rPr>
        <w:t>日</w:t>
      </w:r>
    </w:p>
    <w:p w14:paraId="5F54ED2A">
      <w:pPr>
        <w:pageBreakBefore w:val="0"/>
        <w:kinsoku/>
        <w:topLinePunct w:val="0"/>
        <w:bidi w:val="0"/>
        <w:spacing w:before="42" w:line="232" w:lineRule="auto"/>
        <w:jc w:val="center"/>
        <w:outlineLvl w:val="3"/>
        <w:rPr>
          <w:rFonts w:ascii="仿宋" w:hAnsi="仿宋" w:eastAsia="仿宋" w:cs="仿宋"/>
          <w:b/>
          <w:bCs/>
          <w:spacing w:val="2"/>
          <w:sz w:val="24"/>
          <w:szCs w:val="24"/>
        </w:rPr>
      </w:pPr>
    </w:p>
    <w:p w14:paraId="37B7E579">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389810CA">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710C3175">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466CFEE7">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7E81FCB6">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3DA02CAF">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46CF9F23">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6C081D09">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2D20ABE1">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00BACC11">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13D1BD81">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0014996A">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71E90D38">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053BBE22">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2C95F527">
      <w:pPr>
        <w:pageBreakBefore w:val="0"/>
        <w:kinsoku/>
        <w:topLinePunct w:val="0"/>
        <w:bidi w:val="0"/>
        <w:spacing w:before="42" w:line="232" w:lineRule="auto"/>
        <w:jc w:val="center"/>
        <w:outlineLvl w:val="3"/>
        <w:rPr>
          <w:rFonts w:ascii="仿宋" w:hAnsi="仿宋" w:eastAsia="仿宋" w:cs="仿宋"/>
          <w:sz w:val="24"/>
          <w:szCs w:val="24"/>
        </w:rPr>
      </w:pPr>
      <w:r>
        <w:rPr>
          <w:rFonts w:hint="eastAsia" w:ascii="仿宋" w:hAnsi="仿宋" w:eastAsia="仿宋" w:cs="仿宋"/>
          <w:b/>
          <w:bCs/>
          <w:spacing w:val="2"/>
          <w:sz w:val="24"/>
          <w:szCs w:val="24"/>
          <w:lang w:val="en-US" w:eastAsia="zh-CN"/>
        </w:rPr>
        <w:t>14.</w:t>
      </w:r>
      <w:r>
        <w:rPr>
          <w:rFonts w:ascii="仿宋" w:hAnsi="仿宋" w:eastAsia="仿宋" w:cs="仿宋"/>
          <w:b/>
          <w:bCs/>
          <w:spacing w:val="2"/>
          <w:sz w:val="24"/>
          <w:szCs w:val="24"/>
        </w:rPr>
        <w:t>声明函</w:t>
      </w:r>
    </w:p>
    <w:p w14:paraId="7C51469D">
      <w:pPr>
        <w:pStyle w:val="4"/>
        <w:pageBreakBefore w:val="0"/>
        <w:kinsoku/>
        <w:topLinePunct w:val="0"/>
        <w:bidi w:val="0"/>
        <w:spacing w:line="388" w:lineRule="auto"/>
      </w:pPr>
    </w:p>
    <w:p w14:paraId="789088E6">
      <w:pPr>
        <w:spacing w:line="222" w:lineRule="auto"/>
        <w:jc w:val="center"/>
        <w:rPr>
          <w:rFonts w:hint="eastAsia" w:ascii="仿宋" w:hAnsi="仿宋" w:eastAsia="仿宋" w:cs="仿宋"/>
          <w:sz w:val="24"/>
          <w:szCs w:val="24"/>
          <w:lang w:eastAsia="zh-CN"/>
        </w:rPr>
      </w:pPr>
      <w:r>
        <w:rPr>
          <w:rFonts w:ascii="仿宋" w:hAnsi="仿宋" w:eastAsia="仿宋" w:cs="仿宋"/>
          <w:spacing w:val="-3"/>
          <w:sz w:val="24"/>
          <w:szCs w:val="24"/>
        </w:rPr>
        <w:t>（一）中小企业声明函</w:t>
      </w:r>
      <w:r>
        <w:rPr>
          <w:rFonts w:hint="eastAsia" w:ascii="仿宋" w:hAnsi="仿宋" w:eastAsia="仿宋" w:cs="仿宋"/>
          <w:spacing w:val="-3"/>
          <w:sz w:val="24"/>
          <w:szCs w:val="24"/>
          <w:lang w:eastAsia="zh-CN"/>
        </w:rPr>
        <w:t>（工程）</w:t>
      </w:r>
    </w:p>
    <w:p w14:paraId="4E8F8CDC">
      <w:pPr>
        <w:pStyle w:val="4"/>
        <w:spacing w:line="243" w:lineRule="auto"/>
      </w:pPr>
    </w:p>
    <w:p w14:paraId="4C96DCA9">
      <w:pPr>
        <w:pStyle w:val="4"/>
        <w:spacing w:line="244" w:lineRule="auto"/>
      </w:pPr>
    </w:p>
    <w:p w14:paraId="7A044DA6">
      <w:pPr>
        <w:spacing w:before="65" w:line="543" w:lineRule="auto"/>
        <w:ind w:left="15" w:firstLine="444"/>
      </w:pPr>
      <w:r>
        <w:rPr>
          <w:rFonts w:ascii="仿宋" w:hAnsi="仿宋" w:eastAsia="仿宋" w:cs="仿宋"/>
          <w:spacing w:val="16"/>
          <w:sz w:val="20"/>
          <w:szCs w:val="20"/>
        </w:rPr>
        <w:t>本公司（联合体）</w:t>
      </w:r>
      <w:r>
        <w:rPr>
          <w:rFonts w:ascii="仿宋" w:hAnsi="仿宋" w:eastAsia="仿宋" w:cs="仿宋"/>
          <w:spacing w:val="-50"/>
          <w:sz w:val="20"/>
          <w:szCs w:val="20"/>
        </w:rPr>
        <w:t xml:space="preserve"> </w:t>
      </w:r>
      <w:r>
        <w:rPr>
          <w:rFonts w:ascii="仿宋" w:hAnsi="仿宋" w:eastAsia="仿宋" w:cs="仿宋"/>
          <w:spacing w:val="16"/>
          <w:sz w:val="20"/>
          <w:szCs w:val="20"/>
        </w:rPr>
        <w:t>郑重声明</w:t>
      </w:r>
      <w:r>
        <w:rPr>
          <w:rFonts w:ascii="仿宋" w:hAnsi="仿宋" w:eastAsia="仿宋" w:cs="仿宋"/>
          <w:spacing w:val="-57"/>
          <w:sz w:val="20"/>
          <w:szCs w:val="20"/>
        </w:rPr>
        <w:t xml:space="preserve"> </w:t>
      </w:r>
      <w:r>
        <w:rPr>
          <w:rFonts w:ascii="仿宋" w:hAnsi="仿宋" w:eastAsia="仿宋" w:cs="仿宋"/>
          <w:spacing w:val="16"/>
          <w:sz w:val="20"/>
          <w:szCs w:val="20"/>
        </w:rPr>
        <w:t>，根据《政府采购促进中</w:t>
      </w:r>
      <w:r>
        <w:rPr>
          <w:rFonts w:ascii="仿宋" w:hAnsi="仿宋" w:eastAsia="仿宋" w:cs="仿宋"/>
          <w:spacing w:val="15"/>
          <w:sz w:val="20"/>
          <w:szCs w:val="20"/>
        </w:rPr>
        <w:t>小企业发展管理办法》（财库[2020]46</w:t>
      </w:r>
      <w:r>
        <w:rPr>
          <w:rFonts w:ascii="仿宋" w:hAnsi="仿宋" w:eastAsia="仿宋" w:cs="仿宋"/>
          <w:spacing w:val="-15"/>
          <w:sz w:val="20"/>
          <w:szCs w:val="20"/>
        </w:rPr>
        <w:t xml:space="preserve"> </w:t>
      </w:r>
      <w:r>
        <w:rPr>
          <w:rFonts w:ascii="仿宋" w:hAnsi="仿宋" w:eastAsia="仿宋" w:cs="仿宋"/>
          <w:spacing w:val="15"/>
          <w:sz w:val="20"/>
          <w:szCs w:val="20"/>
        </w:rPr>
        <w:t>号）的规定，本公司（联合体）参加</w:t>
      </w:r>
      <w:r>
        <w:rPr>
          <w:rFonts w:ascii="仿宋" w:hAnsi="仿宋" w:eastAsia="仿宋" w:cs="仿宋"/>
          <w:spacing w:val="15"/>
          <w:sz w:val="20"/>
          <w:szCs w:val="20"/>
          <w:u w:val="single" w:color="auto"/>
        </w:rPr>
        <w:t>（单位名称）</w:t>
      </w:r>
      <w:r>
        <w:rPr>
          <w:rFonts w:ascii="仿宋" w:hAnsi="仿宋" w:eastAsia="仿宋" w:cs="仿宋"/>
          <w:spacing w:val="15"/>
          <w:sz w:val="20"/>
          <w:szCs w:val="20"/>
        </w:rPr>
        <w:t>的</w:t>
      </w:r>
      <w:r>
        <w:rPr>
          <w:rFonts w:ascii="仿宋" w:hAnsi="仿宋" w:eastAsia="仿宋" w:cs="仿宋"/>
          <w:spacing w:val="15"/>
          <w:sz w:val="20"/>
          <w:szCs w:val="20"/>
          <w:u w:val="single" w:color="auto"/>
        </w:rPr>
        <w:t>（项目名称）</w:t>
      </w:r>
      <w:r>
        <w:rPr>
          <w:rFonts w:ascii="仿宋" w:hAnsi="仿宋" w:eastAsia="仿宋" w:cs="仿宋"/>
          <w:spacing w:val="15"/>
          <w:sz w:val="20"/>
          <w:szCs w:val="20"/>
        </w:rPr>
        <w:t>采购活动</w:t>
      </w:r>
      <w:r>
        <w:rPr>
          <w:rFonts w:ascii="仿宋" w:hAnsi="仿宋" w:eastAsia="仿宋" w:cs="仿宋"/>
          <w:spacing w:val="-57"/>
          <w:sz w:val="20"/>
          <w:szCs w:val="20"/>
        </w:rPr>
        <w:t xml:space="preserve"> </w:t>
      </w:r>
      <w:r>
        <w:rPr>
          <w:rFonts w:ascii="仿宋" w:hAnsi="仿宋" w:eastAsia="仿宋" w:cs="仿宋"/>
          <w:spacing w:val="15"/>
          <w:sz w:val="20"/>
          <w:szCs w:val="20"/>
        </w:rPr>
        <w:t>，工程的施工单位全部为符合</w:t>
      </w:r>
      <w:r>
        <w:rPr>
          <w:rFonts w:ascii="仿宋" w:hAnsi="仿宋" w:eastAsia="仿宋" w:cs="仿宋"/>
          <w:sz w:val="20"/>
          <w:szCs w:val="20"/>
        </w:rPr>
        <w:t xml:space="preserve"> </w:t>
      </w:r>
      <w:r>
        <w:rPr>
          <w:rFonts w:ascii="仿宋" w:hAnsi="仿宋" w:eastAsia="仿宋" w:cs="仿宋"/>
          <w:spacing w:val="18"/>
          <w:sz w:val="20"/>
          <w:szCs w:val="20"/>
        </w:rPr>
        <w:t>政策要求的中小企业（或者：服务全部由符合政策要求的中小企业承接）。相关企业（含联合体中的</w:t>
      </w:r>
      <w:r>
        <w:rPr>
          <w:rFonts w:ascii="仿宋" w:hAnsi="仿宋" w:eastAsia="仿宋" w:cs="仿宋"/>
          <w:spacing w:val="15"/>
          <w:sz w:val="20"/>
          <w:szCs w:val="20"/>
        </w:rPr>
        <w:t>中小企业</w:t>
      </w:r>
      <w:r>
        <w:rPr>
          <w:rFonts w:ascii="仿宋" w:hAnsi="仿宋" w:eastAsia="仿宋" w:cs="仿宋"/>
          <w:spacing w:val="-51"/>
          <w:sz w:val="20"/>
          <w:szCs w:val="20"/>
        </w:rPr>
        <w:t xml:space="preserve"> </w:t>
      </w:r>
      <w:r>
        <w:rPr>
          <w:rFonts w:ascii="仿宋" w:hAnsi="仿宋" w:eastAsia="仿宋" w:cs="仿宋"/>
          <w:spacing w:val="15"/>
          <w:sz w:val="20"/>
          <w:szCs w:val="20"/>
        </w:rPr>
        <w:t>、签订分包意向协议的中小企业）的具体情况如下：</w:t>
      </w:r>
    </w:p>
    <w:p w14:paraId="530599BC">
      <w:pPr>
        <w:spacing w:before="65" w:line="543" w:lineRule="auto"/>
        <w:ind w:right="47"/>
        <w:jc w:val="left"/>
        <w:rPr>
          <w:rFonts w:ascii="仿宋" w:hAnsi="仿宋" w:eastAsia="仿宋" w:cs="仿宋"/>
          <w:sz w:val="20"/>
          <w:szCs w:val="20"/>
        </w:rPr>
      </w:pPr>
      <w:r>
        <w:rPr>
          <w:rFonts w:ascii="仿宋" w:hAnsi="仿宋" w:eastAsia="仿宋" w:cs="仿宋"/>
          <w:spacing w:val="17"/>
          <w:sz w:val="20"/>
          <w:szCs w:val="20"/>
        </w:rPr>
        <w:t>1.</w:t>
      </w:r>
      <w:r>
        <w:rPr>
          <w:rFonts w:ascii="仿宋" w:hAnsi="仿宋" w:eastAsia="仿宋" w:cs="仿宋"/>
          <w:spacing w:val="17"/>
          <w:sz w:val="20"/>
          <w:szCs w:val="20"/>
          <w:u w:val="single" w:color="auto"/>
        </w:rPr>
        <w:t>（标的名称</w:t>
      </w:r>
      <w:r>
        <w:rPr>
          <w:rFonts w:ascii="仿宋" w:hAnsi="仿宋" w:eastAsia="仿宋" w:cs="仿宋"/>
          <w:spacing w:val="3"/>
          <w:sz w:val="20"/>
          <w:szCs w:val="20"/>
          <w:u w:val="single" w:color="auto"/>
        </w:rPr>
        <w:t>）</w:t>
      </w:r>
      <w:r>
        <w:rPr>
          <w:rFonts w:ascii="仿宋" w:hAnsi="仿宋" w:eastAsia="仿宋" w:cs="仿宋"/>
          <w:spacing w:val="3"/>
          <w:sz w:val="20"/>
          <w:szCs w:val="20"/>
        </w:rPr>
        <w:t>，</w:t>
      </w:r>
      <w:r>
        <w:rPr>
          <w:rFonts w:ascii="仿宋" w:hAnsi="仿宋" w:eastAsia="仿宋" w:cs="仿宋"/>
          <w:spacing w:val="17"/>
          <w:sz w:val="20"/>
          <w:szCs w:val="20"/>
        </w:rPr>
        <w:t>属于</w:t>
      </w:r>
      <w:r>
        <w:rPr>
          <w:rFonts w:ascii="仿宋" w:hAnsi="仿宋" w:eastAsia="仿宋" w:cs="仿宋"/>
          <w:spacing w:val="17"/>
          <w:sz w:val="20"/>
          <w:szCs w:val="20"/>
          <w:u w:val="single" w:color="auto"/>
        </w:rPr>
        <w:t>（采购文件中明确的所属行业</w:t>
      </w:r>
      <w:r>
        <w:rPr>
          <w:rFonts w:ascii="仿宋" w:hAnsi="仿宋" w:eastAsia="仿宋" w:cs="仿宋"/>
          <w:spacing w:val="3"/>
          <w:sz w:val="20"/>
          <w:szCs w:val="20"/>
          <w:u w:val="single" w:color="auto"/>
        </w:rPr>
        <w:t>）</w:t>
      </w:r>
      <w:r>
        <w:rPr>
          <w:rFonts w:ascii="仿宋" w:hAnsi="仿宋" w:eastAsia="仿宋" w:cs="仿宋"/>
          <w:spacing w:val="-39"/>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7"/>
          <w:sz w:val="20"/>
          <w:szCs w:val="20"/>
        </w:rPr>
        <w:t>承建（</w:t>
      </w:r>
      <w:r>
        <w:rPr>
          <w:rFonts w:ascii="仿宋" w:hAnsi="仿宋" w:eastAsia="仿宋" w:cs="仿宋"/>
          <w:spacing w:val="16"/>
          <w:sz w:val="20"/>
          <w:szCs w:val="20"/>
        </w:rPr>
        <w:t>承接）</w:t>
      </w:r>
      <w:r>
        <w:rPr>
          <w:rFonts w:ascii="仿宋" w:hAnsi="仿宋" w:eastAsia="仿宋" w:cs="仿宋"/>
          <w:spacing w:val="-50"/>
          <w:sz w:val="20"/>
          <w:szCs w:val="20"/>
        </w:rPr>
        <w:t xml:space="preserve"> </w:t>
      </w:r>
      <w:r>
        <w:rPr>
          <w:rFonts w:ascii="仿宋" w:hAnsi="仿宋" w:eastAsia="仿宋" w:cs="仿宋"/>
          <w:spacing w:val="16"/>
          <w:sz w:val="20"/>
          <w:szCs w:val="20"/>
        </w:rPr>
        <w:t>企业为</w:t>
      </w:r>
      <w:r>
        <w:rPr>
          <w:rFonts w:ascii="仿宋" w:hAnsi="仿宋" w:eastAsia="仿宋" w:cs="仿宋"/>
          <w:spacing w:val="16"/>
          <w:sz w:val="20"/>
          <w:szCs w:val="20"/>
          <w:u w:val="single" w:color="auto"/>
        </w:rPr>
        <w:t>（企业名称</w:t>
      </w:r>
      <w:r>
        <w:rPr>
          <w:rFonts w:ascii="仿宋" w:hAnsi="仿宋" w:eastAsia="仿宋" w:cs="仿宋"/>
          <w:spacing w:val="3"/>
          <w:sz w:val="20"/>
          <w:szCs w:val="20"/>
          <w:u w:val="single" w:color="auto"/>
        </w:rPr>
        <w:t>）</w:t>
      </w:r>
      <w:r>
        <w:rPr>
          <w:rFonts w:ascii="仿宋" w:hAnsi="仿宋" w:eastAsia="仿宋" w:cs="仿宋"/>
          <w:spacing w:val="3"/>
          <w:sz w:val="20"/>
          <w:szCs w:val="20"/>
        </w:rPr>
        <w:t>，</w:t>
      </w:r>
      <w:r>
        <w:rPr>
          <w:rFonts w:ascii="仿宋" w:hAnsi="仿宋" w:eastAsia="仿宋" w:cs="仿宋"/>
          <w:spacing w:val="16"/>
          <w:sz w:val="20"/>
          <w:szCs w:val="20"/>
        </w:rPr>
        <w:t>从</w:t>
      </w:r>
      <w:r>
        <w:rPr>
          <w:rFonts w:ascii="仿宋" w:hAnsi="仿宋" w:eastAsia="仿宋" w:cs="仿宋"/>
          <w:spacing w:val="11"/>
          <w:sz w:val="20"/>
          <w:szCs w:val="20"/>
        </w:rPr>
        <w:t>业人员</w:t>
      </w:r>
      <w:r>
        <w:rPr>
          <w:rFonts w:ascii="仿宋" w:hAnsi="仿宋" w:eastAsia="仿宋" w:cs="仿宋"/>
          <w:spacing w:val="-88"/>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11"/>
          <w:sz w:val="20"/>
          <w:szCs w:val="20"/>
        </w:rPr>
        <w:t>人</w:t>
      </w:r>
      <w:r>
        <w:rPr>
          <w:rFonts w:ascii="仿宋" w:hAnsi="仿宋" w:eastAsia="仿宋" w:cs="仿宋"/>
          <w:spacing w:val="-60"/>
          <w:sz w:val="20"/>
          <w:szCs w:val="20"/>
        </w:rPr>
        <w:t xml:space="preserve"> </w:t>
      </w:r>
      <w:r>
        <w:rPr>
          <w:rFonts w:ascii="仿宋" w:hAnsi="仿宋" w:eastAsia="仿宋" w:cs="仿宋"/>
          <w:spacing w:val="11"/>
          <w:sz w:val="20"/>
          <w:szCs w:val="20"/>
        </w:rPr>
        <w:t>，</w:t>
      </w:r>
      <w:r>
        <w:rPr>
          <w:rFonts w:ascii="仿宋" w:hAnsi="仿宋" w:eastAsia="仿宋" w:cs="仿宋"/>
          <w:spacing w:val="-60"/>
          <w:sz w:val="20"/>
          <w:szCs w:val="20"/>
        </w:rPr>
        <w:t xml:space="preserve"> </w:t>
      </w:r>
      <w:r>
        <w:rPr>
          <w:rFonts w:ascii="仿宋" w:hAnsi="仿宋" w:eastAsia="仿宋" w:cs="仿宋"/>
          <w:spacing w:val="11"/>
          <w:sz w:val="20"/>
          <w:szCs w:val="20"/>
        </w:rPr>
        <w:t>营业收入为</w:t>
      </w:r>
      <w:r>
        <w:rPr>
          <w:rFonts w:ascii="仿宋" w:hAnsi="仿宋" w:eastAsia="仿宋" w:cs="仿宋"/>
          <w:spacing w:val="-88"/>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58"/>
          <w:sz w:val="20"/>
          <w:szCs w:val="20"/>
        </w:rPr>
        <w:t xml:space="preserve"> </w:t>
      </w:r>
      <w:r>
        <w:rPr>
          <w:rFonts w:ascii="仿宋" w:hAnsi="仿宋" w:eastAsia="仿宋" w:cs="仿宋"/>
          <w:spacing w:val="11"/>
          <w:sz w:val="20"/>
          <w:szCs w:val="20"/>
        </w:rPr>
        <w:t>资产总额为</w:t>
      </w:r>
      <w:r>
        <w:rPr>
          <w:rFonts w:ascii="仿宋" w:hAnsi="仿宋" w:eastAsia="仿宋" w:cs="仿宋"/>
          <w:spacing w:val="-86"/>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，属于（中型企业</w:t>
      </w:r>
      <w:r>
        <w:rPr>
          <w:rFonts w:ascii="仿宋" w:hAnsi="仿宋" w:eastAsia="仿宋" w:cs="仿宋"/>
          <w:spacing w:val="-57"/>
          <w:sz w:val="20"/>
          <w:szCs w:val="20"/>
        </w:rPr>
        <w:t xml:space="preserve"> </w:t>
      </w:r>
      <w:r>
        <w:rPr>
          <w:rFonts w:ascii="仿宋" w:hAnsi="仿宋" w:eastAsia="仿宋" w:cs="仿宋"/>
          <w:spacing w:val="11"/>
          <w:sz w:val="20"/>
          <w:szCs w:val="20"/>
        </w:rPr>
        <w:t>、小型企业</w:t>
      </w:r>
      <w:r>
        <w:rPr>
          <w:rFonts w:ascii="仿宋" w:hAnsi="仿宋" w:eastAsia="仿宋" w:cs="仿宋"/>
          <w:spacing w:val="-59"/>
          <w:sz w:val="20"/>
          <w:szCs w:val="20"/>
        </w:rPr>
        <w:t xml:space="preserve"> </w:t>
      </w:r>
      <w:r>
        <w:rPr>
          <w:rFonts w:ascii="仿宋" w:hAnsi="仿宋" w:eastAsia="仿宋" w:cs="仿宋"/>
          <w:spacing w:val="11"/>
          <w:sz w:val="20"/>
          <w:szCs w:val="20"/>
        </w:rPr>
        <w:t>、微型企业</w:t>
      </w:r>
      <w:r>
        <w:rPr>
          <w:rFonts w:ascii="仿宋" w:hAnsi="仿宋" w:eastAsia="仿宋" w:cs="仿宋"/>
          <w:spacing w:val="21"/>
          <w:sz w:val="20"/>
          <w:szCs w:val="20"/>
        </w:rPr>
        <w:t>）；</w:t>
      </w:r>
    </w:p>
    <w:p w14:paraId="4122B634">
      <w:pPr>
        <w:spacing w:before="65" w:line="543" w:lineRule="auto"/>
        <w:ind w:right="61"/>
        <w:jc w:val="left"/>
        <w:rPr>
          <w:rFonts w:ascii="仿宋" w:hAnsi="仿宋" w:eastAsia="仿宋" w:cs="仿宋"/>
          <w:sz w:val="20"/>
          <w:szCs w:val="20"/>
        </w:rPr>
      </w:pPr>
      <w:r>
        <w:rPr>
          <w:rFonts w:ascii="仿宋" w:hAnsi="仿宋" w:eastAsia="仿宋" w:cs="仿宋"/>
          <w:spacing w:val="20"/>
          <w:sz w:val="20"/>
          <w:szCs w:val="20"/>
        </w:rPr>
        <w:t xml:space="preserve">2. </w:t>
      </w:r>
      <w:r>
        <w:rPr>
          <w:rFonts w:ascii="仿宋" w:hAnsi="仿宋" w:eastAsia="仿宋" w:cs="仿宋"/>
          <w:spacing w:val="20"/>
          <w:sz w:val="20"/>
          <w:szCs w:val="20"/>
          <w:u w:val="single" w:color="auto"/>
        </w:rPr>
        <w:t>（标的名称</w:t>
      </w:r>
      <w:r>
        <w:rPr>
          <w:rFonts w:ascii="仿宋" w:hAnsi="仿宋" w:eastAsia="仿宋" w:cs="仿宋"/>
          <w:spacing w:val="9"/>
          <w:sz w:val="20"/>
          <w:szCs w:val="20"/>
          <w:u w:val="single" w:color="auto"/>
        </w:rPr>
        <w:t>）</w:t>
      </w:r>
      <w:r>
        <w:rPr>
          <w:rFonts w:ascii="仿宋" w:hAnsi="仿宋" w:eastAsia="仿宋" w:cs="仿宋"/>
          <w:spacing w:val="9"/>
          <w:sz w:val="20"/>
          <w:szCs w:val="20"/>
        </w:rPr>
        <w:t>，</w:t>
      </w:r>
      <w:r>
        <w:rPr>
          <w:rFonts w:ascii="仿宋" w:hAnsi="仿宋" w:eastAsia="仿宋" w:cs="仿宋"/>
          <w:spacing w:val="20"/>
          <w:sz w:val="20"/>
          <w:szCs w:val="20"/>
        </w:rPr>
        <w:t>属于</w:t>
      </w:r>
      <w:r>
        <w:rPr>
          <w:rFonts w:ascii="仿宋" w:hAnsi="仿宋" w:eastAsia="仿宋" w:cs="仿宋"/>
          <w:spacing w:val="20"/>
          <w:sz w:val="20"/>
          <w:szCs w:val="20"/>
          <w:u w:val="single" w:color="auto"/>
        </w:rPr>
        <w:t>（采购文件中明确的所属行业</w:t>
      </w:r>
      <w:r>
        <w:rPr>
          <w:rFonts w:ascii="仿宋" w:hAnsi="仿宋" w:eastAsia="仿宋" w:cs="仿宋"/>
          <w:spacing w:val="9"/>
          <w:sz w:val="20"/>
          <w:szCs w:val="20"/>
        </w:rPr>
        <w:t>）；</w:t>
      </w:r>
      <w:r>
        <w:rPr>
          <w:rFonts w:ascii="仿宋" w:hAnsi="仿宋" w:eastAsia="仿宋" w:cs="仿宋"/>
          <w:spacing w:val="20"/>
          <w:sz w:val="20"/>
          <w:szCs w:val="20"/>
        </w:rPr>
        <w:t>承建（承接）</w:t>
      </w:r>
      <w:r>
        <w:rPr>
          <w:rFonts w:ascii="仿宋" w:hAnsi="仿宋" w:eastAsia="仿宋" w:cs="仿宋"/>
          <w:spacing w:val="19"/>
          <w:sz w:val="20"/>
          <w:szCs w:val="20"/>
        </w:rPr>
        <w:t>企业为</w:t>
      </w:r>
      <w:r>
        <w:rPr>
          <w:rFonts w:ascii="仿宋" w:hAnsi="仿宋" w:eastAsia="仿宋" w:cs="仿宋"/>
          <w:spacing w:val="19"/>
          <w:sz w:val="20"/>
          <w:szCs w:val="20"/>
          <w:u w:val="single" w:color="auto"/>
        </w:rPr>
        <w:t>（企业名称</w:t>
      </w:r>
      <w:r>
        <w:rPr>
          <w:rFonts w:ascii="仿宋" w:hAnsi="仿宋" w:eastAsia="仿宋" w:cs="仿宋"/>
          <w:spacing w:val="9"/>
          <w:sz w:val="20"/>
          <w:szCs w:val="20"/>
          <w:u w:val="single" w:color="auto"/>
        </w:rPr>
        <w:t>）</w:t>
      </w:r>
      <w:r>
        <w:rPr>
          <w:rFonts w:ascii="仿宋" w:hAnsi="仿宋" w:eastAsia="仿宋" w:cs="仿宋"/>
          <w:spacing w:val="9"/>
          <w:sz w:val="20"/>
          <w:szCs w:val="20"/>
        </w:rPr>
        <w:t>，</w:t>
      </w:r>
      <w:r>
        <w:rPr>
          <w:rFonts w:ascii="仿宋" w:hAnsi="仿宋" w:eastAsia="仿宋" w:cs="仿宋"/>
          <w:spacing w:val="11"/>
          <w:sz w:val="20"/>
          <w:szCs w:val="20"/>
        </w:rPr>
        <w:t>从业人员</w:t>
      </w:r>
      <w:r>
        <w:rPr>
          <w:rFonts w:ascii="仿宋" w:hAnsi="仿宋" w:eastAsia="仿宋" w:cs="仿宋"/>
          <w:spacing w:val="-85"/>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11"/>
          <w:sz w:val="20"/>
          <w:szCs w:val="20"/>
        </w:rPr>
        <w:t>人</w:t>
      </w:r>
      <w:r>
        <w:rPr>
          <w:rFonts w:ascii="仿宋" w:hAnsi="仿宋" w:eastAsia="仿宋" w:cs="仿宋"/>
          <w:spacing w:val="-59"/>
          <w:sz w:val="20"/>
          <w:szCs w:val="20"/>
        </w:rPr>
        <w:t xml:space="preserve"> </w:t>
      </w:r>
      <w:r>
        <w:rPr>
          <w:rFonts w:ascii="仿宋" w:hAnsi="仿宋" w:eastAsia="仿宋" w:cs="仿宋"/>
          <w:spacing w:val="11"/>
          <w:sz w:val="20"/>
          <w:szCs w:val="20"/>
        </w:rPr>
        <w:t>，</w:t>
      </w:r>
      <w:r>
        <w:rPr>
          <w:rFonts w:ascii="仿宋" w:hAnsi="仿宋" w:eastAsia="仿宋" w:cs="仿宋"/>
          <w:spacing w:val="-60"/>
          <w:sz w:val="20"/>
          <w:szCs w:val="20"/>
        </w:rPr>
        <w:t xml:space="preserve"> </w:t>
      </w:r>
      <w:r>
        <w:rPr>
          <w:rFonts w:ascii="仿宋" w:hAnsi="仿宋" w:eastAsia="仿宋" w:cs="仿宋"/>
          <w:spacing w:val="11"/>
          <w:sz w:val="20"/>
          <w:szCs w:val="20"/>
        </w:rPr>
        <w:t>营业收入为</w:t>
      </w:r>
      <w:r>
        <w:rPr>
          <w:rFonts w:ascii="仿宋" w:hAnsi="仿宋" w:eastAsia="仿宋" w:cs="仿宋"/>
          <w:spacing w:val="-87"/>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57"/>
          <w:sz w:val="20"/>
          <w:szCs w:val="20"/>
        </w:rPr>
        <w:t xml:space="preserve"> </w:t>
      </w:r>
      <w:r>
        <w:rPr>
          <w:rFonts w:ascii="仿宋" w:hAnsi="仿宋" w:eastAsia="仿宋" w:cs="仿宋"/>
          <w:spacing w:val="11"/>
          <w:sz w:val="20"/>
          <w:szCs w:val="20"/>
        </w:rPr>
        <w:t>资产总额为</w:t>
      </w:r>
      <w:r>
        <w:rPr>
          <w:rFonts w:ascii="仿宋" w:hAnsi="仿宋" w:eastAsia="仿宋" w:cs="仿宋"/>
          <w:spacing w:val="-86"/>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8"/>
          <w:sz w:val="20"/>
          <w:szCs w:val="20"/>
        </w:rPr>
        <w:t xml:space="preserve"> </w:t>
      </w:r>
      <w:r>
        <w:rPr>
          <w:rFonts w:ascii="仿宋" w:hAnsi="仿宋" w:eastAsia="仿宋" w:cs="仿宋"/>
          <w:spacing w:val="11"/>
          <w:sz w:val="20"/>
          <w:szCs w:val="20"/>
        </w:rPr>
        <w:t>，属于（中型企业、小型企业</w:t>
      </w:r>
      <w:r>
        <w:rPr>
          <w:rFonts w:ascii="仿宋" w:hAnsi="仿宋" w:eastAsia="仿宋" w:cs="仿宋"/>
          <w:spacing w:val="-59"/>
          <w:sz w:val="20"/>
          <w:szCs w:val="20"/>
        </w:rPr>
        <w:t xml:space="preserve"> </w:t>
      </w:r>
      <w:r>
        <w:rPr>
          <w:rFonts w:ascii="仿宋" w:hAnsi="仿宋" w:eastAsia="仿宋" w:cs="仿宋"/>
          <w:spacing w:val="11"/>
          <w:sz w:val="20"/>
          <w:szCs w:val="20"/>
        </w:rPr>
        <w:t>、微型企业</w:t>
      </w:r>
      <w:r>
        <w:rPr>
          <w:rFonts w:ascii="仿宋" w:hAnsi="仿宋" w:eastAsia="仿宋" w:cs="仿宋"/>
          <w:spacing w:val="26"/>
          <w:sz w:val="20"/>
          <w:szCs w:val="20"/>
        </w:rPr>
        <w:t>）；</w:t>
      </w:r>
    </w:p>
    <w:p w14:paraId="2FE75368">
      <w:pPr>
        <w:spacing w:before="65" w:line="328" w:lineRule="exact"/>
        <w:ind w:left="466"/>
        <w:rPr>
          <w:rFonts w:ascii="仿宋" w:hAnsi="仿宋" w:eastAsia="仿宋" w:cs="仿宋"/>
          <w:sz w:val="20"/>
          <w:szCs w:val="20"/>
        </w:rPr>
      </w:pPr>
      <w:r>
        <w:rPr>
          <w:rFonts w:ascii="仿宋" w:hAnsi="仿宋" w:eastAsia="仿宋" w:cs="仿宋"/>
          <w:spacing w:val="3"/>
          <w:position w:val="3"/>
          <w:sz w:val="20"/>
          <w:szCs w:val="20"/>
        </w:rPr>
        <w:t>……</w:t>
      </w:r>
    </w:p>
    <w:p w14:paraId="369B8A91">
      <w:pPr>
        <w:spacing w:before="260" w:line="588" w:lineRule="exact"/>
        <w:ind w:right="53"/>
        <w:jc w:val="left"/>
        <w:rPr>
          <w:rFonts w:ascii="仿宋" w:hAnsi="仿宋" w:eastAsia="仿宋" w:cs="仿宋"/>
          <w:spacing w:val="17"/>
          <w:position w:val="29"/>
          <w:sz w:val="20"/>
          <w:szCs w:val="20"/>
        </w:rPr>
      </w:pPr>
      <w:r>
        <w:rPr>
          <w:rFonts w:ascii="仿宋" w:hAnsi="仿宋" w:eastAsia="仿宋" w:cs="仿宋"/>
          <w:spacing w:val="17"/>
          <w:position w:val="29"/>
          <w:sz w:val="20"/>
          <w:szCs w:val="20"/>
        </w:rPr>
        <w:t>以上企业，不属于大企业的分支机构 ，不存在控股股东为大企业的情形，也不存在与大企业的负责人为同一人的情形。</w:t>
      </w:r>
    </w:p>
    <w:p w14:paraId="33064858">
      <w:pPr>
        <w:spacing w:before="66" w:line="229" w:lineRule="auto"/>
        <w:ind w:left="459"/>
        <w:rPr>
          <w:rFonts w:ascii="仿宋" w:hAnsi="仿宋" w:eastAsia="仿宋" w:cs="仿宋"/>
          <w:sz w:val="20"/>
          <w:szCs w:val="20"/>
        </w:rPr>
      </w:pPr>
      <w:r>
        <w:rPr>
          <w:rFonts w:ascii="仿宋" w:hAnsi="仿宋" w:eastAsia="仿宋" w:cs="仿宋"/>
          <w:spacing w:val="18"/>
          <w:sz w:val="20"/>
          <w:szCs w:val="20"/>
        </w:rPr>
        <w:t>本企业对上述声明内容的真实性负责。如有虚假，将依法</w:t>
      </w:r>
      <w:r>
        <w:rPr>
          <w:rFonts w:ascii="仿宋" w:hAnsi="仿宋" w:eastAsia="仿宋" w:cs="仿宋"/>
          <w:spacing w:val="17"/>
          <w:sz w:val="20"/>
          <w:szCs w:val="20"/>
        </w:rPr>
        <w:t>承担相应责任。</w:t>
      </w:r>
    </w:p>
    <w:p w14:paraId="3C2C19DA">
      <w:pPr>
        <w:pStyle w:val="4"/>
        <w:spacing w:line="327" w:lineRule="auto"/>
      </w:pPr>
    </w:p>
    <w:p w14:paraId="06F03B37">
      <w:pPr>
        <w:pStyle w:val="4"/>
        <w:spacing w:line="328" w:lineRule="auto"/>
      </w:pPr>
    </w:p>
    <w:p w14:paraId="60921A98">
      <w:pPr>
        <w:spacing w:before="66" w:line="226" w:lineRule="auto"/>
        <w:ind w:left="3178"/>
        <w:rPr>
          <w:rFonts w:ascii="仿宋" w:hAnsi="仿宋" w:eastAsia="仿宋" w:cs="仿宋"/>
          <w:sz w:val="20"/>
          <w:szCs w:val="20"/>
        </w:rPr>
      </w:pPr>
      <w:r>
        <w:rPr>
          <w:rFonts w:ascii="仿宋" w:hAnsi="仿宋" w:eastAsia="仿宋" w:cs="仿宋"/>
          <w:spacing w:val="7"/>
          <w:sz w:val="20"/>
          <w:szCs w:val="20"/>
        </w:rPr>
        <w:t>供应商名称（盖公章</w:t>
      </w:r>
      <w:r>
        <w:rPr>
          <w:rFonts w:ascii="仿宋" w:hAnsi="仿宋" w:eastAsia="仿宋" w:cs="仿宋"/>
          <w:spacing w:val="-6"/>
          <w:sz w:val="20"/>
          <w:szCs w:val="20"/>
        </w:rPr>
        <w:t>）</w:t>
      </w:r>
      <w:r>
        <w:rPr>
          <w:rFonts w:ascii="仿宋" w:hAnsi="仿宋" w:eastAsia="仿宋" w:cs="仿宋"/>
          <w:spacing w:val="-58"/>
          <w:sz w:val="20"/>
          <w:szCs w:val="20"/>
        </w:rPr>
        <w:t xml:space="preserve"> </w:t>
      </w:r>
      <w:r>
        <w:rPr>
          <w:rFonts w:ascii="仿宋" w:hAnsi="仿宋" w:eastAsia="仿宋" w:cs="仿宋"/>
          <w:spacing w:val="-6"/>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7"/>
          <w:sz w:val="20"/>
          <w:szCs w:val="20"/>
        </w:rPr>
        <w:t>_</w:t>
      </w:r>
    </w:p>
    <w:p w14:paraId="277DB63F">
      <w:pPr>
        <w:pStyle w:val="4"/>
        <w:spacing w:line="311" w:lineRule="auto"/>
      </w:pPr>
    </w:p>
    <w:p w14:paraId="44962BF0">
      <w:pPr>
        <w:spacing w:before="65" w:line="510" w:lineRule="auto"/>
        <w:ind w:firstLine="3210" w:firstLineChars="1500"/>
        <w:rPr>
          <w:rFonts w:ascii="仿宋" w:hAnsi="仿宋" w:eastAsia="仿宋" w:cs="仿宋"/>
          <w:sz w:val="20"/>
          <w:szCs w:val="20"/>
        </w:rPr>
      </w:pPr>
      <w:r>
        <w:rPr>
          <w:rFonts w:ascii="仿宋" w:hAnsi="仿宋" w:eastAsia="仿宋" w:cs="仿宋"/>
          <w:spacing w:val="7"/>
          <w:sz w:val="20"/>
          <w:szCs w:val="20"/>
        </w:rPr>
        <w:t>法定代表人或其授权委托人(签字</w:t>
      </w:r>
      <w:r>
        <w:rPr>
          <w:rFonts w:hint="eastAsia" w:ascii="仿宋" w:hAnsi="仿宋" w:eastAsia="仿宋" w:cs="仿宋"/>
          <w:spacing w:val="7"/>
          <w:sz w:val="20"/>
          <w:szCs w:val="20"/>
          <w:lang w:val="en-US" w:eastAsia="zh-Hans"/>
        </w:rPr>
        <w:t>或盖章</w:t>
      </w:r>
      <w:r>
        <w:rPr>
          <w:rFonts w:ascii="仿宋" w:hAnsi="仿宋" w:eastAsia="仿宋" w:cs="仿宋"/>
          <w:spacing w:val="7"/>
          <w:sz w:val="20"/>
          <w:szCs w:val="20"/>
        </w:rPr>
        <w:t>)：</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_</w:t>
      </w:r>
    </w:p>
    <w:p w14:paraId="62D5CA40">
      <w:pPr>
        <w:pageBreakBefore w:val="0"/>
        <w:tabs>
          <w:tab w:val="left" w:pos="4935"/>
        </w:tabs>
        <w:kinsoku/>
        <w:topLinePunct w:val="0"/>
        <w:bidi w:val="0"/>
        <w:spacing w:before="1" w:line="230" w:lineRule="auto"/>
        <w:ind w:left="3989" w:firstLine="184" w:firstLineChars="100"/>
        <w:rPr>
          <w:rFonts w:ascii="仿宋" w:hAnsi="仿宋" w:eastAsia="仿宋" w:cs="仿宋"/>
          <w:sz w:val="20"/>
          <w:szCs w:val="20"/>
        </w:rPr>
      </w:pPr>
      <w:r>
        <w:rPr>
          <w:rFonts w:ascii="仿宋" w:hAnsi="仿宋" w:eastAsia="仿宋" w:cs="仿宋"/>
          <w:spacing w:val="-8"/>
          <w:sz w:val="20"/>
          <w:szCs w:val="20"/>
        </w:rPr>
        <w:t>年</w:t>
      </w:r>
      <w:r>
        <w:rPr>
          <w:rFonts w:ascii="仿宋" w:hAnsi="仿宋" w:eastAsia="仿宋" w:cs="仿宋"/>
          <w:spacing w:val="5"/>
          <w:sz w:val="20"/>
          <w:szCs w:val="20"/>
          <w:u w:val="none" w:color="auto"/>
        </w:rPr>
        <w:t xml:space="preserve">   </w:t>
      </w:r>
      <w:r>
        <w:rPr>
          <w:rFonts w:ascii="仿宋" w:hAnsi="仿宋" w:eastAsia="仿宋" w:cs="仿宋"/>
          <w:spacing w:val="-75"/>
          <w:sz w:val="20"/>
          <w:szCs w:val="20"/>
          <w:u w:val="none" w:color="auto"/>
        </w:rPr>
        <w:t xml:space="preserve"> </w:t>
      </w:r>
      <w:r>
        <w:rPr>
          <w:rFonts w:ascii="仿宋" w:hAnsi="仿宋" w:eastAsia="仿宋" w:cs="仿宋"/>
          <w:spacing w:val="-8"/>
          <w:sz w:val="20"/>
          <w:szCs w:val="20"/>
        </w:rPr>
        <w:t>月</w:t>
      </w:r>
      <w:r>
        <w:rPr>
          <w:rFonts w:ascii="仿宋" w:hAnsi="仿宋" w:eastAsia="仿宋" w:cs="仿宋"/>
          <w:spacing w:val="4"/>
          <w:sz w:val="20"/>
          <w:szCs w:val="20"/>
          <w:u w:val="none" w:color="auto"/>
        </w:rPr>
        <w:t xml:space="preserve">   </w:t>
      </w:r>
      <w:r>
        <w:rPr>
          <w:rFonts w:ascii="仿宋" w:hAnsi="仿宋" w:eastAsia="仿宋" w:cs="仿宋"/>
          <w:spacing w:val="-40"/>
          <w:sz w:val="20"/>
          <w:szCs w:val="20"/>
        </w:rPr>
        <w:t xml:space="preserve"> </w:t>
      </w:r>
      <w:r>
        <w:rPr>
          <w:rFonts w:ascii="仿宋" w:hAnsi="仿宋" w:eastAsia="仿宋" w:cs="仿宋"/>
          <w:spacing w:val="-8"/>
          <w:sz w:val="20"/>
          <w:szCs w:val="20"/>
        </w:rPr>
        <w:t>日</w:t>
      </w:r>
    </w:p>
    <w:p w14:paraId="4ECBD159">
      <w:pPr>
        <w:pStyle w:val="4"/>
        <w:pageBreakBefore w:val="0"/>
        <w:kinsoku/>
        <w:topLinePunct w:val="0"/>
        <w:bidi w:val="0"/>
        <w:spacing w:line="257" w:lineRule="auto"/>
      </w:pPr>
    </w:p>
    <w:p w14:paraId="40E779AA">
      <w:pPr>
        <w:pStyle w:val="4"/>
        <w:pageBreakBefore w:val="0"/>
        <w:kinsoku/>
        <w:topLinePunct w:val="0"/>
        <w:bidi w:val="0"/>
        <w:spacing w:line="257" w:lineRule="auto"/>
      </w:pPr>
    </w:p>
    <w:p w14:paraId="1BB847D6">
      <w:pPr>
        <w:pStyle w:val="4"/>
        <w:pageBreakBefore w:val="0"/>
        <w:kinsoku/>
        <w:topLinePunct w:val="0"/>
        <w:bidi w:val="0"/>
        <w:spacing w:line="257" w:lineRule="auto"/>
      </w:pPr>
    </w:p>
    <w:p w14:paraId="6EDF672A">
      <w:pPr>
        <w:pStyle w:val="4"/>
        <w:pageBreakBefore w:val="0"/>
        <w:kinsoku/>
        <w:topLinePunct w:val="0"/>
        <w:bidi w:val="0"/>
        <w:spacing w:line="257" w:lineRule="auto"/>
      </w:pPr>
    </w:p>
    <w:p w14:paraId="30F42F6F">
      <w:pPr>
        <w:pStyle w:val="30"/>
        <w:pageBreakBefore w:val="0"/>
        <w:kinsoku/>
        <w:topLinePunct w:val="0"/>
        <w:bidi w:val="0"/>
      </w:pPr>
    </w:p>
    <w:p w14:paraId="41725D6F">
      <w:pPr>
        <w:pageBreakBefore w:val="0"/>
        <w:kinsoku/>
        <w:topLinePunct w:val="0"/>
        <w:bidi w:val="0"/>
        <w:rPr>
          <w:rFonts w:hint="eastAsia"/>
        </w:rPr>
      </w:pPr>
    </w:p>
    <w:p w14:paraId="3D22B651">
      <w:pPr>
        <w:pageBreakBefore w:val="0"/>
        <w:kinsoku/>
        <w:topLinePunct w:val="0"/>
        <w:bidi w:val="0"/>
        <w:spacing w:before="136" w:line="219" w:lineRule="auto"/>
        <w:ind w:left="2763"/>
        <w:rPr>
          <w:rFonts w:hint="eastAsia" w:ascii="仿宋" w:hAnsi="仿宋" w:eastAsia="仿宋" w:cs="仿宋"/>
          <w:sz w:val="24"/>
          <w:szCs w:val="24"/>
        </w:rPr>
      </w:pPr>
      <w:r>
        <w:rPr>
          <w:rFonts w:hint="eastAsia" w:ascii="仿宋" w:hAnsi="仿宋" w:eastAsia="仿宋" w:cs="仿宋"/>
          <w:spacing w:val="-2"/>
          <w:sz w:val="24"/>
          <w:szCs w:val="24"/>
        </w:rPr>
        <w:t>（二）残疾人福利性单位声明函</w:t>
      </w:r>
    </w:p>
    <w:p w14:paraId="250D8C58">
      <w:pPr>
        <w:pStyle w:val="4"/>
        <w:pageBreakBefore w:val="0"/>
        <w:kinsoku/>
        <w:topLinePunct w:val="0"/>
        <w:bidi w:val="0"/>
        <w:spacing w:line="245" w:lineRule="auto"/>
        <w:rPr>
          <w:rFonts w:hint="eastAsia" w:ascii="仿宋" w:hAnsi="仿宋" w:eastAsia="仿宋" w:cs="仿宋"/>
          <w:sz w:val="24"/>
          <w:szCs w:val="24"/>
        </w:rPr>
      </w:pPr>
    </w:p>
    <w:p w14:paraId="42DB717F">
      <w:pPr>
        <w:pStyle w:val="4"/>
        <w:pageBreakBefore w:val="0"/>
        <w:kinsoku/>
        <w:topLinePunct w:val="0"/>
        <w:bidi w:val="0"/>
        <w:spacing w:line="245" w:lineRule="auto"/>
        <w:rPr>
          <w:rFonts w:hint="eastAsia" w:ascii="仿宋" w:hAnsi="仿宋" w:eastAsia="仿宋" w:cs="仿宋"/>
          <w:sz w:val="24"/>
          <w:szCs w:val="24"/>
        </w:rPr>
      </w:pPr>
    </w:p>
    <w:p w14:paraId="041CD8C9">
      <w:pPr>
        <w:pageBreakBefore w:val="0"/>
        <w:kinsoku/>
        <w:topLinePunct w:val="0"/>
        <w:bidi w:val="0"/>
        <w:spacing w:before="65" w:line="543" w:lineRule="auto"/>
        <w:ind w:left="6" w:right="8" w:firstLine="445"/>
        <w:jc w:val="both"/>
        <w:rPr>
          <w:rFonts w:hint="eastAsia" w:ascii="仿宋" w:hAnsi="仿宋" w:eastAsia="仿宋" w:cs="仿宋"/>
          <w:sz w:val="24"/>
          <w:szCs w:val="24"/>
        </w:rPr>
      </w:pPr>
      <w:r>
        <w:rPr>
          <w:rFonts w:hint="eastAsia" w:ascii="仿宋" w:hAnsi="仿宋" w:eastAsia="仿宋" w:cs="仿宋"/>
          <w:spacing w:val="20"/>
          <w:sz w:val="24"/>
          <w:szCs w:val="24"/>
        </w:rPr>
        <w:t>本单位郑重声明，根据《财政部民政部中国残疾人联合会关于促进残疾人就业政府采购</w:t>
      </w:r>
      <w:r>
        <w:rPr>
          <w:rFonts w:hint="eastAsia" w:ascii="仿宋" w:hAnsi="仿宋" w:eastAsia="仿宋" w:cs="仿宋"/>
          <w:spacing w:val="18"/>
          <w:sz w:val="24"/>
          <w:szCs w:val="24"/>
        </w:rPr>
        <w:t xml:space="preserve"> </w:t>
      </w:r>
      <w:r>
        <w:rPr>
          <w:rFonts w:hint="eastAsia" w:ascii="仿宋" w:hAnsi="仿宋" w:eastAsia="仿宋" w:cs="仿宋"/>
          <w:spacing w:val="15"/>
          <w:sz w:val="24"/>
          <w:szCs w:val="24"/>
        </w:rPr>
        <w:t>政策的通知》</w:t>
      </w:r>
      <w:r>
        <w:rPr>
          <w:rFonts w:hint="eastAsia" w:ascii="仿宋" w:hAnsi="仿宋" w:eastAsia="仿宋" w:cs="仿宋"/>
          <w:spacing w:val="-65"/>
          <w:sz w:val="24"/>
          <w:szCs w:val="24"/>
        </w:rPr>
        <w:t xml:space="preserve"> </w:t>
      </w:r>
      <w:r>
        <w:rPr>
          <w:rFonts w:hint="eastAsia" w:ascii="仿宋" w:hAnsi="仿宋" w:eastAsia="仿宋" w:cs="仿宋"/>
          <w:spacing w:val="15"/>
          <w:sz w:val="24"/>
          <w:szCs w:val="24"/>
        </w:rPr>
        <w:t>（财库〔2017〕</w:t>
      </w:r>
      <w:r>
        <w:rPr>
          <w:rFonts w:hint="eastAsia" w:ascii="仿宋" w:hAnsi="仿宋" w:eastAsia="仿宋" w:cs="仿宋"/>
          <w:spacing w:val="37"/>
          <w:sz w:val="24"/>
          <w:szCs w:val="24"/>
        </w:rPr>
        <w:t xml:space="preserve"> </w:t>
      </w:r>
      <w:r>
        <w:rPr>
          <w:rFonts w:hint="eastAsia" w:ascii="仿宋" w:hAnsi="仿宋" w:eastAsia="仿宋" w:cs="仿宋"/>
          <w:spacing w:val="15"/>
          <w:sz w:val="24"/>
          <w:szCs w:val="24"/>
        </w:rPr>
        <w:t>141</w:t>
      </w:r>
      <w:r>
        <w:rPr>
          <w:rFonts w:hint="eastAsia" w:ascii="仿宋" w:hAnsi="仿宋" w:eastAsia="仿宋" w:cs="仿宋"/>
          <w:spacing w:val="-36"/>
          <w:sz w:val="24"/>
          <w:szCs w:val="24"/>
        </w:rPr>
        <w:t xml:space="preserve"> </w:t>
      </w:r>
      <w:r>
        <w:rPr>
          <w:rFonts w:hint="eastAsia" w:ascii="仿宋" w:hAnsi="仿宋" w:eastAsia="仿宋" w:cs="仿宋"/>
          <w:spacing w:val="15"/>
          <w:sz w:val="24"/>
          <w:szCs w:val="24"/>
        </w:rPr>
        <w:t>号）</w:t>
      </w:r>
      <w:r>
        <w:rPr>
          <w:rFonts w:hint="eastAsia" w:ascii="仿宋" w:hAnsi="仿宋" w:eastAsia="仿宋" w:cs="仿宋"/>
          <w:spacing w:val="-42"/>
          <w:sz w:val="24"/>
          <w:szCs w:val="24"/>
        </w:rPr>
        <w:t xml:space="preserve"> </w:t>
      </w:r>
      <w:r>
        <w:rPr>
          <w:rFonts w:hint="eastAsia" w:ascii="仿宋" w:hAnsi="仿宋" w:eastAsia="仿宋" w:cs="仿宋"/>
          <w:spacing w:val="15"/>
          <w:sz w:val="24"/>
          <w:szCs w:val="24"/>
        </w:rPr>
        <w:t>的规定，本单位</w:t>
      </w:r>
      <w:r>
        <w:rPr>
          <w:rFonts w:hint="eastAsia" w:ascii="仿宋" w:hAnsi="仿宋" w:eastAsia="仿宋" w:cs="仿宋"/>
          <w:spacing w:val="14"/>
          <w:sz w:val="24"/>
          <w:szCs w:val="24"/>
        </w:rPr>
        <w:t>为符合条件的残疾人福利性单位，且</w:t>
      </w:r>
      <w:r>
        <w:rPr>
          <w:rFonts w:hint="eastAsia" w:ascii="仿宋" w:hAnsi="仿宋" w:eastAsia="仿宋" w:cs="仿宋"/>
          <w:sz w:val="24"/>
          <w:szCs w:val="24"/>
        </w:rPr>
        <w:t xml:space="preserve"> </w:t>
      </w:r>
      <w:r>
        <w:rPr>
          <w:rFonts w:hint="eastAsia" w:ascii="仿宋" w:hAnsi="仿宋" w:eastAsia="仿宋" w:cs="仿宋"/>
          <w:spacing w:val="22"/>
          <w:sz w:val="24"/>
          <w:szCs w:val="24"/>
        </w:rPr>
        <w:t>本单位参加</w:t>
      </w:r>
      <w:r>
        <w:rPr>
          <w:rFonts w:hint="eastAsia" w:ascii="仿宋" w:hAnsi="仿宋" w:eastAsia="仿宋" w:cs="仿宋"/>
          <w:spacing w:val="-86"/>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单位的</w:t>
      </w:r>
      <w:r>
        <w:rPr>
          <w:rFonts w:hint="eastAsia" w:ascii="仿宋" w:hAnsi="仿宋" w:eastAsia="仿宋" w:cs="仿宋"/>
          <w:spacing w:val="-86"/>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项目采购活动提供本单位制造</w:t>
      </w:r>
      <w:r>
        <w:rPr>
          <w:rFonts w:hint="eastAsia" w:ascii="仿宋" w:hAnsi="仿宋" w:eastAsia="仿宋" w:cs="仿宋"/>
          <w:spacing w:val="21"/>
          <w:sz w:val="24"/>
          <w:szCs w:val="24"/>
        </w:rPr>
        <w:t>的货物（由本单位承担工程/</w:t>
      </w:r>
      <w:r>
        <w:rPr>
          <w:rFonts w:hint="eastAsia" w:ascii="仿宋" w:hAnsi="仿宋" w:eastAsia="仿宋" w:cs="仿宋"/>
          <w:sz w:val="24"/>
          <w:szCs w:val="24"/>
        </w:rPr>
        <w:t xml:space="preserve"> </w:t>
      </w:r>
      <w:r>
        <w:rPr>
          <w:rFonts w:hint="eastAsia" w:ascii="仿宋" w:hAnsi="仿宋" w:eastAsia="仿宋" w:cs="仿宋"/>
          <w:spacing w:val="20"/>
          <w:sz w:val="24"/>
          <w:szCs w:val="24"/>
        </w:rPr>
        <w:t>提供服务</w:t>
      </w:r>
      <w:r>
        <w:rPr>
          <w:rFonts w:hint="eastAsia" w:ascii="仿宋" w:hAnsi="仿宋" w:eastAsia="仿宋" w:cs="仿宋"/>
          <w:spacing w:val="6"/>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20"/>
          <w:sz w:val="24"/>
          <w:szCs w:val="24"/>
        </w:rPr>
        <w:t>或者提供其他残疾人福利性单位制造的货物（不包括使用非残疾人福利性单位</w:t>
      </w:r>
      <w:r>
        <w:rPr>
          <w:rFonts w:hint="eastAsia" w:ascii="仿宋" w:hAnsi="仿宋" w:eastAsia="仿宋" w:cs="仿宋"/>
          <w:spacing w:val="18"/>
          <w:sz w:val="24"/>
          <w:szCs w:val="24"/>
        </w:rPr>
        <w:t>注册商标的货物）。</w:t>
      </w:r>
    </w:p>
    <w:p w14:paraId="5E6136F9">
      <w:pPr>
        <w:pStyle w:val="4"/>
        <w:pageBreakBefore w:val="0"/>
        <w:kinsoku/>
        <w:topLinePunct w:val="0"/>
        <w:bidi w:val="0"/>
        <w:spacing w:line="275" w:lineRule="auto"/>
        <w:rPr>
          <w:rFonts w:hint="eastAsia" w:ascii="仿宋" w:hAnsi="仿宋" w:eastAsia="仿宋" w:cs="仿宋"/>
          <w:sz w:val="24"/>
          <w:szCs w:val="24"/>
        </w:rPr>
      </w:pPr>
    </w:p>
    <w:p w14:paraId="4E8E7F1D">
      <w:pPr>
        <w:pageBreakBefore w:val="0"/>
        <w:kinsoku/>
        <w:topLinePunct w:val="0"/>
        <w:bidi w:val="0"/>
        <w:spacing w:before="66" w:line="227" w:lineRule="auto"/>
        <w:ind w:left="452"/>
        <w:rPr>
          <w:rFonts w:hint="eastAsia" w:ascii="仿宋" w:hAnsi="仿宋" w:eastAsia="仿宋" w:cs="仿宋"/>
          <w:sz w:val="24"/>
          <w:szCs w:val="24"/>
        </w:rPr>
      </w:pPr>
      <w:r>
        <w:rPr>
          <w:rFonts w:hint="eastAsia" w:ascii="仿宋" w:hAnsi="仿宋" w:eastAsia="仿宋" w:cs="仿宋"/>
          <w:spacing w:val="19"/>
          <w:sz w:val="24"/>
          <w:szCs w:val="24"/>
        </w:rPr>
        <w:t>本单位对上述声明的真实性负责</w:t>
      </w:r>
      <w:r>
        <w:rPr>
          <w:rFonts w:hint="eastAsia" w:ascii="仿宋" w:hAnsi="仿宋" w:eastAsia="仿宋" w:cs="仿宋"/>
          <w:spacing w:val="-56"/>
          <w:sz w:val="24"/>
          <w:szCs w:val="24"/>
        </w:rPr>
        <w:t xml:space="preserve"> </w:t>
      </w:r>
      <w:r>
        <w:rPr>
          <w:rFonts w:hint="eastAsia" w:ascii="仿宋" w:hAnsi="仿宋" w:eastAsia="仿宋" w:cs="仿宋"/>
          <w:spacing w:val="19"/>
          <w:sz w:val="24"/>
          <w:szCs w:val="24"/>
        </w:rPr>
        <w:t>。如有虚假，将依法承担相应责任。</w:t>
      </w:r>
    </w:p>
    <w:p w14:paraId="3872586B">
      <w:pPr>
        <w:pStyle w:val="4"/>
        <w:pageBreakBefore w:val="0"/>
        <w:kinsoku/>
        <w:topLinePunct w:val="0"/>
        <w:bidi w:val="0"/>
        <w:spacing w:line="296" w:lineRule="auto"/>
        <w:rPr>
          <w:rFonts w:hint="eastAsia" w:ascii="仿宋" w:hAnsi="仿宋" w:eastAsia="仿宋" w:cs="仿宋"/>
          <w:sz w:val="24"/>
          <w:szCs w:val="24"/>
        </w:rPr>
      </w:pPr>
    </w:p>
    <w:p w14:paraId="6CCC7E79">
      <w:pPr>
        <w:pStyle w:val="4"/>
        <w:pageBreakBefore w:val="0"/>
        <w:kinsoku/>
        <w:topLinePunct w:val="0"/>
        <w:bidi w:val="0"/>
        <w:spacing w:line="296" w:lineRule="auto"/>
        <w:rPr>
          <w:rFonts w:hint="eastAsia" w:ascii="仿宋" w:hAnsi="仿宋" w:eastAsia="仿宋" w:cs="仿宋"/>
          <w:sz w:val="24"/>
          <w:szCs w:val="24"/>
        </w:rPr>
      </w:pPr>
    </w:p>
    <w:p w14:paraId="7F5CF849">
      <w:pPr>
        <w:pStyle w:val="4"/>
        <w:pageBreakBefore w:val="0"/>
        <w:kinsoku/>
        <w:topLinePunct w:val="0"/>
        <w:bidi w:val="0"/>
        <w:spacing w:line="297" w:lineRule="auto"/>
        <w:rPr>
          <w:rFonts w:hint="eastAsia" w:ascii="仿宋" w:hAnsi="仿宋" w:eastAsia="仿宋" w:cs="仿宋"/>
          <w:sz w:val="24"/>
          <w:szCs w:val="24"/>
        </w:rPr>
      </w:pPr>
    </w:p>
    <w:p w14:paraId="2C72CFDD">
      <w:pPr>
        <w:pStyle w:val="4"/>
        <w:pageBreakBefore w:val="0"/>
        <w:kinsoku/>
        <w:topLinePunct w:val="0"/>
        <w:bidi w:val="0"/>
        <w:spacing w:line="297" w:lineRule="auto"/>
        <w:rPr>
          <w:rFonts w:hint="eastAsia" w:ascii="仿宋" w:hAnsi="仿宋" w:eastAsia="仿宋" w:cs="仿宋"/>
          <w:sz w:val="24"/>
          <w:szCs w:val="24"/>
        </w:rPr>
      </w:pPr>
    </w:p>
    <w:p w14:paraId="2F402712">
      <w:pPr>
        <w:pageBreakBefore w:val="0"/>
        <w:kinsoku/>
        <w:topLinePunct w:val="0"/>
        <w:bidi w:val="0"/>
        <w:spacing w:before="65" w:line="221" w:lineRule="auto"/>
        <w:ind w:left="2611"/>
        <w:rPr>
          <w:rFonts w:hint="eastAsia" w:ascii="仿宋" w:hAnsi="仿宋" w:eastAsia="仿宋" w:cs="仿宋"/>
          <w:sz w:val="24"/>
          <w:szCs w:val="24"/>
        </w:rPr>
      </w:pPr>
      <w:r>
        <w:rPr>
          <w:rFonts w:hint="eastAsia" w:ascii="仿宋" w:hAnsi="仿宋" w:eastAsia="仿宋" w:cs="仿宋"/>
          <w:spacing w:val="19"/>
          <w:sz w:val="24"/>
          <w:szCs w:val="24"/>
        </w:rPr>
        <w:t>供应商名称（盖公章）：</w:t>
      </w:r>
      <w:r>
        <w:rPr>
          <w:rFonts w:hint="eastAsia" w:ascii="仿宋" w:hAnsi="仿宋" w:eastAsia="仿宋" w:cs="仿宋"/>
          <w:spacing w:val="1"/>
          <w:sz w:val="24"/>
          <w:szCs w:val="24"/>
          <w:u w:val="single" w:color="auto"/>
        </w:rPr>
        <w:t xml:space="preserve">                             </w:t>
      </w:r>
      <w:r>
        <w:rPr>
          <w:rFonts w:hint="eastAsia" w:ascii="仿宋" w:hAnsi="仿宋" w:eastAsia="仿宋" w:cs="仿宋"/>
          <w:spacing w:val="-87"/>
          <w:sz w:val="24"/>
          <w:szCs w:val="24"/>
        </w:rPr>
        <w:t xml:space="preserve"> </w:t>
      </w:r>
    </w:p>
    <w:p w14:paraId="4E0CF06F">
      <w:pPr>
        <w:pageBreakBefore w:val="0"/>
        <w:kinsoku/>
        <w:topLinePunct w:val="0"/>
        <w:bidi w:val="0"/>
        <w:spacing w:before="35" w:line="250" w:lineRule="auto"/>
        <w:ind w:left="2612"/>
        <w:rPr>
          <w:rFonts w:hint="eastAsia" w:ascii="仿宋" w:hAnsi="仿宋" w:eastAsia="仿宋" w:cs="仿宋"/>
          <w:sz w:val="24"/>
          <w:szCs w:val="24"/>
        </w:rPr>
      </w:pPr>
      <w:r>
        <w:rPr>
          <w:rFonts w:hint="eastAsia" w:ascii="仿宋" w:hAnsi="仿宋" w:eastAsia="仿宋" w:cs="仿宋"/>
          <w:spacing w:val="19"/>
          <w:sz w:val="24"/>
          <w:szCs w:val="24"/>
        </w:rPr>
        <w:t>法定代表人或其授权委托人(签字)：</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u w:val="single" w:color="auto"/>
          <w:lang w:val="en-US" w:eastAsia="zh-CN"/>
        </w:rPr>
        <w:t xml:space="preserve">            </w:t>
      </w:r>
      <w:r>
        <w:rPr>
          <w:rFonts w:hint="eastAsia" w:ascii="仿宋" w:hAnsi="仿宋" w:eastAsia="仿宋" w:cs="仿宋"/>
          <w:spacing w:val="7"/>
          <w:sz w:val="24"/>
          <w:szCs w:val="24"/>
          <w:u w:val="single" w:color="auto"/>
        </w:rPr>
        <w:t xml:space="preserve">    </w:t>
      </w:r>
    </w:p>
    <w:p w14:paraId="6AD0E562">
      <w:pPr>
        <w:pageBreakBefore w:val="0"/>
        <w:tabs>
          <w:tab w:val="left" w:pos="4665"/>
        </w:tabs>
        <w:kinsoku/>
        <w:topLinePunct w:val="0"/>
        <w:bidi w:val="0"/>
        <w:spacing w:before="1" w:line="227" w:lineRule="auto"/>
        <w:ind w:left="3720" w:firstLine="232" w:firstLineChars="400"/>
        <w:rPr>
          <w:rFonts w:hint="eastAsia" w:ascii="仿宋" w:hAnsi="仿宋" w:eastAsia="仿宋" w:cs="仿宋"/>
          <w:sz w:val="24"/>
          <w:szCs w:val="24"/>
        </w:rPr>
      </w:pPr>
      <w:r>
        <w:rPr>
          <w:rFonts w:hint="eastAsia" w:ascii="仿宋" w:hAnsi="仿宋" w:eastAsia="仿宋" w:cs="仿宋"/>
          <w:spacing w:val="-91"/>
          <w:sz w:val="24"/>
          <w:szCs w:val="24"/>
        </w:rPr>
        <w:t xml:space="preserve"> </w:t>
      </w:r>
      <w:r>
        <w:rPr>
          <w:rFonts w:hint="eastAsia" w:ascii="仿宋" w:hAnsi="仿宋" w:eastAsia="仿宋" w:cs="仿宋"/>
          <w:spacing w:val="19"/>
          <w:sz w:val="24"/>
          <w:szCs w:val="24"/>
        </w:rPr>
        <w:t>年</w:t>
      </w:r>
      <w:r>
        <w:rPr>
          <w:rFonts w:hint="eastAsia" w:ascii="仿宋" w:hAnsi="仿宋" w:eastAsia="仿宋" w:cs="仿宋"/>
          <w:spacing w:val="-98"/>
          <w:sz w:val="24"/>
          <w:szCs w:val="24"/>
        </w:rPr>
        <w:t xml:space="preserve"> </w:t>
      </w:r>
      <w:r>
        <w:rPr>
          <w:rFonts w:hint="eastAsia" w:ascii="仿宋" w:hAnsi="仿宋" w:eastAsia="仿宋" w:cs="仿宋"/>
          <w:spacing w:val="4"/>
          <w:sz w:val="24"/>
          <w:szCs w:val="24"/>
          <w:u w:val="none" w:color="auto"/>
          <w:lang w:val="en-US" w:eastAsia="zh-CN"/>
        </w:rPr>
        <w:t xml:space="preserve">  </w:t>
      </w:r>
      <w:r>
        <w:rPr>
          <w:rFonts w:hint="eastAsia" w:ascii="仿宋" w:hAnsi="仿宋" w:eastAsia="仿宋" w:cs="仿宋"/>
          <w:spacing w:val="-84"/>
          <w:sz w:val="24"/>
          <w:szCs w:val="24"/>
          <w:u w:val="none" w:color="auto"/>
        </w:rPr>
        <w:t xml:space="preserve"> </w:t>
      </w:r>
      <w:r>
        <w:rPr>
          <w:rFonts w:hint="eastAsia" w:ascii="仿宋" w:hAnsi="仿宋" w:eastAsia="仿宋" w:cs="仿宋"/>
          <w:spacing w:val="19"/>
          <w:sz w:val="24"/>
          <w:szCs w:val="24"/>
        </w:rPr>
        <w:t>月</w:t>
      </w:r>
      <w:r>
        <w:rPr>
          <w:rFonts w:hint="eastAsia" w:ascii="仿宋" w:hAnsi="仿宋" w:eastAsia="仿宋" w:cs="仿宋"/>
          <w:spacing w:val="-99"/>
          <w:sz w:val="24"/>
          <w:szCs w:val="24"/>
        </w:rPr>
        <w:t xml:space="preserve"> </w:t>
      </w:r>
      <w:r>
        <w:rPr>
          <w:rFonts w:hint="eastAsia" w:ascii="仿宋" w:hAnsi="仿宋" w:eastAsia="仿宋" w:cs="仿宋"/>
          <w:spacing w:val="5"/>
          <w:sz w:val="24"/>
          <w:szCs w:val="24"/>
          <w:u w:val="non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19"/>
          <w:sz w:val="24"/>
          <w:szCs w:val="24"/>
        </w:rPr>
        <w:t>日</w:t>
      </w:r>
    </w:p>
    <w:p w14:paraId="648F5C7D">
      <w:pPr>
        <w:pStyle w:val="4"/>
        <w:pageBreakBefore w:val="0"/>
        <w:kinsoku/>
        <w:topLinePunct w:val="0"/>
        <w:bidi w:val="0"/>
        <w:spacing w:line="262" w:lineRule="auto"/>
        <w:rPr>
          <w:rFonts w:hint="eastAsia" w:ascii="仿宋" w:hAnsi="仿宋" w:eastAsia="仿宋" w:cs="仿宋"/>
          <w:sz w:val="24"/>
          <w:szCs w:val="24"/>
        </w:rPr>
      </w:pPr>
    </w:p>
    <w:p w14:paraId="107C9F86">
      <w:pPr>
        <w:pStyle w:val="4"/>
        <w:pageBreakBefore w:val="0"/>
        <w:kinsoku/>
        <w:topLinePunct w:val="0"/>
        <w:bidi w:val="0"/>
        <w:spacing w:line="262" w:lineRule="auto"/>
        <w:rPr>
          <w:rFonts w:hint="eastAsia" w:ascii="仿宋" w:hAnsi="仿宋" w:eastAsia="仿宋" w:cs="仿宋"/>
          <w:sz w:val="24"/>
          <w:szCs w:val="24"/>
        </w:rPr>
      </w:pPr>
    </w:p>
    <w:p w14:paraId="4698713D">
      <w:pPr>
        <w:pStyle w:val="4"/>
        <w:pageBreakBefore w:val="0"/>
        <w:kinsoku/>
        <w:topLinePunct w:val="0"/>
        <w:bidi w:val="0"/>
        <w:spacing w:line="263" w:lineRule="auto"/>
        <w:rPr>
          <w:rFonts w:hint="eastAsia" w:ascii="仿宋" w:hAnsi="仿宋" w:eastAsia="仿宋" w:cs="仿宋"/>
          <w:sz w:val="24"/>
          <w:szCs w:val="24"/>
        </w:rPr>
      </w:pPr>
    </w:p>
    <w:p w14:paraId="58BEEDC5">
      <w:pPr>
        <w:pageBreakBefore w:val="0"/>
        <w:kinsoku/>
        <w:topLinePunct w:val="0"/>
        <w:bidi w:val="0"/>
        <w:spacing w:before="58" w:line="233" w:lineRule="auto"/>
        <w:ind w:left="6" w:firstLine="362"/>
        <w:jc w:val="both"/>
        <w:rPr>
          <w:rFonts w:hint="eastAsia" w:ascii="仿宋" w:hAnsi="仿宋" w:eastAsia="仿宋" w:cs="仿宋"/>
          <w:sz w:val="24"/>
          <w:szCs w:val="24"/>
        </w:rPr>
      </w:pPr>
      <w:r>
        <w:rPr>
          <w:rFonts w:hint="eastAsia" w:ascii="仿宋" w:hAnsi="仿宋" w:eastAsia="仿宋" w:cs="仿宋"/>
          <w:spacing w:val="-1"/>
          <w:sz w:val="24"/>
          <w:szCs w:val="24"/>
          <w14:textOutline w14:w="3268" w14:cap="sq" w14:cmpd="sng">
            <w14:solidFill>
              <w14:srgbClr w14:val="000000"/>
            </w14:solidFill>
            <w14:prstDash w14:val="solid"/>
            <w14:bevel/>
          </w14:textOutline>
        </w:rPr>
        <w:t>说明</w:t>
      </w:r>
      <w:r>
        <w:rPr>
          <w:rFonts w:hint="eastAsia" w:ascii="仿宋" w:hAnsi="仿宋" w:eastAsia="仿宋" w:cs="仿宋"/>
          <w:spacing w:val="-1"/>
          <w:sz w:val="24"/>
          <w:szCs w:val="24"/>
        </w:rPr>
        <w:t>：填写本声明函时应详细阅读《财政部</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民政部</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中国残疾人联合会关于促进残疾人就业政府采购政策的</w:t>
      </w:r>
      <w:r>
        <w:rPr>
          <w:rFonts w:hint="eastAsia" w:ascii="仿宋" w:hAnsi="仿宋" w:eastAsia="仿宋" w:cs="仿宋"/>
          <w:sz w:val="24"/>
          <w:szCs w:val="24"/>
        </w:rPr>
        <w:t xml:space="preserve"> </w:t>
      </w:r>
      <w:r>
        <w:rPr>
          <w:rFonts w:hint="eastAsia" w:ascii="仿宋" w:hAnsi="仿宋" w:eastAsia="仿宋" w:cs="仿宋"/>
          <w:spacing w:val="-1"/>
          <w:sz w:val="24"/>
          <w:szCs w:val="24"/>
        </w:rPr>
        <w:t>通知》（财库〔2017〕 141</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6"/>
          <w:sz w:val="24"/>
          <w:szCs w:val="24"/>
        </w:rPr>
        <w:t>），</w:t>
      </w:r>
      <w:r>
        <w:rPr>
          <w:rFonts w:hint="eastAsia" w:ascii="仿宋" w:hAnsi="仿宋" w:eastAsia="仿宋" w:cs="仿宋"/>
          <w:spacing w:val="-1"/>
          <w:sz w:val="24"/>
          <w:szCs w:val="24"/>
        </w:rPr>
        <w:t>供应商不满足此要求则无须提供，一旦提供将视为满足其要求，如有虚假，将</w:t>
      </w:r>
      <w:r>
        <w:rPr>
          <w:rFonts w:hint="eastAsia" w:ascii="仿宋" w:hAnsi="仿宋" w:eastAsia="仿宋" w:cs="仿宋"/>
          <w:sz w:val="24"/>
          <w:szCs w:val="24"/>
        </w:rPr>
        <w:t xml:space="preserve"> </w:t>
      </w:r>
      <w:r>
        <w:rPr>
          <w:rFonts w:hint="eastAsia" w:ascii="仿宋" w:hAnsi="仿宋" w:eastAsia="仿宋" w:cs="仿宋"/>
          <w:spacing w:val="-1"/>
          <w:sz w:val="24"/>
          <w:szCs w:val="24"/>
        </w:rPr>
        <w:t>依法承担相应责任。</w:t>
      </w:r>
    </w:p>
    <w:p w14:paraId="64EE98CA">
      <w:pPr>
        <w:pageBreakBefore w:val="0"/>
        <w:kinsoku/>
        <w:topLinePunct w:val="0"/>
        <w:bidi w:val="0"/>
        <w:spacing w:line="233" w:lineRule="auto"/>
        <w:rPr>
          <w:rFonts w:ascii="宋体" w:hAnsi="宋体" w:eastAsia="宋体" w:cs="宋体"/>
          <w:sz w:val="24"/>
          <w:szCs w:val="24"/>
        </w:rPr>
        <w:sectPr>
          <w:footerReference r:id="rId15" w:type="default"/>
          <w:pgSz w:w="11905" w:h="16838"/>
          <w:pgMar w:top="1440" w:right="1786" w:bottom="1440" w:left="1786" w:header="850" w:footer="850" w:gutter="0"/>
          <w:pgNumType w:fmt="decimal"/>
          <w:cols w:space="0" w:num="1"/>
          <w:rtlGutter w:val="0"/>
          <w:docGrid w:linePitch="0" w:charSpace="0"/>
        </w:sectPr>
      </w:pPr>
    </w:p>
    <w:p w14:paraId="228C3242">
      <w:pPr>
        <w:pageBreakBefore w:val="0"/>
        <w:kinsoku/>
        <w:topLinePunct w:val="0"/>
        <w:bidi w:val="0"/>
        <w:spacing w:before="49" w:line="223" w:lineRule="auto"/>
        <w:ind w:left="3695"/>
        <w:rPr>
          <w:rFonts w:ascii="仿宋" w:hAnsi="仿宋" w:eastAsia="仿宋" w:cs="仿宋"/>
          <w:sz w:val="24"/>
          <w:szCs w:val="24"/>
        </w:rPr>
      </w:pPr>
      <w:r>
        <w:rPr>
          <w:rFonts w:ascii="仿宋" w:hAnsi="仿宋" w:eastAsia="仿宋" w:cs="仿宋"/>
          <w:spacing w:val="-3"/>
          <w:sz w:val="24"/>
          <w:szCs w:val="24"/>
        </w:rPr>
        <w:t>（三）监狱企业声明函</w:t>
      </w:r>
    </w:p>
    <w:p w14:paraId="6740117E">
      <w:pPr>
        <w:pStyle w:val="4"/>
        <w:pageBreakBefore w:val="0"/>
        <w:kinsoku/>
        <w:topLinePunct w:val="0"/>
        <w:bidi w:val="0"/>
        <w:spacing w:line="296" w:lineRule="auto"/>
        <w:rPr>
          <w:sz w:val="24"/>
          <w:szCs w:val="24"/>
        </w:rPr>
      </w:pPr>
    </w:p>
    <w:p w14:paraId="209D1273">
      <w:pPr>
        <w:pStyle w:val="4"/>
        <w:pageBreakBefore w:val="0"/>
        <w:kinsoku/>
        <w:topLinePunct w:val="0"/>
        <w:bidi w:val="0"/>
        <w:spacing w:line="296" w:lineRule="auto"/>
        <w:rPr>
          <w:sz w:val="24"/>
          <w:szCs w:val="24"/>
        </w:rPr>
      </w:pPr>
    </w:p>
    <w:p w14:paraId="1D7D73A0">
      <w:pPr>
        <w:pageBreakBefore w:val="0"/>
        <w:kinsoku/>
        <w:topLinePunct w:val="0"/>
        <w:bidi w:val="0"/>
        <w:spacing w:before="65" w:line="576" w:lineRule="auto"/>
        <w:ind w:left="26" w:firstLine="432"/>
        <w:jc w:val="both"/>
        <w:rPr>
          <w:rFonts w:ascii="仿宋" w:hAnsi="仿宋" w:eastAsia="仿宋" w:cs="仿宋"/>
          <w:sz w:val="24"/>
          <w:szCs w:val="24"/>
        </w:rPr>
      </w:pPr>
      <w:r>
        <w:rPr>
          <w:rFonts w:ascii="仿宋" w:hAnsi="仿宋" w:eastAsia="仿宋" w:cs="仿宋"/>
          <w:spacing w:val="11"/>
          <w:sz w:val="24"/>
          <w:szCs w:val="24"/>
        </w:rPr>
        <w:t>本单位郑重声明</w:t>
      </w:r>
      <w:r>
        <w:rPr>
          <w:rFonts w:ascii="仿宋" w:hAnsi="仿宋" w:eastAsia="仿宋" w:cs="仿宋"/>
          <w:spacing w:val="-59"/>
          <w:sz w:val="24"/>
          <w:szCs w:val="24"/>
        </w:rPr>
        <w:t xml:space="preserve"> </w:t>
      </w:r>
      <w:r>
        <w:rPr>
          <w:rFonts w:ascii="仿宋" w:hAnsi="仿宋" w:eastAsia="仿宋" w:cs="仿宋"/>
          <w:spacing w:val="11"/>
          <w:sz w:val="24"/>
          <w:szCs w:val="24"/>
        </w:rPr>
        <w:t>，根据《关于政府采购支持监狱企业发展有关问题的通知》（财</w:t>
      </w:r>
      <w:r>
        <w:rPr>
          <w:rFonts w:ascii="仿宋" w:hAnsi="仿宋" w:eastAsia="仿宋" w:cs="仿宋"/>
          <w:spacing w:val="10"/>
          <w:sz w:val="24"/>
          <w:szCs w:val="24"/>
        </w:rPr>
        <w:t>库〔2014〕 68</w:t>
      </w:r>
      <w:r>
        <w:rPr>
          <w:rFonts w:ascii="仿宋" w:hAnsi="仿宋" w:eastAsia="仿宋" w:cs="仿宋"/>
          <w:spacing w:val="-27"/>
          <w:sz w:val="24"/>
          <w:szCs w:val="24"/>
        </w:rPr>
        <w:t xml:space="preserve"> </w:t>
      </w:r>
      <w:r>
        <w:rPr>
          <w:rFonts w:ascii="仿宋" w:hAnsi="仿宋" w:eastAsia="仿宋" w:cs="仿宋"/>
          <w:spacing w:val="10"/>
          <w:sz w:val="24"/>
          <w:szCs w:val="24"/>
        </w:rPr>
        <w:t>号）</w:t>
      </w:r>
      <w:r>
        <w:rPr>
          <w:rFonts w:ascii="仿宋" w:hAnsi="仿宋" w:eastAsia="仿宋" w:cs="仿宋"/>
          <w:sz w:val="24"/>
          <w:szCs w:val="24"/>
        </w:rPr>
        <w:t xml:space="preserve"> </w:t>
      </w:r>
      <w:r>
        <w:rPr>
          <w:rFonts w:ascii="仿宋" w:hAnsi="仿宋" w:eastAsia="仿宋" w:cs="仿宋"/>
          <w:spacing w:val="17"/>
          <w:sz w:val="24"/>
          <w:szCs w:val="24"/>
        </w:rPr>
        <w:t>的规定</w:t>
      </w:r>
      <w:r>
        <w:rPr>
          <w:rFonts w:ascii="仿宋" w:hAnsi="仿宋" w:eastAsia="仿宋" w:cs="仿宋"/>
          <w:spacing w:val="-50"/>
          <w:sz w:val="24"/>
          <w:szCs w:val="24"/>
        </w:rPr>
        <w:t xml:space="preserve"> </w:t>
      </w:r>
      <w:r>
        <w:rPr>
          <w:rFonts w:ascii="仿宋" w:hAnsi="仿宋" w:eastAsia="仿宋" w:cs="仿宋"/>
          <w:spacing w:val="17"/>
          <w:sz w:val="24"/>
          <w:szCs w:val="24"/>
        </w:rPr>
        <w:t>，本单位为符合条件的监狱单位</w:t>
      </w:r>
      <w:r>
        <w:rPr>
          <w:rFonts w:ascii="仿宋" w:hAnsi="仿宋" w:eastAsia="仿宋" w:cs="仿宋"/>
          <w:spacing w:val="-57"/>
          <w:sz w:val="24"/>
          <w:szCs w:val="24"/>
        </w:rPr>
        <w:t xml:space="preserve"> </w:t>
      </w:r>
      <w:r>
        <w:rPr>
          <w:rFonts w:ascii="仿宋" w:hAnsi="仿宋" w:eastAsia="仿宋" w:cs="仿宋"/>
          <w:spacing w:val="17"/>
          <w:sz w:val="24"/>
          <w:szCs w:val="24"/>
        </w:rPr>
        <w:t>，且本单位参加</w:t>
      </w:r>
      <w:r>
        <w:rPr>
          <w:rFonts w:ascii="仿宋" w:hAnsi="仿宋" w:eastAsia="仿宋" w:cs="仿宋"/>
          <w:spacing w:val="-85"/>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单位的</w:t>
      </w:r>
      <w:r>
        <w:rPr>
          <w:rFonts w:ascii="仿宋" w:hAnsi="仿宋" w:eastAsia="仿宋" w:cs="仿宋"/>
          <w:spacing w:val="-8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项目采购活动提供本单位</w:t>
      </w:r>
      <w:r>
        <w:rPr>
          <w:rFonts w:ascii="仿宋" w:hAnsi="仿宋" w:eastAsia="仿宋" w:cs="仿宋"/>
          <w:spacing w:val="19"/>
          <w:sz w:val="24"/>
          <w:szCs w:val="24"/>
        </w:rPr>
        <w:t>制造的货物（由本单位承担工程/提供服务）。</w:t>
      </w:r>
    </w:p>
    <w:p w14:paraId="334A7CA4">
      <w:pPr>
        <w:pStyle w:val="4"/>
        <w:pageBreakBefore w:val="0"/>
        <w:kinsoku/>
        <w:topLinePunct w:val="0"/>
        <w:bidi w:val="0"/>
        <w:spacing w:line="308" w:lineRule="auto"/>
        <w:rPr>
          <w:sz w:val="24"/>
          <w:szCs w:val="24"/>
        </w:rPr>
      </w:pPr>
    </w:p>
    <w:p w14:paraId="135B3028">
      <w:pPr>
        <w:pageBreakBefore w:val="0"/>
        <w:kinsoku/>
        <w:topLinePunct w:val="0"/>
        <w:bidi w:val="0"/>
        <w:spacing w:before="65" w:line="229" w:lineRule="auto"/>
        <w:ind w:left="214"/>
        <w:rPr>
          <w:rFonts w:ascii="仿宋" w:hAnsi="仿宋" w:eastAsia="仿宋" w:cs="仿宋"/>
          <w:sz w:val="24"/>
          <w:szCs w:val="24"/>
        </w:rPr>
      </w:pPr>
      <w:r>
        <w:rPr>
          <w:rFonts w:ascii="仿宋" w:hAnsi="仿宋" w:eastAsia="仿宋" w:cs="仿宋"/>
          <w:spacing w:val="17"/>
          <w:sz w:val="24"/>
          <w:szCs w:val="24"/>
        </w:rPr>
        <w:t>本单位对上述声明的真实性负责</w:t>
      </w:r>
      <w:r>
        <w:rPr>
          <w:rFonts w:ascii="仿宋" w:hAnsi="仿宋" w:eastAsia="仿宋" w:cs="仿宋"/>
          <w:spacing w:val="-42"/>
          <w:sz w:val="24"/>
          <w:szCs w:val="24"/>
        </w:rPr>
        <w:t xml:space="preserve"> </w:t>
      </w:r>
      <w:r>
        <w:rPr>
          <w:rFonts w:ascii="仿宋" w:hAnsi="仿宋" w:eastAsia="仿宋" w:cs="仿宋"/>
          <w:spacing w:val="17"/>
          <w:sz w:val="24"/>
          <w:szCs w:val="24"/>
        </w:rPr>
        <w:t>。如有虚假</w:t>
      </w:r>
      <w:r>
        <w:rPr>
          <w:rFonts w:ascii="仿宋" w:hAnsi="仿宋" w:eastAsia="仿宋" w:cs="仿宋"/>
          <w:spacing w:val="-59"/>
          <w:sz w:val="24"/>
          <w:szCs w:val="24"/>
        </w:rPr>
        <w:t xml:space="preserve"> </w:t>
      </w:r>
      <w:r>
        <w:rPr>
          <w:rFonts w:ascii="仿宋" w:hAnsi="仿宋" w:eastAsia="仿宋" w:cs="仿宋"/>
          <w:spacing w:val="17"/>
          <w:sz w:val="24"/>
          <w:szCs w:val="24"/>
        </w:rPr>
        <w:t>，将依法承担相应责任。</w:t>
      </w:r>
    </w:p>
    <w:p w14:paraId="4389B049">
      <w:pPr>
        <w:pStyle w:val="4"/>
        <w:pageBreakBefore w:val="0"/>
        <w:kinsoku/>
        <w:topLinePunct w:val="0"/>
        <w:bidi w:val="0"/>
        <w:spacing w:line="242" w:lineRule="auto"/>
        <w:rPr>
          <w:sz w:val="24"/>
          <w:szCs w:val="24"/>
        </w:rPr>
      </w:pPr>
    </w:p>
    <w:p w14:paraId="72E78C0E">
      <w:pPr>
        <w:pStyle w:val="4"/>
        <w:pageBreakBefore w:val="0"/>
        <w:kinsoku/>
        <w:topLinePunct w:val="0"/>
        <w:bidi w:val="0"/>
        <w:spacing w:line="243" w:lineRule="auto"/>
        <w:rPr>
          <w:sz w:val="24"/>
          <w:szCs w:val="24"/>
        </w:rPr>
      </w:pPr>
    </w:p>
    <w:p w14:paraId="7C4B8AC6">
      <w:pPr>
        <w:pStyle w:val="4"/>
        <w:pageBreakBefore w:val="0"/>
        <w:kinsoku/>
        <w:topLinePunct w:val="0"/>
        <w:bidi w:val="0"/>
        <w:spacing w:line="243" w:lineRule="auto"/>
        <w:rPr>
          <w:sz w:val="24"/>
          <w:szCs w:val="24"/>
        </w:rPr>
      </w:pPr>
    </w:p>
    <w:p w14:paraId="602D980E">
      <w:pPr>
        <w:pStyle w:val="4"/>
        <w:pageBreakBefore w:val="0"/>
        <w:kinsoku/>
        <w:topLinePunct w:val="0"/>
        <w:bidi w:val="0"/>
        <w:spacing w:line="243" w:lineRule="auto"/>
        <w:rPr>
          <w:sz w:val="24"/>
          <w:szCs w:val="24"/>
        </w:rPr>
      </w:pPr>
    </w:p>
    <w:p w14:paraId="536DD0F7">
      <w:pPr>
        <w:pStyle w:val="4"/>
        <w:pageBreakBefore w:val="0"/>
        <w:kinsoku/>
        <w:topLinePunct w:val="0"/>
        <w:bidi w:val="0"/>
        <w:spacing w:line="243" w:lineRule="auto"/>
        <w:rPr>
          <w:sz w:val="24"/>
          <w:szCs w:val="24"/>
        </w:rPr>
      </w:pPr>
    </w:p>
    <w:p w14:paraId="7259F94E">
      <w:pPr>
        <w:pStyle w:val="4"/>
        <w:pageBreakBefore w:val="0"/>
        <w:kinsoku/>
        <w:topLinePunct w:val="0"/>
        <w:bidi w:val="0"/>
        <w:spacing w:line="243" w:lineRule="auto"/>
        <w:rPr>
          <w:sz w:val="24"/>
          <w:szCs w:val="24"/>
        </w:rPr>
      </w:pPr>
    </w:p>
    <w:p w14:paraId="7DBA2EE5">
      <w:pPr>
        <w:pStyle w:val="4"/>
        <w:pageBreakBefore w:val="0"/>
        <w:kinsoku/>
        <w:topLinePunct w:val="0"/>
        <w:bidi w:val="0"/>
        <w:spacing w:line="243" w:lineRule="auto"/>
        <w:rPr>
          <w:sz w:val="24"/>
          <w:szCs w:val="24"/>
        </w:rPr>
      </w:pPr>
    </w:p>
    <w:p w14:paraId="3366D4D9">
      <w:pPr>
        <w:pStyle w:val="4"/>
        <w:pageBreakBefore w:val="0"/>
        <w:kinsoku/>
        <w:topLinePunct w:val="0"/>
        <w:bidi w:val="0"/>
        <w:spacing w:line="243" w:lineRule="auto"/>
        <w:rPr>
          <w:sz w:val="24"/>
          <w:szCs w:val="24"/>
        </w:rPr>
      </w:pPr>
    </w:p>
    <w:p w14:paraId="22A4C871">
      <w:pPr>
        <w:pageBreakBefore w:val="0"/>
        <w:kinsoku/>
        <w:topLinePunct w:val="0"/>
        <w:bidi w:val="0"/>
        <w:spacing w:before="65" w:line="288" w:lineRule="auto"/>
        <w:ind w:left="2617"/>
        <w:rPr>
          <w:rFonts w:ascii="仿宋" w:hAnsi="仿宋" w:eastAsia="仿宋" w:cs="仿宋"/>
          <w:sz w:val="24"/>
          <w:szCs w:val="24"/>
        </w:rPr>
      </w:pPr>
      <w:r>
        <w:rPr>
          <w:rFonts w:hint="eastAsia" w:ascii="仿宋" w:hAnsi="仿宋" w:eastAsia="仿宋" w:cs="仿宋"/>
          <w:spacing w:val="11"/>
          <w:sz w:val="24"/>
          <w:szCs w:val="24"/>
          <w:lang w:eastAsia="zh-CN"/>
        </w:rPr>
        <w:t>供应商</w:t>
      </w:r>
      <w:r>
        <w:rPr>
          <w:rFonts w:ascii="仿宋" w:hAnsi="仿宋" w:eastAsia="仿宋" w:cs="仿宋"/>
          <w:spacing w:val="-4"/>
          <w:sz w:val="24"/>
          <w:szCs w:val="24"/>
        </w:rPr>
        <w:t>：（</w:t>
      </w:r>
      <w:r>
        <w:rPr>
          <w:rFonts w:ascii="仿宋" w:hAnsi="仿宋" w:eastAsia="仿宋" w:cs="仿宋"/>
          <w:spacing w:val="11"/>
          <w:sz w:val="24"/>
          <w:szCs w:val="24"/>
        </w:rPr>
        <w:t>盖章）</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1"/>
          <w:sz w:val="24"/>
          <w:szCs w:val="24"/>
        </w:rPr>
        <w:t>_</w:t>
      </w:r>
    </w:p>
    <w:p w14:paraId="666C888A">
      <w:pPr>
        <w:pageBreakBefore w:val="0"/>
        <w:kinsoku/>
        <w:topLinePunct w:val="0"/>
        <w:bidi w:val="0"/>
        <w:spacing w:line="226" w:lineRule="auto"/>
        <w:ind w:left="2625"/>
        <w:rPr>
          <w:rFonts w:ascii="仿宋" w:hAnsi="仿宋" w:eastAsia="仿宋" w:cs="仿宋"/>
          <w:sz w:val="24"/>
          <w:szCs w:val="24"/>
        </w:rPr>
      </w:pPr>
      <w:r>
        <w:rPr>
          <w:rFonts w:ascii="仿宋" w:hAnsi="仿宋" w:eastAsia="仿宋" w:cs="仿宋"/>
          <w:spacing w:val="7"/>
          <w:sz w:val="24"/>
          <w:szCs w:val="24"/>
        </w:rPr>
        <w:t>法定代表人或其授权委托人(签字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28F1DDD0">
      <w:pPr>
        <w:pageBreakBefore w:val="0"/>
        <w:tabs>
          <w:tab w:val="left" w:pos="4495"/>
        </w:tabs>
        <w:kinsoku/>
        <w:topLinePunct w:val="0"/>
        <w:bidi w:val="0"/>
        <w:spacing w:before="222" w:line="231" w:lineRule="auto"/>
        <w:ind w:left="355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82"/>
          <w:sz w:val="24"/>
          <w:szCs w:val="24"/>
        </w:rPr>
        <w:t xml:space="preserve"> </w:t>
      </w:r>
      <w:r>
        <w:rPr>
          <w:rFonts w:ascii="仿宋" w:hAnsi="仿宋" w:eastAsia="仿宋" w:cs="仿宋"/>
          <w:spacing w:val="-8"/>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8"/>
          <w:sz w:val="24"/>
          <w:szCs w:val="24"/>
        </w:rPr>
        <w:t>月</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39"/>
          <w:sz w:val="24"/>
          <w:szCs w:val="24"/>
        </w:rPr>
        <w:t xml:space="preserve"> </w:t>
      </w:r>
      <w:r>
        <w:rPr>
          <w:rFonts w:ascii="仿宋" w:hAnsi="仿宋" w:eastAsia="仿宋" w:cs="仿宋"/>
          <w:spacing w:val="-8"/>
          <w:sz w:val="24"/>
          <w:szCs w:val="24"/>
        </w:rPr>
        <w:t>日</w:t>
      </w:r>
    </w:p>
    <w:p w14:paraId="52696B43">
      <w:pPr>
        <w:pStyle w:val="4"/>
        <w:pageBreakBefore w:val="0"/>
        <w:kinsoku/>
        <w:topLinePunct w:val="0"/>
        <w:bidi w:val="0"/>
        <w:spacing w:line="255" w:lineRule="auto"/>
        <w:rPr>
          <w:sz w:val="24"/>
          <w:szCs w:val="24"/>
        </w:rPr>
      </w:pPr>
    </w:p>
    <w:p w14:paraId="6AE8438E">
      <w:pPr>
        <w:pStyle w:val="4"/>
        <w:pageBreakBefore w:val="0"/>
        <w:kinsoku/>
        <w:topLinePunct w:val="0"/>
        <w:bidi w:val="0"/>
        <w:spacing w:line="255" w:lineRule="auto"/>
        <w:rPr>
          <w:sz w:val="24"/>
          <w:szCs w:val="24"/>
        </w:rPr>
      </w:pPr>
    </w:p>
    <w:p w14:paraId="4D34E4A9">
      <w:pPr>
        <w:pStyle w:val="4"/>
        <w:pageBreakBefore w:val="0"/>
        <w:kinsoku/>
        <w:topLinePunct w:val="0"/>
        <w:bidi w:val="0"/>
        <w:spacing w:line="255" w:lineRule="auto"/>
        <w:rPr>
          <w:sz w:val="24"/>
          <w:szCs w:val="24"/>
        </w:rPr>
      </w:pPr>
    </w:p>
    <w:p w14:paraId="3DF4BBCF">
      <w:pPr>
        <w:pStyle w:val="4"/>
        <w:pageBreakBefore w:val="0"/>
        <w:kinsoku/>
        <w:topLinePunct w:val="0"/>
        <w:bidi w:val="0"/>
        <w:spacing w:line="256" w:lineRule="auto"/>
        <w:rPr>
          <w:sz w:val="24"/>
          <w:szCs w:val="24"/>
        </w:rPr>
      </w:pPr>
    </w:p>
    <w:p w14:paraId="5E92D9BD">
      <w:pPr>
        <w:pStyle w:val="4"/>
        <w:pageBreakBefore w:val="0"/>
        <w:kinsoku/>
        <w:topLinePunct w:val="0"/>
        <w:bidi w:val="0"/>
        <w:spacing w:line="256" w:lineRule="auto"/>
        <w:rPr>
          <w:sz w:val="24"/>
          <w:szCs w:val="24"/>
        </w:rPr>
      </w:pPr>
    </w:p>
    <w:p w14:paraId="4572EE42">
      <w:pPr>
        <w:pStyle w:val="4"/>
        <w:pageBreakBefore w:val="0"/>
        <w:kinsoku/>
        <w:topLinePunct w:val="0"/>
        <w:bidi w:val="0"/>
        <w:spacing w:line="256" w:lineRule="auto"/>
        <w:rPr>
          <w:sz w:val="24"/>
          <w:szCs w:val="24"/>
        </w:rPr>
      </w:pPr>
    </w:p>
    <w:p w14:paraId="63ADF64B">
      <w:pPr>
        <w:pageBreakBefore w:val="0"/>
        <w:kinsoku/>
        <w:topLinePunct w:val="0"/>
        <w:bidi w:val="0"/>
        <w:spacing w:before="58" w:line="233" w:lineRule="auto"/>
        <w:ind w:left="6" w:firstLine="362"/>
        <w:jc w:val="both"/>
        <w:rPr>
          <w:rFonts w:hint="eastAsia" w:ascii="仿宋" w:hAnsi="仿宋" w:eastAsia="仿宋" w:cs="仿宋"/>
          <w:spacing w:val="-1"/>
          <w:sz w:val="24"/>
          <w:szCs w:val="24"/>
        </w:rPr>
      </w:pPr>
      <w:r>
        <w:rPr>
          <w:rFonts w:ascii="仿宋" w:hAnsi="仿宋" w:eastAsia="仿宋" w:cs="仿宋"/>
          <w:b/>
          <w:bCs/>
          <w:sz w:val="24"/>
          <w:szCs w:val="24"/>
        </w:rPr>
        <w:t>说明</w:t>
      </w:r>
      <w:r>
        <w:rPr>
          <w:rFonts w:ascii="仿宋" w:hAnsi="仿宋" w:eastAsia="仿宋" w:cs="仿宋"/>
          <w:sz w:val="24"/>
          <w:szCs w:val="24"/>
        </w:rPr>
        <w:t>：</w:t>
      </w:r>
      <w:r>
        <w:rPr>
          <w:rFonts w:hint="eastAsia" w:ascii="仿宋" w:hAnsi="仿宋" w:eastAsia="仿宋" w:cs="仿宋"/>
          <w:spacing w:val="-1"/>
          <w:sz w:val="24"/>
          <w:szCs w:val="24"/>
        </w:rPr>
        <w:t>填写本声明函时应详细阅读《关于政府采购支持监狱企业发展有关问题的通知》（财库〔2014〕 68 号），</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不满足此要求则无须提供，一旦提供将视为满足其要求，如有虚假，将依法承担相应责任。</w:t>
      </w:r>
    </w:p>
    <w:p w14:paraId="5172C504">
      <w:pPr>
        <w:pStyle w:val="2"/>
        <w:pageBreakBefore w:val="0"/>
        <w:numPr>
          <w:ilvl w:val="0"/>
          <w:numId w:val="0"/>
        </w:numPr>
        <w:kinsoku/>
        <w:topLinePunct w:val="0"/>
        <w:bidi w:val="0"/>
      </w:pPr>
    </w:p>
    <w:p w14:paraId="42F5708D">
      <w:pPr>
        <w:pStyle w:val="4"/>
        <w:pageBreakBefore w:val="0"/>
        <w:kinsoku/>
        <w:topLinePunct w:val="0"/>
        <w:bidi w:val="0"/>
        <w:spacing w:line="249" w:lineRule="auto"/>
        <w:rPr>
          <w:rFonts w:ascii="宋体" w:hAnsi="宋体" w:eastAsia="宋体" w:cs="宋体"/>
          <w:spacing w:val="-1"/>
          <w:sz w:val="18"/>
          <w:szCs w:val="18"/>
        </w:rPr>
      </w:pPr>
    </w:p>
    <w:p w14:paraId="05370E23">
      <w:pPr>
        <w:pStyle w:val="4"/>
        <w:pageBreakBefore w:val="0"/>
        <w:kinsoku/>
        <w:topLinePunct w:val="0"/>
        <w:bidi w:val="0"/>
        <w:spacing w:line="249" w:lineRule="auto"/>
        <w:rPr>
          <w:rFonts w:ascii="宋体" w:hAnsi="宋体" w:eastAsia="宋体" w:cs="宋体"/>
          <w:spacing w:val="-1"/>
          <w:sz w:val="18"/>
          <w:szCs w:val="18"/>
        </w:rPr>
      </w:pPr>
    </w:p>
    <w:p w14:paraId="7DFB843B">
      <w:pPr>
        <w:pStyle w:val="4"/>
        <w:pageBreakBefore w:val="0"/>
        <w:kinsoku/>
        <w:topLinePunct w:val="0"/>
        <w:bidi w:val="0"/>
        <w:spacing w:line="249" w:lineRule="auto"/>
        <w:rPr>
          <w:rFonts w:ascii="宋体" w:hAnsi="宋体" w:eastAsia="宋体" w:cs="宋体"/>
          <w:spacing w:val="-1"/>
          <w:sz w:val="18"/>
          <w:szCs w:val="18"/>
        </w:rPr>
      </w:pPr>
    </w:p>
    <w:p w14:paraId="7FEAB5C3">
      <w:pPr>
        <w:pStyle w:val="4"/>
        <w:pageBreakBefore w:val="0"/>
        <w:kinsoku/>
        <w:topLinePunct w:val="0"/>
        <w:bidi w:val="0"/>
        <w:spacing w:line="249" w:lineRule="auto"/>
        <w:rPr>
          <w:rFonts w:ascii="宋体" w:hAnsi="宋体" w:eastAsia="宋体" w:cs="宋体"/>
          <w:spacing w:val="-1"/>
          <w:sz w:val="18"/>
          <w:szCs w:val="18"/>
        </w:rPr>
      </w:pPr>
    </w:p>
    <w:p w14:paraId="7FACBFC2">
      <w:pPr>
        <w:pStyle w:val="4"/>
        <w:pageBreakBefore w:val="0"/>
        <w:kinsoku/>
        <w:topLinePunct w:val="0"/>
        <w:bidi w:val="0"/>
        <w:spacing w:line="249" w:lineRule="auto"/>
        <w:rPr>
          <w:rFonts w:ascii="宋体" w:hAnsi="宋体" w:eastAsia="宋体" w:cs="宋体"/>
          <w:spacing w:val="-1"/>
          <w:sz w:val="18"/>
          <w:szCs w:val="18"/>
        </w:rPr>
      </w:pPr>
    </w:p>
    <w:p w14:paraId="19CE602C">
      <w:pPr>
        <w:pStyle w:val="4"/>
        <w:pageBreakBefore w:val="0"/>
        <w:kinsoku/>
        <w:topLinePunct w:val="0"/>
        <w:bidi w:val="0"/>
        <w:spacing w:line="249" w:lineRule="auto"/>
        <w:rPr>
          <w:rFonts w:ascii="宋体" w:hAnsi="宋体" w:eastAsia="宋体" w:cs="宋体"/>
          <w:spacing w:val="-1"/>
          <w:sz w:val="18"/>
          <w:szCs w:val="18"/>
        </w:rPr>
      </w:pPr>
    </w:p>
    <w:p w14:paraId="2894E1AC">
      <w:pPr>
        <w:pStyle w:val="4"/>
        <w:pageBreakBefore w:val="0"/>
        <w:kinsoku/>
        <w:topLinePunct w:val="0"/>
        <w:bidi w:val="0"/>
        <w:spacing w:line="249" w:lineRule="auto"/>
        <w:rPr>
          <w:rFonts w:ascii="宋体" w:hAnsi="宋体" w:eastAsia="宋体" w:cs="宋体"/>
          <w:spacing w:val="-1"/>
          <w:sz w:val="18"/>
          <w:szCs w:val="18"/>
        </w:rPr>
      </w:pPr>
    </w:p>
    <w:p w14:paraId="1D05141E">
      <w:pPr>
        <w:pStyle w:val="4"/>
        <w:pageBreakBefore w:val="0"/>
        <w:kinsoku/>
        <w:topLinePunct w:val="0"/>
        <w:bidi w:val="0"/>
        <w:spacing w:line="249" w:lineRule="auto"/>
        <w:rPr>
          <w:rFonts w:ascii="宋体" w:hAnsi="宋体" w:eastAsia="宋体" w:cs="宋体"/>
          <w:spacing w:val="-1"/>
          <w:sz w:val="18"/>
          <w:szCs w:val="18"/>
        </w:rPr>
      </w:pPr>
    </w:p>
    <w:p w14:paraId="75AF967A">
      <w:pPr>
        <w:pStyle w:val="4"/>
        <w:pageBreakBefore w:val="0"/>
        <w:kinsoku/>
        <w:topLinePunct w:val="0"/>
        <w:bidi w:val="0"/>
        <w:spacing w:line="249" w:lineRule="auto"/>
        <w:rPr>
          <w:rFonts w:ascii="宋体" w:hAnsi="宋体" w:eastAsia="宋体" w:cs="宋体"/>
          <w:spacing w:val="-1"/>
          <w:sz w:val="18"/>
          <w:szCs w:val="18"/>
        </w:rPr>
      </w:pPr>
    </w:p>
    <w:p w14:paraId="3EB655B8">
      <w:pPr>
        <w:pStyle w:val="4"/>
        <w:pageBreakBefore w:val="0"/>
        <w:kinsoku/>
        <w:topLinePunct w:val="0"/>
        <w:bidi w:val="0"/>
        <w:spacing w:line="249" w:lineRule="auto"/>
        <w:rPr>
          <w:rFonts w:ascii="宋体" w:hAnsi="宋体" w:eastAsia="宋体" w:cs="宋体"/>
          <w:spacing w:val="-1"/>
          <w:sz w:val="18"/>
          <w:szCs w:val="18"/>
        </w:rPr>
      </w:pPr>
    </w:p>
    <w:p w14:paraId="71511337">
      <w:pPr>
        <w:pageBreakBefore w:val="0"/>
        <w:kinsoku/>
        <w:topLinePunct w:val="0"/>
        <w:bidi w:val="0"/>
        <w:spacing w:before="114" w:line="227" w:lineRule="auto"/>
        <w:ind w:left="3071"/>
        <w:outlineLvl w:val="0"/>
        <w:rPr>
          <w:rFonts w:ascii="宋体" w:hAnsi="宋体" w:eastAsia="宋体" w:cs="宋体"/>
          <w:sz w:val="31"/>
          <w:szCs w:val="31"/>
        </w:rPr>
      </w:pPr>
      <w:r>
        <w:rPr>
          <w:rFonts w:ascii="黑体" w:hAnsi="黑体" w:eastAsia="黑体" w:cs="黑体"/>
          <w:spacing w:val="8"/>
          <w:sz w:val="35"/>
          <w:szCs w:val="35"/>
          <w14:textOutline w14:w="6537" w14:cap="sq" w14:cmpd="sng">
            <w14:solidFill>
              <w14:srgbClr w14:val="000000"/>
            </w14:solidFill>
            <w14:prstDash w14:val="solid"/>
            <w14:bevel/>
          </w14:textOutline>
        </w:rPr>
        <w:t>第六章</w:t>
      </w:r>
      <w:r>
        <w:rPr>
          <w:rFonts w:ascii="黑体" w:hAnsi="黑体" w:eastAsia="黑体" w:cs="黑体"/>
          <w:spacing w:val="8"/>
          <w:sz w:val="35"/>
          <w:szCs w:val="35"/>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合同条款</w:t>
      </w:r>
    </w:p>
    <w:p w14:paraId="253AD6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第一节 政府采购合同协议书</w:t>
      </w:r>
    </w:p>
    <w:p w14:paraId="3C65A9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8"/>
          <w:szCs w:val="36"/>
          <w:lang w:val="en-US" w:eastAsia="zh-CN"/>
        </w:rPr>
      </w:pPr>
    </w:p>
    <w:p w14:paraId="79467606">
      <w:pPr>
        <w:pageBreakBefore w:val="0"/>
        <w:tabs>
          <w:tab w:val="left" w:pos="2597"/>
        </w:tabs>
        <w:kinsoku/>
        <w:topLinePunct w:val="0"/>
        <w:bidi w:val="0"/>
        <w:spacing w:before="56" w:line="187" w:lineRule="auto"/>
        <w:ind w:left="2482"/>
        <w:rPr>
          <w:rFonts w:ascii="微软雅黑" w:hAnsi="微软雅黑" w:eastAsia="微软雅黑" w:cs="微软雅黑"/>
          <w:sz w:val="23"/>
          <w:szCs w:val="23"/>
        </w:rPr>
      </w:pPr>
      <w:r>
        <w:rPr>
          <w:rFonts w:ascii="微软雅黑" w:hAnsi="微软雅黑" w:eastAsia="微软雅黑" w:cs="微软雅黑"/>
          <w:sz w:val="23"/>
          <w:szCs w:val="23"/>
        </w:rPr>
        <w:tab/>
      </w:r>
      <w:r>
        <w:rPr>
          <w:rFonts w:ascii="微软雅黑" w:hAnsi="微软雅黑" w:eastAsia="微软雅黑" w:cs="微软雅黑"/>
          <w:spacing w:val="8"/>
          <w:sz w:val="23"/>
          <w:szCs w:val="23"/>
        </w:rPr>
        <w:t>( 本格式条款仅作为双方签订合同时的参考</w:t>
      </w:r>
      <w:r>
        <w:rPr>
          <w:rFonts w:ascii="微软雅黑" w:hAnsi="微软雅黑" w:eastAsia="微软雅黑" w:cs="微软雅黑"/>
          <w:spacing w:val="4"/>
          <w:sz w:val="23"/>
          <w:szCs w:val="23"/>
        </w:rPr>
        <w:t>)</w:t>
      </w:r>
    </w:p>
    <w:p w14:paraId="2190C194">
      <w:pPr>
        <w:pageBreakBefore w:val="0"/>
        <w:kinsoku/>
        <w:topLinePunct w:val="0"/>
        <w:bidi w:val="0"/>
        <w:spacing w:before="73" w:line="192" w:lineRule="auto"/>
        <w:rPr>
          <w:rFonts w:ascii="微软雅黑" w:hAnsi="微软雅黑" w:eastAsia="微软雅黑" w:cs="微软雅黑"/>
          <w:sz w:val="23"/>
          <w:szCs w:val="23"/>
        </w:rPr>
      </w:pPr>
      <w:r>
        <w:rPr>
          <w:rFonts w:ascii="微软雅黑" w:hAnsi="微软雅黑" w:eastAsia="微软雅黑" w:cs="微软雅黑"/>
          <w:spacing w:val="-2"/>
          <w:sz w:val="23"/>
          <w:szCs w:val="23"/>
        </w:rPr>
        <w:t>合同</w:t>
      </w:r>
      <w:r>
        <w:rPr>
          <w:rFonts w:ascii="微软雅黑" w:hAnsi="微软雅黑" w:eastAsia="微软雅黑" w:cs="微软雅黑"/>
          <w:spacing w:val="-1"/>
          <w:sz w:val="23"/>
          <w:szCs w:val="23"/>
        </w:rPr>
        <w:t>编号：</w:t>
      </w:r>
    </w:p>
    <w:p w14:paraId="7AAF049B">
      <w:pPr>
        <w:pageBreakBefore w:val="0"/>
        <w:kinsoku/>
        <w:topLinePunct w:val="0"/>
        <w:bidi w:val="0"/>
        <w:spacing w:line="245" w:lineRule="auto"/>
        <w:rPr>
          <w:rFonts w:ascii="Arial"/>
          <w:sz w:val="21"/>
        </w:rPr>
      </w:pPr>
    </w:p>
    <w:p w14:paraId="27B4D671">
      <w:pPr>
        <w:pageBreakBefore w:val="0"/>
        <w:kinsoku/>
        <w:topLinePunct w:val="0"/>
        <w:bidi w:val="0"/>
        <w:spacing w:line="245" w:lineRule="auto"/>
        <w:rPr>
          <w:rFonts w:ascii="Arial"/>
          <w:sz w:val="21"/>
        </w:rPr>
      </w:pPr>
    </w:p>
    <w:p w14:paraId="68253D53">
      <w:pPr>
        <w:pageBreakBefore w:val="0"/>
        <w:kinsoku/>
        <w:topLinePunct w:val="0"/>
        <w:bidi w:val="0"/>
        <w:spacing w:line="245" w:lineRule="auto"/>
        <w:rPr>
          <w:rFonts w:ascii="Arial"/>
          <w:sz w:val="21"/>
        </w:rPr>
      </w:pPr>
    </w:p>
    <w:p w14:paraId="5E5B2D3D">
      <w:pPr>
        <w:pageBreakBefore w:val="0"/>
        <w:kinsoku/>
        <w:topLinePunct w:val="0"/>
        <w:bidi w:val="0"/>
        <w:spacing w:line="245" w:lineRule="auto"/>
        <w:rPr>
          <w:rFonts w:ascii="Arial"/>
          <w:sz w:val="21"/>
        </w:rPr>
      </w:pPr>
    </w:p>
    <w:p w14:paraId="54F78811">
      <w:pPr>
        <w:pageBreakBefore w:val="0"/>
        <w:kinsoku/>
        <w:topLinePunct w:val="0"/>
        <w:bidi w:val="0"/>
        <w:spacing w:line="246" w:lineRule="auto"/>
        <w:rPr>
          <w:rFonts w:ascii="Arial"/>
          <w:sz w:val="21"/>
        </w:rPr>
      </w:pPr>
    </w:p>
    <w:p w14:paraId="1BBE4C6A">
      <w:pPr>
        <w:pageBreakBefore w:val="0"/>
        <w:kinsoku/>
        <w:topLinePunct w:val="0"/>
        <w:bidi w:val="0"/>
        <w:spacing w:line="246" w:lineRule="auto"/>
        <w:rPr>
          <w:rFonts w:ascii="Arial"/>
          <w:sz w:val="21"/>
        </w:rPr>
      </w:pPr>
    </w:p>
    <w:p w14:paraId="69F50590">
      <w:pPr>
        <w:pageBreakBefore w:val="0"/>
        <w:kinsoku/>
        <w:topLinePunct w:val="0"/>
        <w:bidi w:val="0"/>
        <w:spacing w:line="246" w:lineRule="auto"/>
        <w:rPr>
          <w:rFonts w:ascii="Arial"/>
          <w:sz w:val="21"/>
        </w:rPr>
      </w:pPr>
    </w:p>
    <w:p w14:paraId="45B70301">
      <w:pPr>
        <w:pageBreakBefore w:val="0"/>
        <w:kinsoku/>
        <w:topLinePunct w:val="0"/>
        <w:bidi w:val="0"/>
        <w:spacing w:line="246" w:lineRule="auto"/>
        <w:rPr>
          <w:rFonts w:ascii="Arial"/>
          <w:sz w:val="21"/>
        </w:rPr>
      </w:pPr>
    </w:p>
    <w:p w14:paraId="575DEDB4">
      <w:pPr>
        <w:pageBreakBefore w:val="0"/>
        <w:kinsoku/>
        <w:topLinePunct w:val="0"/>
        <w:bidi w:val="0"/>
        <w:spacing w:before="180" w:line="189" w:lineRule="auto"/>
        <w:ind w:left="3167"/>
        <w:rPr>
          <w:rFonts w:ascii="微软雅黑" w:hAnsi="微软雅黑" w:eastAsia="微软雅黑" w:cs="微软雅黑"/>
          <w:sz w:val="42"/>
          <w:szCs w:val="42"/>
        </w:rPr>
      </w:pPr>
      <w:r>
        <w:rPr>
          <w:rFonts w:ascii="微软雅黑" w:hAnsi="微软雅黑" w:eastAsia="微软雅黑" w:cs="微软雅黑"/>
          <w:spacing w:val="21"/>
          <w:sz w:val="42"/>
          <w:szCs w:val="42"/>
        </w:rPr>
        <w:t>政府采购合同</w:t>
      </w:r>
    </w:p>
    <w:p w14:paraId="766F6B6A">
      <w:pPr>
        <w:pageBreakBefore w:val="0"/>
        <w:kinsoku/>
        <w:topLinePunct w:val="0"/>
        <w:bidi w:val="0"/>
        <w:spacing w:line="296" w:lineRule="auto"/>
        <w:rPr>
          <w:rFonts w:ascii="Arial"/>
          <w:sz w:val="21"/>
        </w:rPr>
      </w:pPr>
    </w:p>
    <w:p w14:paraId="6D075607">
      <w:pPr>
        <w:pageBreakBefore w:val="0"/>
        <w:kinsoku/>
        <w:topLinePunct w:val="0"/>
        <w:bidi w:val="0"/>
        <w:spacing w:line="297" w:lineRule="auto"/>
        <w:rPr>
          <w:rFonts w:ascii="Arial"/>
          <w:sz w:val="21"/>
        </w:rPr>
      </w:pPr>
    </w:p>
    <w:p w14:paraId="14699ADB">
      <w:pPr>
        <w:pageBreakBefore w:val="0"/>
        <w:kinsoku/>
        <w:topLinePunct w:val="0"/>
        <w:bidi w:val="0"/>
        <w:spacing w:line="297" w:lineRule="auto"/>
        <w:rPr>
          <w:rFonts w:ascii="Arial"/>
          <w:sz w:val="21"/>
        </w:rPr>
      </w:pPr>
    </w:p>
    <w:p w14:paraId="7178CE09">
      <w:pPr>
        <w:pageBreakBefore w:val="0"/>
        <w:tabs>
          <w:tab w:val="left" w:pos="4028"/>
        </w:tabs>
        <w:kinsoku/>
        <w:topLinePunct w:val="0"/>
        <w:bidi w:val="0"/>
        <w:spacing w:before="99" w:line="187" w:lineRule="auto"/>
        <w:ind w:left="3914"/>
        <w:rPr>
          <w:rFonts w:ascii="微软雅黑" w:hAnsi="微软雅黑" w:eastAsia="微软雅黑" w:cs="微软雅黑"/>
          <w:sz w:val="23"/>
          <w:szCs w:val="23"/>
        </w:rPr>
      </w:pPr>
      <w:r>
        <w:rPr>
          <w:rFonts w:ascii="微软雅黑" w:hAnsi="微软雅黑" w:eastAsia="微软雅黑" w:cs="微软雅黑"/>
          <w:sz w:val="23"/>
          <w:szCs w:val="23"/>
        </w:rPr>
        <w:tab/>
      </w:r>
      <w:r>
        <w:rPr>
          <w:rFonts w:ascii="微软雅黑" w:hAnsi="微软雅黑" w:eastAsia="微软雅黑" w:cs="微软雅黑"/>
          <w:spacing w:val="1"/>
          <w:sz w:val="23"/>
          <w:szCs w:val="23"/>
        </w:rPr>
        <w:t xml:space="preserve">(          </w:t>
      </w:r>
      <w:r>
        <w:rPr>
          <w:rFonts w:ascii="微软雅黑" w:hAnsi="微软雅黑" w:eastAsia="微软雅黑" w:cs="微软雅黑"/>
          <w:sz w:val="23"/>
          <w:szCs w:val="23"/>
        </w:rPr>
        <w:t xml:space="preserve">        )</w:t>
      </w:r>
    </w:p>
    <w:p w14:paraId="0239F354">
      <w:pPr>
        <w:pageBreakBefore w:val="0"/>
        <w:kinsoku/>
        <w:topLinePunct w:val="0"/>
        <w:bidi w:val="0"/>
        <w:spacing w:line="265" w:lineRule="auto"/>
        <w:rPr>
          <w:rFonts w:ascii="Arial"/>
          <w:sz w:val="21"/>
        </w:rPr>
      </w:pPr>
    </w:p>
    <w:p w14:paraId="22385915">
      <w:pPr>
        <w:pageBreakBefore w:val="0"/>
        <w:kinsoku/>
        <w:topLinePunct w:val="0"/>
        <w:bidi w:val="0"/>
        <w:spacing w:line="266" w:lineRule="auto"/>
        <w:rPr>
          <w:rFonts w:ascii="Arial"/>
          <w:sz w:val="21"/>
        </w:rPr>
      </w:pPr>
    </w:p>
    <w:p w14:paraId="019D2081">
      <w:pPr>
        <w:pageBreakBefore w:val="0"/>
        <w:kinsoku/>
        <w:topLinePunct w:val="0"/>
        <w:bidi w:val="0"/>
        <w:spacing w:before="99" w:line="192" w:lineRule="auto"/>
        <w:ind w:left="3591"/>
        <w:rPr>
          <w:rFonts w:ascii="微软雅黑" w:hAnsi="微软雅黑" w:eastAsia="微软雅黑" w:cs="微软雅黑"/>
          <w:sz w:val="23"/>
          <w:szCs w:val="23"/>
        </w:rPr>
      </w:pPr>
      <w:r>
        <w:rPr>
          <w:rFonts w:ascii="微软雅黑" w:hAnsi="微软雅黑" w:eastAsia="微软雅黑" w:cs="微软雅黑"/>
          <w:spacing w:val="9"/>
          <w:sz w:val="23"/>
          <w:szCs w:val="23"/>
        </w:rPr>
        <w:t>第一部分 合同</w:t>
      </w:r>
      <w:r>
        <w:rPr>
          <w:rFonts w:ascii="微软雅黑" w:hAnsi="微软雅黑" w:eastAsia="微软雅黑" w:cs="微软雅黑"/>
          <w:spacing w:val="8"/>
          <w:sz w:val="23"/>
          <w:szCs w:val="23"/>
        </w:rPr>
        <w:t>书</w:t>
      </w:r>
    </w:p>
    <w:p w14:paraId="2A2EAA6B">
      <w:pPr>
        <w:pageBreakBefore w:val="0"/>
        <w:kinsoku/>
        <w:topLinePunct w:val="0"/>
        <w:bidi w:val="0"/>
        <w:spacing w:line="259" w:lineRule="auto"/>
        <w:rPr>
          <w:rFonts w:ascii="Arial"/>
          <w:sz w:val="21"/>
        </w:rPr>
      </w:pPr>
    </w:p>
    <w:p w14:paraId="6E419BFA">
      <w:pPr>
        <w:pageBreakBefore w:val="0"/>
        <w:kinsoku/>
        <w:topLinePunct w:val="0"/>
        <w:bidi w:val="0"/>
        <w:spacing w:line="259" w:lineRule="auto"/>
        <w:rPr>
          <w:rFonts w:ascii="Arial"/>
          <w:sz w:val="21"/>
        </w:rPr>
      </w:pPr>
    </w:p>
    <w:p w14:paraId="04AC089E">
      <w:pPr>
        <w:pageBreakBefore w:val="0"/>
        <w:kinsoku/>
        <w:topLinePunct w:val="0"/>
        <w:bidi w:val="0"/>
        <w:spacing w:line="260" w:lineRule="auto"/>
        <w:rPr>
          <w:rFonts w:ascii="Arial"/>
          <w:sz w:val="21"/>
        </w:rPr>
      </w:pPr>
    </w:p>
    <w:p w14:paraId="379AB959">
      <w:pPr>
        <w:pageBreakBefore w:val="0"/>
        <w:kinsoku/>
        <w:topLinePunct w:val="0"/>
        <w:bidi w:val="0"/>
        <w:spacing w:line="260" w:lineRule="auto"/>
        <w:rPr>
          <w:rFonts w:ascii="Arial"/>
          <w:sz w:val="21"/>
        </w:rPr>
      </w:pPr>
    </w:p>
    <w:p w14:paraId="0A1E9EA5">
      <w:pPr>
        <w:pageBreakBefore w:val="0"/>
        <w:kinsoku/>
        <w:topLinePunct w:val="0"/>
        <w:bidi w:val="0"/>
        <w:spacing w:before="99" w:line="191" w:lineRule="auto"/>
        <w:ind w:left="1015"/>
        <w:rPr>
          <w:rFonts w:ascii="微软雅黑" w:hAnsi="微软雅黑" w:eastAsia="微软雅黑" w:cs="微软雅黑"/>
          <w:sz w:val="23"/>
          <w:szCs w:val="23"/>
        </w:rPr>
      </w:pPr>
      <w:r>
        <w:rPr>
          <w:rFonts w:ascii="微软雅黑" w:hAnsi="微软雅黑" w:eastAsia="微软雅黑" w:cs="微软雅黑"/>
          <w:spacing w:val="2"/>
          <w:sz w:val="23"/>
          <w:szCs w:val="23"/>
        </w:rPr>
        <w:t>项目</w:t>
      </w:r>
      <w:r>
        <w:rPr>
          <w:rFonts w:ascii="微软雅黑" w:hAnsi="微软雅黑" w:eastAsia="微软雅黑" w:cs="微软雅黑"/>
          <w:spacing w:val="1"/>
          <w:sz w:val="23"/>
          <w:szCs w:val="23"/>
        </w:rPr>
        <w:t>名称：</w:t>
      </w:r>
    </w:p>
    <w:p w14:paraId="618BB262">
      <w:pPr>
        <w:pageBreakBefore w:val="0"/>
        <w:kinsoku/>
        <w:topLinePunct w:val="0"/>
        <w:bidi w:val="0"/>
        <w:spacing w:line="329" w:lineRule="auto"/>
        <w:rPr>
          <w:rFonts w:ascii="Arial"/>
          <w:sz w:val="21"/>
        </w:rPr>
      </w:pPr>
    </w:p>
    <w:p w14:paraId="1DA919CF">
      <w:pPr>
        <w:pageBreakBefore w:val="0"/>
        <w:kinsoku/>
        <w:topLinePunct w:val="0"/>
        <w:bidi w:val="0"/>
        <w:spacing w:line="329" w:lineRule="auto"/>
        <w:rPr>
          <w:rFonts w:ascii="Arial"/>
          <w:sz w:val="21"/>
        </w:rPr>
      </w:pPr>
    </w:p>
    <w:p w14:paraId="68919DCF">
      <w:pPr>
        <w:pageBreakBefore w:val="0"/>
        <w:kinsoku/>
        <w:topLinePunct w:val="0"/>
        <w:bidi w:val="0"/>
        <w:spacing w:before="99" w:line="192" w:lineRule="auto"/>
        <w:ind w:left="1071"/>
        <w:rPr>
          <w:rFonts w:ascii="微软雅黑" w:hAnsi="微软雅黑" w:eastAsia="微软雅黑" w:cs="微软雅黑"/>
          <w:sz w:val="23"/>
          <w:szCs w:val="23"/>
        </w:rPr>
      </w:pPr>
      <w:r>
        <w:rPr>
          <w:rFonts w:ascii="微软雅黑" w:hAnsi="微软雅黑" w:eastAsia="微软雅黑" w:cs="微软雅黑"/>
          <w:spacing w:val="-4"/>
          <w:sz w:val="23"/>
          <w:szCs w:val="23"/>
        </w:rPr>
        <w:t xml:space="preserve">甲  </w:t>
      </w:r>
      <w:r>
        <w:rPr>
          <w:rFonts w:ascii="微软雅黑" w:hAnsi="微软雅黑" w:eastAsia="微软雅黑" w:cs="微软雅黑"/>
          <w:spacing w:val="-3"/>
          <w:sz w:val="23"/>
          <w:szCs w:val="23"/>
        </w:rPr>
        <w:t xml:space="preserve"> </w:t>
      </w:r>
      <w:r>
        <w:rPr>
          <w:rFonts w:ascii="微软雅黑" w:hAnsi="微软雅黑" w:eastAsia="微软雅黑" w:cs="微软雅黑"/>
          <w:spacing w:val="-2"/>
          <w:sz w:val="23"/>
          <w:szCs w:val="23"/>
        </w:rPr>
        <w:t xml:space="preserve">    方：</w:t>
      </w:r>
    </w:p>
    <w:p w14:paraId="098AA500">
      <w:pPr>
        <w:pageBreakBefore w:val="0"/>
        <w:kinsoku/>
        <w:topLinePunct w:val="0"/>
        <w:bidi w:val="0"/>
        <w:spacing w:line="334" w:lineRule="auto"/>
        <w:rPr>
          <w:rFonts w:ascii="Arial"/>
          <w:sz w:val="21"/>
        </w:rPr>
      </w:pPr>
    </w:p>
    <w:p w14:paraId="5928E73E">
      <w:pPr>
        <w:pageBreakBefore w:val="0"/>
        <w:kinsoku/>
        <w:topLinePunct w:val="0"/>
        <w:bidi w:val="0"/>
        <w:spacing w:line="334" w:lineRule="auto"/>
        <w:rPr>
          <w:rFonts w:ascii="Arial"/>
          <w:sz w:val="21"/>
        </w:rPr>
      </w:pPr>
    </w:p>
    <w:p w14:paraId="659D6059">
      <w:pPr>
        <w:pageBreakBefore w:val="0"/>
        <w:kinsoku/>
        <w:topLinePunct w:val="0"/>
        <w:bidi w:val="0"/>
        <w:spacing w:before="99" w:line="192" w:lineRule="auto"/>
        <w:ind w:left="1016"/>
        <w:rPr>
          <w:rFonts w:ascii="微软雅黑" w:hAnsi="微软雅黑" w:eastAsia="微软雅黑" w:cs="微软雅黑"/>
          <w:sz w:val="23"/>
          <w:szCs w:val="23"/>
        </w:rPr>
      </w:pPr>
      <w:r>
        <w:rPr>
          <w:rFonts w:ascii="微软雅黑" w:hAnsi="微软雅黑" w:eastAsia="微软雅黑" w:cs="微软雅黑"/>
          <w:spacing w:val="-1"/>
          <w:sz w:val="23"/>
          <w:szCs w:val="23"/>
        </w:rPr>
        <w:t>乙       方：</w:t>
      </w:r>
    </w:p>
    <w:p w14:paraId="24E235D3">
      <w:pPr>
        <w:pageBreakBefore w:val="0"/>
        <w:kinsoku/>
        <w:topLinePunct w:val="0"/>
        <w:bidi w:val="0"/>
        <w:spacing w:line="325" w:lineRule="auto"/>
        <w:rPr>
          <w:rFonts w:ascii="Arial"/>
          <w:sz w:val="21"/>
        </w:rPr>
      </w:pPr>
    </w:p>
    <w:p w14:paraId="078BB7CD">
      <w:pPr>
        <w:pageBreakBefore w:val="0"/>
        <w:kinsoku/>
        <w:topLinePunct w:val="0"/>
        <w:bidi w:val="0"/>
        <w:spacing w:line="325" w:lineRule="auto"/>
        <w:rPr>
          <w:rFonts w:ascii="Arial"/>
          <w:sz w:val="21"/>
        </w:rPr>
      </w:pPr>
    </w:p>
    <w:p w14:paraId="4B17780A">
      <w:pPr>
        <w:pageBreakBefore w:val="0"/>
        <w:kinsoku/>
        <w:topLinePunct w:val="0"/>
        <w:bidi w:val="0"/>
        <w:spacing w:before="100" w:line="195" w:lineRule="auto"/>
        <w:ind w:left="963"/>
        <w:rPr>
          <w:rFonts w:ascii="微软雅黑" w:hAnsi="微软雅黑" w:eastAsia="微软雅黑" w:cs="微软雅黑"/>
          <w:sz w:val="23"/>
          <w:szCs w:val="23"/>
        </w:rPr>
      </w:pPr>
      <w:r>
        <w:rPr>
          <w:rFonts w:ascii="微软雅黑" w:hAnsi="微软雅黑" w:eastAsia="微软雅黑" w:cs="微软雅黑"/>
          <w:spacing w:val="14"/>
          <w:sz w:val="23"/>
          <w:szCs w:val="23"/>
        </w:rPr>
        <w:t>签</w:t>
      </w:r>
      <w:r>
        <w:rPr>
          <w:rFonts w:ascii="微软雅黑" w:hAnsi="微软雅黑" w:eastAsia="微软雅黑" w:cs="微软雅黑"/>
          <w:spacing w:val="9"/>
          <w:sz w:val="23"/>
          <w:szCs w:val="23"/>
        </w:rPr>
        <w:t xml:space="preserve">  订 地：</w:t>
      </w:r>
    </w:p>
    <w:p w14:paraId="79691A69">
      <w:pPr>
        <w:pageBreakBefore w:val="0"/>
        <w:kinsoku/>
        <w:topLinePunct w:val="0"/>
        <w:bidi w:val="0"/>
        <w:spacing w:line="258" w:lineRule="auto"/>
        <w:rPr>
          <w:rFonts w:ascii="Arial"/>
          <w:sz w:val="21"/>
        </w:rPr>
      </w:pPr>
    </w:p>
    <w:p w14:paraId="3402E818">
      <w:pPr>
        <w:pageBreakBefore w:val="0"/>
        <w:kinsoku/>
        <w:topLinePunct w:val="0"/>
        <w:bidi w:val="0"/>
        <w:spacing w:line="258" w:lineRule="auto"/>
        <w:rPr>
          <w:rFonts w:ascii="Arial"/>
          <w:sz w:val="21"/>
        </w:rPr>
      </w:pPr>
    </w:p>
    <w:p w14:paraId="7CD55D8A">
      <w:pPr>
        <w:pageBreakBefore w:val="0"/>
        <w:kinsoku/>
        <w:topLinePunct w:val="0"/>
        <w:bidi w:val="0"/>
        <w:spacing w:line="258" w:lineRule="auto"/>
        <w:rPr>
          <w:rFonts w:ascii="Arial"/>
          <w:sz w:val="21"/>
        </w:rPr>
      </w:pPr>
    </w:p>
    <w:p w14:paraId="30E919E4">
      <w:pPr>
        <w:pageBreakBefore w:val="0"/>
        <w:kinsoku/>
        <w:topLinePunct w:val="0"/>
        <w:bidi w:val="0"/>
        <w:spacing w:line="258" w:lineRule="auto"/>
        <w:rPr>
          <w:rFonts w:ascii="Arial"/>
          <w:sz w:val="21"/>
        </w:rPr>
      </w:pPr>
    </w:p>
    <w:p w14:paraId="131EBCCE">
      <w:pPr>
        <w:pageBreakBefore w:val="0"/>
        <w:kinsoku/>
        <w:topLinePunct w:val="0"/>
        <w:bidi w:val="0"/>
        <w:spacing w:line="259" w:lineRule="auto"/>
        <w:rPr>
          <w:rFonts w:ascii="Arial"/>
          <w:sz w:val="21"/>
        </w:rPr>
      </w:pPr>
    </w:p>
    <w:p w14:paraId="0C215AC4">
      <w:pPr>
        <w:pageBreakBefore w:val="0"/>
        <w:kinsoku/>
        <w:topLinePunct w:val="0"/>
        <w:bidi w:val="0"/>
        <w:spacing w:line="259" w:lineRule="auto"/>
        <w:rPr>
          <w:rFonts w:ascii="Arial"/>
          <w:sz w:val="21"/>
        </w:rPr>
      </w:pPr>
    </w:p>
    <w:p w14:paraId="51FC946C">
      <w:pPr>
        <w:pageBreakBefore w:val="0"/>
        <w:kinsoku/>
        <w:topLinePunct w:val="0"/>
        <w:bidi w:val="0"/>
        <w:spacing w:line="259" w:lineRule="auto"/>
        <w:rPr>
          <w:rFonts w:ascii="Arial"/>
          <w:sz w:val="21"/>
        </w:rPr>
      </w:pPr>
    </w:p>
    <w:p w14:paraId="34091B05">
      <w:pPr>
        <w:pageBreakBefore w:val="0"/>
        <w:kinsoku/>
        <w:topLinePunct w:val="0"/>
        <w:bidi w:val="0"/>
        <w:spacing w:before="100" w:line="191" w:lineRule="auto"/>
        <w:ind w:left="963"/>
        <w:rPr>
          <w:rFonts w:ascii="微软雅黑" w:hAnsi="微软雅黑" w:eastAsia="微软雅黑" w:cs="微软雅黑"/>
          <w:sz w:val="23"/>
          <w:szCs w:val="23"/>
        </w:rPr>
      </w:pPr>
      <w:r>
        <w:rPr>
          <w:rFonts w:ascii="微软雅黑" w:hAnsi="微软雅黑" w:eastAsia="微软雅黑" w:cs="微软雅黑"/>
          <w:spacing w:val="-6"/>
          <w:sz w:val="23"/>
          <w:szCs w:val="23"/>
        </w:rPr>
        <w:t>签订日期：</w:t>
      </w:r>
      <w:r>
        <w:rPr>
          <w:rFonts w:ascii="微软雅黑" w:hAnsi="微软雅黑" w:eastAsia="微软雅黑" w:cs="微软雅黑"/>
          <w:spacing w:val="-6"/>
          <w:sz w:val="23"/>
          <w:szCs w:val="23"/>
          <w:u w:val="single" w:color="auto"/>
        </w:rPr>
        <w:t xml:space="preserve">      </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年</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 xml:space="preserve"> 月</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 xml:space="preserve"> 日</w:t>
      </w:r>
    </w:p>
    <w:p w14:paraId="69485C64">
      <w:pPr>
        <w:pageBreakBefore w:val="0"/>
        <w:kinsoku/>
        <w:topLinePunct w:val="0"/>
        <w:bidi w:val="0"/>
        <w:sectPr>
          <w:footerReference r:id="rId16" w:type="default"/>
          <w:pgSz w:w="11900" w:h="16838"/>
          <w:pgMar w:top="1066" w:right="1784" w:bottom="1219" w:left="1092" w:header="0" w:footer="1050" w:gutter="0"/>
          <w:pgNumType w:fmt="decimal"/>
          <w:cols w:space="720" w:num="1"/>
        </w:sectPr>
      </w:pPr>
    </w:p>
    <w:p w14:paraId="4F13C508">
      <w:pPr>
        <w:pageBreakBefore w:val="0"/>
        <w:kinsoku/>
        <w:topLinePunct w:val="0"/>
        <w:bidi w:val="0"/>
        <w:spacing w:before="260" w:line="337" w:lineRule="auto"/>
        <w:ind w:left="15" w:right="7" w:firstLine="497"/>
        <w:rPr>
          <w:rFonts w:hint="eastAsia" w:ascii="宋体" w:hAnsi="宋体" w:eastAsia="宋体" w:cs="宋体"/>
          <w:spacing w:val="2"/>
          <w:sz w:val="23"/>
          <w:szCs w:val="23"/>
        </w:rPr>
      </w:pPr>
      <w:r>
        <w:rPr>
          <w:rFonts w:hint="eastAsia" w:ascii="宋体" w:hAnsi="宋体" w:eastAsia="宋体" w:cs="宋体"/>
          <w:spacing w:val="2"/>
          <w:sz w:val="23"/>
          <w:szCs w:val="23"/>
          <w:u w:val="single"/>
        </w:rPr>
        <w:tab/>
      </w:r>
      <w:r>
        <w:rPr>
          <w:rFonts w:hint="eastAsia" w:ascii="宋体" w:hAnsi="宋体" w:eastAsia="宋体" w:cs="宋体"/>
          <w:spacing w:val="2"/>
          <w:sz w:val="23"/>
          <w:szCs w:val="23"/>
          <w:u w:val="single"/>
        </w:rPr>
        <w:t>年         月         日</w:t>
      </w:r>
      <w:r>
        <w:rPr>
          <w:rFonts w:hint="eastAsia" w:ascii="宋体" w:hAnsi="宋体" w:eastAsia="宋体" w:cs="宋体"/>
          <w:spacing w:val="2"/>
          <w:sz w:val="23"/>
          <w:szCs w:val="23"/>
          <w:u w:val="single"/>
          <w:lang w:eastAsia="zh-CN"/>
        </w:rPr>
        <w:t>，</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(采购人)以</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 采购方式) 对</w:t>
      </w:r>
      <w:r>
        <w:rPr>
          <w:rFonts w:hint="eastAsia" w:ascii="宋体" w:hAnsi="宋体" w:eastAsia="宋体" w:cs="宋体"/>
          <w:spacing w:val="2"/>
          <w:sz w:val="23"/>
          <w:szCs w:val="23"/>
          <w:u w:val="single"/>
        </w:rPr>
        <w:t xml:space="preserve">         ( 项目名称) </w:t>
      </w:r>
      <w:r>
        <w:rPr>
          <w:rFonts w:hint="eastAsia" w:ascii="宋体" w:hAnsi="宋体" w:eastAsia="宋体" w:cs="宋体"/>
          <w:spacing w:val="2"/>
          <w:sz w:val="23"/>
          <w:szCs w:val="23"/>
        </w:rPr>
        <w:t>进行了采购 。经</w:t>
      </w:r>
      <w:r>
        <w:rPr>
          <w:rFonts w:hint="eastAsia" w:ascii="宋体" w:hAnsi="宋体" w:eastAsia="宋体" w:cs="宋体"/>
          <w:spacing w:val="2"/>
          <w:sz w:val="23"/>
          <w:szCs w:val="23"/>
          <w:lang w:eastAsia="zh-CN"/>
        </w:rPr>
        <w:t>评审</w:t>
      </w:r>
      <w:r>
        <w:rPr>
          <w:rFonts w:hint="eastAsia" w:ascii="宋体" w:hAnsi="宋体" w:eastAsia="宋体" w:cs="宋体"/>
          <w:spacing w:val="2"/>
          <w:sz w:val="23"/>
          <w:szCs w:val="23"/>
        </w:rPr>
        <w:t>委员会</w:t>
      </w:r>
      <w:r>
        <w:rPr>
          <w:rFonts w:hint="eastAsia" w:ascii="宋体" w:hAnsi="宋体" w:eastAsia="宋体" w:cs="宋体"/>
          <w:spacing w:val="2"/>
          <w:sz w:val="23"/>
          <w:szCs w:val="23"/>
          <w:lang w:val="en-US" w:eastAsia="zh-CN"/>
        </w:rPr>
        <w:t>。</w:t>
      </w:r>
      <w:r>
        <w:rPr>
          <w:rFonts w:hint="eastAsia" w:ascii="宋体" w:hAnsi="宋体" w:eastAsia="宋体" w:cs="宋体"/>
          <w:spacing w:val="2"/>
          <w:sz w:val="23"/>
          <w:szCs w:val="23"/>
        </w:rPr>
        <w:t>评定</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u w:val="single"/>
        </w:rPr>
        <w:t xml:space="preserve">               公司 </w:t>
      </w:r>
      <w:r>
        <w:rPr>
          <w:rFonts w:hint="eastAsia" w:ascii="宋体" w:hAnsi="宋体" w:eastAsia="宋体" w:cs="宋体"/>
          <w:spacing w:val="2"/>
          <w:sz w:val="23"/>
          <w:szCs w:val="23"/>
        </w:rPr>
        <w:t>为该项目</w:t>
      </w:r>
      <w:r>
        <w:rPr>
          <w:rFonts w:hint="eastAsia" w:ascii="宋体" w:hAnsi="宋体" w:eastAsia="宋体" w:cs="宋体"/>
          <w:spacing w:val="2"/>
          <w:sz w:val="23"/>
          <w:szCs w:val="23"/>
          <w:lang w:eastAsia="zh-CN"/>
        </w:rPr>
        <w:t>成交供应商</w:t>
      </w:r>
      <w:r>
        <w:rPr>
          <w:rFonts w:hint="eastAsia" w:ascii="宋体" w:hAnsi="宋体" w:eastAsia="宋体" w:cs="宋体"/>
          <w:spacing w:val="2"/>
          <w:sz w:val="23"/>
          <w:szCs w:val="23"/>
        </w:rPr>
        <w:t>。现于</w:t>
      </w:r>
      <w:r>
        <w:rPr>
          <w:rFonts w:hint="eastAsia" w:ascii="宋体" w:hAnsi="宋体" w:eastAsia="宋体" w:cs="宋体"/>
          <w:spacing w:val="2"/>
          <w:sz w:val="23"/>
          <w:szCs w:val="23"/>
          <w:lang w:eastAsia="zh-CN"/>
        </w:rPr>
        <w:t>成交通知书</w:t>
      </w:r>
      <w:r>
        <w:rPr>
          <w:rFonts w:hint="eastAsia" w:ascii="宋体" w:hAnsi="宋体" w:eastAsia="宋体" w:cs="宋体"/>
          <w:spacing w:val="2"/>
          <w:sz w:val="23"/>
          <w:szCs w:val="23"/>
        </w:rPr>
        <w:t>发出之日起三十日内</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 xml:space="preserve">  按照采购文件确定的事项签订本合同。</w:t>
      </w:r>
    </w:p>
    <w:p w14:paraId="4D4B090D">
      <w:pPr>
        <w:pageBreakBefore w:val="0"/>
        <w:kinsoku/>
        <w:topLinePunct w:val="0"/>
        <w:bidi w:val="0"/>
        <w:spacing w:line="326" w:lineRule="auto"/>
        <w:rPr>
          <w:rFonts w:hint="eastAsia" w:ascii="宋体" w:hAnsi="宋体" w:eastAsia="宋体" w:cs="宋体"/>
          <w:sz w:val="21"/>
        </w:rPr>
      </w:pPr>
    </w:p>
    <w:p w14:paraId="18E71A08">
      <w:pPr>
        <w:pageBreakBefore w:val="0"/>
        <w:kinsoku/>
        <w:topLinePunct w:val="0"/>
        <w:bidi w:val="0"/>
        <w:spacing w:before="98" w:line="334" w:lineRule="auto"/>
        <w:ind w:left="26" w:firstLine="465"/>
        <w:rPr>
          <w:rFonts w:hint="eastAsia" w:ascii="宋体" w:hAnsi="宋体" w:eastAsia="宋体" w:cs="宋体"/>
          <w:sz w:val="23"/>
          <w:szCs w:val="23"/>
        </w:rPr>
      </w:pPr>
      <w:r>
        <w:rPr>
          <w:rFonts w:hint="eastAsia" w:ascii="宋体" w:hAnsi="宋体" w:eastAsia="宋体" w:cs="宋体"/>
          <w:spacing w:val="-1"/>
          <w:sz w:val="23"/>
          <w:szCs w:val="23"/>
        </w:rPr>
        <w:t>根据《中华人民共和国合同法》、《中华人民共和国政府采购法》等相关法律法规之规定</w:t>
      </w:r>
      <w:r>
        <w:rPr>
          <w:rFonts w:hint="eastAsia" w:ascii="宋体" w:hAnsi="宋体" w:eastAsia="宋体" w:cs="宋体"/>
          <w:sz w:val="23"/>
          <w:szCs w:val="23"/>
          <w:lang w:eastAsia="zh-CN"/>
        </w:rPr>
        <w:t>，</w:t>
      </w:r>
      <w:r>
        <w:rPr>
          <w:rFonts w:hint="eastAsia" w:ascii="宋体" w:hAnsi="宋体" w:eastAsia="宋体" w:cs="宋体"/>
          <w:sz w:val="23"/>
          <w:szCs w:val="23"/>
        </w:rPr>
        <w:t xml:space="preserve">   按 </w:t>
      </w:r>
      <w:r>
        <w:rPr>
          <w:rFonts w:hint="eastAsia" w:ascii="宋体" w:hAnsi="宋体" w:eastAsia="宋体" w:cs="宋体"/>
          <w:spacing w:val="-16"/>
          <w:sz w:val="23"/>
          <w:szCs w:val="23"/>
        </w:rPr>
        <w:t>照</w:t>
      </w:r>
      <w:r>
        <w:rPr>
          <w:rFonts w:hint="eastAsia" w:ascii="宋体" w:hAnsi="宋体" w:eastAsia="宋体" w:cs="宋体"/>
          <w:spacing w:val="-11"/>
          <w:sz w:val="23"/>
          <w:szCs w:val="23"/>
        </w:rPr>
        <w:t>平</w:t>
      </w:r>
      <w:r>
        <w:rPr>
          <w:rFonts w:hint="eastAsia" w:ascii="宋体" w:hAnsi="宋体" w:eastAsia="宋体" w:cs="宋体"/>
          <w:spacing w:val="-8"/>
          <w:sz w:val="23"/>
          <w:szCs w:val="23"/>
        </w:rPr>
        <w:t>等、   自愿、公平和诚实信用的原则</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 xml:space="preserve">  经</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 xml:space="preserve"> (以下简称：   甲方)和</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 xml:space="preserve"> (以下简称：  乙方)</w:t>
      </w:r>
    </w:p>
    <w:p w14:paraId="4C0A1270">
      <w:pPr>
        <w:pageBreakBefore w:val="0"/>
        <w:kinsoku/>
        <w:topLinePunct w:val="0"/>
        <w:bidi w:val="0"/>
        <w:spacing w:line="191" w:lineRule="auto"/>
        <w:ind w:left="24"/>
        <w:rPr>
          <w:rFonts w:hint="eastAsia" w:ascii="宋体" w:hAnsi="宋体" w:eastAsia="宋体" w:cs="宋体"/>
          <w:sz w:val="23"/>
          <w:szCs w:val="23"/>
        </w:rPr>
      </w:pPr>
      <w:r>
        <w:rPr>
          <w:rFonts w:hint="eastAsia" w:ascii="宋体" w:hAnsi="宋体" w:eastAsia="宋体" w:cs="宋体"/>
          <w:spacing w:val="-4"/>
          <w:sz w:val="23"/>
          <w:szCs w:val="23"/>
        </w:rPr>
        <w:t>协商一致</w:t>
      </w:r>
      <w:r>
        <w:rPr>
          <w:rFonts w:hint="eastAsia" w:ascii="宋体" w:hAnsi="宋体" w:eastAsia="宋体" w:cs="宋体"/>
          <w:spacing w:val="-4"/>
          <w:sz w:val="23"/>
          <w:szCs w:val="23"/>
          <w:lang w:eastAsia="zh-CN"/>
        </w:rPr>
        <w:t>，</w:t>
      </w:r>
      <w:r>
        <w:rPr>
          <w:rFonts w:hint="eastAsia" w:ascii="宋体" w:hAnsi="宋体" w:eastAsia="宋体" w:cs="宋体"/>
          <w:spacing w:val="-4"/>
          <w:sz w:val="23"/>
          <w:szCs w:val="23"/>
        </w:rPr>
        <w:t xml:space="preserve">  约定以</w:t>
      </w:r>
      <w:r>
        <w:rPr>
          <w:rFonts w:hint="eastAsia" w:ascii="宋体" w:hAnsi="宋体" w:eastAsia="宋体" w:cs="宋体"/>
          <w:spacing w:val="-3"/>
          <w:sz w:val="23"/>
          <w:szCs w:val="23"/>
        </w:rPr>
        <w:t>下</w:t>
      </w:r>
      <w:r>
        <w:rPr>
          <w:rFonts w:hint="eastAsia" w:ascii="宋体" w:hAnsi="宋体" w:eastAsia="宋体" w:cs="宋体"/>
          <w:spacing w:val="-2"/>
          <w:sz w:val="23"/>
          <w:szCs w:val="23"/>
        </w:rPr>
        <w:t>合同条款</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以兹共同遵守、全面履行。</w:t>
      </w:r>
    </w:p>
    <w:p w14:paraId="2E12295D">
      <w:pPr>
        <w:pageBreakBefore w:val="0"/>
        <w:kinsoku/>
        <w:topLinePunct w:val="0"/>
        <w:bidi w:val="0"/>
        <w:spacing w:before="246" w:line="192" w:lineRule="auto"/>
        <w:ind w:left="528"/>
        <w:outlineLvl w:val="0"/>
        <w:rPr>
          <w:rFonts w:hint="eastAsia" w:ascii="宋体" w:hAnsi="宋体" w:eastAsia="宋体" w:cs="宋体"/>
          <w:sz w:val="23"/>
          <w:szCs w:val="23"/>
        </w:rPr>
      </w:pPr>
      <w:r>
        <w:rPr>
          <w:rFonts w:hint="eastAsia" w:ascii="宋体" w:hAnsi="宋体" w:eastAsia="宋体" w:cs="宋体"/>
          <w:spacing w:val="9"/>
          <w:sz w:val="23"/>
          <w:szCs w:val="23"/>
        </w:rPr>
        <w:t>1.1 合同组成部分</w:t>
      </w:r>
    </w:p>
    <w:p w14:paraId="479DA361">
      <w:pPr>
        <w:pageBreakBefore w:val="0"/>
        <w:kinsoku/>
        <w:topLinePunct w:val="0"/>
        <w:bidi w:val="0"/>
        <w:spacing w:before="260" w:line="337" w:lineRule="auto"/>
        <w:ind w:left="15" w:right="7" w:firstLine="497"/>
        <w:rPr>
          <w:rFonts w:hint="eastAsia" w:ascii="宋体" w:hAnsi="宋体" w:eastAsia="宋体" w:cs="宋体"/>
          <w:sz w:val="23"/>
          <w:szCs w:val="23"/>
        </w:rPr>
      </w:pPr>
      <w:r>
        <w:rPr>
          <w:rFonts w:hint="eastAsia" w:ascii="宋体" w:hAnsi="宋体" w:eastAsia="宋体" w:cs="宋体"/>
          <w:spacing w:val="2"/>
          <w:sz w:val="23"/>
          <w:szCs w:val="23"/>
        </w:rPr>
        <w:t>下列文件为本合同的组成部分</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并构成一个整体</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需综合解</w:t>
      </w:r>
      <w:r>
        <w:rPr>
          <w:rFonts w:hint="eastAsia" w:ascii="宋体" w:hAnsi="宋体" w:eastAsia="宋体" w:cs="宋体"/>
          <w:spacing w:val="1"/>
          <w:sz w:val="23"/>
          <w:szCs w:val="23"/>
        </w:rPr>
        <w:t>释、相互补充。如果下列文件内 容</w:t>
      </w:r>
      <w:r>
        <w:rPr>
          <w:rFonts w:hint="eastAsia" w:ascii="宋体" w:hAnsi="宋体" w:eastAsia="宋体" w:cs="宋体"/>
          <w:sz w:val="23"/>
          <w:szCs w:val="23"/>
        </w:rPr>
        <w:t xml:space="preserve"> </w:t>
      </w:r>
      <w:r>
        <w:rPr>
          <w:rFonts w:hint="eastAsia" w:ascii="宋体" w:hAnsi="宋体" w:eastAsia="宋体" w:cs="宋体"/>
          <w:spacing w:val="4"/>
          <w:sz w:val="23"/>
          <w:szCs w:val="23"/>
        </w:rPr>
        <w:t>出现不一致的情形</w:t>
      </w:r>
      <w:r>
        <w:rPr>
          <w:rFonts w:hint="eastAsia" w:ascii="宋体" w:hAnsi="宋体" w:eastAsia="宋体" w:cs="宋体"/>
          <w:spacing w:val="4"/>
          <w:sz w:val="23"/>
          <w:szCs w:val="23"/>
          <w:lang w:eastAsia="zh-CN"/>
        </w:rPr>
        <w:t>，</w:t>
      </w:r>
      <w:r>
        <w:rPr>
          <w:rFonts w:hint="eastAsia" w:ascii="宋体" w:hAnsi="宋体" w:eastAsia="宋体" w:cs="宋体"/>
          <w:spacing w:val="4"/>
          <w:sz w:val="23"/>
          <w:szCs w:val="23"/>
        </w:rPr>
        <w:t>那</w:t>
      </w:r>
      <w:r>
        <w:rPr>
          <w:rFonts w:hint="eastAsia" w:ascii="宋体" w:hAnsi="宋体" w:eastAsia="宋体" w:cs="宋体"/>
          <w:spacing w:val="2"/>
          <w:sz w:val="23"/>
          <w:szCs w:val="23"/>
        </w:rPr>
        <w:t>么在保证按照采购文件确定的事项的前提下</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 xml:space="preserve">  组成本合同的多个文件的</w:t>
      </w:r>
      <w:r>
        <w:rPr>
          <w:rFonts w:hint="eastAsia" w:ascii="宋体" w:hAnsi="宋体" w:eastAsia="宋体" w:cs="宋体"/>
          <w:sz w:val="23"/>
          <w:szCs w:val="23"/>
        </w:rPr>
        <w:t xml:space="preserve">   </w:t>
      </w:r>
      <w:r>
        <w:rPr>
          <w:rFonts w:hint="eastAsia" w:ascii="宋体" w:hAnsi="宋体" w:eastAsia="宋体" w:cs="宋体"/>
          <w:spacing w:val="9"/>
          <w:sz w:val="23"/>
          <w:szCs w:val="23"/>
        </w:rPr>
        <w:t>优</w:t>
      </w:r>
      <w:r>
        <w:rPr>
          <w:rFonts w:hint="eastAsia" w:ascii="宋体" w:hAnsi="宋体" w:eastAsia="宋体" w:cs="宋体"/>
          <w:spacing w:val="6"/>
          <w:sz w:val="23"/>
          <w:szCs w:val="23"/>
        </w:rPr>
        <w:t>先适用顺序如下：</w:t>
      </w:r>
    </w:p>
    <w:p w14:paraId="73CA89B1">
      <w:pPr>
        <w:pageBreakBefore w:val="0"/>
        <w:kinsoku/>
        <w:topLinePunct w:val="0"/>
        <w:bidi w:val="0"/>
        <w:spacing w:line="559" w:lineRule="exact"/>
        <w:ind w:left="528"/>
        <w:rPr>
          <w:rFonts w:hint="eastAsia" w:ascii="宋体" w:hAnsi="宋体" w:eastAsia="宋体" w:cs="宋体"/>
          <w:sz w:val="23"/>
          <w:szCs w:val="23"/>
        </w:rPr>
      </w:pPr>
      <w:r>
        <w:rPr>
          <w:rFonts w:hint="eastAsia" w:ascii="宋体" w:hAnsi="宋体" w:eastAsia="宋体" w:cs="宋体"/>
          <w:spacing w:val="15"/>
          <w:position w:val="25"/>
          <w:sz w:val="23"/>
          <w:szCs w:val="23"/>
        </w:rPr>
        <w:t>1</w:t>
      </w:r>
      <w:r>
        <w:rPr>
          <w:rFonts w:hint="eastAsia" w:ascii="宋体" w:hAnsi="宋体" w:eastAsia="宋体" w:cs="宋体"/>
          <w:spacing w:val="10"/>
          <w:position w:val="25"/>
          <w:sz w:val="23"/>
          <w:szCs w:val="23"/>
        </w:rPr>
        <w:t>.1.1 本合同及其补充合同、变更协议；</w:t>
      </w:r>
    </w:p>
    <w:p w14:paraId="30AB4443">
      <w:pPr>
        <w:pageBreakBefore w:val="0"/>
        <w:kinsoku/>
        <w:topLinePunct w:val="0"/>
        <w:bidi w:val="0"/>
        <w:spacing w:line="191" w:lineRule="auto"/>
        <w:ind w:left="528"/>
        <w:rPr>
          <w:rFonts w:hint="eastAsia" w:ascii="宋体" w:hAnsi="宋体" w:eastAsia="宋体" w:cs="宋体"/>
          <w:sz w:val="23"/>
          <w:szCs w:val="23"/>
        </w:rPr>
      </w:pPr>
      <w:r>
        <w:rPr>
          <w:rFonts w:hint="eastAsia" w:ascii="宋体" w:hAnsi="宋体" w:eastAsia="宋体" w:cs="宋体"/>
          <w:spacing w:val="4"/>
          <w:sz w:val="23"/>
          <w:szCs w:val="23"/>
        </w:rPr>
        <w:t>1</w:t>
      </w:r>
      <w:r>
        <w:rPr>
          <w:rFonts w:hint="eastAsia" w:ascii="宋体" w:hAnsi="宋体" w:eastAsia="宋体" w:cs="宋体"/>
          <w:spacing w:val="3"/>
          <w:sz w:val="23"/>
          <w:szCs w:val="23"/>
        </w:rPr>
        <w:t>.</w:t>
      </w:r>
      <w:r>
        <w:rPr>
          <w:rFonts w:hint="eastAsia" w:ascii="宋体" w:hAnsi="宋体" w:eastAsia="宋体" w:cs="宋体"/>
          <w:spacing w:val="2"/>
          <w:sz w:val="23"/>
          <w:szCs w:val="23"/>
        </w:rPr>
        <w:t xml:space="preserve">1.2   </w:t>
      </w:r>
      <w:r>
        <w:rPr>
          <w:rFonts w:hint="eastAsia" w:ascii="宋体" w:hAnsi="宋体" w:eastAsia="宋体" w:cs="宋体"/>
          <w:spacing w:val="2"/>
          <w:sz w:val="23"/>
          <w:szCs w:val="23"/>
          <w:lang w:eastAsia="zh-CN"/>
        </w:rPr>
        <w:t>成交通知书</w:t>
      </w:r>
      <w:r>
        <w:rPr>
          <w:rFonts w:hint="eastAsia" w:ascii="宋体" w:hAnsi="宋体" w:eastAsia="宋体" w:cs="宋体"/>
          <w:spacing w:val="2"/>
          <w:sz w:val="23"/>
          <w:szCs w:val="23"/>
        </w:rPr>
        <w:t>；</w:t>
      </w:r>
    </w:p>
    <w:p w14:paraId="6F8136C9">
      <w:pPr>
        <w:pageBreakBefore w:val="0"/>
        <w:kinsoku/>
        <w:topLinePunct w:val="0"/>
        <w:bidi w:val="0"/>
        <w:spacing w:before="245" w:line="557" w:lineRule="exact"/>
        <w:ind w:left="528"/>
        <w:rPr>
          <w:rFonts w:hint="eastAsia" w:ascii="宋体" w:hAnsi="宋体" w:eastAsia="宋体" w:cs="宋体"/>
          <w:sz w:val="23"/>
          <w:szCs w:val="23"/>
        </w:rPr>
      </w:pPr>
      <w:r>
        <w:rPr>
          <w:rFonts w:hint="eastAsia" w:ascii="宋体" w:hAnsi="宋体" w:eastAsia="宋体" w:cs="宋体"/>
          <w:spacing w:val="26"/>
          <w:position w:val="25"/>
          <w:sz w:val="23"/>
          <w:szCs w:val="23"/>
        </w:rPr>
        <w:t>1</w:t>
      </w:r>
      <w:r>
        <w:rPr>
          <w:rFonts w:hint="eastAsia" w:ascii="宋体" w:hAnsi="宋体" w:eastAsia="宋体" w:cs="宋体"/>
          <w:spacing w:val="14"/>
          <w:position w:val="25"/>
          <w:sz w:val="23"/>
          <w:szCs w:val="23"/>
        </w:rPr>
        <w:t>.</w:t>
      </w:r>
      <w:r>
        <w:rPr>
          <w:rFonts w:hint="eastAsia" w:ascii="宋体" w:hAnsi="宋体" w:eastAsia="宋体" w:cs="宋体"/>
          <w:spacing w:val="13"/>
          <w:position w:val="25"/>
          <w:sz w:val="23"/>
          <w:szCs w:val="23"/>
        </w:rPr>
        <w:t xml:space="preserve">1.3 </w:t>
      </w:r>
      <w:r>
        <w:rPr>
          <w:rFonts w:hint="eastAsia" w:ascii="宋体" w:hAnsi="宋体" w:eastAsia="宋体" w:cs="宋体"/>
          <w:spacing w:val="13"/>
          <w:position w:val="25"/>
          <w:sz w:val="23"/>
          <w:szCs w:val="23"/>
          <w:lang w:eastAsia="zh-CN"/>
        </w:rPr>
        <w:t>响应文件</w:t>
      </w:r>
      <w:r>
        <w:rPr>
          <w:rFonts w:hint="eastAsia" w:ascii="宋体" w:hAnsi="宋体" w:eastAsia="宋体" w:cs="宋体"/>
          <w:spacing w:val="13"/>
          <w:position w:val="25"/>
          <w:sz w:val="23"/>
          <w:szCs w:val="23"/>
        </w:rPr>
        <w:t>(含澄清或者说明文件)  ；</w:t>
      </w:r>
    </w:p>
    <w:p w14:paraId="687FCF6F">
      <w:pPr>
        <w:pageBreakBefore w:val="0"/>
        <w:kinsoku/>
        <w:topLinePunct w:val="0"/>
        <w:bidi w:val="0"/>
        <w:spacing w:before="1" w:line="186" w:lineRule="auto"/>
        <w:ind w:left="528"/>
        <w:rPr>
          <w:rFonts w:hint="eastAsia" w:ascii="宋体" w:hAnsi="宋体" w:eastAsia="宋体" w:cs="宋体"/>
          <w:sz w:val="23"/>
          <w:szCs w:val="23"/>
        </w:rPr>
      </w:pPr>
      <w:r>
        <w:rPr>
          <w:rFonts w:hint="eastAsia" w:ascii="宋体" w:hAnsi="宋体" w:eastAsia="宋体" w:cs="宋体"/>
          <w:spacing w:val="26"/>
          <w:sz w:val="23"/>
          <w:szCs w:val="23"/>
        </w:rPr>
        <w:t>1</w:t>
      </w:r>
      <w:r>
        <w:rPr>
          <w:rFonts w:hint="eastAsia" w:ascii="宋体" w:hAnsi="宋体" w:eastAsia="宋体" w:cs="宋体"/>
          <w:spacing w:val="14"/>
          <w:sz w:val="23"/>
          <w:szCs w:val="23"/>
        </w:rPr>
        <w:t>.</w:t>
      </w:r>
      <w:r>
        <w:rPr>
          <w:rFonts w:hint="eastAsia" w:ascii="宋体" w:hAnsi="宋体" w:eastAsia="宋体" w:cs="宋体"/>
          <w:spacing w:val="13"/>
          <w:sz w:val="23"/>
          <w:szCs w:val="23"/>
        </w:rPr>
        <w:t xml:space="preserve">1.4 </w:t>
      </w:r>
      <w:r>
        <w:rPr>
          <w:rFonts w:hint="eastAsia" w:ascii="宋体" w:hAnsi="宋体" w:eastAsia="宋体" w:cs="宋体"/>
          <w:spacing w:val="13"/>
          <w:sz w:val="23"/>
          <w:szCs w:val="23"/>
          <w:lang w:eastAsia="zh-CN"/>
        </w:rPr>
        <w:t>磋商文件</w:t>
      </w:r>
      <w:r>
        <w:rPr>
          <w:rFonts w:hint="eastAsia" w:ascii="宋体" w:hAnsi="宋体" w:eastAsia="宋体" w:cs="宋体"/>
          <w:spacing w:val="13"/>
          <w:sz w:val="23"/>
          <w:szCs w:val="23"/>
        </w:rPr>
        <w:t>(含澄清或者修改文件)  ；</w:t>
      </w:r>
    </w:p>
    <w:p w14:paraId="347C0EE8">
      <w:pPr>
        <w:pageBreakBefore w:val="0"/>
        <w:kinsoku/>
        <w:topLinePunct w:val="0"/>
        <w:bidi w:val="0"/>
        <w:spacing w:before="254" w:line="192" w:lineRule="auto"/>
        <w:ind w:left="528"/>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1"/>
          <w:sz w:val="23"/>
          <w:szCs w:val="23"/>
        </w:rPr>
        <w:t>.</w:t>
      </w:r>
      <w:r>
        <w:rPr>
          <w:rFonts w:hint="eastAsia" w:ascii="宋体" w:hAnsi="宋体" w:eastAsia="宋体" w:cs="宋体"/>
          <w:spacing w:val="9"/>
          <w:sz w:val="23"/>
          <w:szCs w:val="23"/>
        </w:rPr>
        <w:t>1.5 其他相关采购文件。</w:t>
      </w:r>
    </w:p>
    <w:p w14:paraId="207FA085">
      <w:pPr>
        <w:pageBreakBefore w:val="0"/>
        <w:kinsoku/>
        <w:topLinePunct w:val="0"/>
        <w:bidi w:val="0"/>
        <w:spacing w:before="254" w:line="193" w:lineRule="auto"/>
        <w:ind w:left="528"/>
        <w:outlineLvl w:val="0"/>
        <w:rPr>
          <w:rFonts w:hint="eastAsia" w:ascii="宋体" w:hAnsi="宋体" w:eastAsia="宋体" w:cs="宋体"/>
          <w:sz w:val="23"/>
          <w:szCs w:val="23"/>
        </w:rPr>
      </w:pPr>
      <w:r>
        <w:rPr>
          <w:rFonts w:hint="eastAsia" w:ascii="宋体" w:hAnsi="宋体" w:eastAsia="宋体" w:cs="宋体"/>
          <w:spacing w:val="1"/>
          <w:sz w:val="23"/>
          <w:szCs w:val="23"/>
        </w:rPr>
        <w:t>1</w:t>
      </w:r>
      <w:r>
        <w:rPr>
          <w:rFonts w:hint="eastAsia" w:ascii="宋体" w:hAnsi="宋体" w:eastAsia="宋体" w:cs="宋体"/>
          <w:sz w:val="23"/>
          <w:szCs w:val="23"/>
        </w:rPr>
        <w:t>.2  标的</w:t>
      </w:r>
    </w:p>
    <w:p w14:paraId="5250D439">
      <w:pPr>
        <w:pageBreakBefore w:val="0"/>
        <w:kinsoku/>
        <w:topLinePunct w:val="0"/>
        <w:bidi w:val="0"/>
        <w:spacing w:before="237" w:line="191" w:lineRule="auto"/>
        <w:ind w:left="550"/>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4"/>
          <w:sz w:val="23"/>
          <w:szCs w:val="23"/>
        </w:rPr>
        <w:t>.2.1 标的名称：               ；</w:t>
      </w:r>
    </w:p>
    <w:p w14:paraId="500CA7EC">
      <w:pPr>
        <w:pageBreakBefore w:val="0"/>
        <w:kinsoku/>
        <w:topLinePunct w:val="0"/>
        <w:bidi w:val="0"/>
        <w:spacing w:before="244" w:line="341" w:lineRule="auto"/>
        <w:ind w:left="528" w:right="1737"/>
        <w:rPr>
          <w:rFonts w:hint="eastAsia" w:ascii="宋体" w:hAnsi="宋体" w:eastAsia="宋体" w:cs="宋体"/>
          <w:sz w:val="23"/>
          <w:szCs w:val="23"/>
        </w:rPr>
      </w:pPr>
      <w:r>
        <w:rPr>
          <w:rFonts w:hint="eastAsia" w:ascii="宋体" w:hAnsi="宋体" w:eastAsia="宋体" w:cs="宋体"/>
          <w:spacing w:val="1"/>
          <w:sz w:val="23"/>
          <w:szCs w:val="23"/>
        </w:rPr>
        <w:t xml:space="preserve">1.2.2 标的数量：  </w:t>
      </w:r>
      <w:r>
        <w:rPr>
          <w:rFonts w:hint="eastAsia" w:ascii="宋体" w:hAnsi="宋体" w:eastAsia="宋体" w:cs="宋体"/>
          <w:spacing w:val="1"/>
          <w:sz w:val="23"/>
          <w:szCs w:val="23"/>
          <w:u w:val="single" w:color="auto"/>
        </w:rPr>
        <w:t xml:space="preserve">见明细                                            </w:t>
      </w:r>
      <w:r>
        <w:rPr>
          <w:rFonts w:hint="eastAsia" w:ascii="宋体" w:hAnsi="宋体" w:eastAsia="宋体" w:cs="宋体"/>
          <w:sz w:val="23"/>
          <w:szCs w:val="23"/>
        </w:rPr>
        <w:t xml:space="preserve"> </w:t>
      </w:r>
      <w:r>
        <w:rPr>
          <w:rFonts w:hint="eastAsia" w:ascii="宋体" w:hAnsi="宋体" w:eastAsia="宋体" w:cs="宋体"/>
          <w:spacing w:val="-1"/>
          <w:sz w:val="23"/>
          <w:szCs w:val="23"/>
        </w:rPr>
        <w:t>1.2.3 标的质量：</w:t>
      </w:r>
      <w:r>
        <w:rPr>
          <w:rFonts w:hint="eastAsia" w:ascii="宋体" w:hAnsi="宋体" w:eastAsia="宋体" w:cs="宋体"/>
          <w:spacing w:val="-1"/>
          <w:sz w:val="23"/>
          <w:szCs w:val="23"/>
          <w:u w:val="single" w:color="auto"/>
        </w:rPr>
        <w:t xml:space="preserve">                                                  </w:t>
      </w:r>
    </w:p>
    <w:p w14:paraId="693671D0">
      <w:pPr>
        <w:pageBreakBefore w:val="0"/>
        <w:kinsoku/>
        <w:topLinePunct w:val="0"/>
        <w:bidi w:val="0"/>
        <w:spacing w:line="191" w:lineRule="auto"/>
        <w:ind w:left="528"/>
        <w:outlineLvl w:val="0"/>
        <w:rPr>
          <w:rFonts w:hint="eastAsia" w:ascii="宋体" w:hAnsi="宋体" w:eastAsia="宋体" w:cs="宋体"/>
          <w:sz w:val="23"/>
          <w:szCs w:val="23"/>
        </w:rPr>
      </w:pPr>
      <w:r>
        <w:rPr>
          <w:rFonts w:hint="eastAsia" w:ascii="宋体" w:hAnsi="宋体" w:eastAsia="宋体" w:cs="宋体"/>
          <w:spacing w:val="-1"/>
          <w:sz w:val="23"/>
          <w:szCs w:val="23"/>
        </w:rPr>
        <w:t>1</w:t>
      </w:r>
      <w:r>
        <w:rPr>
          <w:rFonts w:hint="eastAsia" w:ascii="宋体" w:hAnsi="宋体" w:eastAsia="宋体" w:cs="宋体"/>
          <w:sz w:val="23"/>
          <w:szCs w:val="23"/>
        </w:rPr>
        <w:t>.3  价款</w:t>
      </w:r>
    </w:p>
    <w:p w14:paraId="4B24CE29">
      <w:pPr>
        <w:pageBreakBefore w:val="0"/>
        <w:kinsoku/>
        <w:topLinePunct w:val="0"/>
        <w:bidi w:val="0"/>
        <w:spacing w:before="254" w:line="333" w:lineRule="auto"/>
        <w:ind w:left="507"/>
        <w:rPr>
          <w:rFonts w:hint="eastAsia" w:ascii="宋体" w:hAnsi="宋体" w:eastAsia="宋体" w:cs="宋体"/>
          <w:sz w:val="23"/>
          <w:szCs w:val="23"/>
        </w:rPr>
      </w:pPr>
      <w:r>
        <w:rPr>
          <w:rFonts w:hint="eastAsia" w:ascii="宋体" w:hAnsi="宋体" w:eastAsia="宋体" w:cs="宋体"/>
          <w:spacing w:val="-6"/>
          <w:sz w:val="23"/>
          <w:szCs w:val="23"/>
        </w:rPr>
        <w:t>本合同总价为：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元(大写：</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w:t>
      </w:r>
      <w:r>
        <w:rPr>
          <w:rFonts w:hint="eastAsia" w:ascii="宋体" w:hAnsi="宋体" w:eastAsia="宋体" w:cs="宋体"/>
          <w:spacing w:val="-3"/>
          <w:sz w:val="23"/>
          <w:szCs w:val="23"/>
        </w:rPr>
        <w:t>。</w:t>
      </w:r>
    </w:p>
    <w:p w14:paraId="24CB58FD">
      <w:pPr>
        <w:pageBreakBefore w:val="0"/>
        <w:kinsoku/>
        <w:topLinePunct w:val="0"/>
        <w:bidi w:val="0"/>
        <w:spacing w:before="1" w:line="190" w:lineRule="auto"/>
        <w:ind w:left="504"/>
        <w:rPr>
          <w:rFonts w:hint="eastAsia" w:ascii="宋体" w:hAnsi="宋体" w:eastAsia="宋体" w:cs="宋体"/>
          <w:sz w:val="23"/>
          <w:szCs w:val="23"/>
        </w:rPr>
      </w:pPr>
      <w:r>
        <w:rPr>
          <w:rFonts w:hint="eastAsia" w:ascii="宋体" w:hAnsi="宋体" w:eastAsia="宋体" w:cs="宋体"/>
          <w:spacing w:val="3"/>
          <w:sz w:val="23"/>
          <w:szCs w:val="23"/>
        </w:rPr>
        <w:t>分</w:t>
      </w:r>
      <w:r>
        <w:rPr>
          <w:rFonts w:hint="eastAsia" w:ascii="宋体" w:hAnsi="宋体" w:eastAsia="宋体" w:cs="宋体"/>
          <w:spacing w:val="2"/>
          <w:sz w:val="23"/>
          <w:szCs w:val="23"/>
        </w:rPr>
        <w:t>项价格为：</w:t>
      </w:r>
    </w:p>
    <w:p w14:paraId="616795B1">
      <w:pPr>
        <w:pageBreakBefore w:val="0"/>
        <w:kinsoku/>
        <w:topLinePunct w:val="0"/>
        <w:bidi w:val="0"/>
        <w:rPr>
          <w:rFonts w:hint="eastAsia" w:ascii="宋体" w:hAnsi="宋体" w:eastAsia="宋体" w:cs="宋体"/>
        </w:rPr>
        <w:sectPr>
          <w:headerReference r:id="rId17" w:type="default"/>
          <w:footerReference r:id="rId18" w:type="default"/>
          <w:pgSz w:w="12235" w:h="15818"/>
          <w:pgMar w:top="1923" w:right="1067" w:bottom="960" w:left="1079" w:header="1909" w:footer="791" w:gutter="0"/>
          <w:pgNumType w:fmt="decimal"/>
          <w:cols w:space="720" w:num="1"/>
        </w:sectPr>
      </w:pPr>
    </w:p>
    <w:p w14:paraId="38047ABD">
      <w:pPr>
        <w:pageBreakBefore w:val="0"/>
        <w:kinsoku/>
        <w:topLinePunct w:val="0"/>
        <w:bidi w:val="0"/>
        <w:spacing w:before="240" w:line="341" w:lineRule="auto"/>
        <w:ind w:left="515" w:right="1745"/>
        <w:rPr>
          <w:rFonts w:hint="eastAsia" w:ascii="宋体" w:hAnsi="宋体" w:eastAsia="宋体" w:cs="宋体"/>
          <w:spacing w:val="-1"/>
          <w:sz w:val="23"/>
          <w:szCs w:val="23"/>
        </w:rPr>
      </w:pPr>
      <w:r>
        <w:rPr>
          <w:rFonts w:hint="eastAsia" w:ascii="宋体" w:hAnsi="宋体" w:eastAsia="宋体" w:cs="宋体"/>
          <w:spacing w:val="-1"/>
          <w:sz w:val="23"/>
          <w:szCs w:val="23"/>
        </w:rPr>
        <w:t>1.4 付款方式和发票开具方式</w:t>
      </w:r>
    </w:p>
    <w:p w14:paraId="46778BE4">
      <w:pPr>
        <w:pageBreakBefore w:val="0"/>
        <w:kinsoku/>
        <w:topLinePunct w:val="0"/>
        <w:bidi w:val="0"/>
        <w:spacing w:before="240" w:line="341" w:lineRule="auto"/>
        <w:ind w:left="515" w:right="1745"/>
        <w:rPr>
          <w:rFonts w:hint="eastAsia" w:ascii="宋体" w:hAnsi="宋体" w:eastAsia="宋体" w:cs="宋体"/>
          <w:spacing w:val="-1"/>
          <w:sz w:val="23"/>
          <w:szCs w:val="23"/>
        </w:rPr>
      </w:pPr>
      <w:r>
        <w:rPr>
          <w:rFonts w:hint="eastAsia" w:ascii="宋体" w:hAnsi="宋体" w:eastAsia="宋体" w:cs="宋体"/>
          <w:spacing w:val="-1"/>
          <w:sz w:val="23"/>
          <w:szCs w:val="23"/>
        </w:rPr>
        <w:t>1.4.1付款方式：   甲乙双方签订合同时约定 ;</w:t>
      </w:r>
    </w:p>
    <w:p w14:paraId="5B461086">
      <w:pPr>
        <w:pageBreakBefore w:val="0"/>
        <w:kinsoku/>
        <w:topLinePunct w:val="0"/>
        <w:bidi w:val="0"/>
        <w:spacing w:before="240" w:line="341" w:lineRule="auto"/>
        <w:ind w:left="515" w:right="1745"/>
        <w:rPr>
          <w:rFonts w:hint="eastAsia" w:ascii="宋体" w:hAnsi="宋体" w:eastAsia="宋体" w:cs="宋体"/>
          <w:sz w:val="23"/>
          <w:szCs w:val="23"/>
        </w:rPr>
      </w:pPr>
      <w:r>
        <w:rPr>
          <w:rFonts w:hint="eastAsia" w:ascii="宋体" w:hAnsi="宋体" w:eastAsia="宋体" w:cs="宋体"/>
          <w:spacing w:val="-1"/>
          <w:sz w:val="23"/>
          <w:szCs w:val="23"/>
        </w:rPr>
        <w:t>1.4.2 发票开具方式：</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p>
    <w:p w14:paraId="1F17F44D">
      <w:pPr>
        <w:pageBreakBefore w:val="0"/>
        <w:kinsoku/>
        <w:topLinePunct w:val="0"/>
        <w:bidi w:val="0"/>
        <w:spacing w:before="244" w:line="191" w:lineRule="auto"/>
        <w:ind w:left="515"/>
        <w:outlineLvl w:val="0"/>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9"/>
          <w:sz w:val="23"/>
          <w:szCs w:val="23"/>
        </w:rPr>
        <w:t>.5 履行期限、地点和方式</w:t>
      </w:r>
    </w:p>
    <w:p w14:paraId="366D9E66">
      <w:pPr>
        <w:pageBreakBefore w:val="0"/>
        <w:kinsoku/>
        <w:topLinePunct w:val="0"/>
        <w:bidi w:val="0"/>
        <w:spacing w:before="240" w:line="341" w:lineRule="auto"/>
        <w:ind w:left="515" w:right="1745"/>
        <w:rPr>
          <w:rFonts w:hint="eastAsia" w:ascii="宋体" w:hAnsi="宋体" w:eastAsia="宋体" w:cs="宋体"/>
          <w:sz w:val="23"/>
          <w:szCs w:val="23"/>
        </w:rPr>
      </w:pPr>
      <w:r>
        <w:rPr>
          <w:rFonts w:hint="eastAsia" w:ascii="宋体" w:hAnsi="宋体" w:eastAsia="宋体" w:cs="宋体"/>
          <w:spacing w:val="-1"/>
          <w:sz w:val="23"/>
          <w:szCs w:val="23"/>
        </w:rPr>
        <w:t>1.5.1 履行期限：</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1"/>
          <w:sz w:val="23"/>
          <w:szCs w:val="23"/>
        </w:rPr>
        <w:t xml:space="preserve">1.5.2 履行地点：  </w:t>
      </w:r>
      <w:r>
        <w:rPr>
          <w:rFonts w:hint="eastAsia" w:ascii="宋体" w:hAnsi="宋体" w:eastAsia="宋体" w:cs="宋体"/>
          <w:spacing w:val="1"/>
          <w:sz w:val="23"/>
          <w:szCs w:val="23"/>
          <w:u w:val="single" w:color="auto"/>
        </w:rPr>
        <w:t xml:space="preserve"> 甲方指定地点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1"/>
          <w:sz w:val="23"/>
          <w:szCs w:val="23"/>
        </w:rPr>
        <w:t xml:space="preserve">1.5.3 履行方式：  </w:t>
      </w:r>
      <w:r>
        <w:rPr>
          <w:rFonts w:hint="eastAsia" w:ascii="宋体" w:hAnsi="宋体" w:eastAsia="宋体" w:cs="宋体"/>
          <w:spacing w:val="1"/>
          <w:sz w:val="23"/>
          <w:szCs w:val="23"/>
          <w:u w:val="single" w:color="auto"/>
        </w:rPr>
        <w:t xml:space="preserve"> 甲方指定方式                       </w:t>
      </w:r>
      <w:r>
        <w:rPr>
          <w:rFonts w:hint="eastAsia" w:ascii="宋体" w:hAnsi="宋体" w:eastAsia="宋体" w:cs="宋体"/>
          <w:sz w:val="23"/>
          <w:szCs w:val="23"/>
          <w:u w:val="single" w:color="auto"/>
        </w:rPr>
        <w:t xml:space="preserve">                                       </w:t>
      </w:r>
    </w:p>
    <w:p w14:paraId="1E049E94">
      <w:pPr>
        <w:pageBreakBefore w:val="0"/>
        <w:kinsoku/>
        <w:topLinePunct w:val="0"/>
        <w:bidi w:val="0"/>
        <w:spacing w:before="2" w:line="191" w:lineRule="auto"/>
        <w:ind w:left="515"/>
        <w:outlineLvl w:val="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.6 违约责任</w:t>
      </w:r>
    </w:p>
    <w:p w14:paraId="6F805F2D">
      <w:pPr>
        <w:pageBreakBefore w:val="0"/>
        <w:kinsoku/>
        <w:topLinePunct w:val="0"/>
        <w:bidi w:val="0"/>
        <w:spacing w:before="256" w:line="340" w:lineRule="auto"/>
        <w:ind w:left="2" w:firstLine="512"/>
        <w:rPr>
          <w:rFonts w:hint="eastAsia" w:ascii="宋体" w:hAnsi="宋体" w:eastAsia="宋体" w:cs="宋体"/>
          <w:sz w:val="23"/>
          <w:szCs w:val="23"/>
        </w:rPr>
      </w:pPr>
      <w:r>
        <w:rPr>
          <w:rFonts w:hint="eastAsia" w:ascii="宋体" w:hAnsi="宋体" w:eastAsia="宋体" w:cs="宋体"/>
          <w:spacing w:val="4"/>
          <w:sz w:val="23"/>
          <w:szCs w:val="23"/>
        </w:rPr>
        <w:t>1.6.1  除不可抗</w:t>
      </w:r>
      <w:r>
        <w:rPr>
          <w:rFonts w:hint="eastAsia" w:ascii="宋体" w:hAnsi="宋体" w:eastAsia="宋体" w:cs="宋体"/>
          <w:spacing w:val="3"/>
          <w:sz w:val="23"/>
          <w:szCs w:val="23"/>
        </w:rPr>
        <w:t>力</w:t>
      </w:r>
      <w:r>
        <w:rPr>
          <w:rFonts w:hint="eastAsia" w:ascii="宋体" w:hAnsi="宋体" w:eastAsia="宋体" w:cs="宋体"/>
          <w:spacing w:val="2"/>
          <w:sz w:val="23"/>
          <w:szCs w:val="23"/>
        </w:rPr>
        <w:t>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任何一方未能履行本合同约定的其他主要义务</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经催告后在合理期限</w:t>
      </w:r>
      <w:r>
        <w:rPr>
          <w:rFonts w:hint="eastAsia" w:ascii="宋体" w:hAnsi="宋体" w:eastAsia="宋体" w:cs="宋体"/>
          <w:spacing w:val="3"/>
          <w:sz w:val="23"/>
          <w:szCs w:val="23"/>
        </w:rPr>
        <w:t>内仍未履行的</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或者任何一方有其他违约行为致使不能实现合同目的的</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或者任何一方有腐败</w:t>
      </w:r>
      <w:r>
        <w:rPr>
          <w:rFonts w:hint="eastAsia" w:ascii="宋体" w:hAnsi="宋体" w:eastAsia="宋体" w:cs="宋体"/>
          <w:spacing w:val="1"/>
          <w:sz w:val="23"/>
          <w:szCs w:val="23"/>
        </w:rPr>
        <w:t>行</w:t>
      </w:r>
      <w:r>
        <w:rPr>
          <w:rFonts w:hint="eastAsia" w:ascii="宋体" w:hAnsi="宋体" w:eastAsia="宋体" w:cs="宋体"/>
          <w:spacing w:val="18"/>
          <w:sz w:val="23"/>
          <w:szCs w:val="23"/>
        </w:rPr>
        <w:t>为(即</w:t>
      </w:r>
      <w:r>
        <w:rPr>
          <w:rFonts w:hint="eastAsia" w:ascii="宋体" w:hAnsi="宋体" w:eastAsia="宋体" w:cs="宋体"/>
          <w:spacing w:val="11"/>
          <w:sz w:val="23"/>
          <w:szCs w:val="23"/>
        </w:rPr>
        <w:t>：</w:t>
      </w:r>
      <w:r>
        <w:rPr>
          <w:rFonts w:hint="eastAsia" w:ascii="宋体" w:hAnsi="宋体" w:eastAsia="宋体" w:cs="宋体"/>
          <w:spacing w:val="9"/>
          <w:sz w:val="23"/>
          <w:szCs w:val="23"/>
        </w:rPr>
        <w:t>提供或给予或接受或索取任何财物或其他好处或者采取其他不正当手段来影响对方当事</w:t>
      </w:r>
      <w:r>
        <w:rPr>
          <w:rFonts w:hint="eastAsia" w:ascii="宋体" w:hAnsi="宋体" w:eastAsia="宋体" w:cs="宋体"/>
          <w:spacing w:val="8"/>
          <w:sz w:val="23"/>
          <w:szCs w:val="23"/>
        </w:rPr>
        <w:t>人在合同签订、履行过程中的行为)或者欺诈行为(即：以谎报事实或隐瞒真相的方法来影</w:t>
      </w:r>
      <w:r>
        <w:rPr>
          <w:rFonts w:hint="eastAsia" w:ascii="宋体" w:hAnsi="宋体" w:eastAsia="宋体" w:cs="宋体"/>
          <w:spacing w:val="7"/>
          <w:sz w:val="23"/>
          <w:szCs w:val="23"/>
        </w:rPr>
        <w:t>响</w:t>
      </w:r>
      <w:r>
        <w:rPr>
          <w:rFonts w:hint="eastAsia" w:ascii="宋体" w:hAnsi="宋体" w:eastAsia="宋体" w:cs="宋体"/>
          <w:sz w:val="23"/>
          <w:szCs w:val="23"/>
        </w:rPr>
        <w:t>对</w:t>
      </w:r>
      <w:r>
        <w:rPr>
          <w:rFonts w:hint="eastAsia" w:ascii="宋体" w:hAnsi="宋体" w:eastAsia="宋体" w:cs="宋体"/>
          <w:spacing w:val="10"/>
          <w:sz w:val="23"/>
          <w:szCs w:val="23"/>
        </w:rPr>
        <w:t>方当事人</w:t>
      </w:r>
      <w:r>
        <w:rPr>
          <w:rFonts w:hint="eastAsia" w:ascii="宋体" w:hAnsi="宋体" w:eastAsia="宋体" w:cs="宋体"/>
          <w:spacing w:val="7"/>
          <w:sz w:val="23"/>
          <w:szCs w:val="23"/>
        </w:rPr>
        <w:t>在</w:t>
      </w:r>
      <w:r>
        <w:rPr>
          <w:rFonts w:hint="eastAsia" w:ascii="宋体" w:hAnsi="宋体" w:eastAsia="宋体" w:cs="宋体"/>
          <w:spacing w:val="5"/>
          <w:sz w:val="23"/>
          <w:szCs w:val="23"/>
        </w:rPr>
        <w:t>合同签订、履行过程中的行为)的</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对方当事人可以书面通知违约方解除本合同；</w:t>
      </w:r>
    </w:p>
    <w:p w14:paraId="0AF83C9C">
      <w:pPr>
        <w:pageBreakBefore w:val="0"/>
        <w:kinsoku/>
        <w:topLinePunct w:val="0"/>
        <w:bidi w:val="0"/>
        <w:spacing w:line="340" w:lineRule="auto"/>
        <w:ind w:left="10" w:right="2" w:firstLine="505"/>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8"/>
          <w:sz w:val="23"/>
          <w:szCs w:val="23"/>
        </w:rPr>
        <w:t>.</w:t>
      </w:r>
      <w:r>
        <w:rPr>
          <w:rFonts w:hint="eastAsia" w:ascii="宋体" w:hAnsi="宋体" w:eastAsia="宋体" w:cs="宋体"/>
          <w:spacing w:val="7"/>
          <w:sz w:val="23"/>
          <w:szCs w:val="23"/>
        </w:rPr>
        <w:t>6.2 任何一方按照前述约定要求违约方支付违约金的同时</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仍有权要求违约方继续履行合</w:t>
      </w:r>
      <w:r>
        <w:rPr>
          <w:rFonts w:hint="eastAsia" w:ascii="宋体" w:hAnsi="宋体" w:eastAsia="宋体" w:cs="宋体"/>
          <w:spacing w:val="4"/>
          <w:sz w:val="23"/>
          <w:szCs w:val="23"/>
        </w:rPr>
        <w:t>同、采取补救</w:t>
      </w:r>
      <w:r>
        <w:rPr>
          <w:rFonts w:hint="eastAsia" w:ascii="宋体" w:hAnsi="宋体" w:eastAsia="宋体" w:cs="宋体"/>
          <w:spacing w:val="2"/>
          <w:sz w:val="23"/>
          <w:szCs w:val="23"/>
        </w:rPr>
        <w:t>措施</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并有权按照己方实际损失情况要求违约方赔偿损失；任何一方按照前述约定要</w:t>
      </w:r>
      <w:r>
        <w:rPr>
          <w:rFonts w:hint="eastAsia" w:ascii="宋体" w:hAnsi="宋体" w:eastAsia="宋体" w:cs="宋体"/>
          <w:spacing w:val="10"/>
          <w:sz w:val="23"/>
          <w:szCs w:val="23"/>
        </w:rPr>
        <w:t>求解除本</w:t>
      </w:r>
      <w:r>
        <w:rPr>
          <w:rFonts w:hint="eastAsia" w:ascii="宋体" w:hAnsi="宋体" w:eastAsia="宋体" w:cs="宋体"/>
          <w:spacing w:val="8"/>
          <w:sz w:val="23"/>
          <w:szCs w:val="23"/>
        </w:rPr>
        <w:t>合</w:t>
      </w:r>
      <w:r>
        <w:rPr>
          <w:rFonts w:hint="eastAsia" w:ascii="宋体" w:hAnsi="宋体" w:eastAsia="宋体" w:cs="宋体"/>
          <w:spacing w:val="5"/>
          <w:sz w:val="23"/>
          <w:szCs w:val="23"/>
        </w:rPr>
        <w:t>同的同时</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仍有权要求违约方支付违约金和按照己方实际损失情况要求违约方赔偿</w:t>
      </w:r>
      <w:r>
        <w:rPr>
          <w:rFonts w:hint="eastAsia" w:ascii="宋体" w:hAnsi="宋体" w:eastAsia="宋体" w:cs="宋体"/>
          <w:spacing w:val="6"/>
          <w:sz w:val="23"/>
          <w:szCs w:val="23"/>
        </w:rPr>
        <w:t>损失；且守约方行使的任何权利救济方式均不视为其放弃了其他法定或者约定的权利救济方</w:t>
      </w:r>
      <w:r>
        <w:rPr>
          <w:rFonts w:hint="eastAsia" w:ascii="宋体" w:hAnsi="宋体" w:eastAsia="宋体" w:cs="宋体"/>
          <w:spacing w:val="5"/>
          <w:sz w:val="23"/>
          <w:szCs w:val="23"/>
        </w:rPr>
        <w:t>式</w:t>
      </w:r>
      <w:r>
        <w:rPr>
          <w:rFonts w:hint="eastAsia" w:ascii="宋体" w:hAnsi="宋体" w:eastAsia="宋体" w:cs="宋体"/>
          <w:sz w:val="23"/>
          <w:szCs w:val="23"/>
        </w:rPr>
        <w:t>；</w:t>
      </w:r>
    </w:p>
    <w:p w14:paraId="545905E5">
      <w:pPr>
        <w:pageBreakBefore w:val="0"/>
        <w:kinsoku/>
        <w:topLinePunct w:val="0"/>
        <w:bidi w:val="0"/>
        <w:spacing w:line="346" w:lineRule="auto"/>
        <w:rPr>
          <w:rFonts w:hint="eastAsia" w:ascii="宋体" w:hAnsi="宋体" w:eastAsia="宋体" w:cs="宋体"/>
          <w:sz w:val="21"/>
        </w:rPr>
      </w:pPr>
      <w:r>
        <w:rPr>
          <w:rFonts w:hint="eastAsia" w:ascii="宋体" w:hAnsi="宋体" w:eastAsia="宋体" w:cs="宋体"/>
          <w:spacing w:val="4"/>
          <w:sz w:val="23"/>
          <w:szCs w:val="23"/>
        </w:rPr>
        <w:t>1</w:t>
      </w:r>
      <w:r>
        <w:rPr>
          <w:rFonts w:hint="eastAsia" w:ascii="宋体" w:hAnsi="宋体" w:eastAsia="宋体" w:cs="宋体"/>
          <w:spacing w:val="2"/>
          <w:sz w:val="23"/>
          <w:szCs w:val="23"/>
        </w:rPr>
        <w:t>.6.3  除前述约定外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除不可抗力外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任何一方未能履行本合同约定的义务</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对方当事人均有</w:t>
      </w:r>
      <w:r>
        <w:rPr>
          <w:rFonts w:hint="eastAsia" w:ascii="宋体" w:hAnsi="宋体" w:eastAsia="宋体" w:cs="宋体"/>
          <w:spacing w:val="6"/>
          <w:sz w:val="23"/>
          <w:szCs w:val="23"/>
        </w:rPr>
        <w:t>权要求继续履行、采取补救措施或者赔偿损失等</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且对方当事人行使的任何权利救济方式</w:t>
      </w:r>
      <w:r>
        <w:rPr>
          <w:rFonts w:hint="eastAsia" w:ascii="宋体" w:hAnsi="宋体" w:eastAsia="宋体" w:cs="宋体"/>
          <w:spacing w:val="4"/>
          <w:sz w:val="23"/>
          <w:szCs w:val="23"/>
        </w:rPr>
        <w:t>均</w:t>
      </w:r>
      <w:r>
        <w:rPr>
          <w:rFonts w:hint="eastAsia" w:ascii="宋体" w:hAnsi="宋体" w:eastAsia="宋体" w:cs="宋体"/>
          <w:sz w:val="23"/>
          <w:szCs w:val="23"/>
        </w:rPr>
        <w:t>不</w:t>
      </w:r>
      <w:r>
        <w:rPr>
          <w:rFonts w:hint="eastAsia" w:ascii="宋体" w:hAnsi="宋体" w:eastAsia="宋体" w:cs="宋体"/>
          <w:spacing w:val="13"/>
          <w:sz w:val="23"/>
          <w:szCs w:val="23"/>
        </w:rPr>
        <w:t>视</w:t>
      </w:r>
      <w:r>
        <w:rPr>
          <w:rFonts w:hint="eastAsia" w:ascii="宋体" w:hAnsi="宋体" w:eastAsia="宋体" w:cs="宋体"/>
          <w:spacing w:val="7"/>
          <w:sz w:val="23"/>
          <w:szCs w:val="23"/>
        </w:rPr>
        <w:t>为其放弃了其他法定或者约定的权利救济方式；</w:t>
      </w:r>
    </w:p>
    <w:p w14:paraId="13DBD702">
      <w:pPr>
        <w:pageBreakBefore w:val="0"/>
        <w:kinsoku/>
        <w:topLinePunct w:val="0"/>
        <w:bidi w:val="0"/>
        <w:spacing w:before="99" w:line="336" w:lineRule="auto"/>
        <w:ind w:left="4" w:right="2" w:firstLine="509"/>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8"/>
          <w:sz w:val="23"/>
          <w:szCs w:val="23"/>
        </w:rPr>
        <w:t>.</w:t>
      </w:r>
      <w:r>
        <w:rPr>
          <w:rFonts w:hint="eastAsia" w:ascii="宋体" w:hAnsi="宋体" w:eastAsia="宋体" w:cs="宋体"/>
          <w:spacing w:val="7"/>
          <w:sz w:val="23"/>
          <w:szCs w:val="23"/>
        </w:rPr>
        <w:t>6.4 如果出现政府采购监督管理部门在处理投诉事项期间</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书面通知甲方暂停采购活动的</w:t>
      </w:r>
      <w:r>
        <w:rPr>
          <w:rFonts w:hint="eastAsia" w:ascii="宋体" w:hAnsi="宋体" w:eastAsia="宋体" w:cs="宋体"/>
          <w:spacing w:val="-1"/>
          <w:sz w:val="23"/>
          <w:szCs w:val="23"/>
        </w:rPr>
        <w:t>情形</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或者询问或质疑事项可能影响中标结果的</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导致甲方</w:t>
      </w:r>
      <w:r>
        <w:rPr>
          <w:rFonts w:hint="eastAsia" w:ascii="宋体" w:hAnsi="宋体" w:eastAsia="宋体" w:cs="宋体"/>
          <w:sz w:val="23"/>
          <w:szCs w:val="23"/>
        </w:rPr>
        <w:t>中止履行合同的情形</w:t>
      </w:r>
      <w:r>
        <w:rPr>
          <w:rFonts w:hint="eastAsia" w:ascii="宋体" w:hAnsi="宋体" w:eastAsia="宋体" w:cs="宋体"/>
          <w:sz w:val="23"/>
          <w:szCs w:val="23"/>
          <w:lang w:eastAsia="zh-CN"/>
        </w:rPr>
        <w:t>，</w:t>
      </w:r>
      <w:r>
        <w:rPr>
          <w:rFonts w:hint="eastAsia" w:ascii="宋体" w:hAnsi="宋体" w:eastAsia="宋体" w:cs="宋体"/>
          <w:sz w:val="23"/>
          <w:szCs w:val="23"/>
        </w:rPr>
        <w:t>均不视为甲方</w:t>
      </w:r>
      <w:r>
        <w:rPr>
          <w:rFonts w:hint="eastAsia" w:ascii="宋体" w:hAnsi="宋体" w:eastAsia="宋体" w:cs="宋体"/>
          <w:spacing w:val="1"/>
          <w:sz w:val="23"/>
          <w:szCs w:val="23"/>
        </w:rPr>
        <w:t>违约。</w:t>
      </w:r>
    </w:p>
    <w:p w14:paraId="4842476C">
      <w:pPr>
        <w:pageBreakBefore w:val="0"/>
        <w:kinsoku/>
        <w:topLinePunct w:val="0"/>
        <w:bidi w:val="0"/>
        <w:spacing w:line="191" w:lineRule="auto"/>
        <w:ind w:left="516"/>
        <w:outlineLvl w:val="0"/>
        <w:rPr>
          <w:rFonts w:hint="eastAsia" w:ascii="宋体" w:hAnsi="宋体" w:eastAsia="宋体" w:cs="宋体"/>
          <w:sz w:val="23"/>
          <w:szCs w:val="23"/>
        </w:rPr>
      </w:pPr>
      <w:r>
        <w:rPr>
          <w:rFonts w:hint="eastAsia" w:ascii="宋体" w:hAnsi="宋体" w:eastAsia="宋体" w:cs="宋体"/>
          <w:spacing w:val="16"/>
          <w:sz w:val="23"/>
          <w:szCs w:val="23"/>
        </w:rPr>
        <w:t>1</w:t>
      </w:r>
      <w:r>
        <w:rPr>
          <w:rFonts w:hint="eastAsia" w:ascii="宋体" w:hAnsi="宋体" w:eastAsia="宋体" w:cs="宋体"/>
          <w:spacing w:val="8"/>
          <w:sz w:val="23"/>
          <w:szCs w:val="23"/>
        </w:rPr>
        <w:t>.7 合同争议的解决</w:t>
      </w:r>
    </w:p>
    <w:p w14:paraId="596A22A7">
      <w:pPr>
        <w:pageBreakBefore w:val="0"/>
        <w:kinsoku/>
        <w:topLinePunct w:val="0"/>
        <w:bidi w:val="0"/>
        <w:spacing w:before="223" w:line="347" w:lineRule="auto"/>
        <w:ind w:left="8" w:firstLine="508"/>
        <w:rPr>
          <w:rFonts w:hint="eastAsia" w:ascii="宋体" w:hAnsi="宋体" w:eastAsia="宋体" w:cs="宋体"/>
          <w:sz w:val="23"/>
          <w:szCs w:val="23"/>
        </w:rPr>
      </w:pPr>
      <w:r>
        <w:rPr>
          <w:rFonts w:hint="eastAsia" w:ascii="宋体" w:hAnsi="宋体" w:eastAsia="宋体" w:cs="宋体"/>
          <w:spacing w:val="2"/>
          <w:sz w:val="23"/>
          <w:szCs w:val="23"/>
        </w:rPr>
        <w:t>本合同履行过程中发生的任何争议</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双方当事人均可通过和解或者调解解决；不愿</w:t>
      </w:r>
      <w:r>
        <w:rPr>
          <w:rFonts w:hint="eastAsia" w:ascii="宋体" w:hAnsi="宋体" w:eastAsia="宋体" w:cs="宋体"/>
          <w:spacing w:val="1"/>
          <w:sz w:val="23"/>
          <w:szCs w:val="23"/>
        </w:rPr>
        <w:t>和</w:t>
      </w:r>
      <w:r>
        <w:rPr>
          <w:rFonts w:hint="eastAsia" w:ascii="宋体" w:hAnsi="宋体" w:eastAsia="宋体" w:cs="宋体"/>
          <w:sz w:val="23"/>
          <w:szCs w:val="23"/>
        </w:rPr>
        <w:t>解、调</w:t>
      </w:r>
      <w:r>
        <w:rPr>
          <w:rFonts w:hint="eastAsia" w:ascii="宋体" w:hAnsi="宋体" w:eastAsia="宋体" w:cs="宋体"/>
          <w:spacing w:val="3"/>
          <w:sz w:val="23"/>
          <w:szCs w:val="23"/>
        </w:rPr>
        <w:t>解</w:t>
      </w:r>
      <w:r>
        <w:rPr>
          <w:rFonts w:hint="eastAsia" w:ascii="宋体" w:hAnsi="宋体" w:eastAsia="宋体" w:cs="宋体"/>
          <w:spacing w:val="2"/>
          <w:sz w:val="23"/>
          <w:szCs w:val="23"/>
        </w:rPr>
        <w:t>或者和解、调解不成的</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可以选择下列第</w:t>
      </w:r>
      <w:r>
        <w:rPr>
          <w:rFonts w:hint="eastAsia" w:ascii="宋体" w:hAnsi="宋体" w:eastAsia="宋体" w:cs="宋体"/>
          <w:spacing w:val="2"/>
          <w:sz w:val="23"/>
          <w:szCs w:val="23"/>
          <w:u w:val="single" w:color="auto"/>
        </w:rPr>
        <w:t>二</w:t>
      </w:r>
      <w:r>
        <w:rPr>
          <w:rFonts w:hint="eastAsia" w:ascii="宋体" w:hAnsi="宋体" w:eastAsia="宋体" w:cs="宋体"/>
          <w:spacing w:val="2"/>
          <w:sz w:val="23"/>
          <w:szCs w:val="23"/>
        </w:rPr>
        <w:t>种方式解决：</w:t>
      </w:r>
    </w:p>
    <w:p w14:paraId="53790DD3">
      <w:pPr>
        <w:pageBreakBefore w:val="0"/>
        <w:kinsoku/>
        <w:topLinePunct w:val="0"/>
        <w:bidi w:val="0"/>
        <w:spacing w:before="1" w:line="190" w:lineRule="auto"/>
        <w:ind w:left="516"/>
        <w:rPr>
          <w:rFonts w:hint="eastAsia" w:ascii="宋体" w:hAnsi="宋体" w:eastAsia="宋体" w:cs="宋体"/>
          <w:sz w:val="23"/>
          <w:szCs w:val="23"/>
        </w:rPr>
      </w:pPr>
      <w:r>
        <w:rPr>
          <w:rFonts w:hint="eastAsia" w:ascii="宋体" w:hAnsi="宋体" w:eastAsia="宋体" w:cs="宋体"/>
          <w:spacing w:val="7"/>
          <w:sz w:val="23"/>
          <w:szCs w:val="23"/>
        </w:rPr>
        <w:t>1.7.1 将争议提交</w:t>
      </w:r>
      <w:r>
        <w:rPr>
          <w:rFonts w:hint="eastAsia" w:ascii="宋体" w:hAnsi="宋体" w:eastAsia="宋体" w:cs="宋体"/>
          <w:spacing w:val="7"/>
          <w:sz w:val="23"/>
          <w:szCs w:val="23"/>
          <w:u w:val="single" w:color="auto"/>
        </w:rPr>
        <w:t xml:space="preserve">        </w:t>
      </w:r>
      <w:r>
        <w:rPr>
          <w:rFonts w:hint="eastAsia" w:ascii="宋体" w:hAnsi="宋体" w:eastAsia="宋体" w:cs="宋体"/>
          <w:spacing w:val="7"/>
          <w:sz w:val="23"/>
          <w:szCs w:val="23"/>
        </w:rPr>
        <w:t xml:space="preserve"> 仲裁委员会依申请仲裁时其现行有效的仲裁规则裁决</w:t>
      </w:r>
      <w:r>
        <w:rPr>
          <w:rFonts w:hint="eastAsia" w:ascii="宋体" w:hAnsi="宋体" w:eastAsia="宋体" w:cs="宋体"/>
          <w:spacing w:val="3"/>
          <w:sz w:val="23"/>
          <w:szCs w:val="23"/>
        </w:rPr>
        <w:t>；</w:t>
      </w:r>
    </w:p>
    <w:p w14:paraId="436EB63F">
      <w:pPr>
        <w:pageBreakBefore w:val="0"/>
        <w:kinsoku/>
        <w:topLinePunct w:val="0"/>
        <w:bidi w:val="0"/>
        <w:spacing w:before="242" w:line="192" w:lineRule="auto"/>
        <w:ind w:left="516"/>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.7.2  向</w:t>
      </w:r>
      <w:r>
        <w:rPr>
          <w:rFonts w:hint="eastAsia" w:ascii="宋体" w:hAnsi="宋体" w:eastAsia="宋体" w:cs="宋体"/>
          <w:spacing w:val="5"/>
          <w:sz w:val="23"/>
          <w:szCs w:val="23"/>
          <w:u w:val="single" w:color="auto"/>
        </w:rPr>
        <w:t>合同履行地</w:t>
      </w:r>
      <w:r>
        <w:rPr>
          <w:rFonts w:hint="eastAsia" w:ascii="宋体" w:hAnsi="宋体" w:eastAsia="宋体" w:cs="宋体"/>
          <w:spacing w:val="5"/>
          <w:sz w:val="23"/>
          <w:szCs w:val="23"/>
        </w:rPr>
        <w:t>人民法院起诉。</w:t>
      </w:r>
    </w:p>
    <w:p w14:paraId="6A1337A3">
      <w:pPr>
        <w:pageBreakBefore w:val="0"/>
        <w:kinsoku/>
        <w:topLinePunct w:val="0"/>
        <w:bidi w:val="0"/>
        <w:spacing w:before="53" w:line="191" w:lineRule="auto"/>
        <w:ind w:left="516"/>
        <w:outlineLvl w:val="0"/>
        <w:rPr>
          <w:rFonts w:hint="eastAsia" w:ascii="宋体" w:hAnsi="宋体" w:eastAsia="宋体" w:cs="宋体"/>
          <w:sz w:val="23"/>
          <w:szCs w:val="23"/>
        </w:rPr>
      </w:pPr>
      <w:r>
        <w:rPr>
          <w:rFonts w:hint="eastAsia" w:ascii="宋体" w:hAnsi="宋体" w:eastAsia="宋体" w:cs="宋体"/>
          <w:spacing w:val="8"/>
          <w:sz w:val="23"/>
          <w:szCs w:val="23"/>
        </w:rPr>
        <w:t>1.8 合同生</w:t>
      </w:r>
      <w:r>
        <w:rPr>
          <w:rFonts w:hint="eastAsia" w:ascii="宋体" w:hAnsi="宋体" w:eastAsia="宋体" w:cs="宋体"/>
          <w:spacing w:val="7"/>
          <w:sz w:val="23"/>
          <w:szCs w:val="23"/>
        </w:rPr>
        <w:t>效</w:t>
      </w:r>
    </w:p>
    <w:p w14:paraId="58D0EAF1">
      <w:pPr>
        <w:pageBreakBefore w:val="0"/>
        <w:kinsoku/>
        <w:topLinePunct w:val="0"/>
        <w:bidi w:val="0"/>
        <w:spacing w:before="243" w:line="191" w:lineRule="auto"/>
        <w:ind w:left="494"/>
        <w:rPr>
          <w:rFonts w:hint="eastAsia" w:ascii="宋体" w:hAnsi="宋体" w:eastAsia="宋体" w:cs="宋体"/>
          <w:sz w:val="23"/>
          <w:szCs w:val="23"/>
        </w:rPr>
      </w:pPr>
      <w:r>
        <w:rPr>
          <w:rFonts w:hint="eastAsia" w:ascii="宋体" w:hAnsi="宋体" w:eastAsia="宋体" w:cs="宋体"/>
          <w:spacing w:val="9"/>
          <w:sz w:val="23"/>
          <w:szCs w:val="23"/>
        </w:rPr>
        <w:t>本</w:t>
      </w:r>
      <w:r>
        <w:rPr>
          <w:rFonts w:hint="eastAsia" w:ascii="宋体" w:hAnsi="宋体" w:eastAsia="宋体" w:cs="宋体"/>
          <w:spacing w:val="7"/>
          <w:sz w:val="23"/>
          <w:szCs w:val="23"/>
        </w:rPr>
        <w:t>合同自双方当事人盖章或者签字时生效。</w:t>
      </w:r>
    </w:p>
    <w:p w14:paraId="12B33129">
      <w:pPr>
        <w:pageBreakBefore w:val="0"/>
        <w:kinsoku/>
        <w:topLinePunct w:val="0"/>
        <w:bidi w:val="0"/>
        <w:rPr>
          <w:rFonts w:hint="eastAsia" w:ascii="宋体" w:hAnsi="宋体" w:eastAsia="宋体" w:cs="宋体"/>
        </w:rPr>
      </w:pPr>
    </w:p>
    <w:p w14:paraId="0805157E">
      <w:pPr>
        <w:pageBreakBefore w:val="0"/>
        <w:kinsoku/>
        <w:topLinePunct w:val="0"/>
        <w:bidi w:val="0"/>
        <w:spacing w:before="1" w:line="190" w:lineRule="auto"/>
        <w:ind w:left="516"/>
        <w:rPr>
          <w:rFonts w:hint="eastAsia" w:ascii="宋体" w:hAnsi="宋体" w:eastAsia="宋体" w:cs="宋体"/>
          <w:spacing w:val="7"/>
          <w:sz w:val="23"/>
          <w:szCs w:val="23"/>
        </w:rPr>
      </w:pPr>
    </w:p>
    <w:p w14:paraId="755D612E">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甲方：</w:t>
      </w:r>
      <w:r>
        <w:rPr>
          <w:rFonts w:hint="eastAsia" w:ascii="宋体" w:hAnsi="宋体" w:eastAsia="宋体" w:cs="宋体"/>
          <w:spacing w:val="7"/>
          <w:sz w:val="23"/>
          <w:szCs w:val="23"/>
          <w:lang w:val="en-US" w:eastAsia="zh-CN"/>
        </w:rPr>
        <w:t xml:space="preserve">                                                  乙</w:t>
      </w:r>
      <w:r>
        <w:rPr>
          <w:rFonts w:hint="eastAsia" w:ascii="宋体" w:hAnsi="宋体" w:eastAsia="宋体" w:cs="宋体"/>
          <w:spacing w:val="7"/>
          <w:sz w:val="23"/>
          <w:szCs w:val="23"/>
        </w:rPr>
        <w:t>方：</w:t>
      </w:r>
    </w:p>
    <w:p w14:paraId="39385498">
      <w:pPr>
        <w:pageBreakBefore w:val="0"/>
        <w:kinsoku/>
        <w:topLinePunct w:val="0"/>
        <w:bidi w:val="0"/>
        <w:spacing w:before="1" w:line="190" w:lineRule="auto"/>
        <w:ind w:left="516"/>
        <w:rPr>
          <w:rFonts w:hint="eastAsia" w:ascii="宋体" w:hAnsi="宋体" w:eastAsia="宋体" w:cs="宋体"/>
          <w:spacing w:val="7"/>
          <w:sz w:val="23"/>
          <w:szCs w:val="23"/>
        </w:rPr>
      </w:pPr>
    </w:p>
    <w:p w14:paraId="3165F52D">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法定代表人或授权代表(签字)  ：</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法定代表人或授权代表(签字)  ：</w:t>
      </w:r>
    </w:p>
    <w:p w14:paraId="05C6485A">
      <w:pPr>
        <w:pageBreakBefore w:val="0"/>
        <w:kinsoku/>
        <w:topLinePunct w:val="0"/>
        <w:bidi w:val="0"/>
        <w:spacing w:before="1" w:line="190" w:lineRule="auto"/>
        <w:ind w:left="516"/>
        <w:rPr>
          <w:rFonts w:hint="eastAsia" w:ascii="宋体" w:hAnsi="宋体" w:eastAsia="宋体" w:cs="宋体"/>
          <w:spacing w:val="7"/>
          <w:sz w:val="23"/>
          <w:szCs w:val="23"/>
        </w:rPr>
      </w:pPr>
    </w:p>
    <w:p w14:paraId="18C9E5B9">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联系人：</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联系人：</w:t>
      </w:r>
    </w:p>
    <w:p w14:paraId="2B7EC730">
      <w:pPr>
        <w:pageBreakBefore w:val="0"/>
        <w:kinsoku/>
        <w:topLinePunct w:val="0"/>
        <w:bidi w:val="0"/>
        <w:spacing w:before="1" w:line="190" w:lineRule="auto"/>
        <w:ind w:left="516"/>
        <w:rPr>
          <w:rFonts w:hint="eastAsia" w:ascii="宋体" w:hAnsi="宋体" w:eastAsia="宋体" w:cs="宋体"/>
          <w:spacing w:val="7"/>
          <w:sz w:val="23"/>
          <w:szCs w:val="23"/>
        </w:rPr>
      </w:pPr>
    </w:p>
    <w:p w14:paraId="74C8D1B9">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电话:</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电话:</w:t>
      </w:r>
    </w:p>
    <w:p w14:paraId="17DE026A">
      <w:pPr>
        <w:pageBreakBefore w:val="0"/>
        <w:kinsoku/>
        <w:topLinePunct w:val="0"/>
        <w:bidi w:val="0"/>
        <w:spacing w:before="1" w:line="190" w:lineRule="auto"/>
        <w:ind w:left="516"/>
        <w:rPr>
          <w:rFonts w:hint="eastAsia" w:ascii="宋体" w:hAnsi="宋体" w:eastAsia="宋体" w:cs="宋体"/>
          <w:spacing w:val="7"/>
          <w:sz w:val="23"/>
          <w:szCs w:val="23"/>
        </w:rPr>
      </w:pPr>
    </w:p>
    <w:p w14:paraId="3ECA1C44">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电子邮箱：</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电子邮箱：</w:t>
      </w:r>
    </w:p>
    <w:p w14:paraId="1D5B89F1">
      <w:pPr>
        <w:pageBreakBefore w:val="0"/>
        <w:kinsoku/>
        <w:topLinePunct w:val="0"/>
        <w:bidi w:val="0"/>
        <w:spacing w:before="1" w:line="190" w:lineRule="auto"/>
        <w:ind w:left="516"/>
        <w:rPr>
          <w:rFonts w:hint="eastAsia" w:ascii="宋体" w:hAnsi="宋体" w:eastAsia="宋体" w:cs="宋体"/>
          <w:spacing w:val="7"/>
          <w:sz w:val="23"/>
          <w:szCs w:val="23"/>
        </w:rPr>
      </w:pPr>
    </w:p>
    <w:p w14:paraId="04843A9D">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开户银行：</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开户银行：</w:t>
      </w:r>
    </w:p>
    <w:p w14:paraId="5C98C191">
      <w:pPr>
        <w:pageBreakBefore w:val="0"/>
        <w:kinsoku/>
        <w:topLinePunct w:val="0"/>
        <w:bidi w:val="0"/>
        <w:spacing w:before="1" w:line="190" w:lineRule="auto"/>
        <w:ind w:left="516"/>
        <w:rPr>
          <w:rFonts w:hint="eastAsia" w:ascii="宋体" w:hAnsi="宋体" w:eastAsia="宋体" w:cs="宋体"/>
          <w:spacing w:val="7"/>
          <w:sz w:val="23"/>
          <w:szCs w:val="23"/>
        </w:rPr>
      </w:pPr>
    </w:p>
    <w:p w14:paraId="2974A997">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开户名称：</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开户名称：</w:t>
      </w:r>
    </w:p>
    <w:p w14:paraId="787D61C5">
      <w:pPr>
        <w:pageBreakBefore w:val="0"/>
        <w:kinsoku/>
        <w:topLinePunct w:val="0"/>
        <w:bidi w:val="0"/>
        <w:spacing w:before="1" w:line="190" w:lineRule="auto"/>
        <w:ind w:left="516"/>
        <w:rPr>
          <w:rFonts w:hint="eastAsia" w:ascii="宋体" w:hAnsi="宋体" w:eastAsia="宋体" w:cs="宋体"/>
          <w:spacing w:val="7"/>
          <w:sz w:val="23"/>
          <w:szCs w:val="23"/>
        </w:rPr>
      </w:pPr>
    </w:p>
    <w:p w14:paraId="61C64A6B">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开户账号：</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开户账号：</w:t>
      </w:r>
    </w:p>
    <w:p w14:paraId="5A23607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8"/>
          <w:szCs w:val="36"/>
          <w:lang w:val="en-US" w:eastAsia="zh-CN"/>
        </w:rPr>
      </w:pPr>
    </w:p>
    <w:p w14:paraId="312F177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8"/>
          <w:szCs w:val="28"/>
        </w:rPr>
      </w:pPr>
      <w:r>
        <w:rPr>
          <w:rFonts w:hint="eastAsia" w:ascii="宋体" w:hAnsi="宋体" w:eastAsia="宋体" w:cs="宋体"/>
          <w:b/>
          <w:color w:val="auto"/>
          <w:sz w:val="28"/>
          <w:szCs w:val="28"/>
          <w:highlight w:val="none"/>
          <w:lang w:val="en-US" w:eastAsia="zh-CN"/>
        </w:rPr>
        <w:t>以上合同文本为合同样稿，最终稿由甲乙双方协商后确定</w:t>
      </w:r>
    </w:p>
    <w:sectPr>
      <w:footerReference r:id="rId19" w:type="default"/>
      <w:pgSz w:w="11905" w:h="16838"/>
      <w:pgMar w:top="1276" w:right="1814" w:bottom="1276" w:left="1814" w:header="567"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B359">
    <w:pPr>
      <w:spacing w:line="176" w:lineRule="auto"/>
      <w:ind w:left="460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219A">
    <w:pPr>
      <w:spacing w:line="184" w:lineRule="auto"/>
      <w:ind w:left="495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CD6C3">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CD6C3">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4DAC">
    <w:pPr>
      <w:spacing w:before="74" w:line="174"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8F1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3F83C">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F3F83C">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E8C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49D7">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B149D7">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989D">
    <w:pPr>
      <w:spacing w:after="168" w:line="43"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1056">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51056">
                    <w:pPr>
                      <w:pStyle w:val="6"/>
                    </w:pPr>
                    <w:r>
                      <w:fldChar w:fldCharType="begin"/>
                    </w:r>
                    <w:r>
                      <w:instrText xml:space="preserve"> PAGE  \* MERGEFORMAT </w:instrText>
                    </w:r>
                    <w:r>
                      <w:fldChar w:fldCharType="separate"/>
                    </w:r>
                    <w:r>
                      <w:t>64</w:t>
                    </w:r>
                    <w:r>
                      <w:fldChar w:fldCharType="end"/>
                    </w:r>
                  </w:p>
                </w:txbxContent>
              </v:textbox>
            </v:shape>
          </w:pict>
        </mc:Fallback>
      </mc:AlternateContent>
    </w:r>
  </w:p>
  <w:p w14:paraId="4A1FDBF7">
    <w:pPr>
      <w:spacing w:line="176" w:lineRule="auto"/>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E2D">
    <w:pPr>
      <w:spacing w:after="168" w:line="43"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E3147">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AE3147">
                    <w:pPr>
                      <w:pStyle w:val="6"/>
                    </w:pPr>
                    <w:r>
                      <w:fldChar w:fldCharType="begin"/>
                    </w:r>
                    <w:r>
                      <w:instrText xml:space="preserve"> PAGE  \* MERGEFORMAT </w:instrText>
                    </w:r>
                    <w:r>
                      <w:fldChar w:fldCharType="separate"/>
                    </w:r>
                    <w:r>
                      <w:t>65</w:t>
                    </w:r>
                    <w:r>
                      <w:fldChar w:fldCharType="end"/>
                    </w:r>
                  </w:p>
                </w:txbxContent>
              </v:textbox>
            </v:shape>
          </w:pict>
        </mc:Fallback>
      </mc:AlternateContent>
    </w:r>
  </w:p>
  <w:p w14:paraId="09603CFB">
    <w:pPr>
      <w:spacing w:line="176" w:lineRule="auto"/>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033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2221E">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A2221E">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A01C">
    <w:pPr>
      <w:spacing w:after="170" w:line="43"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DA84">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B2DA84">
                    <w:pPr>
                      <w:pStyle w:val="6"/>
                    </w:pPr>
                    <w:r>
                      <w:fldChar w:fldCharType="begin"/>
                    </w:r>
                    <w:r>
                      <w:instrText xml:space="preserve"> PAGE  \* MERGEFORMAT </w:instrText>
                    </w:r>
                    <w:r>
                      <w:fldChar w:fldCharType="separate"/>
                    </w:r>
                    <w:r>
                      <w:t>71</w:t>
                    </w:r>
                    <w:r>
                      <w:fldChar w:fldCharType="end"/>
                    </w:r>
                  </w:p>
                </w:txbxContent>
              </v:textbox>
            </v:shape>
          </w:pict>
        </mc:Fallback>
      </mc:AlternateContent>
    </w:r>
  </w:p>
  <w:p w14:paraId="4D12ED91">
    <w:pPr>
      <w:spacing w:line="173" w:lineRule="auto"/>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0111">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19CA6">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2419CA6">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E1E3">
    <w:pPr>
      <w:spacing w:line="183" w:lineRule="auto"/>
      <w:ind w:left="438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6852A">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96852A">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2C11">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CDCE">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7557">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8F86">
    <w:pPr>
      <w:spacing w:line="14" w:lineRule="exact"/>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M5ZGJmMzQ1YjcwNGJmNjc1YTRhNmU0NzUwYWZlOWUifQ=="/>
  </w:docVars>
  <w:rsids>
    <w:rsidRoot w:val="00000000"/>
    <w:rsid w:val="006360BD"/>
    <w:rsid w:val="006A331F"/>
    <w:rsid w:val="01C30F4E"/>
    <w:rsid w:val="022C3E83"/>
    <w:rsid w:val="02B16063"/>
    <w:rsid w:val="03D746CC"/>
    <w:rsid w:val="06DF5404"/>
    <w:rsid w:val="06DF7A00"/>
    <w:rsid w:val="07894D94"/>
    <w:rsid w:val="08624EAC"/>
    <w:rsid w:val="08A802CF"/>
    <w:rsid w:val="09C53F74"/>
    <w:rsid w:val="0A56785C"/>
    <w:rsid w:val="0A8C4462"/>
    <w:rsid w:val="0B8340F4"/>
    <w:rsid w:val="0C0A7891"/>
    <w:rsid w:val="0C8C0749"/>
    <w:rsid w:val="0D500C6D"/>
    <w:rsid w:val="0D894C89"/>
    <w:rsid w:val="0E0C4665"/>
    <w:rsid w:val="0E6C4283"/>
    <w:rsid w:val="10302BA9"/>
    <w:rsid w:val="111D4D94"/>
    <w:rsid w:val="11EA07B6"/>
    <w:rsid w:val="12B10E5E"/>
    <w:rsid w:val="13D1564A"/>
    <w:rsid w:val="140627FC"/>
    <w:rsid w:val="14A77623"/>
    <w:rsid w:val="14FF5B54"/>
    <w:rsid w:val="15001FCE"/>
    <w:rsid w:val="15F15AC1"/>
    <w:rsid w:val="15FE5EDE"/>
    <w:rsid w:val="169A5732"/>
    <w:rsid w:val="172F4AF3"/>
    <w:rsid w:val="17AB2BC0"/>
    <w:rsid w:val="17C47B21"/>
    <w:rsid w:val="17E64423"/>
    <w:rsid w:val="181109B7"/>
    <w:rsid w:val="18A44B4E"/>
    <w:rsid w:val="19170B59"/>
    <w:rsid w:val="19D9750D"/>
    <w:rsid w:val="1A3E6C81"/>
    <w:rsid w:val="1A824F3A"/>
    <w:rsid w:val="1B801CC8"/>
    <w:rsid w:val="1BFD50DB"/>
    <w:rsid w:val="1C031914"/>
    <w:rsid w:val="1C1465EC"/>
    <w:rsid w:val="1D5A37B5"/>
    <w:rsid w:val="1E277299"/>
    <w:rsid w:val="1EB20006"/>
    <w:rsid w:val="1F625134"/>
    <w:rsid w:val="1FC62A11"/>
    <w:rsid w:val="1FD70A2D"/>
    <w:rsid w:val="1FE94B65"/>
    <w:rsid w:val="20CE07A1"/>
    <w:rsid w:val="22193154"/>
    <w:rsid w:val="243303ED"/>
    <w:rsid w:val="243A6685"/>
    <w:rsid w:val="24F6231C"/>
    <w:rsid w:val="25473008"/>
    <w:rsid w:val="25643BBA"/>
    <w:rsid w:val="26985C75"/>
    <w:rsid w:val="27363334"/>
    <w:rsid w:val="276E48D2"/>
    <w:rsid w:val="2927172A"/>
    <w:rsid w:val="29DB01C2"/>
    <w:rsid w:val="2A532558"/>
    <w:rsid w:val="2B253DEB"/>
    <w:rsid w:val="2B5067BC"/>
    <w:rsid w:val="2C411A3E"/>
    <w:rsid w:val="2C426C66"/>
    <w:rsid w:val="2E187C37"/>
    <w:rsid w:val="2F9027ED"/>
    <w:rsid w:val="33A95A17"/>
    <w:rsid w:val="33D72BCA"/>
    <w:rsid w:val="34861547"/>
    <w:rsid w:val="35851C2B"/>
    <w:rsid w:val="36627F48"/>
    <w:rsid w:val="36CE5337"/>
    <w:rsid w:val="371745F4"/>
    <w:rsid w:val="37F6116E"/>
    <w:rsid w:val="38C61DEC"/>
    <w:rsid w:val="39736EA6"/>
    <w:rsid w:val="39900FC9"/>
    <w:rsid w:val="399D145A"/>
    <w:rsid w:val="39B50289"/>
    <w:rsid w:val="3A075EFA"/>
    <w:rsid w:val="3C663D2A"/>
    <w:rsid w:val="3DDA6CB7"/>
    <w:rsid w:val="3E3768DD"/>
    <w:rsid w:val="3E452870"/>
    <w:rsid w:val="3E643326"/>
    <w:rsid w:val="3E8973E0"/>
    <w:rsid w:val="3EB92D70"/>
    <w:rsid w:val="3EDA74FB"/>
    <w:rsid w:val="40206BE3"/>
    <w:rsid w:val="409B1E8D"/>
    <w:rsid w:val="40DC63FC"/>
    <w:rsid w:val="41872CB2"/>
    <w:rsid w:val="42500858"/>
    <w:rsid w:val="429813C4"/>
    <w:rsid w:val="42C9098E"/>
    <w:rsid w:val="42D40179"/>
    <w:rsid w:val="4315253F"/>
    <w:rsid w:val="44A409D6"/>
    <w:rsid w:val="458D6CC8"/>
    <w:rsid w:val="45D1235A"/>
    <w:rsid w:val="486067C3"/>
    <w:rsid w:val="487F0B87"/>
    <w:rsid w:val="48F549A5"/>
    <w:rsid w:val="4992760D"/>
    <w:rsid w:val="499907DA"/>
    <w:rsid w:val="49EB25FE"/>
    <w:rsid w:val="4A5760AD"/>
    <w:rsid w:val="4AD21992"/>
    <w:rsid w:val="4B077974"/>
    <w:rsid w:val="4D4E01B7"/>
    <w:rsid w:val="4D6D5452"/>
    <w:rsid w:val="4E47556D"/>
    <w:rsid w:val="4E8F36DE"/>
    <w:rsid w:val="4F00019C"/>
    <w:rsid w:val="4F0A2E10"/>
    <w:rsid w:val="4F1C324D"/>
    <w:rsid w:val="4F6939F7"/>
    <w:rsid w:val="4FFD541D"/>
    <w:rsid w:val="50026FE7"/>
    <w:rsid w:val="500C09D2"/>
    <w:rsid w:val="50322B6F"/>
    <w:rsid w:val="50C91618"/>
    <w:rsid w:val="50D96E8E"/>
    <w:rsid w:val="516D5D9B"/>
    <w:rsid w:val="51BD136F"/>
    <w:rsid w:val="52120376"/>
    <w:rsid w:val="523414D2"/>
    <w:rsid w:val="54B75204"/>
    <w:rsid w:val="552C5BF2"/>
    <w:rsid w:val="56F94C94"/>
    <w:rsid w:val="57F64097"/>
    <w:rsid w:val="583D3C73"/>
    <w:rsid w:val="584D7242"/>
    <w:rsid w:val="58E230FD"/>
    <w:rsid w:val="59007B03"/>
    <w:rsid w:val="5A3B68D8"/>
    <w:rsid w:val="5AD7215D"/>
    <w:rsid w:val="5C7F2AAC"/>
    <w:rsid w:val="5CAE3391"/>
    <w:rsid w:val="5DED33BD"/>
    <w:rsid w:val="5E8A398A"/>
    <w:rsid w:val="5F383D7A"/>
    <w:rsid w:val="5FD96238"/>
    <w:rsid w:val="5FF9014B"/>
    <w:rsid w:val="60680979"/>
    <w:rsid w:val="60762418"/>
    <w:rsid w:val="61415A5F"/>
    <w:rsid w:val="61F23D20"/>
    <w:rsid w:val="626F3907"/>
    <w:rsid w:val="627B2BFA"/>
    <w:rsid w:val="636837DF"/>
    <w:rsid w:val="63AD6150"/>
    <w:rsid w:val="64A16C91"/>
    <w:rsid w:val="65534AD5"/>
    <w:rsid w:val="658D6813"/>
    <w:rsid w:val="66546D57"/>
    <w:rsid w:val="68025B22"/>
    <w:rsid w:val="68654DE9"/>
    <w:rsid w:val="693F1321"/>
    <w:rsid w:val="69677B04"/>
    <w:rsid w:val="69E20907"/>
    <w:rsid w:val="6AE009A2"/>
    <w:rsid w:val="6BA936A1"/>
    <w:rsid w:val="6C993192"/>
    <w:rsid w:val="6DBE4C67"/>
    <w:rsid w:val="6E8A3FD5"/>
    <w:rsid w:val="6F960E0D"/>
    <w:rsid w:val="70295F76"/>
    <w:rsid w:val="70B30221"/>
    <w:rsid w:val="71124A12"/>
    <w:rsid w:val="72974A54"/>
    <w:rsid w:val="72BD3ED6"/>
    <w:rsid w:val="730648B7"/>
    <w:rsid w:val="73675D4A"/>
    <w:rsid w:val="737722D7"/>
    <w:rsid w:val="74161AF0"/>
    <w:rsid w:val="756C4FA9"/>
    <w:rsid w:val="75E672A0"/>
    <w:rsid w:val="76AA3530"/>
    <w:rsid w:val="77297B97"/>
    <w:rsid w:val="772E1708"/>
    <w:rsid w:val="77447D69"/>
    <w:rsid w:val="77B27DE0"/>
    <w:rsid w:val="78280DF2"/>
    <w:rsid w:val="783E7867"/>
    <w:rsid w:val="79057F76"/>
    <w:rsid w:val="7B0A6CF0"/>
    <w:rsid w:val="7B0F59D4"/>
    <w:rsid w:val="7BFE3CD9"/>
    <w:rsid w:val="7C665BBF"/>
    <w:rsid w:val="7C93052B"/>
    <w:rsid w:val="7CF6329A"/>
    <w:rsid w:val="7D736FFB"/>
    <w:rsid w:val="7D91302E"/>
    <w:rsid w:val="7E30220C"/>
    <w:rsid w:val="7E364F49"/>
    <w:rsid w:val="7E413C0D"/>
    <w:rsid w:val="7E9A7122"/>
    <w:rsid w:val="7F2B188D"/>
    <w:rsid w:val="7F2D4072"/>
    <w:rsid w:val="7F7B5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Plain Text"/>
    <w:basedOn w:val="1"/>
    <w:next w:val="4"/>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HTML Sample"/>
    <w:basedOn w:val="11"/>
    <w:autoRedefine/>
    <w:qFormat/>
    <w:uiPriority w:val="0"/>
    <w:rPr>
      <w:rFonts w:ascii="Courier New" w:hAnsi="Courier New"/>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仿宋" w:hAnsi="仿宋" w:eastAsia="仿宋" w:cs="仿宋"/>
      <w:sz w:val="24"/>
      <w:szCs w:val="24"/>
      <w:lang w:val="en-US" w:eastAsia="en-US" w:bidi="ar-SA"/>
    </w:rPr>
  </w:style>
  <w:style w:type="character" w:customStyle="1" w:styleId="17">
    <w:name w:val="font61"/>
    <w:basedOn w:val="11"/>
    <w:autoRedefine/>
    <w:qFormat/>
    <w:uiPriority w:val="0"/>
    <w:rPr>
      <w:rFonts w:ascii="方正小标宋简体" w:hAnsi="方正小标宋简体" w:eastAsia="方正小标宋简体" w:cs="方正小标宋简体"/>
      <w:color w:val="000000"/>
      <w:sz w:val="40"/>
      <w:szCs w:val="40"/>
      <w:u w:val="none"/>
    </w:rPr>
  </w:style>
  <w:style w:type="character" w:customStyle="1" w:styleId="18">
    <w:name w:val="font71"/>
    <w:basedOn w:val="11"/>
    <w:autoRedefine/>
    <w:qFormat/>
    <w:uiPriority w:val="0"/>
    <w:rPr>
      <w:rFonts w:hint="default" w:ascii="方正小标宋简体" w:hAnsi="方正小标宋简体" w:eastAsia="方正小标宋简体" w:cs="方正小标宋简体"/>
      <w:color w:val="000000"/>
      <w:sz w:val="20"/>
      <w:szCs w:val="20"/>
      <w:u w:val="none"/>
    </w:rPr>
  </w:style>
  <w:style w:type="character" w:customStyle="1" w:styleId="19">
    <w:name w:val="font81"/>
    <w:basedOn w:val="11"/>
    <w:autoRedefine/>
    <w:qFormat/>
    <w:uiPriority w:val="0"/>
    <w:rPr>
      <w:rFonts w:ascii="方正仿宋_GB2312" w:hAnsi="方正仿宋_GB2312" w:eastAsia="方正仿宋_GB2312" w:cs="方正仿宋_GB2312"/>
      <w:color w:val="000000"/>
      <w:sz w:val="20"/>
      <w:szCs w:val="20"/>
      <w:u w:val="none"/>
    </w:rPr>
  </w:style>
  <w:style w:type="character" w:customStyle="1" w:styleId="20">
    <w:name w:val="font31"/>
    <w:basedOn w:val="11"/>
    <w:autoRedefine/>
    <w:qFormat/>
    <w:uiPriority w:val="0"/>
    <w:rPr>
      <w:rFonts w:hint="default" w:ascii="Times New Roman" w:hAnsi="Times New Roman" w:cs="Times New Roman"/>
      <w:color w:val="000000"/>
      <w:sz w:val="20"/>
      <w:szCs w:val="20"/>
      <w:u w:val="none"/>
    </w:rPr>
  </w:style>
  <w:style w:type="character" w:customStyle="1" w:styleId="21">
    <w:name w:val="font91"/>
    <w:basedOn w:val="11"/>
    <w:autoRedefine/>
    <w:qFormat/>
    <w:uiPriority w:val="0"/>
    <w:rPr>
      <w:rFonts w:hint="default" w:ascii="Times New Roman" w:hAnsi="Times New Roman" w:cs="Times New Roman"/>
      <w:color w:val="000000"/>
      <w:sz w:val="20"/>
      <w:szCs w:val="20"/>
      <w:u w:val="none"/>
      <w:vertAlign w:val="superscript"/>
    </w:rPr>
  </w:style>
  <w:style w:type="character" w:customStyle="1" w:styleId="22">
    <w:name w:val="font101"/>
    <w:basedOn w:val="11"/>
    <w:autoRedefine/>
    <w:qFormat/>
    <w:uiPriority w:val="0"/>
    <w:rPr>
      <w:rFonts w:hint="default" w:ascii="Times New Roman" w:hAnsi="Times New Roman" w:cs="Times New Roman"/>
      <w:color w:val="000000"/>
      <w:sz w:val="20"/>
      <w:szCs w:val="20"/>
      <w:u w:val="none"/>
      <w:vertAlign w:val="subscript"/>
    </w:rPr>
  </w:style>
  <w:style w:type="character" w:customStyle="1" w:styleId="23">
    <w:name w:val="font112"/>
    <w:basedOn w:val="11"/>
    <w:autoRedefine/>
    <w:qFormat/>
    <w:uiPriority w:val="0"/>
    <w:rPr>
      <w:rFonts w:hint="default" w:ascii="方正仿宋_GB2312" w:hAnsi="方正仿宋_GB2312" w:eastAsia="方正仿宋_GB2312" w:cs="方正仿宋_GB2312"/>
      <w:color w:val="000000"/>
      <w:sz w:val="20"/>
      <w:szCs w:val="20"/>
      <w:u w:val="none"/>
      <w:vertAlign w:val="subscript"/>
    </w:rPr>
  </w:style>
  <w:style w:type="character" w:customStyle="1" w:styleId="24">
    <w:name w:val="font51"/>
    <w:basedOn w:val="11"/>
    <w:autoRedefine/>
    <w:qFormat/>
    <w:uiPriority w:val="0"/>
    <w:rPr>
      <w:rFonts w:hint="default" w:ascii="Times New Roman" w:hAnsi="Times New Roman" w:cs="Times New Roman"/>
      <w:color w:val="000000"/>
      <w:sz w:val="18"/>
      <w:szCs w:val="18"/>
      <w:u w:val="none"/>
    </w:rPr>
  </w:style>
  <w:style w:type="character" w:customStyle="1" w:styleId="25">
    <w:name w:val="font41"/>
    <w:basedOn w:val="11"/>
    <w:autoRedefine/>
    <w:qFormat/>
    <w:uiPriority w:val="0"/>
    <w:rPr>
      <w:rFonts w:hint="default" w:ascii="方正仿宋_GB2312" w:hAnsi="方正仿宋_GB2312" w:eastAsia="方正仿宋_GB2312" w:cs="方正仿宋_GB2312"/>
      <w:color w:val="000000"/>
      <w:sz w:val="18"/>
      <w:szCs w:val="18"/>
      <w:u w:val="none"/>
    </w:rPr>
  </w:style>
  <w:style w:type="character" w:customStyle="1" w:styleId="26">
    <w:name w:val="font121"/>
    <w:basedOn w:val="11"/>
    <w:autoRedefine/>
    <w:qFormat/>
    <w:uiPriority w:val="0"/>
    <w:rPr>
      <w:rFonts w:hint="default" w:ascii="Times New Roman" w:hAnsi="Times New Roman" w:cs="Times New Roman"/>
      <w:color w:val="000000"/>
      <w:sz w:val="18"/>
      <w:szCs w:val="18"/>
      <w:u w:val="none"/>
      <w:vertAlign w:val="subscript"/>
    </w:rPr>
  </w:style>
  <w:style w:type="paragraph" w:customStyle="1" w:styleId="27">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rPr>
  </w:style>
  <w:style w:type="paragraph" w:customStyle="1" w:styleId="28">
    <w:name w:val="_Style 5"/>
    <w:basedOn w:val="1"/>
    <w:qFormat/>
    <w:uiPriority w:val="1"/>
    <w:pPr>
      <w:ind w:left="1040" w:firstLine="559"/>
    </w:pPr>
    <w:rPr>
      <w:rFonts w:ascii="宋体" w:hAnsi="宋体" w:eastAsia="宋体" w:cs="宋体"/>
      <w:lang w:val="zh-CN" w:eastAsia="zh-CN" w:bidi="zh-CN"/>
    </w:rPr>
  </w:style>
  <w:style w:type="character" w:customStyle="1" w:styleId="29">
    <w:name w:val="样式 仿宋"/>
    <w:qFormat/>
    <w:uiPriority w:val="0"/>
    <w:rPr>
      <w:rFonts w:ascii="仿宋" w:hAnsi="仿宋" w:eastAsia="仿宋"/>
      <w:kern w:val="1"/>
    </w:rPr>
  </w:style>
  <w:style w:type="paragraph" w:customStyle="1" w:styleId="30">
    <w:name w:val="Default"/>
    <w:basedOn w:val="5"/>
    <w:next w:val="1"/>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31">
    <w:name w:val="标书正文"/>
    <w:basedOn w:val="1"/>
    <w:qFormat/>
    <w:uiPriority w:val="0"/>
    <w:pPr>
      <w:spacing w:line="360" w:lineRule="auto"/>
      <w:ind w:firstLine="497" w:firstLineChars="207"/>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17.png"/><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png"/><Relationship Id="rId31" Type="http://schemas.openxmlformats.org/officeDocument/2006/relationships/image" Target="media/image11.png"/><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12653</Words>
  <Characters>13540</Characters>
  <TotalTime>5</TotalTime>
  <ScaleCrop>false</ScaleCrop>
  <LinksUpToDate>false</LinksUpToDate>
  <CharactersWithSpaces>13868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2024-04-22T12:41:00Z</dcterms:created>
  <dc:creator>USER</dc:creator>
  <cp:lastModifiedBy>漂泊的狼</cp:lastModifiedBy>
  <cp:lastPrinted>2024-09-12T09:10:00Z</cp:lastPrinted>
  <dcterms:modified xsi:type="dcterms:W3CDTF">2024-11-11T02:31:33Z</dcterms:modified>
  <dc:title>政协统办一号楼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2024-04-22T15:33:46Z</vt:filetime>
  </property>
  <property fmtid="{D5CDD505-2E9C-101B-9397-08002B2CF9AE}" pid="4" name="KSOProductBuildVer">
    <vt:lpwstr>2052-12.1.0.18608</vt:lpwstr>
  </property>
  <property fmtid="{D5CDD505-2E9C-101B-9397-08002B2CF9AE}" pid="5" name="ICV">
    <vt:lpwstr>096AF4E026A641DC8A824A6CDBF5B3D1_13</vt:lpwstr>
  </property>
</Properties>
</file>