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250A8">
      <w:pPr>
        <w:widowControl/>
        <w:spacing w:line="360" w:lineRule="auto"/>
        <w:jc w:val="center"/>
        <w:rPr>
          <w:rFonts w:ascii="Arial" w:hAnsi="Arial" w:cs="Arial"/>
          <w:b/>
          <w:color w:val="auto"/>
          <w:kern w:val="0"/>
          <w:sz w:val="48"/>
          <w:szCs w:val="48"/>
          <w:highlight w:val="none"/>
        </w:rPr>
      </w:pPr>
    </w:p>
    <w:p w14:paraId="1BE43F7F">
      <w:pPr>
        <w:widowControl/>
        <w:spacing w:line="360" w:lineRule="auto"/>
        <w:jc w:val="center"/>
        <w:rPr>
          <w:rFonts w:ascii="Arial" w:hAnsi="Arial" w:cs="Arial"/>
          <w:b/>
          <w:color w:val="auto"/>
          <w:kern w:val="0"/>
          <w:sz w:val="48"/>
          <w:szCs w:val="48"/>
          <w:highlight w:val="none"/>
        </w:rPr>
      </w:pPr>
    </w:p>
    <w:p w14:paraId="1A9813BA">
      <w:pPr>
        <w:widowControl/>
        <w:spacing w:line="360" w:lineRule="auto"/>
        <w:jc w:val="center"/>
        <w:rPr>
          <w:rFonts w:ascii="Arial" w:hAnsi="Arial" w:cs="Arial"/>
          <w:b/>
          <w:color w:val="auto"/>
          <w:kern w:val="0"/>
          <w:sz w:val="48"/>
          <w:szCs w:val="48"/>
          <w:highlight w:val="none"/>
        </w:rPr>
      </w:pPr>
    </w:p>
    <w:p w14:paraId="78296099">
      <w:pPr>
        <w:widowControl/>
        <w:spacing w:line="360" w:lineRule="auto"/>
        <w:rPr>
          <w:rFonts w:ascii="Arial" w:hAnsi="Arial" w:cs="Arial"/>
          <w:b/>
          <w:color w:val="auto"/>
          <w:kern w:val="0"/>
          <w:sz w:val="48"/>
          <w:szCs w:val="48"/>
          <w:highlight w:val="none"/>
        </w:rPr>
      </w:pPr>
    </w:p>
    <w:p w14:paraId="50623A7A">
      <w:pPr>
        <w:widowControl/>
        <w:spacing w:line="360" w:lineRule="auto"/>
        <w:jc w:val="center"/>
        <w:rPr>
          <w:rFonts w:ascii="Arial" w:hAnsi="Arial" w:eastAsia="黑体" w:cs="Arial"/>
          <w:b/>
          <w:color w:val="auto"/>
          <w:sz w:val="48"/>
          <w:szCs w:val="48"/>
          <w:highlight w:val="none"/>
        </w:rPr>
      </w:pPr>
      <w:r>
        <w:rPr>
          <w:rFonts w:hint="eastAsia" w:ascii="Arial" w:hAnsi="Arial" w:eastAsia="黑体" w:cs="Arial"/>
          <w:b/>
          <w:color w:val="auto"/>
          <w:sz w:val="48"/>
          <w:szCs w:val="48"/>
          <w:highlight w:val="none"/>
        </w:rPr>
        <w:t>东南大学</w:t>
      </w:r>
    </w:p>
    <w:p w14:paraId="0794E26E">
      <w:pPr>
        <w:widowControl/>
        <w:spacing w:line="360" w:lineRule="auto"/>
        <w:jc w:val="center"/>
        <w:rPr>
          <w:rFonts w:ascii="Arial" w:hAnsi="Arial" w:eastAsia="黑体" w:cs="Arial"/>
          <w:b/>
          <w:color w:val="auto"/>
          <w:sz w:val="48"/>
          <w:szCs w:val="48"/>
          <w:highlight w:val="none"/>
        </w:rPr>
      </w:pPr>
      <w:r>
        <w:rPr>
          <w:rFonts w:hint="eastAsia" w:ascii="Arial" w:hAnsi="Arial" w:eastAsia="黑体" w:cs="Arial"/>
          <w:b/>
          <w:color w:val="auto"/>
          <w:sz w:val="48"/>
          <w:szCs w:val="48"/>
          <w:highlight w:val="none"/>
          <w:lang w:val="zh-CN"/>
        </w:rPr>
        <w:t>总务处人文社科科研楼会议室设备与集成服务采购项目</w:t>
      </w:r>
    </w:p>
    <w:p w14:paraId="7B2858AF">
      <w:pPr>
        <w:widowControl/>
        <w:spacing w:line="360" w:lineRule="auto"/>
        <w:rPr>
          <w:rFonts w:ascii="Arial" w:hAnsi="Arial" w:cs="Arial"/>
          <w:b/>
          <w:color w:val="auto"/>
          <w:kern w:val="0"/>
          <w:sz w:val="32"/>
          <w:szCs w:val="32"/>
          <w:highlight w:val="none"/>
        </w:rPr>
      </w:pPr>
    </w:p>
    <w:p w14:paraId="65A02E46">
      <w:pPr>
        <w:widowControl/>
        <w:spacing w:line="360" w:lineRule="auto"/>
        <w:jc w:val="center"/>
        <w:rPr>
          <w:rFonts w:ascii="Arial" w:hAnsi="Arial" w:cs="Arial"/>
          <w:b/>
          <w:color w:val="auto"/>
          <w:kern w:val="0"/>
          <w:sz w:val="72"/>
          <w:szCs w:val="72"/>
          <w:highlight w:val="none"/>
        </w:rPr>
      </w:pPr>
    </w:p>
    <w:p w14:paraId="4AF166A8">
      <w:pPr>
        <w:widowControl/>
        <w:spacing w:line="360" w:lineRule="auto"/>
        <w:jc w:val="center"/>
        <w:rPr>
          <w:rFonts w:ascii="Arial" w:hAnsi="Arial" w:cs="Arial"/>
          <w:b/>
          <w:color w:val="auto"/>
          <w:kern w:val="0"/>
          <w:sz w:val="72"/>
          <w:szCs w:val="72"/>
          <w:highlight w:val="none"/>
        </w:rPr>
      </w:pPr>
    </w:p>
    <w:p w14:paraId="35130AA3">
      <w:pPr>
        <w:widowControl/>
        <w:spacing w:line="360" w:lineRule="auto"/>
        <w:jc w:val="center"/>
        <w:rPr>
          <w:rFonts w:ascii="Arial" w:hAnsi="Arial" w:cs="Arial"/>
          <w:b/>
          <w:color w:val="auto"/>
          <w:kern w:val="0"/>
          <w:sz w:val="72"/>
          <w:szCs w:val="72"/>
          <w:highlight w:val="none"/>
        </w:rPr>
      </w:pPr>
      <w:r>
        <w:rPr>
          <w:rFonts w:ascii="Arial" w:hAnsi="宋体" w:cs="Arial"/>
          <w:b/>
          <w:color w:val="auto"/>
          <w:kern w:val="0"/>
          <w:sz w:val="72"/>
          <w:szCs w:val="72"/>
          <w:highlight w:val="none"/>
        </w:rPr>
        <w:t>招</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标</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文</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件</w:t>
      </w:r>
    </w:p>
    <w:p w14:paraId="0A5C209D">
      <w:pPr>
        <w:widowControl/>
        <w:spacing w:line="360" w:lineRule="auto"/>
        <w:jc w:val="center"/>
        <w:rPr>
          <w:rFonts w:ascii="Arial" w:hAnsi="Arial" w:cs="Arial"/>
          <w:b/>
          <w:color w:val="auto"/>
          <w:kern w:val="0"/>
          <w:sz w:val="36"/>
          <w:szCs w:val="36"/>
          <w:highlight w:val="none"/>
        </w:rPr>
      </w:pPr>
    </w:p>
    <w:p w14:paraId="4E4813AA">
      <w:pPr>
        <w:widowControl/>
        <w:spacing w:line="360" w:lineRule="auto"/>
        <w:jc w:val="center"/>
        <w:rPr>
          <w:rFonts w:ascii="Arial" w:hAnsi="Arial" w:cs="Arial"/>
          <w:b/>
          <w:color w:val="auto"/>
          <w:kern w:val="0"/>
          <w:sz w:val="36"/>
          <w:szCs w:val="36"/>
          <w:highlight w:val="none"/>
        </w:rPr>
      </w:pPr>
    </w:p>
    <w:p w14:paraId="19419E53">
      <w:pPr>
        <w:widowControl/>
        <w:spacing w:line="360" w:lineRule="auto"/>
        <w:jc w:val="center"/>
        <w:rPr>
          <w:rFonts w:ascii="Arial" w:hAnsi="Arial" w:cs="Arial"/>
          <w:b/>
          <w:color w:val="auto"/>
          <w:kern w:val="0"/>
          <w:sz w:val="36"/>
          <w:szCs w:val="36"/>
          <w:highlight w:val="none"/>
        </w:rPr>
      </w:pPr>
      <w:r>
        <w:rPr>
          <w:rFonts w:ascii="Arial" w:hAnsi="宋体" w:cs="Arial"/>
          <w:b/>
          <w:color w:val="auto"/>
          <w:kern w:val="0"/>
          <w:sz w:val="36"/>
          <w:szCs w:val="36"/>
          <w:highlight w:val="none"/>
        </w:rPr>
        <w:t>项目编号：</w:t>
      </w:r>
      <w:r>
        <w:rPr>
          <w:rFonts w:hint="eastAsia" w:ascii="Arial" w:hAnsi="宋体" w:cs="Arial"/>
          <w:b/>
          <w:color w:val="auto"/>
          <w:kern w:val="0"/>
          <w:sz w:val="36"/>
          <w:szCs w:val="36"/>
          <w:highlight w:val="none"/>
        </w:rPr>
        <w:t>JC203224M63483</w:t>
      </w:r>
      <w:r>
        <w:rPr>
          <w:rFonts w:ascii="Arial" w:hAnsi="Arial" w:cs="Arial"/>
          <w:b/>
          <w:color w:val="auto"/>
          <w:kern w:val="0"/>
          <w:sz w:val="36"/>
          <w:szCs w:val="36"/>
          <w:highlight w:val="none"/>
        </w:rPr>
        <w:t xml:space="preserve">  </w:t>
      </w:r>
    </w:p>
    <w:p w14:paraId="32A64A88">
      <w:pPr>
        <w:widowControl/>
        <w:spacing w:line="360" w:lineRule="auto"/>
        <w:jc w:val="center"/>
        <w:rPr>
          <w:rFonts w:ascii="Arial" w:hAnsi="Arial" w:cs="Arial"/>
          <w:b/>
          <w:color w:val="auto"/>
          <w:kern w:val="0"/>
          <w:sz w:val="72"/>
          <w:szCs w:val="72"/>
          <w:highlight w:val="none"/>
        </w:rPr>
      </w:pPr>
    </w:p>
    <w:p w14:paraId="101007D0">
      <w:pPr>
        <w:widowControl/>
        <w:spacing w:line="360" w:lineRule="auto"/>
        <w:rPr>
          <w:rFonts w:ascii="Arial" w:hAnsi="Arial" w:cs="Arial"/>
          <w:color w:val="auto"/>
          <w:kern w:val="0"/>
          <w:sz w:val="44"/>
          <w:szCs w:val="44"/>
          <w:highlight w:val="none"/>
        </w:rPr>
      </w:pPr>
      <w:r>
        <w:rPr>
          <w:rFonts w:ascii="Arial" w:hAnsi="Arial" w:cs="Arial"/>
          <w:color w:val="auto"/>
          <w:kern w:val="0"/>
          <w:sz w:val="32"/>
          <w:szCs w:val="32"/>
          <w:highlight w:val="none"/>
        </w:rPr>
        <w:t>  </w:t>
      </w:r>
    </w:p>
    <w:p w14:paraId="275F254C">
      <w:pPr>
        <w:widowControl/>
        <w:spacing w:line="360" w:lineRule="auto"/>
        <w:jc w:val="center"/>
        <w:rPr>
          <w:rFonts w:ascii="Arial" w:hAnsi="Arial" w:cs="Arial"/>
          <w:b/>
          <w:color w:val="auto"/>
          <w:kern w:val="0"/>
          <w:sz w:val="36"/>
          <w:szCs w:val="36"/>
          <w:highlight w:val="none"/>
        </w:rPr>
      </w:pPr>
    </w:p>
    <w:p w14:paraId="5B413EBB">
      <w:pPr>
        <w:widowControl/>
        <w:spacing w:line="360" w:lineRule="auto"/>
        <w:jc w:val="center"/>
        <w:rPr>
          <w:rFonts w:ascii="Arial" w:hAnsi="Arial" w:cs="Arial"/>
          <w:b/>
          <w:color w:val="auto"/>
          <w:kern w:val="0"/>
          <w:sz w:val="36"/>
          <w:szCs w:val="36"/>
          <w:highlight w:val="none"/>
        </w:rPr>
      </w:pPr>
    </w:p>
    <w:p w14:paraId="4C0437EC">
      <w:pPr>
        <w:widowControl/>
        <w:spacing w:line="360" w:lineRule="auto"/>
        <w:jc w:val="center"/>
        <w:rPr>
          <w:rFonts w:ascii="Arial" w:hAnsi="Arial" w:cs="Arial"/>
          <w:b/>
          <w:color w:val="auto"/>
          <w:kern w:val="0"/>
          <w:sz w:val="36"/>
          <w:szCs w:val="36"/>
          <w:highlight w:val="none"/>
        </w:rPr>
      </w:pPr>
      <w:r>
        <w:rPr>
          <w:rFonts w:ascii="Arial" w:hAnsi="宋体" w:cs="Arial"/>
          <w:b/>
          <w:color w:val="auto"/>
          <w:kern w:val="0"/>
          <w:sz w:val="36"/>
          <w:szCs w:val="36"/>
          <w:highlight w:val="none"/>
        </w:rPr>
        <w:t>江苏省设备成套股份有限公司</w:t>
      </w:r>
    </w:p>
    <w:p w14:paraId="274E6B78">
      <w:pPr>
        <w:widowControl/>
        <w:spacing w:line="360" w:lineRule="auto"/>
        <w:jc w:val="center"/>
        <w:rPr>
          <w:rFonts w:ascii="Arial" w:hAnsi="Arial" w:cs="Arial"/>
          <w:b/>
          <w:color w:val="auto"/>
          <w:kern w:val="0"/>
          <w:sz w:val="36"/>
          <w:szCs w:val="36"/>
          <w:highlight w:val="none"/>
        </w:rPr>
      </w:pPr>
      <w:r>
        <w:rPr>
          <w:rFonts w:hint="eastAsia" w:ascii="Arial" w:hAnsi="宋体" w:cs="Arial"/>
          <w:b/>
          <w:color w:val="auto"/>
          <w:kern w:val="0"/>
          <w:sz w:val="36"/>
          <w:szCs w:val="36"/>
          <w:highlight w:val="none"/>
        </w:rPr>
        <w:t>2024</w:t>
      </w:r>
      <w:r>
        <w:rPr>
          <w:rFonts w:ascii="Arial" w:hAnsi="宋体" w:cs="Arial"/>
          <w:b/>
          <w:color w:val="auto"/>
          <w:kern w:val="0"/>
          <w:sz w:val="36"/>
          <w:szCs w:val="36"/>
          <w:highlight w:val="none"/>
        </w:rPr>
        <w:t>年</w:t>
      </w:r>
      <w:r>
        <w:rPr>
          <w:rFonts w:hint="eastAsia" w:ascii="Arial" w:hAnsi="Arial" w:cs="Arial"/>
          <w:b/>
          <w:color w:val="auto"/>
          <w:kern w:val="0"/>
          <w:sz w:val="36"/>
          <w:szCs w:val="36"/>
          <w:highlight w:val="none"/>
          <w:lang w:val="en-US" w:eastAsia="zh-CN"/>
        </w:rPr>
        <w:t>10</w:t>
      </w:r>
      <w:r>
        <w:rPr>
          <w:rFonts w:ascii="Arial" w:hAnsi="宋体" w:cs="Arial"/>
          <w:b/>
          <w:color w:val="auto"/>
          <w:kern w:val="0"/>
          <w:sz w:val="36"/>
          <w:szCs w:val="36"/>
          <w:highlight w:val="none"/>
        </w:rPr>
        <w:t>月</w:t>
      </w:r>
    </w:p>
    <w:p w14:paraId="651C4881">
      <w:pPr>
        <w:pStyle w:val="155"/>
        <w:jc w:val="center"/>
        <w:rPr>
          <w:rFonts w:hint="eastAsia" w:ascii="Arial" w:hAnsi="宋体" w:cs="Arial"/>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7DA0B077">
      <w:pPr>
        <w:pStyle w:val="155"/>
        <w:jc w:val="center"/>
        <w:rPr>
          <w:rFonts w:ascii="Arial" w:hAnsi="Arial" w:cs="Arial"/>
          <w:color w:val="auto"/>
          <w:sz w:val="36"/>
          <w:szCs w:val="36"/>
          <w:highlight w:val="none"/>
        </w:rPr>
      </w:pPr>
      <w:r>
        <w:rPr>
          <w:rFonts w:ascii="Arial" w:hAnsi="宋体" w:cs="Arial"/>
          <w:color w:val="auto"/>
          <w:sz w:val="36"/>
          <w:szCs w:val="36"/>
          <w:highlight w:val="none"/>
          <w:lang w:val="zh-CN"/>
        </w:rPr>
        <w:t>目</w:t>
      </w:r>
      <w:r>
        <w:rPr>
          <w:rFonts w:ascii="Arial" w:hAnsi="Arial" w:cs="Arial"/>
          <w:color w:val="auto"/>
          <w:sz w:val="36"/>
          <w:szCs w:val="36"/>
          <w:highlight w:val="none"/>
          <w:lang w:val="zh-CN"/>
        </w:rPr>
        <w:t xml:space="preserve">  </w:t>
      </w:r>
      <w:r>
        <w:rPr>
          <w:rFonts w:ascii="Arial" w:hAnsi="宋体" w:cs="Arial"/>
          <w:color w:val="auto"/>
          <w:sz w:val="36"/>
          <w:szCs w:val="36"/>
          <w:highlight w:val="none"/>
          <w:lang w:val="zh-CN"/>
        </w:rPr>
        <w:t>录</w:t>
      </w:r>
    </w:p>
    <w:p w14:paraId="5697FB43">
      <w:pPr>
        <w:pStyle w:val="30"/>
        <w:tabs>
          <w:tab w:val="right" w:leader="dot" w:pos="8296"/>
        </w:tabs>
        <w:rPr>
          <w:rFonts w:ascii="Arial" w:hAnsi="Arial" w:cs="Arial"/>
          <w:color w:val="auto"/>
          <w:sz w:val="28"/>
          <w:szCs w:val="28"/>
          <w:highlight w:val="none"/>
        </w:rPr>
      </w:pPr>
    </w:p>
    <w:p w14:paraId="671306AA">
      <w:pPr>
        <w:pStyle w:val="30"/>
        <w:tabs>
          <w:tab w:val="right" w:leader="dot" w:pos="8506"/>
        </w:tabs>
        <w:spacing w:line="480" w:lineRule="auto"/>
        <w:rPr>
          <w:rFonts w:ascii="Arial" w:hAnsi="Arial" w:cs="Arial"/>
          <w:color w:val="auto"/>
          <w:sz w:val="24"/>
          <w:highlight w:val="none"/>
        </w:rPr>
      </w:pPr>
      <w:r>
        <w:rPr>
          <w:rFonts w:ascii="Arial" w:hAnsi="Arial" w:cs="Arial"/>
          <w:color w:val="auto"/>
          <w:sz w:val="24"/>
          <w:highlight w:val="none"/>
        </w:rPr>
        <w:fldChar w:fldCharType="begin"/>
      </w:r>
      <w:r>
        <w:rPr>
          <w:rFonts w:ascii="Arial" w:hAnsi="Arial" w:cs="Arial"/>
          <w:color w:val="auto"/>
          <w:sz w:val="24"/>
          <w:highlight w:val="none"/>
        </w:rPr>
        <w:instrText xml:space="preserve">TOC \o "1-1" \h \u </w:instrText>
      </w:r>
      <w:r>
        <w:rPr>
          <w:rFonts w:ascii="Arial" w:hAnsi="Arial" w:cs="Arial"/>
          <w:color w:val="auto"/>
          <w:sz w:val="24"/>
          <w:highlight w:val="none"/>
        </w:rPr>
        <w:fldChar w:fldCharType="separate"/>
      </w:r>
      <w:r>
        <w:rPr>
          <w:color w:val="auto"/>
          <w:highlight w:val="none"/>
        </w:rPr>
        <w:fldChar w:fldCharType="begin"/>
      </w:r>
      <w:r>
        <w:rPr>
          <w:color w:val="auto"/>
          <w:highlight w:val="none"/>
        </w:rPr>
        <w:instrText xml:space="preserve"> HYPERLINK \l "_Toc11866" </w:instrText>
      </w:r>
      <w:r>
        <w:rPr>
          <w:color w:val="auto"/>
          <w:highlight w:val="none"/>
        </w:rPr>
        <w:fldChar w:fldCharType="separate"/>
      </w:r>
      <w:r>
        <w:rPr>
          <w:rFonts w:ascii="Arial" w:hAnsi="Arial" w:cs="Arial"/>
          <w:color w:val="auto"/>
          <w:kern w:val="0"/>
          <w:sz w:val="24"/>
          <w:highlight w:val="none"/>
        </w:rPr>
        <w:t xml:space="preserve">第一章 </w:t>
      </w:r>
      <w:r>
        <w:rPr>
          <w:rFonts w:ascii="Arial" w:hAnsi="Arial" w:cs="Arial"/>
          <w:color w:val="auto"/>
          <w:sz w:val="24"/>
          <w:highlight w:val="none"/>
        </w:rPr>
        <w:t>招标公告</w:t>
      </w:r>
      <w:r>
        <w:rPr>
          <w:rFonts w:ascii="Arial" w:hAnsi="Arial" w:cs="Arial"/>
          <w:color w:val="auto"/>
          <w:sz w:val="24"/>
          <w:highlight w:val="none"/>
        </w:rPr>
        <w:tab/>
      </w:r>
      <w:r>
        <w:rPr>
          <w:rFonts w:ascii="Arial" w:hAnsi="Arial" w:cs="Arial"/>
          <w:color w:val="auto"/>
          <w:sz w:val="24"/>
          <w:highlight w:val="none"/>
        </w:rPr>
        <w:fldChar w:fldCharType="begin"/>
      </w:r>
      <w:r>
        <w:rPr>
          <w:rFonts w:ascii="Arial" w:hAnsi="Arial" w:cs="Arial"/>
          <w:color w:val="auto"/>
          <w:sz w:val="24"/>
          <w:highlight w:val="none"/>
        </w:rPr>
        <w:instrText xml:space="preserve"> PAGEREF _Toc11866 \h </w:instrText>
      </w:r>
      <w:r>
        <w:rPr>
          <w:rFonts w:ascii="Arial" w:hAnsi="Arial" w:cs="Arial"/>
          <w:color w:val="auto"/>
          <w:sz w:val="24"/>
          <w:highlight w:val="none"/>
        </w:rPr>
        <w:fldChar w:fldCharType="separate"/>
      </w:r>
      <w:r>
        <w:rPr>
          <w:rFonts w:ascii="Arial" w:hAnsi="Arial" w:cs="Arial"/>
          <w:color w:val="auto"/>
          <w:sz w:val="24"/>
          <w:highlight w:val="none"/>
        </w:rPr>
        <w:t>1</w:t>
      </w:r>
      <w:r>
        <w:rPr>
          <w:rFonts w:ascii="Arial" w:hAnsi="Arial" w:cs="Arial"/>
          <w:color w:val="auto"/>
          <w:sz w:val="24"/>
          <w:highlight w:val="none"/>
        </w:rPr>
        <w:fldChar w:fldCharType="end"/>
      </w:r>
      <w:r>
        <w:rPr>
          <w:rFonts w:ascii="Arial" w:hAnsi="Arial" w:cs="Arial"/>
          <w:color w:val="auto"/>
          <w:sz w:val="24"/>
          <w:highlight w:val="none"/>
        </w:rPr>
        <w:fldChar w:fldCharType="end"/>
      </w:r>
    </w:p>
    <w:p w14:paraId="055FF0D5">
      <w:pPr>
        <w:pStyle w:val="30"/>
        <w:tabs>
          <w:tab w:val="right" w:leader="dot" w:pos="8506"/>
        </w:tabs>
        <w:spacing w:line="480" w:lineRule="auto"/>
        <w:rPr>
          <w:rFonts w:hint="eastAsia" w:ascii="Arial" w:hAnsi="Arial" w:eastAsia="宋体" w:cs="Arial"/>
          <w:color w:val="auto"/>
          <w:sz w:val="24"/>
          <w:highlight w:val="none"/>
          <w:lang w:eastAsia="zh-CN"/>
        </w:rPr>
      </w:pPr>
      <w:r>
        <w:rPr>
          <w:color w:val="auto"/>
          <w:highlight w:val="none"/>
        </w:rPr>
        <w:fldChar w:fldCharType="begin"/>
      </w:r>
      <w:r>
        <w:rPr>
          <w:color w:val="auto"/>
          <w:highlight w:val="none"/>
        </w:rPr>
        <w:instrText xml:space="preserve"> HYPERLINK \l "_Toc7593" </w:instrText>
      </w:r>
      <w:r>
        <w:rPr>
          <w:color w:val="auto"/>
          <w:highlight w:val="none"/>
        </w:rPr>
        <w:fldChar w:fldCharType="separate"/>
      </w:r>
      <w:r>
        <w:rPr>
          <w:rFonts w:ascii="Arial" w:hAnsi="Arial" w:cs="Arial"/>
          <w:color w:val="auto"/>
          <w:sz w:val="24"/>
          <w:highlight w:val="none"/>
        </w:rPr>
        <w:t>第二章 投标人须知</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6</w:t>
      </w:r>
    </w:p>
    <w:p w14:paraId="2ADD3889">
      <w:pPr>
        <w:pStyle w:val="30"/>
        <w:tabs>
          <w:tab w:val="right" w:leader="dot" w:pos="8506"/>
        </w:tabs>
        <w:spacing w:line="480" w:lineRule="auto"/>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"_Toc11112" </w:instrText>
      </w:r>
      <w:r>
        <w:rPr>
          <w:color w:val="auto"/>
          <w:highlight w:val="none"/>
        </w:rPr>
        <w:fldChar w:fldCharType="separate"/>
      </w:r>
      <w:r>
        <w:rPr>
          <w:rFonts w:ascii="Arial" w:hAnsi="Arial" w:cs="Arial"/>
          <w:color w:val="auto"/>
          <w:sz w:val="24"/>
          <w:highlight w:val="none"/>
        </w:rPr>
        <w:t>第三章 评标标准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21</w:t>
      </w:r>
    </w:p>
    <w:p w14:paraId="5574A48E">
      <w:pPr>
        <w:pStyle w:val="30"/>
        <w:tabs>
          <w:tab w:val="right" w:leader="dot" w:pos="8506"/>
        </w:tabs>
        <w:spacing w:line="480" w:lineRule="auto"/>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"_Toc23380" </w:instrText>
      </w:r>
      <w:r>
        <w:rPr>
          <w:color w:val="auto"/>
          <w:highlight w:val="none"/>
        </w:rPr>
        <w:fldChar w:fldCharType="separate"/>
      </w:r>
      <w:r>
        <w:rPr>
          <w:rFonts w:ascii="Arial" w:hAnsi="Arial" w:cs="Arial"/>
          <w:color w:val="auto"/>
          <w:sz w:val="24"/>
          <w:highlight w:val="none"/>
        </w:rPr>
        <w:t>第四章 采购需求</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24</w:t>
      </w:r>
    </w:p>
    <w:p w14:paraId="577C64FF">
      <w:pPr>
        <w:pStyle w:val="30"/>
        <w:tabs>
          <w:tab w:val="right" w:leader="dot" w:pos="8506"/>
        </w:tabs>
        <w:spacing w:line="480" w:lineRule="auto"/>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"_Toc15239" </w:instrText>
      </w:r>
      <w:r>
        <w:rPr>
          <w:color w:val="auto"/>
          <w:highlight w:val="none"/>
        </w:rPr>
        <w:fldChar w:fldCharType="separate"/>
      </w:r>
      <w:r>
        <w:rPr>
          <w:rFonts w:ascii="Arial" w:hAnsi="Arial" w:cs="Arial"/>
          <w:color w:val="auto"/>
          <w:sz w:val="24"/>
          <w:highlight w:val="none"/>
        </w:rPr>
        <w:t xml:space="preserve">第五章 </w:t>
      </w:r>
      <w:r>
        <w:rPr>
          <w:rFonts w:hint="eastAsia" w:ascii="Arial" w:hAnsi="Arial" w:cs="Arial"/>
          <w:color w:val="auto"/>
          <w:sz w:val="24"/>
          <w:highlight w:val="none"/>
        </w:rPr>
        <w:t>合同</w:t>
      </w:r>
      <w:r>
        <w:rPr>
          <w:rFonts w:ascii="Arial" w:hAnsi="Arial" w:cs="Arial"/>
          <w:color w:val="auto"/>
          <w:sz w:val="24"/>
          <w:highlight w:val="none"/>
        </w:rPr>
        <w:t>主要条款及格式</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86</w:t>
      </w:r>
    </w:p>
    <w:p w14:paraId="15E2DE64">
      <w:pPr>
        <w:pStyle w:val="30"/>
        <w:tabs>
          <w:tab w:val="right" w:leader="dot" w:pos="8506"/>
        </w:tabs>
        <w:spacing w:line="480" w:lineRule="auto"/>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"_Toc6328" </w:instrText>
      </w:r>
      <w:r>
        <w:rPr>
          <w:color w:val="auto"/>
          <w:highlight w:val="none"/>
        </w:rPr>
        <w:fldChar w:fldCharType="separate"/>
      </w:r>
      <w:r>
        <w:rPr>
          <w:rFonts w:ascii="Arial" w:hAnsi="Arial" w:cs="Arial"/>
          <w:color w:val="auto"/>
          <w:sz w:val="24"/>
          <w:highlight w:val="none"/>
        </w:rPr>
        <w:t xml:space="preserve">第六章 </w:t>
      </w:r>
      <w:r>
        <w:rPr>
          <w:rFonts w:hint="eastAsia" w:ascii="Arial" w:hAnsi="Arial" w:cs="Arial"/>
          <w:color w:val="auto"/>
          <w:sz w:val="24"/>
          <w:highlight w:val="none"/>
        </w:rPr>
        <w:t>投标文件格式及</w:t>
      </w:r>
      <w:r>
        <w:rPr>
          <w:rFonts w:ascii="Arial" w:hAnsi="Arial" w:cs="Arial"/>
          <w:color w:val="auto"/>
          <w:sz w:val="24"/>
          <w:highlight w:val="none"/>
        </w:rPr>
        <w:t>附件</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92</w:t>
      </w:r>
    </w:p>
    <w:p w14:paraId="79370DE3">
      <w:pPr>
        <w:spacing w:line="480" w:lineRule="auto"/>
        <w:rPr>
          <w:rFonts w:ascii="Arial" w:hAnsi="Arial" w:cs="Arial"/>
          <w:color w:val="auto"/>
          <w:sz w:val="28"/>
          <w:szCs w:val="28"/>
          <w:highlight w:val="none"/>
        </w:rPr>
      </w:pPr>
      <w:r>
        <w:rPr>
          <w:rFonts w:ascii="Arial" w:hAnsi="Arial" w:cs="Arial"/>
          <w:color w:val="auto"/>
          <w:sz w:val="24"/>
          <w:highlight w:val="none"/>
        </w:rPr>
        <w:fldChar w:fldCharType="end"/>
      </w:r>
    </w:p>
    <w:p w14:paraId="02FF7C53">
      <w:pPr>
        <w:widowControl/>
        <w:spacing w:line="360" w:lineRule="auto"/>
        <w:jc w:val="center"/>
        <w:rPr>
          <w:rFonts w:ascii="Arial" w:hAnsi="Arial" w:cs="Arial"/>
          <w:b/>
          <w:color w:val="auto"/>
          <w:kern w:val="0"/>
          <w:sz w:val="36"/>
          <w:szCs w:val="36"/>
          <w:highlight w:val="none"/>
        </w:rPr>
      </w:pPr>
    </w:p>
    <w:p w14:paraId="0CD0134F">
      <w:pPr>
        <w:pStyle w:val="3"/>
        <w:rPr>
          <w:rFonts w:ascii="Arial" w:hAnsi="Arial" w:cs="Arial"/>
          <w:color w:val="auto"/>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3E9637DA">
      <w:pPr>
        <w:pStyle w:val="3"/>
        <w:rPr>
          <w:rFonts w:ascii="Arial" w:hAnsi="Arial" w:cs="Arial"/>
          <w:color w:val="auto"/>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7BBDDA18">
      <w:pPr>
        <w:pStyle w:val="3"/>
        <w:rPr>
          <w:rFonts w:ascii="Arial" w:hAnsi="Arial" w:cs="Arial"/>
          <w:color w:val="auto"/>
          <w:kern w:val="0"/>
          <w:szCs w:val="21"/>
          <w:highlight w:val="none"/>
        </w:rPr>
      </w:pPr>
      <w:r>
        <w:rPr>
          <w:rFonts w:ascii="Arial" w:hAnsi="Arial" w:cs="Arial"/>
          <w:color w:val="auto"/>
          <w:kern w:val="0"/>
          <w:sz w:val="36"/>
          <w:szCs w:val="36"/>
          <w:highlight w:val="none"/>
          <w:shd w:val="clear" w:color="auto" w:fill="FFFFFF"/>
        </w:rPr>
        <w:t xml:space="preserve">  </w:t>
      </w:r>
      <w:bookmarkStart w:id="1" w:name="_Toc11866"/>
      <w:r>
        <w:rPr>
          <w:rFonts w:ascii="Arial" w:cs="Arial"/>
          <w:color w:val="auto"/>
          <w:highlight w:val="none"/>
        </w:rPr>
        <w:t>招标公告</w:t>
      </w:r>
      <w:bookmarkEnd w:id="0"/>
      <w:bookmarkEnd w:id="1"/>
    </w:p>
    <w:p w14:paraId="6287B95D">
      <w:pPr>
        <w:widowControl/>
        <w:pBdr>
          <w:top w:val="none" w:color="auto" w:sz="0" w:space="1"/>
          <w:left w:val="none" w:color="auto" w:sz="0" w:space="4"/>
          <w:bottom w:val="none" w:color="auto" w:sz="0" w:space="1"/>
          <w:right w:val="none" w:color="auto" w:sz="0" w:space="4"/>
        </w:pBdr>
        <w:spacing w:line="460" w:lineRule="exact"/>
        <w:ind w:firstLine="369"/>
        <w:rPr>
          <w:rFonts w:ascii="Arial" w:hAnsi="Arial" w:cs="Arial"/>
          <w:color w:val="auto"/>
          <w:spacing w:val="8"/>
          <w:kern w:val="0"/>
          <w:szCs w:val="21"/>
          <w:highlight w:val="none"/>
        </w:rPr>
      </w:pPr>
      <w:r>
        <w:rPr>
          <w:rFonts w:hint="eastAsia" w:ascii="Arial" w:hAnsi="Arial" w:cs="Arial"/>
          <w:color w:val="auto"/>
          <w:spacing w:val="8"/>
          <w:kern w:val="0"/>
          <w:szCs w:val="21"/>
          <w:highlight w:val="none"/>
        </w:rPr>
        <w:t>项目概况</w:t>
      </w:r>
    </w:p>
    <w:p w14:paraId="5A5D81B9">
      <w:pPr>
        <w:widowControl/>
        <w:spacing w:line="460" w:lineRule="exact"/>
        <w:ind w:firstLine="360"/>
        <w:rPr>
          <w:rFonts w:ascii="Arial" w:hAnsi="Arial" w:cs="Arial"/>
          <w:color w:val="auto"/>
          <w:spacing w:val="8"/>
          <w:kern w:val="0"/>
          <w:szCs w:val="21"/>
          <w:highlight w:val="none"/>
        </w:rPr>
      </w:pPr>
      <w:r>
        <w:rPr>
          <w:rFonts w:hint="eastAsia" w:ascii="Arial" w:hAnsi="Arial" w:cs="Arial"/>
          <w:color w:val="auto"/>
          <w:spacing w:val="8"/>
          <w:kern w:val="0"/>
          <w:szCs w:val="21"/>
          <w:highlight w:val="none"/>
          <w:lang w:eastAsia="zh-CN"/>
        </w:rPr>
        <w:t>总务处人文社科科研楼会议室设备与集成服务采购</w:t>
      </w:r>
      <w:r>
        <w:rPr>
          <w:rFonts w:ascii="Arial" w:hAnsi="Arial" w:cs="Arial"/>
          <w:color w:val="auto"/>
          <w:spacing w:val="8"/>
          <w:kern w:val="0"/>
          <w:szCs w:val="21"/>
          <w:highlight w:val="none"/>
        </w:rPr>
        <w:t>招标项目的潜在投标人应在</w:t>
      </w:r>
      <w:r>
        <w:rPr>
          <w:rFonts w:hint="eastAsia" w:ascii="Arial" w:hAnsi="Arial" w:cs="Arial"/>
          <w:color w:val="auto"/>
          <w:szCs w:val="21"/>
          <w:highlight w:val="none"/>
        </w:rPr>
        <w:t>e交易平台（https://www.ejy365.com）</w:t>
      </w:r>
      <w:r>
        <w:rPr>
          <w:rFonts w:ascii="Arial" w:hAnsi="Arial" w:cs="Arial"/>
          <w:color w:val="auto"/>
          <w:spacing w:val="8"/>
          <w:kern w:val="0"/>
          <w:szCs w:val="21"/>
          <w:highlight w:val="none"/>
        </w:rPr>
        <w:t>获取招标文件，并于</w:t>
      </w:r>
      <w:r>
        <w:rPr>
          <w:rFonts w:hint="eastAsia" w:ascii="Arial" w:hAnsi="Arial" w:cs="Arial"/>
          <w:color w:val="auto"/>
          <w:spacing w:val="8"/>
          <w:kern w:val="0"/>
          <w:szCs w:val="21"/>
          <w:highlight w:val="none"/>
        </w:rPr>
        <w:t>2024</w:t>
      </w:r>
      <w:r>
        <w:rPr>
          <w:rFonts w:ascii="Arial" w:hAnsi="Arial" w:cs="Arial"/>
          <w:color w:val="auto"/>
          <w:spacing w:val="8"/>
          <w:kern w:val="0"/>
          <w:szCs w:val="21"/>
          <w:highlight w:val="none"/>
        </w:rPr>
        <w:t>年</w:t>
      </w:r>
      <w:r>
        <w:rPr>
          <w:rFonts w:hint="eastAsia" w:ascii="Arial" w:hAnsi="Arial" w:cs="Arial"/>
          <w:color w:val="auto"/>
          <w:spacing w:val="8"/>
          <w:kern w:val="0"/>
          <w:szCs w:val="21"/>
          <w:highlight w:val="none"/>
          <w:lang w:val="en-US" w:eastAsia="zh-CN"/>
        </w:rPr>
        <w:t>11</w:t>
      </w:r>
      <w:r>
        <w:rPr>
          <w:rFonts w:ascii="Arial" w:hAnsi="Arial" w:cs="Arial"/>
          <w:color w:val="auto"/>
          <w:spacing w:val="8"/>
          <w:kern w:val="0"/>
          <w:szCs w:val="21"/>
          <w:highlight w:val="none"/>
        </w:rPr>
        <w:t>月</w:t>
      </w:r>
      <w:r>
        <w:rPr>
          <w:rFonts w:hint="eastAsia" w:ascii="Arial" w:hAnsi="Arial" w:cs="Arial"/>
          <w:color w:val="auto"/>
          <w:spacing w:val="8"/>
          <w:kern w:val="0"/>
          <w:szCs w:val="21"/>
          <w:highlight w:val="none"/>
          <w:lang w:val="en-US" w:eastAsia="zh-CN"/>
        </w:rPr>
        <w:t>12</w:t>
      </w:r>
      <w:r>
        <w:rPr>
          <w:rFonts w:ascii="Arial" w:hAnsi="Arial" w:cs="Arial"/>
          <w:color w:val="auto"/>
          <w:spacing w:val="8"/>
          <w:kern w:val="0"/>
          <w:szCs w:val="21"/>
          <w:highlight w:val="none"/>
        </w:rPr>
        <w:t>日</w:t>
      </w:r>
      <w:r>
        <w:rPr>
          <w:rFonts w:hint="eastAsia" w:ascii="Arial" w:hAnsi="Arial" w:cs="Arial"/>
          <w:color w:val="auto"/>
          <w:spacing w:val="8"/>
          <w:kern w:val="0"/>
          <w:szCs w:val="21"/>
          <w:highlight w:val="none"/>
          <w:lang w:val="en-US" w:eastAsia="zh-CN"/>
        </w:rPr>
        <w:t>14</w:t>
      </w:r>
      <w:r>
        <w:rPr>
          <w:rFonts w:ascii="Arial" w:hAnsi="Arial" w:cs="Arial"/>
          <w:color w:val="auto"/>
          <w:spacing w:val="8"/>
          <w:kern w:val="0"/>
          <w:szCs w:val="21"/>
          <w:highlight w:val="none"/>
        </w:rPr>
        <w:t>点</w:t>
      </w:r>
      <w:r>
        <w:rPr>
          <w:rFonts w:hint="eastAsia" w:ascii="Arial" w:hAnsi="Arial" w:cs="Arial"/>
          <w:color w:val="auto"/>
          <w:spacing w:val="8"/>
          <w:kern w:val="0"/>
          <w:szCs w:val="21"/>
          <w:highlight w:val="none"/>
          <w:lang w:val="en-US" w:eastAsia="zh-CN"/>
        </w:rPr>
        <w:t>0</w:t>
      </w:r>
      <w:r>
        <w:rPr>
          <w:rFonts w:hint="eastAsia" w:ascii="Arial" w:hAnsi="Arial" w:cs="Arial"/>
          <w:color w:val="auto"/>
          <w:spacing w:val="8"/>
          <w:kern w:val="0"/>
          <w:szCs w:val="21"/>
          <w:highlight w:val="none"/>
        </w:rPr>
        <w:t>0</w:t>
      </w:r>
      <w:r>
        <w:rPr>
          <w:rFonts w:ascii="Arial" w:hAnsi="Arial" w:cs="Arial"/>
          <w:color w:val="auto"/>
          <w:spacing w:val="8"/>
          <w:kern w:val="0"/>
          <w:szCs w:val="21"/>
          <w:highlight w:val="none"/>
        </w:rPr>
        <w:t>分（北京时间）前递交投标文件。</w:t>
      </w:r>
    </w:p>
    <w:p w14:paraId="02FB694C">
      <w:pPr>
        <w:widowControl/>
        <w:spacing w:line="460" w:lineRule="exact"/>
        <w:rPr>
          <w:rFonts w:ascii="Arial" w:hAnsi="Arial" w:cs="Arial"/>
          <w:b/>
          <w:color w:val="auto"/>
          <w:spacing w:val="8"/>
          <w:kern w:val="0"/>
          <w:sz w:val="24"/>
          <w:highlight w:val="none"/>
        </w:rPr>
      </w:pPr>
      <w:r>
        <w:rPr>
          <w:rFonts w:ascii="Arial" w:hAnsi="Arial" w:cs="Arial"/>
          <w:b/>
          <w:color w:val="auto"/>
          <w:spacing w:val="8"/>
          <w:kern w:val="0"/>
          <w:sz w:val="24"/>
          <w:highlight w:val="none"/>
        </w:rPr>
        <w:t>一、项目基本情况</w:t>
      </w:r>
    </w:p>
    <w:p w14:paraId="02E8C32B">
      <w:pPr>
        <w:widowControl/>
        <w:spacing w:line="460" w:lineRule="exact"/>
        <w:ind w:firstLine="370"/>
        <w:rPr>
          <w:rFonts w:hint="eastAsia" w:ascii="Arial" w:hAnsi="Arial" w:eastAsia="宋体" w:cs="Arial"/>
          <w:color w:val="auto"/>
          <w:spacing w:val="8"/>
          <w:kern w:val="0"/>
          <w:szCs w:val="21"/>
          <w:highlight w:val="none"/>
          <w:lang w:eastAsia="zh-CN"/>
        </w:rPr>
      </w:pPr>
      <w:r>
        <w:rPr>
          <w:rFonts w:ascii="Arial" w:hAnsi="Arial" w:cs="Arial"/>
          <w:color w:val="auto"/>
          <w:spacing w:val="8"/>
          <w:kern w:val="0"/>
          <w:szCs w:val="21"/>
          <w:highlight w:val="none"/>
        </w:rPr>
        <w:t>1.1项目编号：</w:t>
      </w:r>
      <w:r>
        <w:rPr>
          <w:rFonts w:hint="eastAsia" w:ascii="Arial" w:hAnsi="Arial" w:cs="Arial"/>
          <w:color w:val="auto"/>
          <w:spacing w:val="8"/>
          <w:kern w:val="0"/>
          <w:szCs w:val="21"/>
          <w:highlight w:val="none"/>
        </w:rPr>
        <w:t>JC203224M63483</w:t>
      </w:r>
    </w:p>
    <w:p w14:paraId="5955CD26">
      <w:pPr>
        <w:widowControl/>
        <w:spacing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1.2项目名称：</w:t>
      </w:r>
      <w:r>
        <w:rPr>
          <w:rFonts w:hint="eastAsia" w:ascii="Arial" w:hAnsi="Arial" w:cs="Arial"/>
          <w:color w:val="auto"/>
          <w:spacing w:val="8"/>
          <w:kern w:val="0"/>
          <w:szCs w:val="21"/>
          <w:highlight w:val="none"/>
        </w:rPr>
        <w:t>东南大学</w:t>
      </w:r>
      <w:r>
        <w:rPr>
          <w:rFonts w:hint="eastAsia" w:ascii="Arial" w:hAnsi="Arial" w:cs="Arial"/>
          <w:color w:val="auto"/>
          <w:spacing w:val="8"/>
          <w:kern w:val="0"/>
          <w:szCs w:val="21"/>
          <w:highlight w:val="none"/>
          <w:lang w:eastAsia="zh-CN"/>
        </w:rPr>
        <w:t>总务处人文社科科研楼会议室设备与集成服务采购</w:t>
      </w:r>
      <w:r>
        <w:rPr>
          <w:rFonts w:hint="eastAsia" w:ascii="Arial" w:hAnsi="Arial" w:cs="Arial"/>
          <w:color w:val="auto"/>
          <w:spacing w:val="8"/>
          <w:kern w:val="0"/>
          <w:szCs w:val="21"/>
          <w:highlight w:val="none"/>
        </w:rPr>
        <w:t>项目</w:t>
      </w:r>
    </w:p>
    <w:p w14:paraId="6C2501D9">
      <w:pPr>
        <w:widowControl/>
        <w:spacing w:line="460" w:lineRule="exact"/>
        <w:ind w:firstLine="370"/>
        <w:rPr>
          <w:rFonts w:hint="eastAsia" w:ascii="宋体" w:hAnsi="宋体" w:cs="宋体"/>
          <w:color w:val="auto"/>
          <w:spacing w:val="8"/>
          <w:kern w:val="0"/>
          <w:szCs w:val="21"/>
          <w:highlight w:val="none"/>
        </w:rPr>
      </w:pPr>
      <w:r>
        <w:rPr>
          <w:rFonts w:ascii="Arial" w:hAnsi="Arial" w:cs="Arial"/>
          <w:color w:val="auto"/>
          <w:spacing w:val="8"/>
          <w:kern w:val="0"/>
          <w:szCs w:val="21"/>
          <w:highlight w:val="none"/>
        </w:rPr>
        <w:t>1.3</w:t>
      </w:r>
      <w:r>
        <w:rPr>
          <w:rFonts w:hint="eastAsia" w:ascii="宋体" w:hAnsi="宋体" w:cs="宋体"/>
          <w:color w:val="auto"/>
          <w:spacing w:val="8"/>
          <w:kern w:val="0"/>
          <w:szCs w:val="21"/>
          <w:highlight w:val="none"/>
        </w:rPr>
        <w:t>预算金额：497.11494万元</w:t>
      </w:r>
    </w:p>
    <w:p w14:paraId="7ABAC803">
      <w:pPr>
        <w:widowControl/>
        <w:spacing w:line="460" w:lineRule="exact"/>
        <w:ind w:firstLine="370"/>
        <w:rPr>
          <w:rFonts w:hint="eastAsia" w:ascii="宋体" w:hAnsi="宋体" w:cs="宋体"/>
          <w:color w:val="auto"/>
          <w:spacing w:val="8"/>
          <w:kern w:val="0"/>
          <w:szCs w:val="21"/>
          <w:highlight w:val="none"/>
        </w:rPr>
      </w:pPr>
      <w:r>
        <w:rPr>
          <w:rFonts w:ascii="Arial" w:hAnsi="Arial" w:cs="Arial"/>
          <w:color w:val="auto"/>
          <w:spacing w:val="8"/>
          <w:kern w:val="0"/>
          <w:szCs w:val="21"/>
          <w:highlight w:val="none"/>
        </w:rPr>
        <w:t>1.4</w:t>
      </w:r>
      <w:r>
        <w:rPr>
          <w:rFonts w:hint="eastAsia" w:ascii="宋体" w:hAnsi="宋体" w:cs="宋体"/>
          <w:color w:val="auto"/>
          <w:spacing w:val="8"/>
          <w:kern w:val="0"/>
          <w:szCs w:val="21"/>
          <w:highlight w:val="none"/>
        </w:rPr>
        <w:t>最高限价：497.11494万元</w:t>
      </w:r>
    </w:p>
    <w:p w14:paraId="65EBCEE1">
      <w:pPr>
        <w:spacing w:line="460" w:lineRule="exact"/>
        <w:ind w:firstLine="369"/>
        <w:rPr>
          <w:rFonts w:ascii="Arial" w:hAnsi="Arial" w:cs="Arial"/>
          <w:color w:val="auto"/>
          <w:spacing w:val="8"/>
          <w:kern w:val="0"/>
          <w:szCs w:val="21"/>
          <w:highlight w:val="none"/>
        </w:rPr>
      </w:pPr>
      <w:r>
        <w:rPr>
          <w:rFonts w:ascii="Arial" w:hAnsi="Arial" w:cs="Arial"/>
          <w:color w:val="auto"/>
          <w:spacing w:val="8"/>
          <w:kern w:val="0"/>
          <w:szCs w:val="21"/>
          <w:highlight w:val="none"/>
        </w:rPr>
        <w:t>1.5采购需求：</w:t>
      </w:r>
    </w:p>
    <w:p w14:paraId="43D6A63A">
      <w:pPr>
        <w:widowControl/>
        <w:spacing w:line="460" w:lineRule="exact"/>
        <w:ind w:firstLine="370"/>
        <w:rPr>
          <w:rFonts w:hint="eastAsia" w:ascii="宋体" w:hAnsi="宋体" w:cs="宋体"/>
          <w:color w:val="auto"/>
          <w:szCs w:val="21"/>
          <w:highlight w:val="none"/>
        </w:rPr>
      </w:pPr>
      <w:r>
        <w:rPr>
          <w:rFonts w:hint="eastAsia" w:ascii="宋体" w:hAnsi="宋体" w:cs="宋体"/>
          <w:color w:val="auto"/>
          <w:szCs w:val="21"/>
          <w:highlight w:val="none"/>
        </w:rPr>
        <w:t>项目地点：东南大学九龙湖校区</w:t>
      </w:r>
    </w:p>
    <w:p w14:paraId="70A5541A">
      <w:pPr>
        <w:widowControl/>
        <w:spacing w:line="460" w:lineRule="exact"/>
        <w:ind w:firstLine="370"/>
        <w:rPr>
          <w:rFonts w:hint="eastAsia" w:ascii="宋体" w:hAnsi="宋体" w:cs="宋体"/>
          <w:color w:val="auto"/>
          <w:szCs w:val="21"/>
          <w:highlight w:val="none"/>
        </w:rPr>
      </w:pPr>
      <w:r>
        <w:rPr>
          <w:rFonts w:hint="eastAsia" w:ascii="宋体" w:hAnsi="宋体" w:cs="宋体"/>
          <w:color w:val="auto"/>
          <w:szCs w:val="21"/>
          <w:highlight w:val="none"/>
        </w:rPr>
        <w:t>项目概况：总务处采购人文社科科研楼会议室设备与集成服务，主要技术要求如下：本项目主要采购人文社科科研楼三楼5间会议场所（包括301大型报告厅1间、309中型报告厅1间、310研讨型小型会议室1间、313及314小型报告厅2间）设备与集成服务，包括视频显示系统、音频扩声系统、会议发言系统、录播系统、视频切换及控制系统、会议灯光及窗帘系统、设备辅材系统以及设备完成功能和设备间协同工作所需要的配套软件等。投标方须考察现场，了解现场现状及空间、电气及网络接口等安装条件，设备安装及安装条件的准备由供方负责，安装施工中造成的墙面、地面和顶面的破损供方应负责修复。</w:t>
      </w:r>
    </w:p>
    <w:p w14:paraId="3025C599">
      <w:pPr>
        <w:widowControl/>
        <w:spacing w:line="460" w:lineRule="exact"/>
        <w:ind w:firstLine="370"/>
        <w:rPr>
          <w:rFonts w:ascii="Arial" w:hAnsi="Arial" w:cs="Arial"/>
          <w:color w:val="auto"/>
          <w:spacing w:val="8"/>
          <w:kern w:val="0"/>
          <w:szCs w:val="21"/>
          <w:highlight w:val="none"/>
        </w:rPr>
      </w:pPr>
      <w:r>
        <w:rPr>
          <w:rFonts w:hint="eastAsia" w:ascii="宋体" w:hAnsi="宋体" w:cs="宋体"/>
          <w:color w:val="auto"/>
          <w:szCs w:val="21"/>
          <w:highlight w:val="none"/>
        </w:rPr>
        <w:t>本项目不接受进口产品投标，</w:t>
      </w:r>
      <w:r>
        <w:rPr>
          <w:rFonts w:hint="eastAsia" w:ascii="宋体" w:hAnsi="宋体"/>
          <w:color w:val="auto"/>
          <w:szCs w:val="21"/>
          <w:highlight w:val="none"/>
        </w:rPr>
        <w:t>技术参数详见招标文件。</w:t>
      </w:r>
    </w:p>
    <w:p w14:paraId="43E45F4D">
      <w:pPr>
        <w:widowControl/>
        <w:spacing w:line="460" w:lineRule="exact"/>
        <w:ind w:firstLine="370"/>
        <w:rPr>
          <w:rFonts w:hint="eastAsia" w:ascii="Arial" w:hAnsi="Arial" w:eastAsia="宋体" w:cs="Arial"/>
          <w:color w:val="auto"/>
          <w:spacing w:val="8"/>
          <w:kern w:val="0"/>
          <w:szCs w:val="21"/>
          <w:highlight w:val="none"/>
          <w:lang w:eastAsia="zh-CN"/>
        </w:rPr>
      </w:pPr>
      <w:r>
        <w:rPr>
          <w:rFonts w:ascii="Arial" w:hAnsi="Arial" w:cs="Arial"/>
          <w:color w:val="auto"/>
          <w:spacing w:val="8"/>
          <w:kern w:val="0"/>
          <w:szCs w:val="21"/>
          <w:highlight w:val="none"/>
        </w:rPr>
        <w:t>1.6合同履行期限：</w:t>
      </w:r>
      <w:r>
        <w:rPr>
          <w:rFonts w:hint="eastAsia" w:ascii="Arial" w:hAnsi="Arial" w:cs="Arial"/>
          <w:color w:val="auto"/>
          <w:spacing w:val="8"/>
          <w:kern w:val="0"/>
          <w:szCs w:val="21"/>
          <w:highlight w:val="none"/>
        </w:rPr>
        <w:t>合同签订后</w:t>
      </w:r>
      <w:r>
        <w:rPr>
          <w:rFonts w:hint="eastAsia" w:ascii="Arial" w:hAnsi="Arial" w:cs="Arial"/>
          <w:color w:val="auto"/>
          <w:spacing w:val="8"/>
          <w:kern w:val="0"/>
          <w:szCs w:val="21"/>
          <w:highlight w:val="none"/>
          <w:lang w:val="en-US" w:eastAsia="zh-CN"/>
        </w:rPr>
        <w:t>2</w:t>
      </w:r>
      <w:r>
        <w:rPr>
          <w:rFonts w:hint="eastAsia" w:ascii="Arial" w:hAnsi="Arial" w:cs="Arial"/>
          <w:color w:val="auto"/>
          <w:spacing w:val="8"/>
          <w:kern w:val="0"/>
          <w:szCs w:val="21"/>
          <w:highlight w:val="none"/>
        </w:rPr>
        <w:t>0个</w:t>
      </w:r>
      <w:r>
        <w:rPr>
          <w:rFonts w:hint="eastAsia" w:ascii="Arial" w:hAnsi="Arial" w:cs="Arial"/>
          <w:color w:val="auto"/>
          <w:spacing w:val="8"/>
          <w:kern w:val="0"/>
          <w:szCs w:val="21"/>
          <w:highlight w:val="none"/>
          <w:lang w:val="en-US" w:eastAsia="zh-CN"/>
        </w:rPr>
        <w:t>日历</w:t>
      </w:r>
      <w:r>
        <w:rPr>
          <w:rFonts w:hint="eastAsia" w:ascii="Arial" w:hAnsi="Arial" w:cs="Arial"/>
          <w:color w:val="auto"/>
          <w:spacing w:val="8"/>
          <w:kern w:val="0"/>
          <w:szCs w:val="21"/>
          <w:highlight w:val="none"/>
        </w:rPr>
        <w:t>日</w:t>
      </w:r>
      <w:r>
        <w:rPr>
          <w:rFonts w:ascii="Arial" w:hAnsi="Arial" w:cs="Arial"/>
          <w:color w:val="auto"/>
          <w:spacing w:val="8"/>
          <w:kern w:val="0"/>
          <w:szCs w:val="21"/>
          <w:highlight w:val="none"/>
        </w:rPr>
        <w:t>内设备安装调试合格</w:t>
      </w:r>
      <w:r>
        <w:rPr>
          <w:rFonts w:hint="eastAsia" w:ascii="Arial" w:hAnsi="Arial" w:cs="Arial"/>
          <w:color w:val="auto"/>
          <w:spacing w:val="8"/>
          <w:kern w:val="0"/>
          <w:szCs w:val="21"/>
          <w:highlight w:val="none"/>
          <w:lang w:eastAsia="zh-CN"/>
        </w:rPr>
        <w:t>。</w:t>
      </w:r>
    </w:p>
    <w:p w14:paraId="03D4F1F0">
      <w:pPr>
        <w:widowControl/>
        <w:spacing w:line="460" w:lineRule="exact"/>
        <w:ind w:firstLine="370"/>
        <w:rPr>
          <w:rFonts w:hint="eastAsia" w:ascii="Arial" w:hAnsi="Arial" w:eastAsia="宋体" w:cs="Arial"/>
          <w:color w:val="auto"/>
          <w:spacing w:val="8"/>
          <w:kern w:val="0"/>
          <w:szCs w:val="21"/>
          <w:highlight w:val="none"/>
          <w:lang w:eastAsia="zh-CN"/>
        </w:rPr>
      </w:pPr>
      <w:r>
        <w:rPr>
          <w:rFonts w:hint="eastAsia" w:ascii="Arial" w:hAnsi="Arial" w:cs="Arial"/>
          <w:color w:val="auto"/>
          <w:spacing w:val="8"/>
          <w:kern w:val="0"/>
          <w:szCs w:val="21"/>
          <w:highlight w:val="none"/>
        </w:rPr>
        <w:t>1.7行业划分：工业</w:t>
      </w:r>
      <w:r>
        <w:rPr>
          <w:rFonts w:hint="eastAsia" w:ascii="Arial" w:hAnsi="Arial" w:cs="Arial"/>
          <w:color w:val="auto"/>
          <w:spacing w:val="8"/>
          <w:kern w:val="0"/>
          <w:szCs w:val="21"/>
          <w:highlight w:val="none"/>
          <w:lang w:eastAsia="zh-CN"/>
        </w:rPr>
        <w:t>。</w:t>
      </w:r>
    </w:p>
    <w:p w14:paraId="2ACD1713">
      <w:pPr>
        <w:widowControl/>
        <w:spacing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1.8本项目(非专门)面向中小企业采购。</w:t>
      </w:r>
    </w:p>
    <w:p w14:paraId="2ED2ED44">
      <w:pPr>
        <w:widowControl/>
        <w:spacing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1.9本项目(非专门)面向监狱企业采购。</w:t>
      </w:r>
    </w:p>
    <w:p w14:paraId="01920D72">
      <w:pPr>
        <w:widowControl/>
        <w:spacing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1.10本项目(非专门)面向残疾人福利性单位采购。</w:t>
      </w:r>
    </w:p>
    <w:p w14:paraId="581366DE">
      <w:pPr>
        <w:widowControl/>
        <w:spacing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1.</w:t>
      </w:r>
      <w:r>
        <w:rPr>
          <w:rFonts w:hint="eastAsia" w:ascii="Arial" w:hAnsi="Arial" w:cs="Arial"/>
          <w:color w:val="auto"/>
          <w:spacing w:val="8"/>
          <w:kern w:val="0"/>
          <w:szCs w:val="21"/>
          <w:highlight w:val="none"/>
        </w:rPr>
        <w:t>11</w:t>
      </w:r>
      <w:r>
        <w:rPr>
          <w:rFonts w:ascii="Arial" w:hAnsi="Arial" w:cs="Arial"/>
          <w:color w:val="auto"/>
          <w:spacing w:val="8"/>
          <w:kern w:val="0"/>
          <w:szCs w:val="21"/>
          <w:highlight w:val="none"/>
        </w:rPr>
        <w:t>本项目</w:t>
      </w:r>
      <w:r>
        <w:rPr>
          <w:rFonts w:hint="eastAsia" w:ascii="Arial" w:hAnsi="Arial" w:cs="Arial"/>
          <w:color w:val="auto"/>
          <w:spacing w:val="8"/>
          <w:kern w:val="0"/>
          <w:szCs w:val="21"/>
          <w:highlight w:val="none"/>
        </w:rPr>
        <w:t>不</w:t>
      </w:r>
      <w:r>
        <w:rPr>
          <w:rFonts w:ascii="Arial" w:hAnsi="Arial" w:cs="Arial"/>
          <w:color w:val="auto"/>
          <w:spacing w:val="8"/>
          <w:kern w:val="0"/>
          <w:szCs w:val="21"/>
          <w:highlight w:val="none"/>
        </w:rPr>
        <w:t>接受联合体投标。</w:t>
      </w:r>
    </w:p>
    <w:p w14:paraId="6832D8FF">
      <w:pPr>
        <w:widowControl/>
        <w:spacing w:line="460" w:lineRule="exact"/>
        <w:ind w:firstLine="370"/>
        <w:rPr>
          <w:rFonts w:ascii="Arial" w:hAnsi="Arial" w:cs="Arial"/>
          <w:color w:val="auto"/>
          <w:spacing w:val="8"/>
          <w:kern w:val="0"/>
          <w:szCs w:val="21"/>
          <w:highlight w:val="none"/>
        </w:rPr>
      </w:pPr>
    </w:p>
    <w:p w14:paraId="1839684A">
      <w:pPr>
        <w:widowControl/>
        <w:spacing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二、申请人的资格要求</w:t>
      </w:r>
    </w:p>
    <w:p w14:paraId="7616E7B1">
      <w:pPr>
        <w:widowControl/>
        <w:spacing w:line="460" w:lineRule="exact"/>
        <w:ind w:firstLine="370"/>
        <w:rPr>
          <w:rFonts w:ascii="Arial" w:hAnsi="Arial" w:cs="Arial"/>
          <w:b/>
          <w:color w:val="auto"/>
          <w:spacing w:val="8"/>
          <w:kern w:val="0"/>
          <w:szCs w:val="21"/>
          <w:highlight w:val="none"/>
        </w:rPr>
      </w:pPr>
      <w:r>
        <w:rPr>
          <w:rFonts w:ascii="Arial" w:hAnsi="Arial" w:cs="Arial"/>
          <w:b/>
          <w:color w:val="auto"/>
          <w:spacing w:val="8"/>
          <w:kern w:val="0"/>
          <w:szCs w:val="21"/>
          <w:highlight w:val="none"/>
        </w:rPr>
        <w:t>2.1满足《中华人民共和国政府采购法》第二十二条规定；</w:t>
      </w:r>
    </w:p>
    <w:p w14:paraId="741328F8">
      <w:pPr>
        <w:spacing w:line="460" w:lineRule="exact"/>
        <w:ind w:firstLine="424" w:firstLineChars="202"/>
        <w:rPr>
          <w:rFonts w:hint="eastAsia" w:ascii="Arial" w:hAnsi="Arial" w:cs="Arial"/>
          <w:bCs/>
          <w:color w:val="auto"/>
          <w:szCs w:val="21"/>
          <w:highlight w:val="none"/>
        </w:rPr>
      </w:pPr>
      <w:r>
        <w:rPr>
          <w:rFonts w:hint="eastAsia" w:ascii="Arial" w:hAnsi="Arial" w:cs="Arial"/>
          <w:bCs/>
          <w:color w:val="auto"/>
          <w:szCs w:val="21"/>
          <w:highlight w:val="none"/>
        </w:rPr>
        <w:t>（1）具有独立承担民事责任的能力（提供法人或者其他组织的营业执照；供应商为自然人的，提供其身份证）；</w:t>
      </w:r>
    </w:p>
    <w:p w14:paraId="296AA5C9">
      <w:pPr>
        <w:spacing w:line="460" w:lineRule="exact"/>
        <w:ind w:firstLine="424" w:firstLineChars="202"/>
        <w:rPr>
          <w:rFonts w:hint="eastAsia" w:ascii="Arial" w:hAnsi="Arial" w:cs="Arial"/>
          <w:bCs/>
          <w:color w:val="auto"/>
          <w:szCs w:val="21"/>
          <w:highlight w:val="none"/>
        </w:rPr>
      </w:pPr>
      <w:r>
        <w:rPr>
          <w:rFonts w:hint="eastAsia" w:ascii="Arial" w:hAnsi="Arial" w:cs="Arial"/>
          <w:bCs/>
          <w:color w:val="auto"/>
          <w:szCs w:val="21"/>
          <w:highlight w:val="none"/>
        </w:rPr>
        <w:t>（2）具有良好的商业信誉和健全的财务会计制度（提供2023年度的财务报告，或投标截止时间前六个月内银行出具的资信证明）；</w:t>
      </w:r>
    </w:p>
    <w:p w14:paraId="6BEDE9B7">
      <w:pPr>
        <w:spacing w:line="460" w:lineRule="exact"/>
        <w:ind w:firstLine="424" w:firstLineChars="202"/>
        <w:rPr>
          <w:rFonts w:hint="eastAsia" w:ascii="Arial" w:hAnsi="Arial" w:cs="Arial"/>
          <w:bCs/>
          <w:color w:val="auto"/>
          <w:szCs w:val="21"/>
          <w:highlight w:val="none"/>
        </w:rPr>
      </w:pPr>
      <w:r>
        <w:rPr>
          <w:rFonts w:hint="eastAsia" w:ascii="Arial" w:hAnsi="Arial" w:cs="Arial"/>
          <w:bCs/>
          <w:color w:val="auto"/>
          <w:szCs w:val="21"/>
          <w:highlight w:val="none"/>
        </w:rPr>
        <w:t>（3）具有履行合同所必需的设备和专业技术能力（供应商根据履行采购项目合同需要，提供履行合同所必需的设备和专业技术能力的证明材料）；</w:t>
      </w:r>
    </w:p>
    <w:p w14:paraId="6594C85A">
      <w:pPr>
        <w:spacing w:line="460" w:lineRule="exact"/>
        <w:ind w:firstLine="424" w:firstLineChars="202"/>
        <w:rPr>
          <w:rFonts w:hint="eastAsia" w:ascii="Arial" w:hAnsi="Arial" w:cs="Arial"/>
          <w:bCs/>
          <w:color w:val="auto"/>
          <w:szCs w:val="21"/>
          <w:highlight w:val="none"/>
        </w:rPr>
      </w:pPr>
      <w:r>
        <w:rPr>
          <w:rFonts w:hint="eastAsia" w:ascii="Arial" w:hAnsi="Arial" w:cs="Arial"/>
          <w:bCs/>
          <w:color w:val="auto"/>
          <w:szCs w:val="21"/>
          <w:highlight w:val="none"/>
        </w:rPr>
        <w:t>（4）有依法缴纳税收和社会保障资金的良好记录（提供参加本次政府采购活动前半年内至少一个月：提供缴纳税收的凭证；提供缴纳社会保险的凭据），依法享受免缴、缓缴的，提供证明材料；</w:t>
      </w:r>
    </w:p>
    <w:p w14:paraId="22245195">
      <w:pPr>
        <w:spacing w:line="460" w:lineRule="exact"/>
        <w:ind w:firstLine="424" w:firstLineChars="202"/>
        <w:rPr>
          <w:rFonts w:ascii="Arial" w:hAnsi="Arial" w:cs="Arial"/>
          <w:bCs/>
          <w:color w:val="auto"/>
          <w:szCs w:val="21"/>
          <w:highlight w:val="none"/>
        </w:rPr>
      </w:pPr>
      <w:r>
        <w:rPr>
          <w:rFonts w:hint="eastAsia" w:ascii="Arial" w:hAnsi="Arial" w:cs="Arial"/>
          <w:bCs/>
          <w:color w:val="auto"/>
          <w:szCs w:val="21"/>
          <w:highlight w:val="none"/>
        </w:rPr>
        <w:t>（5）参加政府采购活动前三年内，在经营活动中没有重大违法记录（提供承诺书）；</w:t>
      </w:r>
    </w:p>
    <w:p w14:paraId="12FDAE31">
      <w:pPr>
        <w:spacing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（6）法律、行政法规规定的其他条件：无</w:t>
      </w:r>
    </w:p>
    <w:p w14:paraId="06655D5D">
      <w:pPr>
        <w:widowControl/>
        <w:spacing w:line="460" w:lineRule="exact"/>
        <w:ind w:firstLine="454" w:firstLineChars="200"/>
        <w:rPr>
          <w:rFonts w:ascii="Arial" w:hAnsi="Arial" w:cs="Arial"/>
          <w:color w:val="auto"/>
          <w:spacing w:val="8"/>
          <w:kern w:val="0"/>
          <w:szCs w:val="21"/>
          <w:highlight w:val="none"/>
        </w:rPr>
      </w:pPr>
      <w:r>
        <w:rPr>
          <w:rFonts w:ascii="Arial" w:hAnsi="Arial" w:cs="Arial"/>
          <w:b/>
          <w:color w:val="auto"/>
          <w:spacing w:val="8"/>
          <w:kern w:val="0"/>
          <w:szCs w:val="21"/>
          <w:highlight w:val="none"/>
        </w:rPr>
        <w:t>2.2落实政府采购政策需满足的资格要求：</w:t>
      </w:r>
      <w:r>
        <w:rPr>
          <w:rFonts w:hint="eastAsia" w:ascii="Arial" w:hAnsi="Arial" w:cs="Arial"/>
          <w:b/>
          <w:color w:val="auto"/>
          <w:spacing w:val="8"/>
          <w:kern w:val="0"/>
          <w:szCs w:val="21"/>
          <w:highlight w:val="none"/>
        </w:rPr>
        <w:t>无</w:t>
      </w:r>
    </w:p>
    <w:p w14:paraId="60F99A60">
      <w:pPr>
        <w:spacing w:line="360" w:lineRule="auto"/>
        <w:ind w:firstLine="454" w:firstLineChars="200"/>
        <w:rPr>
          <w:rFonts w:hint="eastAsia" w:asciiTheme="minorEastAsia" w:hAnsiTheme="minorEastAsia" w:eastAsiaTheme="minorEastAsia" w:cstheme="minorEastAsia"/>
          <w:b/>
          <w:color w:val="auto"/>
          <w:szCs w:val="21"/>
          <w:highlight w:val="none"/>
        </w:rPr>
      </w:pPr>
      <w:r>
        <w:rPr>
          <w:rFonts w:ascii="Arial" w:hAnsi="Arial" w:cs="Arial"/>
          <w:b/>
          <w:color w:val="auto"/>
          <w:spacing w:val="8"/>
          <w:kern w:val="0"/>
          <w:szCs w:val="21"/>
          <w:highlight w:val="none"/>
        </w:rPr>
        <w:t>2.3</w:t>
      </w:r>
      <w:r>
        <w:rPr>
          <w:rFonts w:ascii="Arial" w:hAnsi="Arial" w:cs="Arial"/>
          <w:b/>
          <w:color w:val="auto"/>
          <w:szCs w:val="21"/>
          <w:highlight w:val="none"/>
        </w:rPr>
        <w:t>采购人根据采购项目的特殊要求规定的特定条件，并提供符合特殊要求的证明材料或者情况说明：</w:t>
      </w:r>
      <w:r>
        <w:rPr>
          <w:rFonts w:hint="eastAsia" w:asciiTheme="minorEastAsia" w:hAnsiTheme="minorEastAsia" w:eastAsiaTheme="minorEastAsia" w:cstheme="minorEastAsia"/>
          <w:b/>
          <w:color w:val="auto"/>
          <w:szCs w:val="21"/>
          <w:highlight w:val="none"/>
        </w:rPr>
        <w:t>无。</w:t>
      </w:r>
    </w:p>
    <w:p w14:paraId="53F416C1">
      <w:pPr>
        <w:spacing w:line="460" w:lineRule="exact"/>
        <w:ind w:firstLine="456" w:firstLineChars="202"/>
        <w:rPr>
          <w:rFonts w:ascii="Arial" w:hAnsi="Arial" w:cs="Arial"/>
          <w:bCs/>
          <w:color w:val="auto"/>
          <w:szCs w:val="21"/>
          <w:highlight w:val="none"/>
        </w:rPr>
      </w:pPr>
      <w:r>
        <w:rPr>
          <w:rFonts w:ascii="Arial" w:hAnsi="Arial" w:cs="Arial"/>
          <w:color w:val="auto"/>
          <w:spacing w:val="8"/>
          <w:kern w:val="0"/>
          <w:szCs w:val="21"/>
          <w:highlight w:val="none"/>
        </w:rPr>
        <w:t>2.4</w:t>
      </w:r>
      <w:r>
        <w:rPr>
          <w:rFonts w:ascii="Arial" w:hAnsi="Arial" w:cs="Arial"/>
          <w:bCs/>
          <w:color w:val="auto"/>
          <w:szCs w:val="21"/>
          <w:highlight w:val="none"/>
        </w:rPr>
        <w:t>第2.1（5）条所称重大违法记录，是指供应商因违法经营受到刑事处罚或者责令停产停业、吊销许可证或者执照、较大数额罚款等行政处罚。</w:t>
      </w:r>
    </w:p>
    <w:p w14:paraId="4EF12FB8">
      <w:pPr>
        <w:spacing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2.5供应商在参加政府采购活动前3年内因违法经营被禁止在一定期限内参加政府采购活动，期限届满的，可以参加政府采购活动。</w:t>
      </w:r>
    </w:p>
    <w:p w14:paraId="008CDAA8">
      <w:pPr>
        <w:spacing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2.6单位负责人为同一人或者存在直接控股、管理关系的不同供应商，不得参加同一合同项下的政府采购活动。</w:t>
      </w:r>
    </w:p>
    <w:p w14:paraId="4287D603">
      <w:pPr>
        <w:spacing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为采购项目提供整体设计、规范编制或者项目管理、监理、检测等服务的供应商，不得再参加该采购项目的其他采购活动。</w:t>
      </w:r>
    </w:p>
    <w:p w14:paraId="11631610">
      <w:pPr>
        <w:spacing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2.7拒绝列入失信被执行人、重大税收违法案件当事人名单、政府采购严重违法失信行为记录名单</w:t>
      </w:r>
      <w:r>
        <w:rPr>
          <w:color w:val="auto"/>
          <w:szCs w:val="21"/>
          <w:highlight w:val="none"/>
          <w:shd w:val="clear" w:color="auto" w:fill="FFFFFF"/>
        </w:rPr>
        <w:t>及其他不符合《中华人民共和国政府采购法》第二十二条规定条件的供应商</w:t>
      </w:r>
      <w:r>
        <w:rPr>
          <w:rFonts w:ascii="Arial" w:hAnsi="Arial" w:cs="Arial"/>
          <w:bCs/>
          <w:color w:val="auto"/>
          <w:szCs w:val="21"/>
          <w:highlight w:val="none"/>
        </w:rPr>
        <w:t>参与政府采购活动。采购人或者采购代理机构</w:t>
      </w:r>
      <w:r>
        <w:rPr>
          <w:rFonts w:hint="eastAsia" w:ascii="Arial" w:hAnsi="Arial" w:cs="Arial"/>
          <w:bCs/>
          <w:color w:val="auto"/>
          <w:szCs w:val="21"/>
          <w:highlight w:val="none"/>
        </w:rPr>
        <w:t>在进行资格审查的同时</w:t>
      </w:r>
      <w:r>
        <w:rPr>
          <w:rFonts w:ascii="Arial" w:hAnsi="Arial" w:cs="Arial"/>
          <w:bCs/>
          <w:color w:val="auto"/>
          <w:szCs w:val="21"/>
          <w:highlight w:val="none"/>
        </w:rPr>
        <w:t>，</w:t>
      </w:r>
      <w:r>
        <w:rPr>
          <w:rFonts w:hint="eastAsia" w:ascii="Arial" w:hAnsi="Arial" w:cs="Arial"/>
          <w:bCs/>
          <w:color w:val="auto"/>
          <w:szCs w:val="21"/>
          <w:highlight w:val="none"/>
        </w:rPr>
        <w:t>依法</w:t>
      </w:r>
      <w:r>
        <w:rPr>
          <w:rFonts w:ascii="Arial" w:hAnsi="Arial" w:cs="Arial"/>
          <w:bCs/>
          <w:color w:val="auto"/>
          <w:szCs w:val="21"/>
          <w:highlight w:val="none"/>
        </w:rPr>
        <w:t>通过</w:t>
      </w:r>
      <w:r>
        <w:rPr>
          <w:rFonts w:hint="eastAsia" w:ascii="Arial" w:hAnsi="Arial" w:cs="Arial"/>
          <w:bCs/>
          <w:color w:val="auto"/>
          <w:szCs w:val="21"/>
          <w:highlight w:val="none"/>
        </w:rPr>
        <w:t>“</w:t>
      </w:r>
      <w:r>
        <w:rPr>
          <w:rFonts w:ascii="Arial" w:hAnsi="Arial" w:cs="Arial"/>
          <w:bCs/>
          <w:color w:val="auto"/>
          <w:szCs w:val="21"/>
          <w:highlight w:val="none"/>
        </w:rPr>
        <w:t>中国政府采购网</w:t>
      </w:r>
      <w:r>
        <w:rPr>
          <w:rFonts w:hint="eastAsia" w:ascii="Arial" w:hAnsi="Arial" w:cs="Arial"/>
          <w:bCs/>
          <w:color w:val="auto"/>
          <w:szCs w:val="21"/>
          <w:highlight w:val="none"/>
        </w:rPr>
        <w:t>”</w:t>
      </w:r>
      <w:r>
        <w:rPr>
          <w:rFonts w:ascii="Arial" w:hAnsi="Arial" w:cs="Arial"/>
          <w:bCs/>
          <w:color w:val="auto"/>
          <w:szCs w:val="21"/>
          <w:highlight w:val="none"/>
        </w:rPr>
        <w:t>、</w:t>
      </w:r>
      <w:r>
        <w:rPr>
          <w:rFonts w:hint="eastAsia" w:ascii="Arial" w:hAnsi="Arial" w:cs="Arial"/>
          <w:bCs/>
          <w:color w:val="auto"/>
          <w:szCs w:val="21"/>
          <w:highlight w:val="none"/>
        </w:rPr>
        <w:t>“</w:t>
      </w:r>
      <w:r>
        <w:rPr>
          <w:rFonts w:ascii="Arial" w:hAnsi="Arial" w:cs="Arial"/>
          <w:bCs/>
          <w:color w:val="auto"/>
          <w:szCs w:val="21"/>
          <w:highlight w:val="none"/>
        </w:rPr>
        <w:t>信用中国</w:t>
      </w:r>
      <w:r>
        <w:rPr>
          <w:rFonts w:hint="eastAsia" w:ascii="Arial" w:hAnsi="Arial" w:cs="Arial"/>
          <w:bCs/>
          <w:color w:val="auto"/>
          <w:szCs w:val="21"/>
          <w:highlight w:val="none"/>
        </w:rPr>
        <w:t>”</w:t>
      </w:r>
      <w:r>
        <w:rPr>
          <w:rFonts w:ascii="Arial" w:hAnsi="Arial" w:cs="Arial"/>
          <w:bCs/>
          <w:color w:val="auto"/>
          <w:szCs w:val="21"/>
          <w:highlight w:val="none"/>
        </w:rPr>
        <w:t>网站等渠道查询投标人信用记录并保存。</w:t>
      </w:r>
    </w:p>
    <w:p w14:paraId="0B1D69E8">
      <w:pPr>
        <w:spacing w:line="460" w:lineRule="exact"/>
        <w:ind w:firstLine="420" w:firstLineChars="200"/>
        <w:rPr>
          <w:rFonts w:ascii="Arial" w:hAnsi="Arial" w:cs="Arial"/>
          <w:bCs/>
          <w:color w:val="auto"/>
          <w:szCs w:val="21"/>
          <w:highlight w:val="none"/>
        </w:rPr>
      </w:pPr>
    </w:p>
    <w:p w14:paraId="36BDFF62">
      <w:pPr>
        <w:widowControl/>
        <w:spacing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三、获取招标文件</w:t>
      </w:r>
    </w:p>
    <w:p w14:paraId="2FCB5B22">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3.1时间：2024年</w:t>
      </w:r>
      <w:r>
        <w:rPr>
          <w:rFonts w:hint="eastAsia"/>
          <w:color w:val="auto"/>
          <w:spacing w:val="8"/>
          <w:sz w:val="21"/>
          <w:szCs w:val="21"/>
          <w:highlight w:val="none"/>
          <w:lang w:val="en-US" w:eastAsia="zh-CN"/>
        </w:rPr>
        <w:t>10</w:t>
      </w:r>
      <w:r>
        <w:rPr>
          <w:rFonts w:hint="eastAsia"/>
          <w:color w:val="auto"/>
          <w:spacing w:val="8"/>
          <w:sz w:val="21"/>
          <w:szCs w:val="21"/>
          <w:highlight w:val="none"/>
        </w:rPr>
        <w:t>月</w:t>
      </w:r>
      <w:r>
        <w:rPr>
          <w:rFonts w:hint="eastAsia"/>
          <w:color w:val="auto"/>
          <w:spacing w:val="8"/>
          <w:sz w:val="21"/>
          <w:szCs w:val="21"/>
          <w:highlight w:val="none"/>
          <w:lang w:val="en-US" w:eastAsia="zh-CN"/>
        </w:rPr>
        <w:t>21</w:t>
      </w:r>
      <w:r>
        <w:rPr>
          <w:rFonts w:hint="eastAsia"/>
          <w:color w:val="auto"/>
          <w:spacing w:val="8"/>
          <w:sz w:val="21"/>
          <w:szCs w:val="21"/>
          <w:highlight w:val="none"/>
        </w:rPr>
        <w:t>日至</w:t>
      </w:r>
      <w:r>
        <w:rPr>
          <w:color w:val="auto"/>
          <w:spacing w:val="8"/>
          <w:sz w:val="21"/>
          <w:szCs w:val="21"/>
          <w:highlight w:val="none"/>
        </w:rPr>
        <w:t>202</w:t>
      </w:r>
      <w:r>
        <w:rPr>
          <w:rFonts w:hint="eastAsia"/>
          <w:color w:val="auto"/>
          <w:spacing w:val="8"/>
          <w:sz w:val="21"/>
          <w:szCs w:val="21"/>
          <w:highlight w:val="none"/>
        </w:rPr>
        <w:t>4</w:t>
      </w:r>
      <w:r>
        <w:rPr>
          <w:color w:val="auto"/>
          <w:spacing w:val="8"/>
          <w:sz w:val="21"/>
          <w:szCs w:val="21"/>
          <w:highlight w:val="none"/>
        </w:rPr>
        <w:t>年</w:t>
      </w:r>
      <w:r>
        <w:rPr>
          <w:rFonts w:hint="eastAsia"/>
          <w:color w:val="auto"/>
          <w:spacing w:val="8"/>
          <w:sz w:val="21"/>
          <w:szCs w:val="21"/>
          <w:highlight w:val="none"/>
          <w:lang w:val="en-US" w:eastAsia="zh-CN"/>
        </w:rPr>
        <w:t>10</w:t>
      </w:r>
      <w:r>
        <w:rPr>
          <w:rFonts w:hint="eastAsia"/>
          <w:color w:val="auto"/>
          <w:spacing w:val="8"/>
          <w:sz w:val="21"/>
          <w:szCs w:val="21"/>
          <w:highlight w:val="none"/>
        </w:rPr>
        <w:t>月</w:t>
      </w:r>
      <w:r>
        <w:rPr>
          <w:rFonts w:hint="eastAsia"/>
          <w:color w:val="auto"/>
          <w:spacing w:val="8"/>
          <w:sz w:val="21"/>
          <w:szCs w:val="21"/>
          <w:highlight w:val="none"/>
          <w:lang w:val="en-US" w:eastAsia="zh-CN"/>
        </w:rPr>
        <w:t>28</w:t>
      </w:r>
      <w:r>
        <w:rPr>
          <w:rFonts w:hint="eastAsia"/>
          <w:color w:val="auto"/>
          <w:spacing w:val="8"/>
          <w:sz w:val="21"/>
          <w:szCs w:val="21"/>
          <w:highlight w:val="none"/>
        </w:rPr>
        <w:t>日</w:t>
      </w:r>
      <w:r>
        <w:rPr>
          <w:color w:val="auto"/>
          <w:spacing w:val="8"/>
          <w:sz w:val="21"/>
          <w:szCs w:val="21"/>
          <w:highlight w:val="none"/>
        </w:rPr>
        <w:t>17</w:t>
      </w:r>
      <w:r>
        <w:rPr>
          <w:rFonts w:hint="eastAsia"/>
          <w:color w:val="auto"/>
          <w:spacing w:val="8"/>
          <w:sz w:val="21"/>
          <w:szCs w:val="21"/>
          <w:highlight w:val="none"/>
        </w:rPr>
        <w:t>:30。（北京时间，法定节假日除外）</w:t>
      </w:r>
    </w:p>
    <w:p w14:paraId="0867035A">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3.2地点：登录e交易平台（以下简称平台）网址为：https://www.ejy365.com</w:t>
      </w:r>
    </w:p>
    <w:p w14:paraId="4A12A14C">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3.3方式：</w:t>
      </w:r>
    </w:p>
    <w:p w14:paraId="37D3755C">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（1）凡有意参加投标者，请于获取时间内</w:t>
      </w:r>
      <w:r>
        <w:rPr>
          <w:rFonts w:hint="eastAsia"/>
          <w:color w:val="auto"/>
          <w:spacing w:val="8"/>
          <w:sz w:val="21"/>
          <w:szCs w:val="21"/>
          <w:highlight w:val="none"/>
          <w:lang w:eastAsia="zh-CN"/>
        </w:rPr>
        <w:t>登录</w:t>
      </w:r>
      <w:r>
        <w:rPr>
          <w:rFonts w:hint="eastAsia"/>
          <w:color w:val="auto"/>
          <w:spacing w:val="8"/>
          <w:sz w:val="21"/>
          <w:szCs w:val="21"/>
          <w:highlight w:val="none"/>
        </w:rPr>
        <w:t>e交易平台按照要求进行实名会员注册、完善相关信息及选择项目报名、下载招标文件，平台网址为：http://www.ejy365.com。下载者首次</w:t>
      </w:r>
      <w:r>
        <w:rPr>
          <w:rFonts w:hint="eastAsia"/>
          <w:color w:val="auto"/>
          <w:spacing w:val="8"/>
          <w:sz w:val="21"/>
          <w:szCs w:val="21"/>
          <w:highlight w:val="none"/>
          <w:lang w:eastAsia="zh-CN"/>
        </w:rPr>
        <w:t>登录</w:t>
      </w:r>
      <w:r>
        <w:rPr>
          <w:rFonts w:hint="eastAsia"/>
          <w:color w:val="auto"/>
          <w:spacing w:val="8"/>
          <w:sz w:val="21"/>
          <w:szCs w:val="21"/>
          <w:highlight w:val="none"/>
        </w:rPr>
        <w:t>平台前，须前往平台免费注册，注册成功且完善相关信息后，可以及时参与平台上所有发布的项目。</w:t>
      </w:r>
    </w:p>
    <w:p w14:paraId="0B1C2C53">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2）下载者应充分考虑平台注册、信息检查、资料上传、购标确认、费用支付所需时间，下载者必须在获取时间内完成支付，否则将无法保证获取招标文件。未按照本公告要求获得本项目招标文件的，招标代理机构不予接收其投标文件。</w:t>
      </w:r>
    </w:p>
    <w:p w14:paraId="2AAA1190">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3）下载者需要发票的，须通过平台“资金管理”模块进行操作。招标文件服务费发票由招标代理机构开具；下载者选择开具增值税普通发票的，可在”资金管理--标书费电子发票”下载增值税电子普通发票；选择开具增值税专用发票的，可在”资金管理--专用发票申请”中填写相关信息；平台服务费发票由江苏易交易信息科技有限公司开具。非因招标代理机构或平台原因，发票一经开具不予退换。</w:t>
      </w:r>
    </w:p>
    <w:p w14:paraId="42400E2D">
      <w:pPr>
        <w:pStyle w:val="39"/>
        <w:spacing w:before="0" w:beforeAutospacing="0" w:after="0" w:afterAutospacing="0" w:line="360" w:lineRule="auto"/>
        <w:ind w:firstLine="369"/>
        <w:jc w:val="both"/>
        <w:rPr>
          <w:rFonts w:hint="eastAsia" w:eastAsia="宋体"/>
          <w:color w:val="auto"/>
          <w:spacing w:val="8"/>
          <w:sz w:val="21"/>
          <w:szCs w:val="21"/>
          <w:highlight w:val="none"/>
          <w:lang w:eastAsia="zh-CN"/>
        </w:rPr>
      </w:pPr>
      <w:r>
        <w:rPr>
          <w:rFonts w:hint="eastAsia"/>
          <w:color w:val="auto"/>
          <w:spacing w:val="8"/>
          <w:sz w:val="21"/>
          <w:szCs w:val="21"/>
          <w:highlight w:val="none"/>
        </w:rPr>
        <w:t>（4）平台网站首页“帮助中心”提供操作手册，下载者可以下载并根据操作手册提示进行注册、登录等操作。易交易平台技术支持联系方式</w:t>
      </w:r>
      <w:r>
        <w:rPr>
          <w:rFonts w:hint="eastAsia"/>
          <w:color w:val="auto"/>
          <w:spacing w:val="8"/>
          <w:sz w:val="21"/>
          <w:szCs w:val="21"/>
          <w:highlight w:val="none"/>
          <w:lang w:eastAsia="zh-CN"/>
        </w:rPr>
        <w:t>。</w:t>
      </w:r>
    </w:p>
    <w:p w14:paraId="20C21E55">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供应商技术支持热线：400-828-0799（工作时间：9:00-11:30,13:30-19:00）</w:t>
      </w:r>
    </w:p>
    <w:p w14:paraId="4814E5E2">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供应商项目参与操作说明：</w:t>
      </w:r>
    </w:p>
    <w:p w14:paraId="50E5ABCA">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https://www.ejy365.com/upload/link/2022/08/30/48e1dd12-5050-4bbf-bfc9-a0d7a037ba1c.pdf技术支持服务态度不满意投诉热线：400-828-0799转0。</w:t>
      </w:r>
    </w:p>
    <w:p w14:paraId="30AF7800">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（5）联合体投标（如允许）的，联合体各方应当指定牵头人，并授权其以自身名义在平台办理注册、下载文件、缴纳保证金等手续，其在平台的办理行为，对联合体各方均具有约束力。</w:t>
      </w:r>
    </w:p>
    <w:p w14:paraId="1AEF4684">
      <w:pPr>
        <w:pStyle w:val="39"/>
        <w:spacing w:before="0" w:beforeAutospacing="0" w:after="0" w:afterAutospacing="0" w:line="360" w:lineRule="auto"/>
        <w:ind w:firstLine="369"/>
        <w:jc w:val="both"/>
        <w:rPr>
          <w:rFonts w:hint="eastAsia"/>
          <w:color w:val="auto"/>
          <w:spacing w:val="8"/>
          <w:sz w:val="21"/>
          <w:szCs w:val="21"/>
          <w:highlight w:val="none"/>
        </w:rPr>
      </w:pPr>
      <w:r>
        <w:rPr>
          <w:rFonts w:hint="eastAsia"/>
          <w:color w:val="auto"/>
          <w:spacing w:val="8"/>
          <w:sz w:val="21"/>
          <w:szCs w:val="21"/>
          <w:highlight w:val="none"/>
        </w:rPr>
        <w:t>3.4招标文件服务费每套400元，售后不退。</w:t>
      </w:r>
    </w:p>
    <w:p w14:paraId="06981EA2">
      <w:pPr>
        <w:widowControl/>
        <w:spacing w:line="460" w:lineRule="exact"/>
        <w:ind w:firstLine="360"/>
        <w:rPr>
          <w:rFonts w:ascii="Arial" w:hAnsi="Arial" w:cs="Arial"/>
          <w:color w:val="auto"/>
          <w:spacing w:val="8"/>
          <w:kern w:val="0"/>
          <w:szCs w:val="21"/>
          <w:highlight w:val="none"/>
        </w:rPr>
      </w:pPr>
    </w:p>
    <w:p w14:paraId="3D4614FD">
      <w:pPr>
        <w:widowControl/>
        <w:spacing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四、提交投标文件截止时间、开标时间和地点</w:t>
      </w:r>
    </w:p>
    <w:p w14:paraId="0182F79D">
      <w:pPr>
        <w:widowControl/>
        <w:spacing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4.1</w:t>
      </w:r>
      <w:r>
        <w:rPr>
          <w:rFonts w:ascii="Arial" w:hAnsi="Arial" w:cs="Arial"/>
          <w:color w:val="auto"/>
          <w:highlight w:val="none"/>
          <w:u w:val="single" w:color="000000" w:themeColor="text1"/>
        </w:rPr>
        <w:t> </w:t>
      </w:r>
      <w:r>
        <w:rPr>
          <w:rFonts w:hint="eastAsia" w:ascii="Arial" w:hAnsi="Arial" w:cs="Arial"/>
          <w:color w:val="auto"/>
          <w:highlight w:val="none"/>
          <w:u w:val="single" w:color="000000" w:themeColor="text1"/>
        </w:rPr>
        <w:t>2024</w:t>
      </w:r>
      <w:r>
        <w:rPr>
          <w:rFonts w:ascii="Arial" w:hAnsi="Arial" w:cs="Arial"/>
          <w:color w:val="auto"/>
          <w:spacing w:val="8"/>
          <w:kern w:val="0"/>
          <w:szCs w:val="21"/>
          <w:highlight w:val="none"/>
        </w:rPr>
        <w:t>年</w:t>
      </w:r>
      <w:r>
        <w:rPr>
          <w:rFonts w:hint="eastAsia" w:ascii="Arial" w:hAnsi="Arial" w:cs="Arial"/>
          <w:color w:val="auto"/>
          <w:highlight w:val="none"/>
          <w:u w:val="single" w:color="000000" w:themeColor="text1"/>
          <w:lang w:val="en-US" w:eastAsia="zh-CN"/>
        </w:rPr>
        <w:t>11</w:t>
      </w:r>
      <w:r>
        <w:rPr>
          <w:rFonts w:ascii="Arial" w:hAnsi="Arial" w:cs="Arial"/>
          <w:color w:val="auto"/>
          <w:spacing w:val="8"/>
          <w:kern w:val="0"/>
          <w:szCs w:val="21"/>
          <w:highlight w:val="none"/>
        </w:rPr>
        <w:t>月</w:t>
      </w:r>
      <w:r>
        <w:rPr>
          <w:rFonts w:hint="eastAsia" w:ascii="Arial" w:hAnsi="Arial" w:cs="Arial"/>
          <w:color w:val="auto"/>
          <w:highlight w:val="none"/>
          <w:u w:val="single" w:color="000000" w:themeColor="text1"/>
          <w:lang w:val="en-US" w:eastAsia="zh-CN"/>
        </w:rPr>
        <w:t>12</w:t>
      </w:r>
      <w:r>
        <w:rPr>
          <w:rFonts w:ascii="Arial" w:hAnsi="Arial" w:cs="Arial"/>
          <w:color w:val="auto"/>
          <w:spacing w:val="8"/>
          <w:kern w:val="0"/>
          <w:szCs w:val="21"/>
          <w:highlight w:val="none"/>
        </w:rPr>
        <w:t>日</w:t>
      </w:r>
      <w:r>
        <w:rPr>
          <w:rFonts w:hint="eastAsia" w:ascii="Arial" w:hAnsi="Arial" w:cs="Arial"/>
          <w:color w:val="auto"/>
          <w:highlight w:val="none"/>
          <w:u w:val="single" w:color="000000" w:themeColor="text1"/>
          <w:lang w:val="en-US" w:eastAsia="zh-CN"/>
        </w:rPr>
        <w:t>14</w:t>
      </w:r>
      <w:r>
        <w:rPr>
          <w:rFonts w:ascii="Arial" w:hAnsi="Arial" w:cs="Arial"/>
          <w:color w:val="auto"/>
          <w:spacing w:val="8"/>
          <w:kern w:val="0"/>
          <w:szCs w:val="21"/>
          <w:highlight w:val="none"/>
        </w:rPr>
        <w:t>点</w:t>
      </w:r>
      <w:r>
        <w:rPr>
          <w:rFonts w:hint="eastAsia" w:ascii="Arial" w:hAnsi="Arial" w:cs="Arial"/>
          <w:color w:val="auto"/>
          <w:highlight w:val="none"/>
          <w:u w:val="single" w:color="000000" w:themeColor="text1"/>
          <w:lang w:val="en-US" w:eastAsia="zh-CN"/>
        </w:rPr>
        <w:t>0</w:t>
      </w:r>
      <w:r>
        <w:rPr>
          <w:rFonts w:hint="eastAsia" w:ascii="Arial" w:hAnsi="Arial" w:cs="Arial"/>
          <w:color w:val="auto"/>
          <w:highlight w:val="none"/>
          <w:u w:val="single" w:color="000000" w:themeColor="text1"/>
        </w:rPr>
        <w:t>0</w:t>
      </w:r>
      <w:r>
        <w:rPr>
          <w:rFonts w:ascii="Arial" w:hAnsi="Arial" w:cs="Arial"/>
          <w:color w:val="auto"/>
          <w:spacing w:val="8"/>
          <w:kern w:val="0"/>
          <w:szCs w:val="21"/>
          <w:highlight w:val="none"/>
        </w:rPr>
        <w:t>分（北京时间）</w:t>
      </w:r>
    </w:p>
    <w:p w14:paraId="0C449AE6">
      <w:pPr>
        <w:widowControl/>
        <w:spacing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4.2</w:t>
      </w:r>
      <w:r>
        <w:rPr>
          <w:rFonts w:hint="eastAsia" w:ascii="Arial" w:hAnsi="Arial" w:cs="Arial"/>
          <w:color w:val="auto"/>
          <w:spacing w:val="8"/>
          <w:kern w:val="0"/>
          <w:szCs w:val="21"/>
          <w:highlight w:val="none"/>
        </w:rPr>
        <w:t>提交投标文件</w:t>
      </w:r>
      <w:r>
        <w:rPr>
          <w:rFonts w:ascii="Arial" w:hAnsi="Arial" w:cs="Arial"/>
          <w:color w:val="auto"/>
          <w:spacing w:val="8"/>
          <w:kern w:val="0"/>
          <w:szCs w:val="21"/>
          <w:highlight w:val="none"/>
        </w:rPr>
        <w:t>地点</w:t>
      </w:r>
      <w:r>
        <w:rPr>
          <w:rFonts w:hint="eastAsia" w:ascii="Arial" w:hAnsi="Arial" w:cs="Arial"/>
          <w:color w:val="auto"/>
          <w:spacing w:val="8"/>
          <w:kern w:val="0"/>
          <w:szCs w:val="21"/>
          <w:highlight w:val="none"/>
        </w:rPr>
        <w:t>及开标地点</w:t>
      </w:r>
      <w:r>
        <w:rPr>
          <w:rFonts w:ascii="Arial" w:hAnsi="Arial" w:cs="Arial"/>
          <w:color w:val="auto"/>
          <w:spacing w:val="8"/>
          <w:kern w:val="0"/>
          <w:szCs w:val="21"/>
          <w:highlight w:val="none"/>
        </w:rPr>
        <w:t>：</w:t>
      </w:r>
      <w:r>
        <w:rPr>
          <w:rFonts w:hint="eastAsia" w:ascii="Arial" w:hAnsi="Arial" w:cs="Arial"/>
          <w:color w:val="auto"/>
          <w:spacing w:val="8"/>
          <w:kern w:val="0"/>
          <w:szCs w:val="21"/>
          <w:highlight w:val="none"/>
        </w:rPr>
        <w:t>南京市鼓楼区清江南路18号鼓楼创新广场D栋11楼开标1室</w:t>
      </w:r>
    </w:p>
    <w:p w14:paraId="65878653">
      <w:pPr>
        <w:widowControl/>
        <w:spacing w:line="460" w:lineRule="exact"/>
        <w:ind w:firstLine="370"/>
        <w:rPr>
          <w:rFonts w:hint="eastAsia" w:ascii="宋体" w:hAnsi="宋体"/>
          <w:b/>
          <w:bCs/>
          <w:color w:val="auto"/>
          <w:highlight w:val="none"/>
        </w:rPr>
      </w:pPr>
      <w:r>
        <w:rPr>
          <w:rFonts w:hint="eastAsia" w:ascii="宋体" w:hAnsi="宋体"/>
          <w:b/>
          <w:bCs/>
          <w:color w:val="auto"/>
          <w:highlight w:val="none"/>
        </w:rPr>
        <w:t>投标人因</w:t>
      </w:r>
      <w:r>
        <w:rPr>
          <w:rFonts w:hint="eastAsia" w:ascii="宋体" w:hAnsi="宋体"/>
          <w:b/>
          <w:bCs/>
          <w:color w:val="auto"/>
          <w:szCs w:val="21"/>
          <w:highlight w:val="none"/>
        </w:rPr>
        <w:t>故</w:t>
      </w:r>
      <w:r>
        <w:rPr>
          <w:rFonts w:hint="eastAsia" w:ascii="宋体" w:hAnsi="宋体"/>
          <w:b/>
          <w:bCs/>
          <w:color w:val="auto"/>
          <w:highlight w:val="none"/>
        </w:rPr>
        <w:t>未出席开标会的，视同同意本项目开标结果。</w:t>
      </w:r>
    </w:p>
    <w:p w14:paraId="3EA669DC">
      <w:pPr>
        <w:widowControl/>
        <w:spacing w:line="460" w:lineRule="exact"/>
        <w:ind w:firstLine="370"/>
        <w:rPr>
          <w:rFonts w:ascii="Arial" w:hAnsi="Arial" w:cs="Arial"/>
          <w:color w:val="auto"/>
          <w:szCs w:val="21"/>
          <w:highlight w:val="none"/>
        </w:rPr>
      </w:pPr>
      <w:r>
        <w:rPr>
          <w:rFonts w:ascii="Arial" w:hAnsi="Arial" w:cs="Arial"/>
          <w:color w:val="auto"/>
          <w:spacing w:val="8"/>
          <w:kern w:val="0"/>
          <w:szCs w:val="21"/>
          <w:highlight w:val="none"/>
        </w:rPr>
        <w:t>4.3</w:t>
      </w:r>
      <w:r>
        <w:rPr>
          <w:rFonts w:ascii="Arial" w:hAnsi="宋体" w:cs="Arial"/>
          <w:b/>
          <w:bCs/>
          <w:color w:val="auto"/>
          <w:szCs w:val="21"/>
          <w:highlight w:val="none"/>
        </w:rPr>
        <w:t>投标人应提供投标文件一式</w:t>
      </w:r>
      <w:r>
        <w:rPr>
          <w:rFonts w:hint="eastAsia" w:ascii="Arial" w:hAnsi="宋体" w:cs="Arial"/>
          <w:b/>
          <w:bCs/>
          <w:color w:val="auto"/>
          <w:szCs w:val="21"/>
          <w:highlight w:val="none"/>
          <w:lang w:val="en-US" w:eastAsia="zh-CN"/>
        </w:rPr>
        <w:t>伍</w:t>
      </w:r>
      <w:r>
        <w:rPr>
          <w:rFonts w:ascii="Arial" w:hAnsi="宋体" w:cs="Arial"/>
          <w:b/>
          <w:bCs/>
          <w:color w:val="auto"/>
          <w:szCs w:val="21"/>
          <w:highlight w:val="none"/>
        </w:rPr>
        <w:t>份（正本</w:t>
      </w:r>
      <w:r>
        <w:rPr>
          <w:rFonts w:hint="eastAsia" w:ascii="Arial" w:hAnsi="宋体" w:cs="Arial"/>
          <w:b/>
          <w:bCs/>
          <w:color w:val="auto"/>
          <w:szCs w:val="21"/>
          <w:highlight w:val="none"/>
        </w:rPr>
        <w:t>壹</w:t>
      </w:r>
      <w:r>
        <w:rPr>
          <w:rFonts w:ascii="Arial" w:hAnsi="宋体" w:cs="Arial"/>
          <w:b/>
          <w:bCs/>
          <w:color w:val="auto"/>
          <w:szCs w:val="21"/>
          <w:highlight w:val="none"/>
        </w:rPr>
        <w:t>份、副本</w:t>
      </w:r>
      <w:r>
        <w:rPr>
          <w:rFonts w:hint="eastAsia" w:ascii="Arial" w:hAnsi="宋体" w:cs="Arial"/>
          <w:b/>
          <w:bCs/>
          <w:color w:val="auto"/>
          <w:szCs w:val="21"/>
          <w:highlight w:val="none"/>
          <w:lang w:val="en-US" w:eastAsia="zh-CN"/>
        </w:rPr>
        <w:t>肆</w:t>
      </w:r>
      <w:r>
        <w:rPr>
          <w:rFonts w:ascii="Arial" w:hAnsi="宋体" w:cs="Arial"/>
          <w:b/>
          <w:bCs/>
          <w:color w:val="auto"/>
          <w:szCs w:val="21"/>
          <w:highlight w:val="none"/>
        </w:rPr>
        <w:t>份），所有投标文件均应密封后递交，同时应提供电子版投标文件壹份（</w:t>
      </w:r>
      <w:r>
        <w:rPr>
          <w:rFonts w:hint="eastAsia" w:ascii="Arial" w:hAnsi="宋体" w:cs="Arial"/>
          <w:b/>
          <w:bCs/>
          <w:color w:val="auto"/>
          <w:szCs w:val="21"/>
          <w:highlight w:val="none"/>
        </w:rPr>
        <w:t>电子版须为投标文件正本加盖公章、签字后形成PDF扫描件，扫描件内容应与纸质投标文件正本完全一致</w:t>
      </w:r>
      <w:r>
        <w:rPr>
          <w:rFonts w:ascii="Arial" w:hAnsi="宋体" w:cs="Arial"/>
          <w:b/>
          <w:bCs/>
          <w:color w:val="auto"/>
          <w:szCs w:val="21"/>
          <w:highlight w:val="none"/>
        </w:rPr>
        <w:t>、U盘形式（单独封装）、随纸质正本文件一并提交）。</w:t>
      </w:r>
      <w:r>
        <w:rPr>
          <w:rFonts w:ascii="Arial" w:hAnsi="宋体" w:cs="Arial"/>
          <w:color w:val="auto"/>
          <w:szCs w:val="21"/>
          <w:highlight w:val="none"/>
        </w:rPr>
        <w:t>当电子版文件和纸质正本文件不一致时，以纸质正本文件为准。电子版文件用于辅助评标和平台存档，投标人需承担前述不一致造成的不利后果。</w:t>
      </w:r>
    </w:p>
    <w:p w14:paraId="37C0F43E">
      <w:pPr>
        <w:widowControl/>
        <w:spacing w:line="460" w:lineRule="exact"/>
        <w:ind w:firstLine="370"/>
        <w:rPr>
          <w:rFonts w:ascii="Arial" w:hAnsi="Arial" w:cs="Arial"/>
          <w:color w:val="auto"/>
          <w:spacing w:val="8"/>
          <w:kern w:val="0"/>
          <w:szCs w:val="21"/>
          <w:highlight w:val="none"/>
        </w:rPr>
      </w:pPr>
    </w:p>
    <w:p w14:paraId="74ABDA99">
      <w:pPr>
        <w:widowControl/>
        <w:spacing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五、公告期限</w:t>
      </w:r>
    </w:p>
    <w:p w14:paraId="3E7C5ADF">
      <w:pPr>
        <w:widowControl/>
        <w:spacing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自本公告发布之日起5个工作日。</w:t>
      </w:r>
    </w:p>
    <w:p w14:paraId="471ADA31">
      <w:pPr>
        <w:widowControl/>
        <w:spacing w:line="460" w:lineRule="exact"/>
        <w:ind w:firstLine="370"/>
        <w:rPr>
          <w:rFonts w:ascii="Arial" w:hAnsi="Arial" w:cs="Arial"/>
          <w:color w:val="auto"/>
          <w:spacing w:val="8"/>
          <w:kern w:val="0"/>
          <w:szCs w:val="21"/>
          <w:highlight w:val="none"/>
        </w:rPr>
      </w:pPr>
    </w:p>
    <w:p w14:paraId="61D8B62B">
      <w:pPr>
        <w:widowControl/>
        <w:spacing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六、其他补充事宜</w:t>
      </w:r>
    </w:p>
    <w:p w14:paraId="0FD13C20">
      <w:pPr>
        <w:widowControl/>
        <w:spacing w:line="460" w:lineRule="exact"/>
        <w:ind w:firstLine="363" w:firstLineChars="173"/>
        <w:outlineLvl w:val="1"/>
        <w:rPr>
          <w:rFonts w:ascii="Arial" w:hAnsi="Arial" w:cs="Arial"/>
          <w:color w:val="auto"/>
          <w:szCs w:val="21"/>
          <w:highlight w:val="none"/>
          <w:lang w:val="zh-CN"/>
        </w:rPr>
      </w:pPr>
      <w:r>
        <w:rPr>
          <w:rFonts w:ascii="Arial" w:hAnsi="Arial" w:cs="Arial"/>
          <w:color w:val="auto"/>
          <w:szCs w:val="21"/>
          <w:highlight w:val="none"/>
          <w:lang w:val="zh-CN"/>
        </w:rPr>
        <w:t>6.1本项目在</w:t>
      </w:r>
      <w:r>
        <w:rPr>
          <w:rFonts w:hint="eastAsia" w:ascii="宋体" w:hAnsi="宋体" w:cs="宋体"/>
          <w:color w:val="auto"/>
          <w:highlight w:val="none"/>
        </w:rPr>
        <w:t>中国政府采购网</w:t>
      </w:r>
      <w:r>
        <w:rPr>
          <w:rFonts w:ascii="Arial" w:hAnsi="Arial" w:cs="Arial"/>
          <w:color w:val="auto"/>
          <w:szCs w:val="21"/>
          <w:highlight w:val="none"/>
          <w:lang w:val="zh-CN"/>
        </w:rPr>
        <w:t>网站发布公告。</w:t>
      </w:r>
    </w:p>
    <w:p w14:paraId="24488831">
      <w:pPr>
        <w:widowControl/>
        <w:spacing w:line="460" w:lineRule="exact"/>
        <w:ind w:firstLine="363" w:firstLineChars="173"/>
        <w:outlineLvl w:val="1"/>
        <w:rPr>
          <w:rFonts w:ascii="Arial" w:hAnsi="Arial" w:cs="Arial"/>
          <w:color w:val="auto"/>
          <w:szCs w:val="21"/>
          <w:highlight w:val="none"/>
        </w:rPr>
      </w:pPr>
      <w:r>
        <w:rPr>
          <w:rFonts w:ascii="Arial" w:hAnsi="Arial" w:cs="Arial"/>
          <w:color w:val="auto"/>
          <w:szCs w:val="21"/>
          <w:highlight w:val="none"/>
          <w:lang w:val="zh-CN"/>
        </w:rPr>
        <w:t>6.</w:t>
      </w:r>
      <w:r>
        <w:rPr>
          <w:rFonts w:hint="eastAsia" w:ascii="Arial" w:hAnsi="Arial" w:cs="Arial"/>
          <w:color w:val="auto"/>
          <w:szCs w:val="21"/>
          <w:highlight w:val="none"/>
        </w:rPr>
        <w:t>2投标人应当从采购代理机构合法获得招标项目的招标文件。</w:t>
      </w:r>
      <w:r>
        <w:rPr>
          <w:rFonts w:ascii="Arial" w:hAnsi="Arial" w:cs="Arial"/>
          <w:color w:val="auto"/>
          <w:szCs w:val="21"/>
          <w:highlight w:val="none"/>
        </w:rPr>
        <w:t>本次招标请按</w:t>
      </w:r>
      <w:r>
        <w:rPr>
          <w:rFonts w:hint="eastAsia" w:ascii="Arial" w:hAnsi="Arial" w:cs="Arial"/>
          <w:color w:val="auto"/>
          <w:szCs w:val="21"/>
          <w:highlight w:val="none"/>
        </w:rPr>
        <w:t>“标段”获取</w:t>
      </w:r>
      <w:r>
        <w:rPr>
          <w:rFonts w:ascii="Arial" w:hAnsi="Arial" w:cs="Arial"/>
          <w:color w:val="auto"/>
          <w:szCs w:val="21"/>
          <w:highlight w:val="none"/>
        </w:rPr>
        <w:t>招标文件，编制、提交投标文件，并按</w:t>
      </w:r>
      <w:r>
        <w:rPr>
          <w:rFonts w:hint="eastAsia" w:ascii="Arial" w:hAnsi="Arial" w:cs="Arial"/>
          <w:color w:val="auto"/>
          <w:szCs w:val="21"/>
          <w:highlight w:val="none"/>
        </w:rPr>
        <w:t>“标段”</w:t>
      </w:r>
      <w:r>
        <w:rPr>
          <w:rFonts w:ascii="Arial" w:hAnsi="Arial" w:cs="Arial"/>
          <w:color w:val="auto"/>
          <w:szCs w:val="21"/>
          <w:highlight w:val="none"/>
        </w:rPr>
        <w:t>开标、评标。</w:t>
      </w:r>
    </w:p>
    <w:p w14:paraId="6040D2FF">
      <w:pPr>
        <w:widowControl/>
        <w:spacing w:line="460" w:lineRule="exact"/>
        <w:ind w:firstLine="363" w:firstLineChars="173"/>
        <w:outlineLvl w:val="1"/>
        <w:rPr>
          <w:rFonts w:ascii="Arial" w:hAnsi="Arial" w:cs="Arial"/>
          <w:bCs/>
          <w:color w:val="auto"/>
          <w:szCs w:val="21"/>
          <w:highlight w:val="none"/>
        </w:rPr>
      </w:pPr>
      <w:r>
        <w:rPr>
          <w:rFonts w:ascii="Arial" w:hAnsi="Arial" w:cs="Arial"/>
          <w:bCs/>
          <w:color w:val="auto"/>
          <w:szCs w:val="21"/>
          <w:highlight w:val="none"/>
        </w:rPr>
        <w:t>6.</w:t>
      </w:r>
      <w:r>
        <w:rPr>
          <w:rFonts w:hint="eastAsia" w:ascii="Arial" w:hAnsi="Arial" w:cs="Arial"/>
          <w:bCs/>
          <w:color w:val="auto"/>
          <w:szCs w:val="21"/>
          <w:highlight w:val="none"/>
        </w:rPr>
        <w:t>3</w:t>
      </w:r>
      <w:r>
        <w:rPr>
          <w:rFonts w:ascii="Arial" w:hAnsi="Arial" w:cs="Arial"/>
          <w:bCs/>
          <w:color w:val="auto"/>
          <w:szCs w:val="21"/>
          <w:highlight w:val="none"/>
        </w:rPr>
        <w:t>勘察现场：</w:t>
      </w:r>
      <w:r>
        <w:rPr>
          <w:rFonts w:hint="eastAsia" w:ascii="Arial" w:hAnsi="Arial" w:cs="Arial"/>
          <w:bCs/>
          <w:color w:val="auto"/>
          <w:szCs w:val="21"/>
          <w:highlight w:val="none"/>
        </w:rPr>
        <w:t>供应商自行勘查现场</w:t>
      </w:r>
    </w:p>
    <w:p w14:paraId="0BC0E784">
      <w:pPr>
        <w:widowControl/>
        <w:spacing w:line="460" w:lineRule="exact"/>
        <w:ind w:firstLine="363" w:firstLineChars="173"/>
        <w:outlineLvl w:val="1"/>
        <w:rPr>
          <w:rFonts w:ascii="Arial" w:hAnsi="Arial" w:cs="Arial"/>
          <w:color w:val="auto"/>
          <w:szCs w:val="21"/>
          <w:highlight w:val="none"/>
        </w:rPr>
      </w:pPr>
      <w:r>
        <w:rPr>
          <w:rFonts w:hint="eastAsia" w:ascii="Arial" w:hAnsi="Arial" w:cs="Arial"/>
          <w:color w:val="auto"/>
          <w:szCs w:val="21"/>
          <w:highlight w:val="none"/>
        </w:rPr>
        <w:t>6.4投标人前来投标的授权代表，必须为本单位员工，需提供投标人为其缴纳的截止至投标截止时间前3个月的社保缴纳证明材料。</w:t>
      </w:r>
    </w:p>
    <w:p w14:paraId="21C0ED32">
      <w:pPr>
        <w:widowControl/>
        <w:spacing w:line="460" w:lineRule="exact"/>
        <w:ind w:firstLine="363" w:firstLineChars="173"/>
        <w:outlineLvl w:val="1"/>
        <w:rPr>
          <w:rFonts w:ascii="Arial" w:hAnsi="Arial" w:cs="Arial"/>
          <w:color w:val="auto"/>
          <w:szCs w:val="21"/>
          <w:highlight w:val="none"/>
        </w:rPr>
      </w:pPr>
    </w:p>
    <w:p w14:paraId="04E7CBDC">
      <w:pPr>
        <w:widowControl/>
        <w:spacing w:line="460" w:lineRule="exact"/>
        <w:rPr>
          <w:rFonts w:ascii="Arial" w:hAnsi="Arial" w:cs="Arial"/>
          <w:b/>
          <w:color w:val="auto"/>
          <w:spacing w:val="8"/>
          <w:kern w:val="0"/>
          <w:sz w:val="24"/>
          <w:highlight w:val="none"/>
        </w:rPr>
      </w:pPr>
      <w:r>
        <w:rPr>
          <w:rFonts w:ascii="Arial" w:hAnsi="Arial" w:cs="Arial"/>
          <w:b/>
          <w:color w:val="auto"/>
          <w:spacing w:val="8"/>
          <w:kern w:val="0"/>
          <w:sz w:val="24"/>
          <w:highlight w:val="none"/>
        </w:rPr>
        <w:t>七、对本次招标提出询问，请按以下方式联系</w:t>
      </w:r>
    </w:p>
    <w:p w14:paraId="5753F147">
      <w:pPr>
        <w:widowControl/>
        <w:spacing w:line="460" w:lineRule="exact"/>
        <w:jc w:val="left"/>
        <w:rPr>
          <w:rFonts w:ascii="Arial" w:hAnsi="Arial" w:cs="Arial"/>
          <w:color w:val="auto"/>
          <w:spacing w:val="8"/>
          <w:kern w:val="0"/>
          <w:szCs w:val="21"/>
          <w:highlight w:val="none"/>
        </w:rPr>
      </w:pPr>
      <w:r>
        <w:rPr>
          <w:rFonts w:ascii="Arial" w:hAnsi="Arial" w:cs="Arial"/>
          <w:color w:val="auto"/>
          <w:spacing w:val="8"/>
          <w:kern w:val="0"/>
          <w:szCs w:val="21"/>
          <w:highlight w:val="none"/>
        </w:rPr>
        <w:t>　 7.1采购人信息</w:t>
      </w:r>
    </w:p>
    <w:p w14:paraId="54A81F6D">
      <w:pPr>
        <w:widowControl/>
        <w:spacing w:line="460" w:lineRule="exact"/>
        <w:ind w:firstLine="424" w:firstLineChars="188"/>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名 称：</w:t>
      </w:r>
      <w:r>
        <w:rPr>
          <w:rFonts w:hint="eastAsia" w:ascii="宋体" w:hAnsi="宋体" w:cs="宋体"/>
          <w:color w:val="auto"/>
          <w:highlight w:val="none"/>
        </w:rPr>
        <w:t>东南大学</w:t>
      </w:r>
      <w:r>
        <w:rPr>
          <w:rFonts w:hint="eastAsia" w:ascii="宋体" w:hAnsi="宋体" w:cs="宋体"/>
          <w:color w:val="auto"/>
          <w:spacing w:val="8"/>
          <w:kern w:val="0"/>
          <w:szCs w:val="21"/>
          <w:highlight w:val="none"/>
        </w:rPr>
        <w:t xml:space="preserve"> </w:t>
      </w:r>
    </w:p>
    <w:p w14:paraId="33BED480">
      <w:pPr>
        <w:widowControl/>
        <w:spacing w:line="460" w:lineRule="exact"/>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地址：南京市四牌楼2号 </w:t>
      </w:r>
    </w:p>
    <w:p w14:paraId="45A839F8">
      <w:pPr>
        <w:widowControl/>
        <w:spacing w:line="460" w:lineRule="exact"/>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联系方式：</w:t>
      </w:r>
    </w:p>
    <w:p w14:paraId="328D0F39">
      <w:pPr>
        <w:widowControl/>
        <w:spacing w:line="460" w:lineRule="exact"/>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总务处：欧</w:t>
      </w:r>
      <w:r>
        <w:rPr>
          <w:rFonts w:hint="eastAsia" w:ascii="宋体" w:hAnsi="宋体" w:cs="宋体"/>
          <w:color w:val="auto"/>
          <w:spacing w:val="8"/>
          <w:kern w:val="0"/>
          <w:szCs w:val="21"/>
          <w:highlight w:val="none"/>
          <w:lang w:val="en-US" w:eastAsia="zh-CN"/>
        </w:rPr>
        <w:t xml:space="preserve">老师 </w:t>
      </w:r>
      <w:r>
        <w:rPr>
          <w:rFonts w:hint="eastAsia" w:ascii="宋体" w:hAnsi="宋体" w:cs="宋体"/>
          <w:color w:val="auto"/>
          <w:spacing w:val="8"/>
          <w:kern w:val="0"/>
          <w:szCs w:val="21"/>
          <w:highlight w:val="none"/>
        </w:rPr>
        <w:t>025-52090314；</w:t>
      </w:r>
    </w:p>
    <w:p w14:paraId="7B225399">
      <w:pPr>
        <w:widowControl/>
        <w:spacing w:line="460" w:lineRule="exact"/>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实验室与设备管理处：刘</w:t>
      </w:r>
      <w:r>
        <w:rPr>
          <w:rFonts w:hint="eastAsia" w:ascii="宋体" w:hAnsi="宋体" w:cs="宋体"/>
          <w:color w:val="auto"/>
          <w:spacing w:val="8"/>
          <w:kern w:val="0"/>
          <w:szCs w:val="21"/>
          <w:highlight w:val="none"/>
          <w:lang w:val="en-US" w:eastAsia="zh-CN"/>
        </w:rPr>
        <w:t>老师</w:t>
      </w:r>
      <w:r>
        <w:rPr>
          <w:rFonts w:hint="eastAsia" w:ascii="宋体" w:hAnsi="宋体" w:cs="宋体"/>
          <w:color w:val="auto"/>
          <w:spacing w:val="8"/>
          <w:kern w:val="0"/>
          <w:szCs w:val="21"/>
          <w:highlight w:val="none"/>
        </w:rPr>
        <w:t xml:space="preserve"> 025-83792693。 </w:t>
      </w:r>
    </w:p>
    <w:p w14:paraId="76EEBE2A">
      <w:pPr>
        <w:widowControl/>
        <w:spacing w:line="460" w:lineRule="exact"/>
        <w:ind w:firstLine="334" w:firstLineChars="148"/>
        <w:jc w:val="left"/>
        <w:rPr>
          <w:rFonts w:ascii="Arial" w:hAnsi="Arial" w:cs="Arial"/>
          <w:color w:val="auto"/>
          <w:spacing w:val="8"/>
          <w:kern w:val="0"/>
          <w:szCs w:val="21"/>
          <w:highlight w:val="none"/>
        </w:rPr>
      </w:pPr>
      <w:r>
        <w:rPr>
          <w:rFonts w:ascii="Arial" w:hAnsi="Arial" w:cs="Arial"/>
          <w:color w:val="auto"/>
          <w:spacing w:val="8"/>
          <w:kern w:val="0"/>
          <w:szCs w:val="21"/>
          <w:highlight w:val="none"/>
        </w:rPr>
        <w:t>7.2采购代理机构信息</w:t>
      </w:r>
    </w:p>
    <w:p w14:paraId="781338B7">
      <w:pPr>
        <w:widowControl/>
        <w:spacing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名 称：</w:t>
      </w:r>
      <w:r>
        <w:rPr>
          <w:rFonts w:hint="eastAsia" w:ascii="宋体" w:hAnsi="宋体" w:cs="宋体"/>
          <w:color w:val="auto"/>
          <w:highlight w:val="none"/>
        </w:rPr>
        <w:t>江苏省设备成套股份有限公司</w:t>
      </w:r>
      <w:r>
        <w:rPr>
          <w:rFonts w:ascii="Arial" w:hAnsi="Arial" w:cs="Arial"/>
          <w:color w:val="auto"/>
          <w:spacing w:val="8"/>
          <w:kern w:val="0"/>
          <w:szCs w:val="21"/>
          <w:highlight w:val="none"/>
        </w:rPr>
        <w:t xml:space="preserve"> </w:t>
      </w:r>
    </w:p>
    <w:p w14:paraId="4F81CE6F">
      <w:pPr>
        <w:widowControl/>
        <w:spacing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地　址：</w:t>
      </w:r>
      <w:r>
        <w:rPr>
          <w:rFonts w:hint="eastAsia" w:ascii="宋体" w:hAnsi="宋体" w:cs="宋体"/>
          <w:color w:val="auto"/>
          <w:spacing w:val="8"/>
          <w:kern w:val="0"/>
          <w:szCs w:val="21"/>
          <w:highlight w:val="none"/>
        </w:rPr>
        <w:t>南京市鼓楼区清江南路18号鼓楼创新广场D栋9楼90</w:t>
      </w:r>
      <w:r>
        <w:rPr>
          <w:rFonts w:hint="eastAsia" w:ascii="宋体" w:hAnsi="宋体" w:cs="宋体"/>
          <w:color w:val="auto"/>
          <w:spacing w:val="8"/>
          <w:kern w:val="0"/>
          <w:szCs w:val="21"/>
          <w:highlight w:val="none"/>
          <w:lang w:val="en-US" w:eastAsia="zh-CN"/>
        </w:rPr>
        <w:t>8</w:t>
      </w:r>
      <w:r>
        <w:rPr>
          <w:rFonts w:hint="eastAsia" w:ascii="宋体" w:hAnsi="宋体" w:cs="宋体"/>
          <w:color w:val="auto"/>
          <w:spacing w:val="8"/>
          <w:kern w:val="0"/>
          <w:szCs w:val="21"/>
          <w:highlight w:val="none"/>
        </w:rPr>
        <w:t>室</w:t>
      </w:r>
      <w:r>
        <w:rPr>
          <w:rFonts w:ascii="Arial" w:hAnsi="Arial" w:cs="Arial"/>
          <w:color w:val="auto"/>
          <w:spacing w:val="8"/>
          <w:kern w:val="0"/>
          <w:szCs w:val="21"/>
          <w:highlight w:val="none"/>
        </w:rPr>
        <w:t xml:space="preserve"> </w:t>
      </w:r>
    </w:p>
    <w:p w14:paraId="2053D8C0">
      <w:pPr>
        <w:widowControl/>
        <w:spacing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联系方式：</w:t>
      </w:r>
      <w:r>
        <w:rPr>
          <w:rFonts w:hint="eastAsia" w:ascii="宋体" w:hAnsi="宋体" w:eastAsia="宋体" w:cs="宋体"/>
          <w:color w:val="auto"/>
          <w:spacing w:val="8"/>
          <w:kern w:val="0"/>
          <w:szCs w:val="21"/>
          <w:highlight w:val="none"/>
        </w:rPr>
        <w:t xml:space="preserve">陈亚囡 黄旭 </w:t>
      </w:r>
      <w:bookmarkStart w:id="2" w:name="OLE_LINK1"/>
      <w:r>
        <w:rPr>
          <w:rFonts w:hint="eastAsia" w:ascii="宋体" w:hAnsi="宋体" w:eastAsia="宋体" w:cs="宋体"/>
          <w:color w:val="auto"/>
          <w:spacing w:val="8"/>
          <w:kern w:val="0"/>
          <w:szCs w:val="21"/>
          <w:highlight w:val="none"/>
        </w:rPr>
        <w:t>025</w:t>
      </w:r>
      <w:r>
        <w:rPr>
          <w:rFonts w:hint="eastAsia" w:ascii="宋体" w:hAnsi="宋体" w:eastAsia="宋体" w:cs="宋体"/>
          <w:color w:val="auto"/>
          <w:spacing w:val="8"/>
          <w:kern w:val="0"/>
          <w:szCs w:val="21"/>
          <w:highlight w:val="none"/>
          <w:lang w:val="en-US" w:eastAsia="zh-CN"/>
        </w:rPr>
        <w:t>-</w:t>
      </w:r>
      <w:r>
        <w:rPr>
          <w:rFonts w:hint="eastAsia" w:ascii="宋体" w:hAnsi="宋体" w:eastAsia="宋体" w:cs="宋体"/>
          <w:color w:val="auto"/>
          <w:spacing w:val="8"/>
          <w:kern w:val="0"/>
          <w:szCs w:val="21"/>
          <w:highlight w:val="none"/>
        </w:rPr>
        <w:t>86630795</w:t>
      </w:r>
      <w:bookmarkEnd w:id="2"/>
      <w:r>
        <w:rPr>
          <w:rFonts w:hint="eastAsia" w:ascii="宋体" w:hAnsi="宋体" w:eastAsia="宋体" w:cs="宋体"/>
          <w:color w:val="auto"/>
          <w:spacing w:val="8"/>
          <w:kern w:val="0"/>
          <w:szCs w:val="21"/>
          <w:highlight w:val="none"/>
        </w:rPr>
        <w:t>、13912981668</w:t>
      </w:r>
      <w:r>
        <w:rPr>
          <w:rFonts w:ascii="Arial" w:hAnsi="Arial" w:cs="Arial"/>
          <w:color w:val="auto"/>
          <w:spacing w:val="8"/>
          <w:kern w:val="0"/>
          <w:szCs w:val="21"/>
          <w:highlight w:val="none"/>
        </w:rPr>
        <w:t xml:space="preserve"> </w:t>
      </w:r>
    </w:p>
    <w:p w14:paraId="6CF9790B">
      <w:pPr>
        <w:widowControl/>
        <w:spacing w:line="460" w:lineRule="exact"/>
        <w:ind w:firstLine="339" w:firstLineChars="150"/>
        <w:jc w:val="left"/>
        <w:rPr>
          <w:rFonts w:ascii="Arial" w:hAnsi="Arial" w:cs="Arial"/>
          <w:color w:val="auto"/>
          <w:spacing w:val="8"/>
          <w:kern w:val="0"/>
          <w:szCs w:val="21"/>
          <w:highlight w:val="none"/>
        </w:rPr>
      </w:pPr>
      <w:r>
        <w:rPr>
          <w:rFonts w:ascii="Arial" w:hAnsi="Arial" w:cs="Arial"/>
          <w:color w:val="auto"/>
          <w:spacing w:val="8"/>
          <w:kern w:val="0"/>
          <w:szCs w:val="21"/>
          <w:highlight w:val="none"/>
        </w:rPr>
        <w:t>7.3项目联系方式</w:t>
      </w:r>
    </w:p>
    <w:p w14:paraId="7B2F121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项目联系人：陈亚囡 黄旭 </w:t>
      </w:r>
    </w:p>
    <w:p w14:paraId="58B581E4">
      <w:pPr>
        <w:spacing w:line="460" w:lineRule="exact"/>
        <w:ind w:firstLine="394" w:firstLineChars="188"/>
        <w:rPr>
          <w:rFonts w:hint="eastAsia" w:ascii="宋体" w:hAnsi="宋体" w:cs="宋体"/>
          <w:color w:val="auto"/>
          <w:spacing w:val="8"/>
          <w:kern w:val="0"/>
          <w:szCs w:val="21"/>
          <w:highlight w:val="none"/>
        </w:rPr>
      </w:pPr>
      <w:r>
        <w:rPr>
          <w:rFonts w:hint="eastAsia" w:ascii="宋体" w:hAnsi="宋体" w:eastAsia="宋体" w:cs="宋体"/>
          <w:color w:val="auto"/>
          <w:highlight w:val="none"/>
        </w:rPr>
        <w:t>电　话：</w:t>
      </w:r>
      <w:r>
        <w:rPr>
          <w:rFonts w:hint="eastAsia" w:ascii="宋体" w:hAnsi="宋体" w:eastAsia="宋体" w:cs="宋体"/>
          <w:color w:val="auto"/>
          <w:spacing w:val="8"/>
          <w:kern w:val="0"/>
          <w:szCs w:val="21"/>
          <w:highlight w:val="none"/>
        </w:rPr>
        <w:t>025</w:t>
      </w:r>
      <w:r>
        <w:rPr>
          <w:rFonts w:hint="eastAsia" w:ascii="宋体" w:hAnsi="宋体" w:eastAsia="宋体" w:cs="宋体"/>
          <w:color w:val="auto"/>
          <w:spacing w:val="8"/>
          <w:kern w:val="0"/>
          <w:szCs w:val="21"/>
          <w:highlight w:val="none"/>
          <w:lang w:val="en-US" w:eastAsia="zh-CN"/>
        </w:rPr>
        <w:t>-</w:t>
      </w:r>
      <w:r>
        <w:rPr>
          <w:rFonts w:hint="eastAsia" w:ascii="宋体" w:hAnsi="宋体" w:eastAsia="宋体" w:cs="宋体"/>
          <w:color w:val="auto"/>
          <w:spacing w:val="8"/>
          <w:kern w:val="0"/>
          <w:szCs w:val="21"/>
          <w:highlight w:val="none"/>
        </w:rPr>
        <w:t>86630795</w:t>
      </w:r>
      <w:r>
        <w:rPr>
          <w:rFonts w:hint="eastAsia" w:ascii="宋体" w:hAnsi="宋体" w:eastAsia="宋体" w:cs="宋体"/>
          <w:color w:val="auto"/>
          <w:highlight w:val="none"/>
        </w:rPr>
        <w:t>、13912981668</w:t>
      </w:r>
    </w:p>
    <w:p w14:paraId="1A598325">
      <w:pPr>
        <w:widowControl/>
        <w:spacing w:line="460" w:lineRule="exact"/>
        <w:ind w:firstLine="452" w:firstLineChars="200"/>
        <w:jc w:val="right"/>
        <w:rPr>
          <w:rFonts w:hint="eastAsia" w:ascii="宋体" w:hAnsi="宋体" w:cs="宋体"/>
          <w:color w:val="auto"/>
          <w:spacing w:val="8"/>
          <w:kern w:val="0"/>
          <w:szCs w:val="20"/>
          <w:highlight w:val="none"/>
        </w:rPr>
      </w:pPr>
      <w:r>
        <w:rPr>
          <w:rFonts w:hint="eastAsia" w:ascii="宋体" w:hAnsi="宋体" w:cs="宋体"/>
          <w:color w:val="auto"/>
          <w:spacing w:val="8"/>
          <w:kern w:val="0"/>
          <w:szCs w:val="20"/>
          <w:highlight w:val="none"/>
        </w:rPr>
        <w:t>采购代理机构：江苏省设备成套股份有限公司</w:t>
      </w:r>
    </w:p>
    <w:p w14:paraId="71FF274C">
      <w:pPr>
        <w:widowControl/>
        <w:spacing w:line="460" w:lineRule="exact"/>
        <w:ind w:firstLine="452" w:firstLineChars="200"/>
        <w:jc w:val="right"/>
        <w:rPr>
          <w:rFonts w:hint="eastAsia" w:ascii="宋体" w:hAnsi="宋体" w:cs="宋体"/>
          <w:color w:val="auto"/>
          <w:spacing w:val="8"/>
          <w:kern w:val="0"/>
          <w:szCs w:val="20"/>
          <w:highlight w:val="none"/>
        </w:rPr>
      </w:pPr>
      <w:r>
        <w:rPr>
          <w:rFonts w:hint="eastAsia" w:ascii="宋体" w:hAnsi="宋体" w:cs="宋体"/>
          <w:color w:val="auto"/>
          <w:spacing w:val="8"/>
          <w:kern w:val="0"/>
          <w:szCs w:val="20"/>
          <w:highlight w:val="none"/>
        </w:rPr>
        <w:t>2024年</w:t>
      </w:r>
      <w:r>
        <w:rPr>
          <w:rFonts w:hint="eastAsia" w:ascii="宋体" w:hAnsi="宋体" w:cs="宋体"/>
          <w:color w:val="auto"/>
          <w:spacing w:val="8"/>
          <w:kern w:val="0"/>
          <w:szCs w:val="20"/>
          <w:highlight w:val="none"/>
          <w:lang w:val="en-US" w:eastAsia="zh-CN"/>
        </w:rPr>
        <w:t>10</w:t>
      </w:r>
      <w:r>
        <w:rPr>
          <w:rFonts w:hint="eastAsia" w:ascii="宋体" w:hAnsi="宋体" w:cs="宋体"/>
          <w:color w:val="auto"/>
          <w:spacing w:val="8"/>
          <w:kern w:val="0"/>
          <w:szCs w:val="20"/>
          <w:highlight w:val="none"/>
        </w:rPr>
        <w:t>月</w:t>
      </w:r>
      <w:r>
        <w:rPr>
          <w:rFonts w:hint="eastAsia" w:ascii="宋体" w:hAnsi="宋体" w:cs="宋体"/>
          <w:color w:val="auto"/>
          <w:spacing w:val="8"/>
          <w:kern w:val="0"/>
          <w:szCs w:val="20"/>
          <w:highlight w:val="none"/>
          <w:lang w:val="en-US" w:eastAsia="zh-CN"/>
        </w:rPr>
        <w:t>21</w:t>
      </w:r>
      <w:r>
        <w:rPr>
          <w:rFonts w:hint="eastAsia" w:ascii="宋体" w:hAnsi="宋体" w:cs="宋体"/>
          <w:color w:val="auto"/>
          <w:spacing w:val="8"/>
          <w:kern w:val="0"/>
          <w:szCs w:val="20"/>
          <w:highlight w:val="none"/>
        </w:rPr>
        <w:t>日</w:t>
      </w:r>
    </w:p>
    <w:p w14:paraId="58F89790">
      <w:pPr>
        <w:pStyle w:val="3"/>
        <w:numPr>
          <w:ilvl w:val="0"/>
          <w:numId w:val="0"/>
        </w:numPr>
        <w:rPr>
          <w:rFonts w:ascii="Arial" w:cs="Arial"/>
          <w:color w:val="auto"/>
          <w:highlight w:val="none"/>
        </w:rPr>
        <w:sectPr>
          <w:footerReference r:id="rId10" w:type="first"/>
          <w:footerReference r:id="rId9" w:type="default"/>
          <w:pgSz w:w="11906" w:h="16838"/>
          <w:pgMar w:top="1440" w:right="1800" w:bottom="1440" w:left="1800" w:header="851" w:footer="992" w:gutter="0"/>
          <w:pgNumType w:start="1"/>
          <w:cols w:space="720" w:num="1"/>
          <w:titlePg/>
          <w:docGrid w:type="lines" w:linePitch="312" w:charSpace="0"/>
        </w:sectPr>
      </w:pPr>
      <w:bookmarkStart w:id="3" w:name="_Toc7593"/>
    </w:p>
    <w:p w14:paraId="799431E4">
      <w:pPr>
        <w:pStyle w:val="3"/>
        <w:numPr>
          <w:ilvl w:val="0"/>
          <w:numId w:val="0"/>
        </w:numPr>
        <w:rPr>
          <w:rFonts w:ascii="Arial" w:hAnsi="Arial" w:cs="Arial"/>
          <w:color w:val="auto"/>
          <w:highlight w:val="none"/>
        </w:rPr>
      </w:pPr>
      <w:r>
        <w:rPr>
          <w:rFonts w:ascii="Arial" w:cs="Arial"/>
          <w:color w:val="auto"/>
          <w:highlight w:val="none"/>
        </w:rPr>
        <w:t>第二章</w:t>
      </w:r>
      <w:bookmarkStart w:id="4" w:name="_Toc452625218"/>
      <w:r>
        <w:rPr>
          <w:rFonts w:ascii="Arial" w:hAnsi="Arial" w:cs="Arial"/>
          <w:color w:val="auto"/>
          <w:highlight w:val="none"/>
        </w:rPr>
        <w:t xml:space="preserve"> </w:t>
      </w:r>
      <w:r>
        <w:rPr>
          <w:rFonts w:ascii="Arial" w:cs="Arial"/>
          <w:color w:val="auto"/>
          <w:highlight w:val="none"/>
        </w:rPr>
        <w:t>投标人须知</w:t>
      </w:r>
      <w:bookmarkEnd w:id="3"/>
      <w:bookmarkEnd w:id="4"/>
    </w:p>
    <w:p w14:paraId="40324935">
      <w:pPr>
        <w:widowControl/>
        <w:spacing w:line="360" w:lineRule="auto"/>
        <w:ind w:firstLine="424" w:firstLineChars="201"/>
        <w:rPr>
          <w:rFonts w:ascii="Arial" w:hAnsi="Arial" w:cs="Arial"/>
          <w:color w:val="auto"/>
          <w:kern w:val="0"/>
          <w:szCs w:val="21"/>
          <w:highlight w:val="none"/>
        </w:rPr>
      </w:pPr>
      <w:r>
        <w:rPr>
          <w:rFonts w:ascii="Arial" w:hAnsi="宋体" w:cs="Arial"/>
          <w:b/>
          <w:bCs/>
          <w:color w:val="auto"/>
          <w:kern w:val="0"/>
          <w:szCs w:val="21"/>
          <w:highlight w:val="none"/>
        </w:rPr>
        <w:t>一、总</w:t>
      </w:r>
      <w:r>
        <w:rPr>
          <w:rFonts w:ascii="Arial" w:hAnsi="Arial" w:cs="Arial"/>
          <w:b/>
          <w:bCs/>
          <w:color w:val="auto"/>
          <w:kern w:val="0"/>
          <w:szCs w:val="21"/>
          <w:highlight w:val="none"/>
        </w:rPr>
        <w:t xml:space="preserve"> </w:t>
      </w:r>
      <w:r>
        <w:rPr>
          <w:rFonts w:ascii="Arial" w:hAnsi="宋体" w:cs="Arial"/>
          <w:b/>
          <w:bCs/>
          <w:color w:val="auto"/>
          <w:kern w:val="0"/>
          <w:szCs w:val="21"/>
          <w:highlight w:val="none"/>
        </w:rPr>
        <w:t>则</w:t>
      </w:r>
    </w:p>
    <w:p w14:paraId="061103D1">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w:t>
      </w:r>
      <w:r>
        <w:rPr>
          <w:rFonts w:ascii="Arial" w:hAnsi="宋体" w:cs="Arial"/>
          <w:b/>
          <w:bCs/>
          <w:color w:val="auto"/>
          <w:kern w:val="0"/>
          <w:szCs w:val="21"/>
          <w:highlight w:val="none"/>
        </w:rPr>
        <w:t>、适用法律</w:t>
      </w:r>
    </w:p>
    <w:p w14:paraId="49CF2533">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1.1</w:t>
      </w:r>
      <w:r>
        <w:rPr>
          <w:rFonts w:ascii="Arial" w:hAnsi="宋体" w:cs="Arial"/>
          <w:color w:val="auto"/>
          <w:kern w:val="0"/>
          <w:szCs w:val="21"/>
          <w:highlight w:val="none"/>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79291A6F">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w:t>
      </w:r>
      <w:r>
        <w:rPr>
          <w:rFonts w:ascii="Arial" w:hAnsi="宋体" w:cs="Arial"/>
          <w:b/>
          <w:bCs/>
          <w:color w:val="auto"/>
          <w:kern w:val="0"/>
          <w:szCs w:val="21"/>
          <w:highlight w:val="none"/>
        </w:rPr>
        <w:t>、定义</w:t>
      </w:r>
    </w:p>
    <w:p w14:paraId="6730FA92">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2.1</w:t>
      </w:r>
      <w:r>
        <w:rPr>
          <w:rFonts w:hint="eastAsia" w:ascii="Arial" w:hAnsi="Arial" w:cs="Arial"/>
          <w:color w:val="auto"/>
          <w:kern w:val="0"/>
          <w:szCs w:val="21"/>
          <w:highlight w:val="none"/>
        </w:rPr>
        <w:t>“</w:t>
      </w:r>
      <w:r>
        <w:rPr>
          <w:rFonts w:ascii="Arial" w:hAnsi="宋体" w:cs="Arial"/>
          <w:color w:val="auto"/>
          <w:kern w:val="0"/>
          <w:szCs w:val="21"/>
          <w:highlight w:val="none"/>
        </w:rPr>
        <w:t>采购人</w:t>
      </w:r>
      <w:r>
        <w:rPr>
          <w:rFonts w:hint="eastAsia" w:ascii="Arial" w:hAnsi="Arial" w:cs="Arial"/>
          <w:color w:val="auto"/>
          <w:kern w:val="0"/>
          <w:szCs w:val="21"/>
          <w:highlight w:val="none"/>
        </w:rPr>
        <w:t>”</w:t>
      </w:r>
      <w:r>
        <w:rPr>
          <w:rFonts w:ascii="Arial" w:hAnsi="宋体" w:cs="Arial"/>
          <w:color w:val="auto"/>
          <w:kern w:val="0"/>
          <w:szCs w:val="21"/>
          <w:highlight w:val="none"/>
        </w:rPr>
        <w:t>是指依法进行政府采购的国家机关、事业单位、团体组织。</w:t>
      </w:r>
    </w:p>
    <w:p w14:paraId="41FB3272">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2.2</w:t>
      </w:r>
      <w:r>
        <w:rPr>
          <w:rFonts w:hint="eastAsia" w:ascii="Arial" w:hAnsi="Arial" w:cs="Arial"/>
          <w:color w:val="auto"/>
          <w:kern w:val="0"/>
          <w:szCs w:val="21"/>
          <w:highlight w:val="none"/>
        </w:rPr>
        <w:t>“</w:t>
      </w:r>
      <w:r>
        <w:rPr>
          <w:rFonts w:ascii="Arial" w:hAnsi="宋体" w:cs="Arial"/>
          <w:color w:val="auto"/>
          <w:kern w:val="0"/>
          <w:szCs w:val="21"/>
          <w:highlight w:val="none"/>
        </w:rPr>
        <w:t>投标人（供应商）</w:t>
      </w:r>
      <w:r>
        <w:rPr>
          <w:rFonts w:hint="eastAsia" w:ascii="Arial" w:hAnsi="Arial" w:cs="Arial"/>
          <w:color w:val="auto"/>
          <w:kern w:val="0"/>
          <w:szCs w:val="21"/>
          <w:highlight w:val="none"/>
        </w:rPr>
        <w:t>”</w:t>
      </w:r>
      <w:r>
        <w:rPr>
          <w:rFonts w:ascii="Arial" w:hAnsi="宋体" w:cs="Arial"/>
          <w:color w:val="auto"/>
          <w:kern w:val="0"/>
          <w:szCs w:val="21"/>
          <w:highlight w:val="none"/>
        </w:rPr>
        <w:t>是指参加投标竞争，并符合招标文件规定资格条件的法人、其他组织或者自然人。</w:t>
      </w:r>
    </w:p>
    <w:p w14:paraId="1E3DDF0F">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2.3</w:t>
      </w:r>
      <w:r>
        <w:rPr>
          <w:rFonts w:hint="eastAsia" w:ascii="Arial" w:hAnsi="Arial" w:cs="Arial"/>
          <w:color w:val="auto"/>
          <w:kern w:val="0"/>
          <w:szCs w:val="21"/>
          <w:highlight w:val="none"/>
        </w:rPr>
        <w:t>“</w:t>
      </w:r>
      <w:r>
        <w:rPr>
          <w:rFonts w:ascii="Arial" w:hAnsi="宋体" w:cs="Arial"/>
          <w:color w:val="auto"/>
          <w:kern w:val="0"/>
          <w:szCs w:val="21"/>
          <w:highlight w:val="none"/>
        </w:rPr>
        <w:t>采购代理机构</w:t>
      </w:r>
      <w:r>
        <w:rPr>
          <w:rFonts w:hint="eastAsia" w:ascii="Arial" w:hAnsi="Arial" w:cs="Arial"/>
          <w:color w:val="auto"/>
          <w:kern w:val="0"/>
          <w:szCs w:val="21"/>
          <w:highlight w:val="none"/>
        </w:rPr>
        <w:t>”</w:t>
      </w:r>
      <w:r>
        <w:rPr>
          <w:rFonts w:ascii="Arial" w:hAnsi="宋体" w:cs="Arial"/>
          <w:color w:val="auto"/>
          <w:kern w:val="0"/>
          <w:szCs w:val="21"/>
          <w:highlight w:val="none"/>
        </w:rPr>
        <w:t>是指集中采购机构和集中采购机构以外的采购代理机构，集中采购机构以外的采购代理机构，是从事采购代理业务的社会中介机构。</w:t>
      </w:r>
    </w:p>
    <w:p w14:paraId="544CFA6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2.4</w:t>
      </w:r>
      <w:r>
        <w:rPr>
          <w:rFonts w:hint="eastAsia" w:ascii="Arial" w:hAnsi="Arial" w:cs="Arial"/>
          <w:color w:val="auto"/>
          <w:kern w:val="0"/>
          <w:szCs w:val="21"/>
          <w:highlight w:val="none"/>
        </w:rPr>
        <w:t>“</w:t>
      </w:r>
      <w:r>
        <w:rPr>
          <w:rFonts w:ascii="Arial" w:hAnsi="宋体" w:cs="Arial"/>
          <w:color w:val="auto"/>
          <w:kern w:val="0"/>
          <w:szCs w:val="21"/>
          <w:highlight w:val="none"/>
        </w:rPr>
        <w:t>货物和服务</w:t>
      </w:r>
      <w:r>
        <w:rPr>
          <w:rFonts w:hint="eastAsia" w:ascii="Arial" w:hAnsi="Arial" w:cs="Arial"/>
          <w:color w:val="auto"/>
          <w:kern w:val="0"/>
          <w:szCs w:val="21"/>
          <w:highlight w:val="none"/>
        </w:rPr>
        <w:t>”</w:t>
      </w:r>
      <w:r>
        <w:rPr>
          <w:rFonts w:ascii="Arial" w:hAnsi="宋体" w:cs="Arial"/>
          <w:color w:val="auto"/>
          <w:kern w:val="0"/>
          <w:szCs w:val="21"/>
          <w:highlight w:val="none"/>
        </w:rPr>
        <w:t>指本招标文件中所述</w:t>
      </w:r>
      <w:r>
        <w:rPr>
          <w:rFonts w:ascii="Arial" w:hAnsi="宋体" w:cs="Arial"/>
          <w:bCs/>
          <w:color w:val="auto"/>
          <w:kern w:val="0"/>
          <w:szCs w:val="21"/>
          <w:highlight w:val="none"/>
        </w:rPr>
        <w:t>产品</w:t>
      </w:r>
      <w:r>
        <w:rPr>
          <w:rFonts w:ascii="Arial" w:hAnsi="宋体" w:cs="Arial"/>
          <w:color w:val="auto"/>
          <w:kern w:val="0"/>
          <w:szCs w:val="21"/>
          <w:highlight w:val="none"/>
        </w:rPr>
        <w:t>及相关服务。</w:t>
      </w:r>
    </w:p>
    <w:p w14:paraId="7DD4F4C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2.5</w:t>
      </w:r>
      <w:r>
        <w:rPr>
          <w:rFonts w:hint="eastAsia" w:ascii="Arial" w:hAnsi="Arial" w:cs="Arial"/>
          <w:color w:val="auto"/>
          <w:kern w:val="0"/>
          <w:szCs w:val="21"/>
          <w:highlight w:val="none"/>
        </w:rPr>
        <w:t>“</w:t>
      </w:r>
      <w:r>
        <w:rPr>
          <w:rFonts w:ascii="Arial" w:hAnsi="宋体" w:cs="Arial"/>
          <w:color w:val="auto"/>
          <w:kern w:val="0"/>
          <w:szCs w:val="21"/>
          <w:highlight w:val="none"/>
        </w:rPr>
        <w:t>用户或使用单位</w:t>
      </w:r>
      <w:r>
        <w:rPr>
          <w:rFonts w:hint="eastAsia" w:ascii="Arial" w:hAnsi="Arial" w:cs="Arial"/>
          <w:color w:val="auto"/>
          <w:kern w:val="0"/>
          <w:szCs w:val="21"/>
          <w:highlight w:val="none"/>
        </w:rPr>
        <w:t>”</w:t>
      </w:r>
      <w:r>
        <w:rPr>
          <w:rFonts w:ascii="Arial" w:hAnsi="宋体" w:cs="Arial"/>
          <w:color w:val="auto"/>
          <w:kern w:val="0"/>
          <w:szCs w:val="21"/>
          <w:highlight w:val="none"/>
        </w:rPr>
        <w:t>是指使用货物，接受服务的单位。</w:t>
      </w:r>
    </w:p>
    <w:p w14:paraId="786E7963">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3</w:t>
      </w:r>
      <w:r>
        <w:rPr>
          <w:rFonts w:ascii="Arial" w:hAnsi="宋体" w:cs="Arial"/>
          <w:b/>
          <w:bCs/>
          <w:color w:val="auto"/>
          <w:kern w:val="0"/>
          <w:szCs w:val="21"/>
          <w:highlight w:val="none"/>
        </w:rPr>
        <w:t>、政策功能</w:t>
      </w:r>
    </w:p>
    <w:p w14:paraId="06E0C14C">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第六章），否则不得享受相关中小企业扶持政策。（“中小企业划型标准”详见《关于印发中小企业划型标准规定的通知》工信部联企业〔2011〕300号及《国家统计局关于印发&lt;统计上大中小微型企业划分办法（2017）&gt;的通知》国统2017〕213号）。</w:t>
      </w:r>
    </w:p>
    <w:p w14:paraId="287BEDC5">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629047B9">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6A61F3CA">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14:paraId="08ABA328">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3.5强制采购信息安全产品。参加政府采购活动的信息安全产品投标人应当选择经国家认证的信息安全产品投标，并提供由国家信息安全认证中心按国家标准认证颁发的有效认证证书。</w:t>
      </w:r>
    </w:p>
    <w:p w14:paraId="1735815A">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3.6进口产品政策</w:t>
      </w:r>
    </w:p>
    <w:p w14:paraId="3EEAD31E">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（1）除招标公告载明接受进口产品参加外，不允许进口产品参加。进口产品认定依照《财政部关于政府采购进口产品管理有关问题的通知》（财办库〔2008〕248号）的规定。</w:t>
      </w:r>
    </w:p>
    <w:p w14:paraId="4C85C7E1">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（2）允许进口产品参加的，满足需求的国内产品可以参加。</w:t>
      </w:r>
    </w:p>
    <w:p w14:paraId="38BAC7CF">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（3）允许进口产品参加的，优先采购向我国企业转让技术、与我国企业签订消化吸收再创新方案的投标人的进口产品。</w:t>
      </w:r>
    </w:p>
    <w:p w14:paraId="3FC2C6DC">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3.7未按要求提供相关材料的，不享受相关政策</w:t>
      </w:r>
      <w:r>
        <w:rPr>
          <w:rFonts w:ascii="Arial" w:hAnsi="宋体" w:cs="Arial"/>
          <w:color w:val="auto"/>
          <w:kern w:val="0"/>
          <w:szCs w:val="21"/>
          <w:highlight w:val="none"/>
        </w:rPr>
        <w:t>。</w:t>
      </w:r>
    </w:p>
    <w:p w14:paraId="0BA1FC9E">
      <w:pPr>
        <w:widowControl/>
        <w:spacing w:line="360" w:lineRule="auto"/>
        <w:ind w:firstLine="412"/>
        <w:rPr>
          <w:rFonts w:ascii="Arial" w:hAnsi="Arial" w:cs="Arial"/>
          <w:color w:val="auto"/>
          <w:kern w:val="0"/>
          <w:szCs w:val="21"/>
          <w:highlight w:val="none"/>
        </w:rPr>
      </w:pPr>
      <w:r>
        <w:rPr>
          <w:rFonts w:ascii="Arial" w:hAnsi="宋体" w:cs="Arial"/>
          <w:b/>
          <w:bCs/>
          <w:color w:val="auto"/>
          <w:kern w:val="0"/>
          <w:szCs w:val="21"/>
          <w:highlight w:val="none"/>
        </w:rPr>
        <w:t>二、招标文件构成</w:t>
      </w:r>
    </w:p>
    <w:p w14:paraId="0BFFBBA7">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4</w:t>
      </w:r>
      <w:r>
        <w:rPr>
          <w:rFonts w:ascii="Arial" w:hAnsi="宋体" w:cs="Arial"/>
          <w:b/>
          <w:bCs/>
          <w:color w:val="auto"/>
          <w:kern w:val="0"/>
          <w:szCs w:val="21"/>
          <w:highlight w:val="none"/>
        </w:rPr>
        <w:t>、招标文件组成</w:t>
      </w:r>
    </w:p>
    <w:p w14:paraId="6E89BD65">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4.1</w:t>
      </w:r>
      <w:r>
        <w:rPr>
          <w:rFonts w:ascii="Arial" w:hAnsi="宋体" w:cs="Arial"/>
          <w:color w:val="auto"/>
          <w:kern w:val="0"/>
          <w:szCs w:val="21"/>
          <w:highlight w:val="none"/>
        </w:rPr>
        <w:t>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w:t>
      </w:r>
      <w:r>
        <w:rPr>
          <w:rFonts w:hint="eastAsia" w:ascii="Arial" w:hAnsi="宋体" w:cs="Arial"/>
          <w:color w:val="auto"/>
          <w:kern w:val="0"/>
          <w:szCs w:val="21"/>
          <w:highlight w:val="none"/>
        </w:rPr>
        <w:t>招标</w:t>
      </w:r>
      <w:r>
        <w:rPr>
          <w:rFonts w:ascii="Arial" w:hAnsi="宋体" w:cs="Arial"/>
          <w:color w:val="auto"/>
          <w:kern w:val="0"/>
          <w:szCs w:val="21"/>
          <w:highlight w:val="none"/>
        </w:rPr>
        <w:t>项目预算金额，设定最高限价的，还应当公开最高限价；</w:t>
      </w:r>
      <w:r>
        <w:rPr>
          <w:rFonts w:hint="eastAsia" w:ascii="Arial" w:hAnsi="宋体" w:cs="Arial"/>
          <w:color w:val="auto"/>
          <w:kern w:val="0"/>
          <w:szCs w:val="21"/>
          <w:highlight w:val="none"/>
        </w:rPr>
        <w:t>招标</w:t>
      </w:r>
      <w:r>
        <w:rPr>
          <w:rFonts w:ascii="Arial" w:hAnsi="宋体" w:cs="Arial"/>
          <w:color w:val="auto"/>
          <w:kern w:val="0"/>
          <w:szCs w:val="21"/>
          <w:highlight w:val="none"/>
        </w:rPr>
        <w:t>项目的技术规格、数量、服务标准、验收等要求，包括附件、图纸等；拟签订的合同文本；货物、服务提供的时间、地点、方式；采购资金的支付方式、时间、条件；评标方法、评标标准和投标无效情形；投标有效期；投标截止时间、开标时间及地点；</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代理费用的收取标准和方式；投标人信用信息查询渠道及截止时点、信用信息查询记录和证据留存的具体方式、信用信息的使用规则等；省级以上财政部门规定的其他事项。</w:t>
      </w:r>
    </w:p>
    <w:p w14:paraId="1E4CDC1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4.2 </w:t>
      </w:r>
      <w:r>
        <w:rPr>
          <w:rFonts w:ascii="Arial" w:hAnsi="宋体" w:cs="Arial"/>
          <w:color w:val="auto"/>
          <w:kern w:val="0"/>
          <w:szCs w:val="21"/>
          <w:highlight w:val="none"/>
        </w:rPr>
        <w:t>招标的最小单位是</w:t>
      </w:r>
      <w:r>
        <w:rPr>
          <w:rFonts w:hint="eastAsia" w:ascii="Arial" w:hAnsi="宋体" w:cs="Arial"/>
          <w:color w:val="auto"/>
          <w:kern w:val="0"/>
          <w:szCs w:val="21"/>
          <w:highlight w:val="none"/>
        </w:rPr>
        <w:t>标段</w:t>
      </w:r>
      <w:r>
        <w:rPr>
          <w:rFonts w:ascii="Arial" w:hAnsi="宋体" w:cs="Arial"/>
          <w:color w:val="auto"/>
          <w:kern w:val="0"/>
          <w:szCs w:val="21"/>
          <w:highlight w:val="none"/>
        </w:rPr>
        <w:t>。招标货物数量及技术要求中未分</w:t>
      </w:r>
      <w:r>
        <w:rPr>
          <w:rFonts w:hint="eastAsia" w:ascii="Arial" w:hAnsi="宋体" w:cs="Arial"/>
          <w:color w:val="auto"/>
          <w:kern w:val="0"/>
          <w:szCs w:val="21"/>
          <w:highlight w:val="none"/>
        </w:rPr>
        <w:t>标段</w:t>
      </w:r>
      <w:r>
        <w:rPr>
          <w:rFonts w:ascii="Arial" w:hAnsi="宋体" w:cs="Arial"/>
          <w:color w:val="auto"/>
          <w:kern w:val="0"/>
          <w:szCs w:val="21"/>
          <w:highlight w:val="none"/>
        </w:rPr>
        <w:t>的，投标人对要求提供的货物和服务不得部分投标；招标货物数量及技术要求中已经分</w:t>
      </w:r>
      <w:r>
        <w:rPr>
          <w:rFonts w:hint="eastAsia" w:ascii="Arial" w:hAnsi="宋体" w:cs="Arial"/>
          <w:color w:val="auto"/>
          <w:kern w:val="0"/>
          <w:szCs w:val="21"/>
          <w:highlight w:val="none"/>
        </w:rPr>
        <w:t>标段</w:t>
      </w:r>
      <w:r>
        <w:rPr>
          <w:rFonts w:ascii="Arial" w:hAnsi="宋体" w:cs="Arial"/>
          <w:color w:val="auto"/>
          <w:kern w:val="0"/>
          <w:szCs w:val="21"/>
          <w:highlight w:val="none"/>
        </w:rPr>
        <w:t>的，可以以</w:t>
      </w:r>
      <w:r>
        <w:rPr>
          <w:rFonts w:hint="eastAsia" w:ascii="Arial" w:hAnsi="宋体" w:cs="Arial"/>
          <w:color w:val="auto"/>
          <w:kern w:val="0"/>
          <w:szCs w:val="21"/>
          <w:highlight w:val="none"/>
        </w:rPr>
        <w:t>标段</w:t>
      </w:r>
      <w:r>
        <w:rPr>
          <w:rFonts w:ascii="Arial" w:hAnsi="宋体" w:cs="Arial"/>
          <w:color w:val="auto"/>
          <w:kern w:val="0"/>
          <w:szCs w:val="21"/>
          <w:highlight w:val="none"/>
        </w:rPr>
        <w:t>为单位投标。</w:t>
      </w:r>
    </w:p>
    <w:p w14:paraId="0C51CAAA">
      <w:pPr>
        <w:widowControl/>
        <w:spacing w:line="360" w:lineRule="auto"/>
        <w:ind w:firstLine="420"/>
        <w:rPr>
          <w:rFonts w:hint="eastAsia" w:ascii="Arial" w:hAnsi="宋体" w:cs="Arial"/>
          <w:color w:val="auto"/>
          <w:kern w:val="0"/>
          <w:szCs w:val="21"/>
          <w:highlight w:val="none"/>
        </w:rPr>
      </w:pPr>
      <w:r>
        <w:rPr>
          <w:rFonts w:ascii="Arial" w:hAnsi="Arial" w:cs="Arial"/>
          <w:color w:val="auto"/>
          <w:kern w:val="0"/>
          <w:szCs w:val="21"/>
          <w:highlight w:val="none"/>
        </w:rPr>
        <w:t xml:space="preserve">4.3 </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如果要求投标人按照招标文件规定提交备选投标方案的，投标人可以提交备选方案；否则，备选方案将被拒绝。</w:t>
      </w:r>
    </w:p>
    <w:p w14:paraId="429A417C">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4</w:t>
      </w:r>
      <w:r>
        <w:rPr>
          <w:rFonts w:ascii="Arial" w:hAnsi="Arial" w:cs="Arial"/>
          <w:color w:val="auto"/>
          <w:kern w:val="0"/>
          <w:szCs w:val="21"/>
          <w:highlight w:val="none"/>
        </w:rPr>
        <w:t>.</w:t>
      </w:r>
      <w:r>
        <w:rPr>
          <w:rFonts w:hint="eastAsia" w:ascii="Arial" w:hAnsi="Arial" w:cs="Arial"/>
          <w:color w:val="auto"/>
          <w:kern w:val="0"/>
          <w:szCs w:val="21"/>
          <w:highlight w:val="none"/>
        </w:rPr>
        <w:t>4</w:t>
      </w:r>
      <w:r>
        <w:rPr>
          <w:rFonts w:ascii="Arial" w:hAnsi="宋体" w:cs="Arial"/>
          <w:color w:val="auto"/>
          <w:kern w:val="0"/>
          <w:szCs w:val="21"/>
          <w:highlight w:val="none"/>
        </w:rPr>
        <w:t>招标文件中要求的产品品牌或型号，是</w:t>
      </w:r>
      <w:r>
        <w:rPr>
          <w:rFonts w:hint="eastAsia" w:ascii="Arial" w:hAnsi="宋体" w:cs="Arial"/>
          <w:color w:val="auto"/>
          <w:kern w:val="0"/>
          <w:szCs w:val="21"/>
          <w:highlight w:val="none"/>
        </w:rPr>
        <w:t>采购人</w:t>
      </w:r>
      <w:r>
        <w:rPr>
          <w:rFonts w:ascii="Arial" w:hAnsi="宋体" w:cs="Arial"/>
          <w:color w:val="auto"/>
          <w:kern w:val="0"/>
          <w:szCs w:val="21"/>
          <w:highlight w:val="none"/>
        </w:rPr>
        <w:t>根据项目所要实现的功能推荐的品牌或型号，仅供投标人参考，并不是限制条件。</w:t>
      </w:r>
    </w:p>
    <w:p w14:paraId="79EF6B1E">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5</w:t>
      </w:r>
      <w:r>
        <w:rPr>
          <w:rFonts w:ascii="Arial" w:hAnsi="宋体" w:cs="Arial"/>
          <w:b/>
          <w:bCs/>
          <w:color w:val="auto"/>
          <w:kern w:val="0"/>
          <w:szCs w:val="21"/>
          <w:highlight w:val="none"/>
        </w:rPr>
        <w:t>、招标文件的澄清或者修改</w:t>
      </w:r>
    </w:p>
    <w:p w14:paraId="5DF7C9F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5.1</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可以对已发出的招标文件进行必要的澄清或者修改，但不得改变采购标的和资格条件。澄清或者修改应当在原公告发布媒体上发布澄清公告</w:t>
      </w:r>
      <w:r>
        <w:rPr>
          <w:rFonts w:hint="eastAsia" w:ascii="Arial" w:hAnsi="宋体" w:cs="Arial"/>
          <w:color w:val="auto"/>
          <w:kern w:val="0"/>
          <w:szCs w:val="21"/>
          <w:highlight w:val="none"/>
        </w:rPr>
        <w:t>。</w:t>
      </w:r>
      <w:r>
        <w:rPr>
          <w:rFonts w:ascii="Arial" w:hAnsi="宋体" w:cs="Arial"/>
          <w:color w:val="auto"/>
          <w:kern w:val="0"/>
          <w:szCs w:val="21"/>
          <w:highlight w:val="none"/>
        </w:rPr>
        <w:t>澄清或者修改的内容为招标文件的组成部分。</w:t>
      </w:r>
    </w:p>
    <w:p w14:paraId="6A9A5EF6">
      <w:pPr>
        <w:widowControl/>
        <w:spacing w:line="360" w:lineRule="auto"/>
        <w:ind w:firstLine="420"/>
        <w:rPr>
          <w:rFonts w:ascii="Arial" w:hAnsi="Arial" w:cs="Arial"/>
          <w:color w:val="auto"/>
          <w:kern w:val="0"/>
          <w:szCs w:val="21"/>
          <w:highlight w:val="none"/>
        </w:rPr>
      </w:pPr>
      <w:r>
        <w:rPr>
          <w:rFonts w:hint="eastAsia" w:ascii="Arial" w:hAnsi="宋体" w:cs="Arial"/>
          <w:color w:val="auto"/>
          <w:kern w:val="0"/>
          <w:szCs w:val="21"/>
          <w:highlight w:val="none"/>
        </w:rPr>
        <w:t>5.2</w:t>
      </w:r>
      <w:r>
        <w:rPr>
          <w:rFonts w:ascii="Arial" w:hAnsi="宋体" w:cs="Arial"/>
          <w:color w:val="auto"/>
          <w:kern w:val="0"/>
          <w:szCs w:val="21"/>
          <w:highlight w:val="none"/>
        </w:rPr>
        <w:t>澄清或者修改的内容可能影响投标文件编制的，</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应当在投标截止时间至少</w:t>
      </w:r>
      <w:r>
        <w:rPr>
          <w:rFonts w:ascii="Arial" w:hAnsi="Arial" w:cs="Arial"/>
          <w:color w:val="auto"/>
          <w:kern w:val="0"/>
          <w:szCs w:val="21"/>
          <w:highlight w:val="none"/>
        </w:rPr>
        <w:t>15</w:t>
      </w:r>
      <w:r>
        <w:rPr>
          <w:rFonts w:ascii="Arial" w:hAnsi="宋体" w:cs="Arial"/>
          <w:color w:val="auto"/>
          <w:kern w:val="0"/>
          <w:szCs w:val="21"/>
          <w:highlight w:val="none"/>
        </w:rPr>
        <w:t>日前，以书面形式通知所有获取招标文件的潜在投标人；不足</w:t>
      </w:r>
      <w:r>
        <w:rPr>
          <w:rFonts w:ascii="Arial" w:hAnsi="Arial" w:cs="Arial"/>
          <w:color w:val="auto"/>
          <w:kern w:val="0"/>
          <w:szCs w:val="21"/>
          <w:highlight w:val="none"/>
        </w:rPr>
        <w:t>15</w:t>
      </w:r>
      <w:r>
        <w:rPr>
          <w:rFonts w:ascii="Arial" w:hAnsi="宋体" w:cs="Arial"/>
          <w:color w:val="auto"/>
          <w:kern w:val="0"/>
          <w:szCs w:val="21"/>
          <w:highlight w:val="none"/>
        </w:rPr>
        <w:t>日的，</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应当顺延提交投标文件的截止时间。</w:t>
      </w:r>
    </w:p>
    <w:p w14:paraId="7AB891F6">
      <w:pPr>
        <w:widowControl/>
        <w:spacing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三、投标文件的编制</w:t>
      </w:r>
    </w:p>
    <w:p w14:paraId="510C9543">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6</w:t>
      </w:r>
      <w:r>
        <w:rPr>
          <w:rFonts w:ascii="Arial" w:hAnsi="宋体" w:cs="Arial"/>
          <w:b/>
          <w:bCs/>
          <w:color w:val="auto"/>
          <w:kern w:val="0"/>
          <w:szCs w:val="21"/>
          <w:highlight w:val="none"/>
        </w:rPr>
        <w:t>、投标文件的语言、计量单位、货币和编制</w:t>
      </w:r>
    </w:p>
    <w:p w14:paraId="7320FB1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6.1</w:t>
      </w:r>
      <w:r>
        <w:rPr>
          <w:rFonts w:ascii="Arial" w:hAnsi="宋体" w:cs="Arial"/>
          <w:color w:val="auto"/>
          <w:kern w:val="0"/>
          <w:szCs w:val="21"/>
          <w:highlight w:val="none"/>
        </w:rPr>
        <w:t>投标人提交的投标文件、技术文件和资料，包括图纸中的说明，以及投标人与</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就有关投标的所有来往函电均应使用中文。投标文件中若有英文或其他语言文字的资料，应提供相应的中文翻译资料。对不同文本投标文件的解释发生异议的，以中文文本为准。</w:t>
      </w:r>
    </w:p>
    <w:p w14:paraId="2C4800C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6.2</w:t>
      </w:r>
      <w:r>
        <w:rPr>
          <w:rFonts w:ascii="Arial" w:hAnsi="宋体" w:cs="Arial"/>
          <w:color w:val="auto"/>
          <w:kern w:val="0"/>
          <w:szCs w:val="21"/>
          <w:highlight w:val="none"/>
        </w:rPr>
        <w:t>投标人所使用的计量单位应为国家法定计量单位。</w:t>
      </w:r>
    </w:p>
    <w:p w14:paraId="13E9BEF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6.3</w:t>
      </w:r>
      <w:r>
        <w:rPr>
          <w:rFonts w:ascii="Arial" w:hAnsi="宋体" w:cs="Arial"/>
          <w:color w:val="auto"/>
          <w:kern w:val="0"/>
          <w:szCs w:val="21"/>
          <w:highlight w:val="none"/>
        </w:rPr>
        <w:t>投标人应用人民币报价。</w:t>
      </w:r>
    </w:p>
    <w:p w14:paraId="09A4FD41">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4</w:t>
      </w:r>
      <w:r>
        <w:rPr>
          <w:rFonts w:ascii="Arial" w:hAnsi="宋体" w:cs="Arial"/>
          <w:color w:val="auto"/>
          <w:kern w:val="0"/>
          <w:szCs w:val="21"/>
          <w:highlight w:val="none"/>
        </w:rPr>
        <w:t>投标文件应按照招标文件规定的顺序打印、装订成册并编制目录</w:t>
      </w:r>
      <w:r>
        <w:rPr>
          <w:rFonts w:hint="eastAsia" w:ascii="Arial" w:hAnsi="宋体" w:cs="Arial"/>
          <w:color w:val="auto"/>
          <w:kern w:val="0"/>
          <w:szCs w:val="21"/>
          <w:highlight w:val="none"/>
        </w:rPr>
        <w:t>。因</w:t>
      </w:r>
      <w:r>
        <w:rPr>
          <w:rFonts w:ascii="Arial" w:hAnsi="宋体" w:cs="Arial"/>
          <w:color w:val="auto"/>
          <w:kern w:val="0"/>
          <w:szCs w:val="21"/>
          <w:highlight w:val="none"/>
        </w:rPr>
        <w:t>编排混乱导致投标文件被误读或查找不到，责任由投标人承担。</w:t>
      </w:r>
    </w:p>
    <w:p w14:paraId="7924417C">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5</w:t>
      </w:r>
      <w:r>
        <w:rPr>
          <w:rFonts w:ascii="Arial" w:hAnsi="宋体" w:cs="Arial"/>
          <w:color w:val="auto"/>
          <w:kern w:val="0"/>
          <w:szCs w:val="21"/>
          <w:highlight w:val="none"/>
        </w:rPr>
        <w:t>投标人应在投标文件中写清相应的项目编号、项目名称、投标人全称、地址、电话、传真等。</w:t>
      </w:r>
    </w:p>
    <w:p w14:paraId="3FED2D71">
      <w:pPr>
        <w:widowControl/>
        <w:spacing w:line="360" w:lineRule="auto"/>
        <w:ind w:firstLine="412"/>
        <w:rPr>
          <w:rFonts w:ascii="Arial" w:hAnsi="Arial" w:cs="Arial"/>
          <w:color w:val="auto"/>
          <w:kern w:val="0"/>
          <w:szCs w:val="21"/>
          <w:highlight w:val="none"/>
        </w:rPr>
      </w:pPr>
      <w:r>
        <w:rPr>
          <w:rFonts w:ascii="Arial" w:hAnsi="Arial" w:cs="Arial"/>
          <w:bCs/>
          <w:color w:val="auto"/>
          <w:kern w:val="0"/>
          <w:szCs w:val="21"/>
          <w:highlight w:val="none"/>
        </w:rPr>
        <w:t>6.</w:t>
      </w:r>
      <w:r>
        <w:rPr>
          <w:rFonts w:hint="eastAsia" w:ascii="Arial" w:hAnsi="Arial" w:cs="Arial"/>
          <w:bCs/>
          <w:color w:val="auto"/>
          <w:kern w:val="0"/>
          <w:szCs w:val="21"/>
          <w:highlight w:val="none"/>
        </w:rPr>
        <w:t>6</w:t>
      </w:r>
      <w:r>
        <w:rPr>
          <w:rFonts w:ascii="Arial" w:hAnsi="宋体" w:cs="Arial"/>
          <w:color w:val="auto"/>
          <w:kern w:val="0"/>
          <w:szCs w:val="21"/>
          <w:highlight w:val="none"/>
        </w:rPr>
        <w:t>投标人根据招标文件载明的标的采购项目实际情况，拟在中标后将中标项目的非主体、非关键性工作交由他人完成的，应当在投标文件中载明。</w:t>
      </w:r>
    </w:p>
    <w:p w14:paraId="32DEF4D9">
      <w:pPr>
        <w:widowControl/>
        <w:spacing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7、联合体投标</w:t>
      </w:r>
    </w:p>
    <w:p w14:paraId="2B96CE65">
      <w:pPr>
        <w:widowControl/>
        <w:spacing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7.1 两个以上的自然人、法人或者其他组织可以组成一个联合体，以一个投标人的身份共同参加政府采购。</w:t>
      </w:r>
    </w:p>
    <w:p w14:paraId="320851B5">
      <w:pPr>
        <w:widowControl/>
        <w:spacing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7.2 联合体中有同类资质的投标人按照联合体分工承担相同工作的，按照资质等级较低的投标人确定资质等级。</w:t>
      </w:r>
    </w:p>
    <w:p w14:paraId="4D263515">
      <w:pPr>
        <w:widowControl/>
        <w:spacing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7.3 联合体各方之间应当签订联合体协议，明确约定联合体各方承担的工作和相应的责任，并将联合体协议连同投标文件一同提交。</w:t>
      </w:r>
    </w:p>
    <w:p w14:paraId="173CD897">
      <w:pPr>
        <w:widowControl/>
        <w:spacing w:line="360" w:lineRule="auto"/>
        <w:ind w:firstLine="412"/>
        <w:rPr>
          <w:rFonts w:ascii="Arial" w:hAnsi="Arial" w:cs="Arial"/>
          <w:color w:val="auto"/>
          <w:kern w:val="0"/>
          <w:szCs w:val="21"/>
          <w:highlight w:val="none"/>
        </w:rPr>
      </w:pPr>
      <w:r>
        <w:rPr>
          <w:rFonts w:ascii="Arial" w:hAnsi="Arial" w:cs="Arial"/>
          <w:bCs/>
          <w:color w:val="auto"/>
          <w:kern w:val="0"/>
          <w:szCs w:val="21"/>
          <w:highlight w:val="none"/>
        </w:rPr>
        <w:t>7.4 以联合体形式参加政府采购活动的，联合体各方不得再单独参加或者与其他投标人另外组成联合体参加同一合同项下的政府采购活动。</w:t>
      </w:r>
    </w:p>
    <w:p w14:paraId="74820370">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8</w:t>
      </w:r>
      <w:r>
        <w:rPr>
          <w:rFonts w:ascii="Arial" w:hAnsi="宋体" w:cs="Arial"/>
          <w:b/>
          <w:bCs/>
          <w:color w:val="auto"/>
          <w:kern w:val="0"/>
          <w:szCs w:val="21"/>
          <w:highlight w:val="none"/>
        </w:rPr>
        <w:t>、投标文件的组成</w:t>
      </w:r>
    </w:p>
    <w:p w14:paraId="62D04A51">
      <w:pPr>
        <w:widowControl/>
        <w:spacing w:line="360" w:lineRule="auto"/>
        <w:ind w:firstLine="420"/>
        <w:jc w:val="left"/>
        <w:rPr>
          <w:rFonts w:ascii="Arial" w:hAnsi="Arial" w:cs="Arial"/>
          <w:b/>
          <w:color w:val="auto"/>
          <w:kern w:val="0"/>
          <w:szCs w:val="21"/>
          <w:highlight w:val="none"/>
        </w:rPr>
      </w:pPr>
      <w:r>
        <w:rPr>
          <w:rFonts w:ascii="Arial" w:hAnsi="Arial" w:cs="Arial"/>
          <w:color w:val="auto"/>
          <w:kern w:val="0"/>
          <w:szCs w:val="21"/>
          <w:highlight w:val="none"/>
        </w:rPr>
        <w:t>8.1</w:t>
      </w:r>
      <w:r>
        <w:rPr>
          <w:rFonts w:ascii="Arial" w:hAnsi="宋体" w:cs="Arial"/>
          <w:color w:val="auto"/>
          <w:kern w:val="0"/>
          <w:szCs w:val="21"/>
          <w:highlight w:val="none"/>
        </w:rPr>
        <w:t>投标人应当根据招标文件要求编制投标文件，投标文件应对招标文件提出的要求和条件作出实质性响应，并在《</w:t>
      </w:r>
      <w:r>
        <w:rPr>
          <w:rFonts w:hint="eastAsia" w:ascii="Arial" w:hAnsi="宋体" w:cs="Arial"/>
          <w:color w:val="auto"/>
          <w:kern w:val="0"/>
          <w:szCs w:val="21"/>
          <w:highlight w:val="none"/>
        </w:rPr>
        <w:t>商务</w:t>
      </w:r>
      <w:r>
        <w:rPr>
          <w:rFonts w:ascii="Arial" w:hAnsi="宋体" w:cs="Arial"/>
          <w:color w:val="auto"/>
          <w:kern w:val="0"/>
          <w:szCs w:val="21"/>
          <w:highlight w:val="none"/>
        </w:rPr>
        <w:t>条款偏离表》和《</w:t>
      </w:r>
      <w:r>
        <w:rPr>
          <w:rFonts w:hint="eastAsia" w:ascii="Arial" w:hAnsi="宋体" w:cs="Arial"/>
          <w:color w:val="auto"/>
          <w:kern w:val="0"/>
          <w:szCs w:val="21"/>
          <w:highlight w:val="none"/>
        </w:rPr>
        <w:t>采购需求偏离表</w:t>
      </w:r>
      <w:r>
        <w:rPr>
          <w:rFonts w:ascii="Arial" w:hAnsi="宋体" w:cs="Arial"/>
          <w:color w:val="auto"/>
          <w:kern w:val="0"/>
          <w:szCs w:val="21"/>
          <w:highlight w:val="none"/>
        </w:rPr>
        <w:t>》等处逐条标明满足与否。</w:t>
      </w:r>
      <w:r>
        <w:rPr>
          <w:rFonts w:ascii="Arial" w:hAnsi="Arial" w:cs="Arial"/>
          <w:b/>
          <w:color w:val="auto"/>
          <w:kern w:val="0"/>
          <w:szCs w:val="21"/>
          <w:highlight w:val="none"/>
        </w:rPr>
        <w:t>对带</w:t>
      </w:r>
      <w:r>
        <w:rPr>
          <w:rFonts w:ascii="Arial" w:hAnsi="Arial" w:cs="Arial"/>
          <w:b/>
          <w:bCs/>
          <w:color w:val="auto"/>
          <w:kern w:val="0"/>
          <w:szCs w:val="21"/>
          <w:highlight w:val="none"/>
        </w:rPr>
        <w:t>星号（“</w:t>
      </w:r>
      <w:r>
        <w:rPr>
          <w:rFonts w:ascii="Arial" w:hAnsi="Arial" w:cs="Arial"/>
          <w:b/>
          <w:bCs/>
          <w:color w:val="auto"/>
          <w:highlight w:val="none"/>
        </w:rPr>
        <w:t>*</w:t>
      </w:r>
      <w:r>
        <w:rPr>
          <w:rFonts w:ascii="Arial" w:hAnsi="Arial" w:cs="Arial"/>
          <w:b/>
          <w:bCs/>
          <w:color w:val="auto"/>
          <w:kern w:val="0"/>
          <w:szCs w:val="21"/>
          <w:highlight w:val="none"/>
        </w:rPr>
        <w:t>”）的技术条款必须在投标文件中提供技术支持资料（如白皮书</w:t>
      </w:r>
      <w:r>
        <w:rPr>
          <w:rFonts w:hint="eastAsia" w:ascii="Arial" w:hAnsi="Arial" w:cs="Arial"/>
          <w:b/>
          <w:bCs/>
          <w:color w:val="auto"/>
          <w:kern w:val="0"/>
          <w:szCs w:val="21"/>
          <w:highlight w:val="none"/>
        </w:rPr>
        <w:t>、</w:t>
      </w:r>
      <w:r>
        <w:rPr>
          <w:rFonts w:ascii="Arial" w:hAnsi="Arial" w:cs="Arial"/>
          <w:b/>
          <w:bCs/>
          <w:color w:val="auto"/>
          <w:kern w:val="0"/>
          <w:szCs w:val="21"/>
          <w:highlight w:val="none"/>
        </w:rPr>
        <w:t>彩页、手册、检测报告等），未提供技术支持资料的，视为未对招标文件实质性要求作出响应</w:t>
      </w:r>
      <w:r>
        <w:rPr>
          <w:rFonts w:hint="eastAsia" w:ascii="Arial" w:hAnsi="Arial" w:cs="Arial"/>
          <w:b/>
          <w:bCs/>
          <w:color w:val="auto"/>
          <w:kern w:val="0"/>
          <w:szCs w:val="21"/>
          <w:highlight w:val="none"/>
        </w:rPr>
        <w:t>，</w:t>
      </w:r>
      <w:r>
        <w:rPr>
          <w:rFonts w:ascii="Arial" w:hAnsi="Arial" w:cs="Arial"/>
          <w:b/>
          <w:bCs/>
          <w:color w:val="auto"/>
          <w:kern w:val="0"/>
          <w:szCs w:val="21"/>
          <w:highlight w:val="none"/>
        </w:rPr>
        <w:t>评审时不予认可。</w:t>
      </w:r>
    </w:p>
    <w:p w14:paraId="3631F0BC">
      <w:pPr>
        <w:widowControl/>
        <w:spacing w:line="360" w:lineRule="auto"/>
        <w:ind w:firstLine="420"/>
        <w:jc w:val="left"/>
        <w:rPr>
          <w:rFonts w:hint="eastAsia" w:ascii="Arial" w:hAnsi="宋体" w:cs="Arial"/>
          <w:color w:val="auto"/>
          <w:kern w:val="0"/>
          <w:szCs w:val="21"/>
          <w:highlight w:val="none"/>
        </w:rPr>
      </w:pPr>
      <w:r>
        <w:rPr>
          <w:rFonts w:ascii="Arial" w:hAnsi="宋体" w:cs="Arial"/>
          <w:color w:val="auto"/>
          <w:kern w:val="0"/>
          <w:szCs w:val="21"/>
          <w:highlight w:val="none"/>
        </w:rPr>
        <w:t>8.2 投标文件由商务、技术、价格以及其他部分</w:t>
      </w:r>
      <w:r>
        <w:rPr>
          <w:rFonts w:hint="eastAsia" w:ascii="Arial" w:hAnsi="宋体" w:cs="Arial"/>
          <w:color w:val="auto"/>
          <w:kern w:val="0"/>
          <w:szCs w:val="21"/>
          <w:highlight w:val="none"/>
        </w:rPr>
        <w:t>内容</w:t>
      </w:r>
      <w:r>
        <w:rPr>
          <w:rFonts w:ascii="Arial" w:hAnsi="宋体" w:cs="Arial"/>
          <w:color w:val="auto"/>
          <w:kern w:val="0"/>
          <w:szCs w:val="21"/>
          <w:highlight w:val="none"/>
        </w:rPr>
        <w:t>组成。</w:t>
      </w:r>
      <w:r>
        <w:rPr>
          <w:rFonts w:hint="eastAsia" w:ascii="Arial" w:hAnsi="宋体" w:cs="Arial"/>
          <w:color w:val="auto"/>
          <w:kern w:val="0"/>
          <w:szCs w:val="21"/>
          <w:highlight w:val="none"/>
        </w:rPr>
        <w:t>投标文件</w:t>
      </w:r>
      <w:r>
        <w:rPr>
          <w:rFonts w:ascii="Arial" w:hAnsi="宋体" w:cs="Arial"/>
          <w:color w:val="auto"/>
          <w:kern w:val="0"/>
          <w:szCs w:val="21"/>
          <w:highlight w:val="none"/>
        </w:rPr>
        <w:t>目录及有关格式按</w:t>
      </w:r>
      <w:r>
        <w:rPr>
          <w:rFonts w:hint="eastAsia" w:ascii="Arial" w:hAnsi="宋体" w:cs="Arial"/>
          <w:color w:val="auto"/>
          <w:kern w:val="0"/>
          <w:szCs w:val="21"/>
          <w:highlight w:val="none"/>
        </w:rPr>
        <w:t>招标文件“第六章 投标文件格式及</w:t>
      </w:r>
      <w:r>
        <w:rPr>
          <w:rFonts w:ascii="Arial" w:hAnsi="宋体" w:cs="Arial"/>
          <w:color w:val="auto"/>
          <w:kern w:val="0"/>
          <w:szCs w:val="21"/>
          <w:highlight w:val="none"/>
        </w:rPr>
        <w:t>附件</w:t>
      </w:r>
      <w:r>
        <w:rPr>
          <w:rFonts w:hint="eastAsia" w:ascii="Arial" w:hAnsi="宋体" w:cs="Arial"/>
          <w:color w:val="auto"/>
          <w:kern w:val="0"/>
          <w:szCs w:val="21"/>
          <w:highlight w:val="none"/>
        </w:rPr>
        <w:t>”的</w:t>
      </w:r>
      <w:r>
        <w:rPr>
          <w:rFonts w:ascii="Arial" w:hAnsi="宋体" w:cs="Arial"/>
          <w:color w:val="auto"/>
          <w:kern w:val="0"/>
          <w:szCs w:val="21"/>
          <w:highlight w:val="none"/>
        </w:rPr>
        <w:t>要求</w:t>
      </w:r>
      <w:r>
        <w:rPr>
          <w:rFonts w:hint="eastAsia" w:ascii="Arial" w:hAnsi="宋体" w:cs="Arial"/>
          <w:color w:val="auto"/>
          <w:kern w:val="0"/>
          <w:szCs w:val="21"/>
          <w:highlight w:val="none"/>
        </w:rPr>
        <w:t>编制。</w:t>
      </w:r>
    </w:p>
    <w:p w14:paraId="0D284D4E">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9</w:t>
      </w:r>
      <w:r>
        <w:rPr>
          <w:rFonts w:ascii="Arial" w:hAnsi="宋体" w:cs="Arial"/>
          <w:b/>
          <w:bCs/>
          <w:color w:val="auto"/>
          <w:kern w:val="0"/>
          <w:szCs w:val="21"/>
          <w:highlight w:val="none"/>
        </w:rPr>
        <w:t>、投标文件</w:t>
      </w:r>
      <w:r>
        <w:rPr>
          <w:rFonts w:hint="eastAsia" w:ascii="Arial" w:hAnsi="宋体" w:cs="Arial"/>
          <w:b/>
          <w:bCs/>
          <w:color w:val="auto"/>
          <w:kern w:val="0"/>
          <w:szCs w:val="21"/>
          <w:highlight w:val="none"/>
        </w:rPr>
        <w:t>的</w:t>
      </w:r>
      <w:r>
        <w:rPr>
          <w:rFonts w:ascii="Arial" w:hAnsi="宋体" w:cs="Arial"/>
          <w:b/>
          <w:bCs/>
          <w:color w:val="auto"/>
          <w:kern w:val="0"/>
          <w:szCs w:val="21"/>
          <w:highlight w:val="none"/>
        </w:rPr>
        <w:t>商务</w:t>
      </w:r>
      <w:r>
        <w:rPr>
          <w:rFonts w:hint="eastAsia" w:ascii="Arial" w:hAnsi="宋体" w:cs="Arial"/>
          <w:b/>
          <w:bCs/>
          <w:color w:val="auto"/>
          <w:kern w:val="0"/>
          <w:szCs w:val="21"/>
          <w:highlight w:val="none"/>
        </w:rPr>
        <w:t>内容</w:t>
      </w:r>
    </w:p>
    <w:p w14:paraId="7DCB1E8A">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9.1</w:t>
      </w:r>
      <w:r>
        <w:rPr>
          <w:rFonts w:ascii="Arial" w:hAnsi="宋体" w:cs="Arial"/>
          <w:color w:val="auto"/>
          <w:kern w:val="0"/>
          <w:szCs w:val="21"/>
          <w:highlight w:val="none"/>
        </w:rPr>
        <w:t>商务部分</w:t>
      </w:r>
      <w:r>
        <w:rPr>
          <w:rFonts w:hint="eastAsia" w:ascii="Arial" w:hAnsi="宋体" w:cs="Arial"/>
          <w:color w:val="auto"/>
          <w:kern w:val="0"/>
          <w:szCs w:val="21"/>
          <w:highlight w:val="none"/>
        </w:rPr>
        <w:t>内容</w:t>
      </w:r>
      <w:r>
        <w:rPr>
          <w:rFonts w:ascii="Arial" w:hAnsi="宋体" w:cs="Arial"/>
          <w:color w:val="auto"/>
          <w:kern w:val="0"/>
          <w:szCs w:val="21"/>
          <w:highlight w:val="none"/>
        </w:rPr>
        <w:t>是证明投标人有资格参加投标和中标后有能力履行合同的文件，这些文件应能满足招标的要求，包括但不限于下列文件（</w:t>
      </w:r>
      <w:r>
        <w:rPr>
          <w:rFonts w:ascii="Arial" w:hAnsi="宋体" w:cs="Arial"/>
          <w:b/>
          <w:color w:val="auto"/>
          <w:kern w:val="0"/>
          <w:szCs w:val="21"/>
          <w:highlight w:val="none"/>
        </w:rPr>
        <w:t>（</w:t>
      </w:r>
      <w:r>
        <w:rPr>
          <w:rFonts w:ascii="Arial" w:hAnsi="Arial" w:cs="Arial"/>
          <w:b/>
          <w:color w:val="auto"/>
          <w:kern w:val="0"/>
          <w:szCs w:val="21"/>
          <w:highlight w:val="none"/>
        </w:rPr>
        <w:t>1</w:t>
      </w:r>
      <w:r>
        <w:rPr>
          <w:rFonts w:ascii="Arial" w:hAnsi="宋体" w:cs="Arial"/>
          <w:b/>
          <w:color w:val="auto"/>
          <w:kern w:val="0"/>
          <w:szCs w:val="21"/>
          <w:highlight w:val="none"/>
        </w:rPr>
        <w:t>）</w:t>
      </w:r>
      <w:r>
        <w:rPr>
          <w:rFonts w:ascii="Arial" w:hAnsi="Arial" w:cs="Arial"/>
          <w:b/>
          <w:color w:val="auto"/>
          <w:kern w:val="0"/>
          <w:szCs w:val="21"/>
          <w:highlight w:val="none"/>
        </w:rPr>
        <w:t>-</w:t>
      </w:r>
      <w:r>
        <w:rPr>
          <w:rFonts w:ascii="Arial" w:hAnsi="宋体" w:cs="Arial"/>
          <w:b/>
          <w:color w:val="auto"/>
          <w:kern w:val="0"/>
          <w:szCs w:val="21"/>
          <w:highlight w:val="none"/>
        </w:rPr>
        <w:t>（</w:t>
      </w:r>
      <w:r>
        <w:rPr>
          <w:rFonts w:hint="eastAsia" w:ascii="Arial" w:hAnsi="Arial" w:cs="Arial"/>
          <w:b/>
          <w:color w:val="auto"/>
          <w:kern w:val="0"/>
          <w:szCs w:val="21"/>
          <w:highlight w:val="none"/>
        </w:rPr>
        <w:t>6</w:t>
      </w:r>
      <w:r>
        <w:rPr>
          <w:rFonts w:ascii="Arial" w:hAnsi="宋体" w:cs="Arial"/>
          <w:b/>
          <w:color w:val="auto"/>
          <w:kern w:val="0"/>
          <w:szCs w:val="21"/>
          <w:highlight w:val="none"/>
        </w:rPr>
        <w:t>）所述材料</w:t>
      </w:r>
      <w:r>
        <w:rPr>
          <w:rFonts w:hint="eastAsia" w:ascii="Arial" w:hAnsi="宋体" w:cs="Arial"/>
          <w:b/>
          <w:color w:val="auto"/>
          <w:kern w:val="0"/>
          <w:szCs w:val="21"/>
          <w:highlight w:val="none"/>
        </w:rPr>
        <w:t>不得</w:t>
      </w:r>
      <w:r>
        <w:rPr>
          <w:rFonts w:ascii="Arial" w:hAnsi="宋体" w:cs="Arial"/>
          <w:b/>
          <w:color w:val="auto"/>
          <w:kern w:val="0"/>
          <w:szCs w:val="21"/>
          <w:highlight w:val="none"/>
        </w:rPr>
        <w:t>有缺失或提供不全或不满足招标文件的实质性要求</w:t>
      </w:r>
      <w:r>
        <w:rPr>
          <w:rFonts w:ascii="Arial" w:hAnsi="宋体" w:cs="Arial"/>
          <w:color w:val="auto"/>
          <w:kern w:val="0"/>
          <w:szCs w:val="21"/>
          <w:highlight w:val="none"/>
        </w:rPr>
        <w:t>）：</w:t>
      </w:r>
    </w:p>
    <w:p w14:paraId="6B795C04">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）投标函（投标申请及声明）</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r>
        <w:rPr>
          <w:rFonts w:ascii="Arial" w:hAnsi="宋体" w:cs="Arial"/>
          <w:color w:val="auto"/>
          <w:kern w:val="0"/>
          <w:szCs w:val="21"/>
          <w:highlight w:val="none"/>
        </w:rPr>
        <w:t>；</w:t>
      </w:r>
    </w:p>
    <w:p w14:paraId="4C016488">
      <w:pPr>
        <w:widowControl/>
        <w:spacing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w:t>
      </w:r>
      <w:r>
        <w:rPr>
          <w:rFonts w:hint="eastAsia" w:ascii="Arial" w:hAnsi="宋体" w:cs="Arial"/>
          <w:color w:val="auto"/>
          <w:kern w:val="0"/>
          <w:szCs w:val="21"/>
          <w:highlight w:val="none"/>
        </w:rPr>
        <w:t>法定代表人授权书</w:t>
      </w:r>
      <w:r>
        <w:rPr>
          <w:rFonts w:ascii="Arial" w:hAnsi="宋体" w:cs="Arial"/>
          <w:color w:val="auto"/>
          <w:kern w:val="0"/>
          <w:szCs w:val="21"/>
          <w:highlight w:val="none"/>
        </w:rPr>
        <w:t>及委托代理人的身份证明文件的复印件</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r>
        <w:rPr>
          <w:rFonts w:ascii="Arial" w:hAnsi="宋体" w:cs="Arial"/>
          <w:color w:val="auto"/>
          <w:kern w:val="0"/>
          <w:szCs w:val="21"/>
          <w:highlight w:val="none"/>
        </w:rPr>
        <w:t>；</w:t>
      </w:r>
    </w:p>
    <w:p w14:paraId="338AAFB7">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）投标人资格资信证明文件：</w:t>
      </w:r>
    </w:p>
    <w:p w14:paraId="6D5F927D">
      <w:pPr>
        <w:pStyle w:val="139"/>
        <w:numPr>
          <w:ilvl w:val="1"/>
          <w:numId w:val="5"/>
        </w:numPr>
        <w:tabs>
          <w:tab w:val="left" w:pos="840"/>
          <w:tab w:val="clear" w:pos="990"/>
        </w:tabs>
        <w:spacing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.1</w:t>
      </w:r>
      <w:r>
        <w:rPr>
          <w:rFonts w:ascii="Arial" w:hAnsi="宋体" w:cs="Arial"/>
          <w:bCs/>
          <w:color w:val="auto"/>
          <w:szCs w:val="21"/>
          <w:highlight w:val="none"/>
        </w:rPr>
        <w:t>《中华人民共和国政府采购法》规定的资格条件证明文件；</w:t>
      </w:r>
    </w:p>
    <w:p w14:paraId="519E5BAD">
      <w:pPr>
        <w:pStyle w:val="139"/>
        <w:numPr>
          <w:ilvl w:val="1"/>
          <w:numId w:val="5"/>
        </w:numPr>
        <w:tabs>
          <w:tab w:val="left" w:pos="840"/>
          <w:tab w:val="clear" w:pos="990"/>
        </w:tabs>
        <w:spacing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w:t>
      </w:r>
      <w:r>
        <w:rPr>
          <w:rFonts w:hint="eastAsia" w:ascii="Arial" w:hAnsi="Arial" w:cs="Arial"/>
          <w:bCs/>
          <w:color w:val="auto"/>
          <w:szCs w:val="21"/>
          <w:highlight w:val="none"/>
        </w:rPr>
        <w:t>2</w:t>
      </w:r>
      <w:r>
        <w:rPr>
          <w:rFonts w:ascii="Arial" w:hAnsi="Arial" w:cs="Arial"/>
          <w:color w:val="auto"/>
          <w:spacing w:val="8"/>
          <w:kern w:val="0"/>
          <w:szCs w:val="21"/>
          <w:highlight w:val="none"/>
        </w:rPr>
        <w:t>落实政府采购政策需满足的资格要求</w:t>
      </w:r>
      <w:r>
        <w:rPr>
          <w:rFonts w:hint="eastAsia" w:ascii="Arial" w:hAnsi="Arial" w:cs="Arial"/>
          <w:color w:val="auto"/>
          <w:spacing w:val="8"/>
          <w:kern w:val="0"/>
          <w:szCs w:val="21"/>
          <w:highlight w:val="none"/>
        </w:rPr>
        <w:t>；</w:t>
      </w:r>
    </w:p>
    <w:p w14:paraId="2200B31F">
      <w:pPr>
        <w:pStyle w:val="139"/>
        <w:numPr>
          <w:ilvl w:val="1"/>
          <w:numId w:val="5"/>
        </w:numPr>
        <w:tabs>
          <w:tab w:val="left" w:pos="840"/>
          <w:tab w:val="clear" w:pos="990"/>
        </w:tabs>
        <w:spacing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w:t>
      </w:r>
      <w:r>
        <w:rPr>
          <w:rFonts w:hint="eastAsia" w:ascii="Arial" w:hAnsi="Arial" w:cs="Arial"/>
          <w:bCs/>
          <w:color w:val="auto"/>
          <w:szCs w:val="21"/>
          <w:highlight w:val="none"/>
        </w:rPr>
        <w:t>3</w:t>
      </w:r>
      <w:r>
        <w:rPr>
          <w:rFonts w:ascii="Arial" w:hAnsi="Arial" w:cs="Arial"/>
          <w:bCs/>
          <w:color w:val="auto"/>
          <w:szCs w:val="21"/>
          <w:highlight w:val="none"/>
        </w:rPr>
        <w:t xml:space="preserve"> </w:t>
      </w:r>
      <w:r>
        <w:rPr>
          <w:rFonts w:ascii="Arial" w:hAnsi="宋体" w:cs="Arial"/>
          <w:bCs/>
          <w:color w:val="auto"/>
          <w:szCs w:val="21"/>
          <w:highlight w:val="none"/>
        </w:rPr>
        <w:t>采购人根据采购项目的特殊要求规定的特定条件证明文件</w:t>
      </w:r>
      <w:r>
        <w:rPr>
          <w:rFonts w:hint="eastAsia" w:ascii="Arial" w:hAnsi="宋体" w:cs="Arial"/>
          <w:bCs/>
          <w:color w:val="auto"/>
          <w:szCs w:val="21"/>
          <w:highlight w:val="none"/>
        </w:rPr>
        <w:t>。</w:t>
      </w:r>
    </w:p>
    <w:p w14:paraId="311528FF">
      <w:pPr>
        <w:widowControl/>
        <w:spacing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）开标一览表</w:t>
      </w:r>
      <w:r>
        <w:rPr>
          <w:rFonts w:hint="eastAsia" w:ascii="Arial" w:hAnsi="宋体" w:cs="Arial"/>
          <w:color w:val="auto"/>
          <w:kern w:val="0"/>
          <w:szCs w:val="21"/>
          <w:highlight w:val="none"/>
        </w:rPr>
        <w:t>及附表</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p>
    <w:p w14:paraId="554024C6">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5</w:t>
      </w:r>
      <w:r>
        <w:rPr>
          <w:rFonts w:ascii="Arial" w:hAnsi="宋体" w:cs="Arial"/>
          <w:color w:val="auto"/>
          <w:kern w:val="0"/>
          <w:szCs w:val="21"/>
          <w:highlight w:val="none"/>
        </w:rPr>
        <w:t>）投标人缴纳投标保证金凭证（如需要）；</w:t>
      </w:r>
    </w:p>
    <w:p w14:paraId="25AFB187">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（6）</w:t>
      </w:r>
      <w:r>
        <w:rPr>
          <w:rFonts w:ascii="Arial" w:hAnsi="宋体" w:cs="Arial"/>
          <w:color w:val="auto"/>
          <w:kern w:val="0"/>
          <w:szCs w:val="21"/>
          <w:highlight w:val="none"/>
        </w:rPr>
        <w:t>《</w:t>
      </w:r>
      <w:r>
        <w:rPr>
          <w:rFonts w:hint="eastAsia" w:ascii="Arial" w:hAnsi="宋体" w:cs="Arial"/>
          <w:color w:val="auto"/>
          <w:kern w:val="0"/>
          <w:szCs w:val="21"/>
          <w:highlight w:val="none"/>
        </w:rPr>
        <w:t>商务</w:t>
      </w:r>
      <w:r>
        <w:rPr>
          <w:rFonts w:ascii="Arial" w:hAnsi="宋体" w:cs="Arial"/>
          <w:color w:val="auto"/>
          <w:kern w:val="0"/>
          <w:szCs w:val="21"/>
          <w:highlight w:val="none"/>
        </w:rPr>
        <w:t>条款偏离表》；</w:t>
      </w:r>
    </w:p>
    <w:p w14:paraId="6AA8347F">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7</w:t>
      </w:r>
      <w:r>
        <w:rPr>
          <w:rFonts w:ascii="Arial" w:hAnsi="宋体" w:cs="Arial"/>
          <w:color w:val="auto"/>
          <w:kern w:val="0"/>
          <w:szCs w:val="21"/>
          <w:highlight w:val="none"/>
        </w:rPr>
        <w:t>）第三章评标标准中对应的所需证明材料（如有自行添加）；</w:t>
      </w:r>
    </w:p>
    <w:p w14:paraId="5D48B51C">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8</w:t>
      </w:r>
      <w:r>
        <w:rPr>
          <w:rFonts w:ascii="Arial" w:hAnsi="宋体" w:cs="Arial"/>
          <w:color w:val="auto"/>
          <w:kern w:val="0"/>
          <w:szCs w:val="21"/>
          <w:highlight w:val="none"/>
        </w:rPr>
        <w:t>）要求采购人提供的配合（如有自拟并自行添加）；</w:t>
      </w:r>
    </w:p>
    <w:p w14:paraId="1764217B">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9</w:t>
      </w:r>
      <w:r>
        <w:rPr>
          <w:rFonts w:ascii="Arial" w:hAnsi="宋体" w:cs="Arial"/>
          <w:color w:val="auto"/>
          <w:kern w:val="0"/>
          <w:szCs w:val="21"/>
          <w:highlight w:val="none"/>
        </w:rPr>
        <w:t>）其它（投标人认为有必要提供的声明和文件，如有，自行拟定并添加）。</w:t>
      </w:r>
    </w:p>
    <w:p w14:paraId="24B759CE">
      <w:pPr>
        <w:widowControl/>
        <w:spacing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10</w:t>
      </w:r>
      <w:r>
        <w:rPr>
          <w:rFonts w:ascii="Arial" w:hAnsi="宋体" w:cs="Arial"/>
          <w:b/>
          <w:bCs/>
          <w:color w:val="auto"/>
          <w:kern w:val="0"/>
          <w:szCs w:val="21"/>
          <w:highlight w:val="none"/>
        </w:rPr>
        <w:t>、投标文件的技术</w:t>
      </w:r>
      <w:r>
        <w:rPr>
          <w:rFonts w:hint="eastAsia" w:ascii="Arial" w:hAnsi="宋体" w:cs="Arial"/>
          <w:b/>
          <w:bCs/>
          <w:color w:val="auto"/>
          <w:kern w:val="0"/>
          <w:szCs w:val="21"/>
          <w:highlight w:val="none"/>
        </w:rPr>
        <w:t>内容</w:t>
      </w:r>
    </w:p>
    <w:p w14:paraId="154D474A">
      <w:pPr>
        <w:widowControl/>
        <w:adjustRightInd w:val="0"/>
        <w:spacing w:line="360" w:lineRule="auto"/>
        <w:ind w:firstLine="420"/>
        <w:jc w:val="left"/>
        <w:rPr>
          <w:rFonts w:ascii="Arial" w:hAnsi="Arial" w:cs="Arial"/>
          <w:color w:val="auto"/>
          <w:szCs w:val="21"/>
          <w:highlight w:val="none"/>
          <w:lang w:val="zh-CN"/>
        </w:rPr>
      </w:pPr>
      <w:r>
        <w:rPr>
          <w:rFonts w:ascii="Arial" w:hAnsi="宋体" w:cs="Arial"/>
          <w:color w:val="auto"/>
          <w:szCs w:val="21"/>
          <w:highlight w:val="none"/>
          <w:lang w:val="zh-CN"/>
        </w:rPr>
        <w:t>技术部分</w:t>
      </w:r>
      <w:r>
        <w:rPr>
          <w:rFonts w:hint="eastAsia" w:ascii="Arial" w:hAnsi="宋体" w:cs="Arial"/>
          <w:color w:val="auto"/>
          <w:kern w:val="0"/>
          <w:szCs w:val="21"/>
          <w:highlight w:val="none"/>
        </w:rPr>
        <w:t>内容</w:t>
      </w:r>
      <w:r>
        <w:rPr>
          <w:rFonts w:ascii="Arial" w:hAnsi="宋体" w:cs="Arial"/>
          <w:color w:val="auto"/>
          <w:szCs w:val="21"/>
          <w:highlight w:val="none"/>
          <w:lang w:val="zh-CN"/>
        </w:rPr>
        <w:t>是证明</w:t>
      </w:r>
      <w:r>
        <w:rPr>
          <w:rFonts w:ascii="Arial" w:hAnsi="宋体" w:cs="Arial"/>
          <w:color w:val="auto"/>
          <w:szCs w:val="21"/>
          <w:highlight w:val="none"/>
        </w:rPr>
        <w:t>投标人提供的货物和服务是合格的、并符合招标文件要求的证明文件，以及</w:t>
      </w:r>
      <w:r>
        <w:rPr>
          <w:rFonts w:ascii="Arial" w:hAnsi="宋体" w:cs="Arial"/>
          <w:color w:val="auto"/>
          <w:szCs w:val="21"/>
          <w:highlight w:val="none"/>
          <w:lang w:val="zh-CN"/>
        </w:rPr>
        <w:t>对货物和服务的详细说明，这些文件可以是文字资料、图纸</w:t>
      </w:r>
      <w:r>
        <w:rPr>
          <w:rFonts w:hint="eastAsia" w:ascii="Arial" w:hAnsi="宋体" w:cs="Arial"/>
          <w:color w:val="auto"/>
          <w:szCs w:val="21"/>
          <w:highlight w:val="none"/>
          <w:lang w:val="zh-CN"/>
        </w:rPr>
        <w:t>、</w:t>
      </w:r>
      <w:r>
        <w:rPr>
          <w:rFonts w:ascii="Arial" w:hAnsi="宋体" w:cs="Arial"/>
          <w:color w:val="auto"/>
          <w:szCs w:val="21"/>
          <w:highlight w:val="none"/>
          <w:lang w:val="zh-CN"/>
        </w:rPr>
        <w:t>数据</w:t>
      </w:r>
      <w:r>
        <w:rPr>
          <w:rFonts w:hint="eastAsia" w:ascii="Arial" w:hAnsi="宋体" w:cs="Arial"/>
          <w:color w:val="auto"/>
          <w:szCs w:val="21"/>
          <w:highlight w:val="none"/>
        </w:rPr>
        <w:t>或其他证明文件</w:t>
      </w:r>
      <w:r>
        <w:rPr>
          <w:rFonts w:ascii="Arial" w:hAnsi="宋体" w:cs="Arial"/>
          <w:color w:val="auto"/>
          <w:szCs w:val="21"/>
          <w:highlight w:val="none"/>
          <w:lang w:val="zh-CN"/>
        </w:rPr>
        <w:t>等。提供的货物和服务如与招标文件要求有不符之处，应说明其差别之所在。包括但不限于下</w:t>
      </w:r>
      <w:r>
        <w:rPr>
          <w:rFonts w:ascii="Arial" w:hAnsi="Arial" w:cs="Arial"/>
          <w:color w:val="auto"/>
          <w:szCs w:val="21"/>
          <w:highlight w:val="none"/>
          <w:lang w:val="zh-CN"/>
        </w:rPr>
        <w:t>列文件：</w:t>
      </w:r>
    </w:p>
    <w:p w14:paraId="501F964F">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1</w:t>
      </w:r>
      <w:r>
        <w:rPr>
          <w:rFonts w:ascii="Arial" w:hAnsi="宋体" w:cs="Arial"/>
          <w:color w:val="auto"/>
          <w:kern w:val="0"/>
          <w:szCs w:val="21"/>
          <w:highlight w:val="none"/>
          <w:lang w:val="zh-CN"/>
        </w:rPr>
        <w:t>）技术说明或服务方案；</w:t>
      </w:r>
    </w:p>
    <w:p w14:paraId="075350B2">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2</w:t>
      </w:r>
      <w:r>
        <w:rPr>
          <w:rFonts w:ascii="Arial" w:hAnsi="宋体" w:cs="Arial"/>
          <w:color w:val="auto"/>
          <w:kern w:val="0"/>
          <w:szCs w:val="21"/>
          <w:highlight w:val="none"/>
          <w:lang w:val="zh-CN"/>
        </w:rPr>
        <w:t>）《</w:t>
      </w:r>
      <w:r>
        <w:rPr>
          <w:rFonts w:hint="eastAsia" w:ascii="Arial" w:hAnsi="宋体" w:cs="Arial"/>
          <w:color w:val="auto"/>
          <w:kern w:val="0"/>
          <w:szCs w:val="21"/>
          <w:highlight w:val="none"/>
          <w:lang w:val="zh-CN"/>
        </w:rPr>
        <w:t>采购需求偏离表</w:t>
      </w:r>
      <w:r>
        <w:rPr>
          <w:rFonts w:ascii="Arial" w:hAnsi="宋体" w:cs="Arial"/>
          <w:color w:val="auto"/>
          <w:kern w:val="0"/>
          <w:szCs w:val="21"/>
          <w:highlight w:val="none"/>
          <w:lang w:val="zh-CN"/>
        </w:rPr>
        <w:t>》；</w:t>
      </w:r>
    </w:p>
    <w:p w14:paraId="311DD786">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3</w:t>
      </w:r>
      <w:r>
        <w:rPr>
          <w:rFonts w:ascii="Arial" w:hAnsi="宋体" w:cs="Arial"/>
          <w:color w:val="auto"/>
          <w:kern w:val="0"/>
          <w:szCs w:val="21"/>
          <w:highlight w:val="none"/>
          <w:lang w:val="zh-CN"/>
        </w:rPr>
        <w:t>）服务承诺；</w:t>
      </w:r>
    </w:p>
    <w:p w14:paraId="06C414F4">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4</w:t>
      </w:r>
      <w:r>
        <w:rPr>
          <w:rFonts w:ascii="Arial" w:hAnsi="宋体" w:cs="Arial"/>
          <w:color w:val="auto"/>
          <w:kern w:val="0"/>
          <w:szCs w:val="21"/>
          <w:highlight w:val="none"/>
          <w:lang w:val="zh-CN"/>
        </w:rPr>
        <w:t>）投标人拟投入本项目的设备、人员情况一览表；</w:t>
      </w:r>
    </w:p>
    <w:p w14:paraId="12356AE8">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5</w:t>
      </w:r>
      <w:r>
        <w:rPr>
          <w:rFonts w:ascii="Arial" w:hAnsi="宋体" w:cs="Arial"/>
          <w:color w:val="auto"/>
          <w:kern w:val="0"/>
          <w:szCs w:val="21"/>
          <w:highlight w:val="none"/>
          <w:lang w:val="zh-CN"/>
        </w:rPr>
        <w:t>）投标人认为需要提供的其他技术资料。</w:t>
      </w:r>
    </w:p>
    <w:p w14:paraId="131C772D">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11</w:t>
      </w:r>
      <w:r>
        <w:rPr>
          <w:rFonts w:ascii="Arial" w:hAnsi="宋体" w:cs="Arial"/>
          <w:b/>
          <w:bCs/>
          <w:color w:val="auto"/>
          <w:kern w:val="0"/>
          <w:szCs w:val="21"/>
          <w:highlight w:val="none"/>
        </w:rPr>
        <w:t>、投标文件的价格</w:t>
      </w:r>
      <w:r>
        <w:rPr>
          <w:rFonts w:hint="eastAsia" w:ascii="Arial" w:hAnsi="宋体" w:cs="Arial"/>
          <w:b/>
          <w:bCs/>
          <w:color w:val="auto"/>
          <w:kern w:val="0"/>
          <w:szCs w:val="21"/>
          <w:highlight w:val="none"/>
        </w:rPr>
        <w:t>内容</w:t>
      </w:r>
    </w:p>
    <w:p w14:paraId="6B10F2B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11.1</w:t>
      </w:r>
      <w:r>
        <w:rPr>
          <w:rFonts w:ascii="Arial" w:hAnsi="宋体" w:cs="Arial"/>
          <w:color w:val="auto"/>
          <w:kern w:val="0"/>
          <w:szCs w:val="21"/>
          <w:highlight w:val="none"/>
        </w:rPr>
        <w:t>价格部分</w:t>
      </w:r>
      <w:r>
        <w:rPr>
          <w:rFonts w:hint="eastAsia" w:ascii="Arial" w:hAnsi="宋体" w:cs="Arial"/>
          <w:color w:val="auto"/>
          <w:kern w:val="0"/>
          <w:szCs w:val="21"/>
          <w:highlight w:val="none"/>
        </w:rPr>
        <w:t>内容</w:t>
      </w:r>
      <w:r>
        <w:rPr>
          <w:rFonts w:ascii="Arial" w:hAnsi="宋体" w:cs="Arial"/>
          <w:color w:val="auto"/>
          <w:kern w:val="0"/>
          <w:szCs w:val="21"/>
          <w:highlight w:val="none"/>
        </w:rPr>
        <w:t>是对采购标的价格构成的说明，招标文件如无特别说明，每一项货物及服务仅接受一个价格。</w:t>
      </w:r>
    </w:p>
    <w:p w14:paraId="11DC4543">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11.2</w:t>
      </w:r>
      <w:r>
        <w:rPr>
          <w:rFonts w:ascii="Arial" w:hAnsi="宋体" w:cs="Arial"/>
          <w:color w:val="auto"/>
          <w:kern w:val="0"/>
          <w:szCs w:val="21"/>
          <w:highlight w:val="none"/>
        </w:rPr>
        <w:t>报价应</w:t>
      </w:r>
      <w:r>
        <w:rPr>
          <w:rFonts w:hint="eastAsia" w:ascii="Arial" w:hAnsi="宋体" w:cs="Arial"/>
          <w:color w:val="auto"/>
          <w:kern w:val="0"/>
          <w:szCs w:val="21"/>
          <w:highlight w:val="none"/>
        </w:rPr>
        <w:t>包含为履行本项目合同项下所有义务的全部含税</w:t>
      </w:r>
      <w:r>
        <w:rPr>
          <w:rFonts w:ascii="Arial" w:hAnsi="宋体" w:cs="Arial"/>
          <w:color w:val="auto"/>
          <w:kern w:val="0"/>
          <w:szCs w:val="21"/>
          <w:highlight w:val="none"/>
        </w:rPr>
        <w:t>费用</w:t>
      </w:r>
      <w:r>
        <w:rPr>
          <w:rFonts w:hint="eastAsia" w:ascii="Arial" w:hAnsi="宋体" w:cs="Arial"/>
          <w:color w:val="auto"/>
          <w:kern w:val="0"/>
          <w:szCs w:val="21"/>
          <w:highlight w:val="none"/>
        </w:rPr>
        <w:t>（包括但不限于</w:t>
      </w:r>
      <w:r>
        <w:rPr>
          <w:rFonts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Arial" w:hAnsi="宋体" w:cs="Arial"/>
          <w:color w:val="auto"/>
          <w:kern w:val="0"/>
          <w:szCs w:val="21"/>
          <w:highlight w:val="none"/>
        </w:rPr>
        <w:t>）</w:t>
      </w:r>
      <w:r>
        <w:rPr>
          <w:rFonts w:ascii="Arial" w:hAnsi="宋体" w:cs="Arial"/>
          <w:color w:val="auto"/>
          <w:kern w:val="0"/>
          <w:szCs w:val="21"/>
          <w:highlight w:val="none"/>
          <w:lang w:val="zh-CN"/>
        </w:rPr>
        <w:t>，</w:t>
      </w:r>
      <w:r>
        <w:rPr>
          <w:rFonts w:ascii="Arial" w:hAnsi="宋体" w:cs="Arial"/>
          <w:bCs/>
          <w:color w:val="auto"/>
          <w:szCs w:val="21"/>
          <w:highlight w:val="none"/>
        </w:rPr>
        <w:t>以</w:t>
      </w:r>
      <w:r>
        <w:rPr>
          <w:rFonts w:ascii="Arial" w:hAnsi="宋体" w:cs="Arial"/>
          <w:color w:val="auto"/>
          <w:szCs w:val="21"/>
          <w:highlight w:val="none"/>
        </w:rPr>
        <w:t>及投标人认为需要的其他费用等</w:t>
      </w:r>
      <w:r>
        <w:rPr>
          <w:rFonts w:ascii="Arial" w:hAnsi="宋体" w:cs="Arial"/>
          <w:b/>
          <w:color w:val="auto"/>
          <w:szCs w:val="21"/>
          <w:highlight w:val="none"/>
        </w:rPr>
        <w:t>。</w:t>
      </w:r>
    </w:p>
    <w:p w14:paraId="07B1B19D">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11.3</w:t>
      </w:r>
      <w:r>
        <w:rPr>
          <w:rFonts w:ascii="Arial" w:hAnsi="宋体" w:cs="Arial"/>
          <w:color w:val="auto"/>
          <w:kern w:val="0"/>
          <w:szCs w:val="21"/>
          <w:highlight w:val="none"/>
        </w:rPr>
        <w:t>投标人的任何错漏、优惠、竞争性报价不得作为减轻责任、减少服务、增加收费、降低质量的理由。</w:t>
      </w:r>
    </w:p>
    <w:p w14:paraId="3A3BE05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11.4</w:t>
      </w:r>
      <w:r>
        <w:rPr>
          <w:rFonts w:ascii="Arial" w:hAnsi="宋体" w:cs="Arial"/>
          <w:color w:val="auto"/>
          <w:kern w:val="0"/>
          <w:szCs w:val="21"/>
          <w:highlight w:val="none"/>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ascii="Arial" w:hAnsi="宋体" w:cs="Arial"/>
          <w:b/>
          <w:bCs/>
          <w:color w:val="auto"/>
          <w:kern w:val="0"/>
          <w:szCs w:val="21"/>
          <w:highlight w:val="none"/>
        </w:rPr>
        <w:t>无效投标处理</w:t>
      </w:r>
      <w:r>
        <w:rPr>
          <w:rFonts w:ascii="Arial" w:hAnsi="宋体" w:cs="Arial"/>
          <w:color w:val="auto"/>
          <w:kern w:val="0"/>
          <w:szCs w:val="21"/>
          <w:highlight w:val="none"/>
        </w:rPr>
        <w:t>。</w:t>
      </w:r>
    </w:p>
    <w:p w14:paraId="5DC5E32D">
      <w:pPr>
        <w:widowControl/>
        <w:spacing w:line="360" w:lineRule="auto"/>
        <w:ind w:firstLine="420"/>
        <w:rPr>
          <w:rFonts w:hint="eastAsia" w:ascii="Arial" w:hAnsi="宋体" w:cs="Arial"/>
          <w:color w:val="auto"/>
          <w:kern w:val="0"/>
          <w:szCs w:val="21"/>
          <w:highlight w:val="none"/>
        </w:rPr>
      </w:pPr>
      <w:r>
        <w:rPr>
          <w:rFonts w:ascii="Arial" w:hAnsi="Arial" w:cs="Arial"/>
          <w:color w:val="auto"/>
          <w:kern w:val="0"/>
          <w:szCs w:val="21"/>
          <w:highlight w:val="none"/>
        </w:rPr>
        <w:t xml:space="preserve">11.5 </w:t>
      </w:r>
      <w:r>
        <w:rPr>
          <w:rFonts w:ascii="Arial" w:hAnsi="宋体" w:cs="Arial"/>
          <w:color w:val="auto"/>
          <w:kern w:val="0"/>
          <w:szCs w:val="21"/>
          <w:highlight w:val="none"/>
        </w:rPr>
        <w:t>投标人应在《开标一览表》《分项报价</w:t>
      </w:r>
      <w:r>
        <w:rPr>
          <w:rFonts w:hint="eastAsia" w:ascii="Arial" w:hAnsi="宋体" w:cs="Arial"/>
          <w:color w:val="auto"/>
          <w:kern w:val="0"/>
          <w:szCs w:val="21"/>
          <w:highlight w:val="none"/>
        </w:rPr>
        <w:t>表</w:t>
      </w:r>
      <w:r>
        <w:rPr>
          <w:rFonts w:ascii="Arial" w:hAnsi="宋体" w:cs="Arial"/>
          <w:color w:val="auto"/>
          <w:kern w:val="0"/>
          <w:szCs w:val="21"/>
          <w:highlight w:val="none"/>
        </w:rPr>
        <w:t>》等标明投标货物和服务的单价、总价以及分项报价</w:t>
      </w:r>
      <w:r>
        <w:rPr>
          <w:rFonts w:hint="eastAsia" w:ascii="Arial" w:hAnsi="宋体" w:cs="Arial"/>
          <w:color w:val="auto"/>
          <w:kern w:val="0"/>
          <w:szCs w:val="21"/>
          <w:highlight w:val="none"/>
        </w:rPr>
        <w:t>等</w:t>
      </w:r>
      <w:r>
        <w:rPr>
          <w:rFonts w:ascii="Arial" w:hAnsi="宋体" w:cs="Arial"/>
          <w:color w:val="auto"/>
          <w:kern w:val="0"/>
          <w:szCs w:val="21"/>
          <w:highlight w:val="none"/>
        </w:rPr>
        <w:t>。</w:t>
      </w:r>
    </w:p>
    <w:p w14:paraId="51FCBDE1">
      <w:pPr>
        <w:widowControl/>
        <w:spacing w:line="360" w:lineRule="auto"/>
        <w:ind w:firstLine="420"/>
        <w:rPr>
          <w:rFonts w:ascii="Arial" w:hAnsi="Arial" w:cs="Arial"/>
          <w:b/>
          <w:bCs/>
          <w:color w:val="auto"/>
          <w:kern w:val="0"/>
          <w:szCs w:val="21"/>
          <w:highlight w:val="none"/>
        </w:rPr>
      </w:pPr>
      <w:r>
        <w:rPr>
          <w:rFonts w:ascii="Arial" w:hAnsi="Arial" w:cs="Arial"/>
          <w:color w:val="auto"/>
          <w:kern w:val="0"/>
          <w:szCs w:val="21"/>
          <w:highlight w:val="none"/>
        </w:rPr>
        <w:t xml:space="preserve">11.6 </w:t>
      </w:r>
      <w:r>
        <w:rPr>
          <w:rFonts w:ascii="Arial" w:hAnsi="宋体" w:cs="Arial"/>
          <w:color w:val="auto"/>
          <w:kern w:val="0"/>
          <w:szCs w:val="21"/>
          <w:highlight w:val="none"/>
        </w:rPr>
        <w:t>《开标一览表》一式两份，一份装订在投标文件中，一份单独封装，并标明</w:t>
      </w:r>
      <w:r>
        <w:rPr>
          <w:rFonts w:hint="eastAsia" w:ascii="Arial" w:hAnsi="Arial" w:cs="Arial"/>
          <w:color w:val="auto"/>
          <w:kern w:val="0"/>
          <w:szCs w:val="21"/>
          <w:highlight w:val="none"/>
        </w:rPr>
        <w:t>“</w:t>
      </w:r>
      <w:r>
        <w:rPr>
          <w:rFonts w:ascii="Arial" w:hAnsi="宋体" w:cs="Arial"/>
          <w:color w:val="auto"/>
          <w:kern w:val="0"/>
          <w:szCs w:val="21"/>
          <w:highlight w:val="none"/>
        </w:rPr>
        <w:t>开标一览表</w:t>
      </w:r>
      <w:r>
        <w:rPr>
          <w:rFonts w:hint="eastAsia" w:ascii="Arial" w:hAnsi="Arial" w:cs="Arial"/>
          <w:color w:val="auto"/>
          <w:kern w:val="0"/>
          <w:szCs w:val="21"/>
          <w:highlight w:val="none"/>
        </w:rPr>
        <w:t>”</w:t>
      </w:r>
      <w:r>
        <w:rPr>
          <w:rFonts w:ascii="Arial" w:hAnsi="宋体" w:cs="Arial"/>
          <w:color w:val="auto"/>
          <w:kern w:val="0"/>
          <w:szCs w:val="21"/>
          <w:highlight w:val="none"/>
        </w:rPr>
        <w:t>字样，随投标文件一并递交，以便唱标时使用。</w:t>
      </w:r>
      <w:r>
        <w:rPr>
          <w:rFonts w:hint="eastAsia" w:ascii="Arial" w:hAnsi="宋体" w:cs="Arial"/>
          <w:b/>
          <w:bCs/>
          <w:color w:val="auto"/>
          <w:kern w:val="0"/>
          <w:szCs w:val="21"/>
          <w:highlight w:val="none"/>
        </w:rPr>
        <w:t>如两份开标一览表中的投标报价不一致，视为提交备选投标报价，作无效投标处理。</w:t>
      </w:r>
    </w:p>
    <w:p w14:paraId="2D3D4E90">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11.7</w:t>
      </w:r>
      <w:r>
        <w:rPr>
          <w:rFonts w:ascii="Arial" w:hAnsi="宋体" w:cs="Arial"/>
          <w:b/>
          <w:bCs/>
          <w:color w:val="auto"/>
          <w:kern w:val="0"/>
          <w:szCs w:val="21"/>
          <w:highlight w:val="none"/>
        </w:rPr>
        <w:t>本项目预算为：详见第一章</w:t>
      </w:r>
      <w:r>
        <w:rPr>
          <w:rFonts w:ascii="Arial" w:hAnsi="宋体" w:cs="Arial"/>
          <w:bCs/>
          <w:color w:val="auto"/>
          <w:kern w:val="0"/>
          <w:szCs w:val="21"/>
          <w:highlight w:val="none"/>
        </w:rPr>
        <w:t>。</w:t>
      </w:r>
    </w:p>
    <w:p w14:paraId="21D9678D">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12</w:t>
      </w:r>
      <w:r>
        <w:rPr>
          <w:rFonts w:ascii="Arial" w:hAnsi="宋体" w:cs="Arial"/>
          <w:b/>
          <w:bCs/>
          <w:color w:val="auto"/>
          <w:kern w:val="0"/>
          <w:szCs w:val="21"/>
          <w:highlight w:val="none"/>
        </w:rPr>
        <w:t>、投标文件的其他部分</w:t>
      </w:r>
    </w:p>
    <w:p w14:paraId="081EEFD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12.1 </w:t>
      </w:r>
      <w:r>
        <w:rPr>
          <w:rFonts w:ascii="Arial" w:hAnsi="宋体" w:cs="Arial"/>
          <w:color w:val="auto"/>
          <w:kern w:val="0"/>
          <w:szCs w:val="21"/>
          <w:highlight w:val="none"/>
        </w:rPr>
        <w:t>其他部分由投标人根据编制投标文件需要提供的其他相关文件组成。</w:t>
      </w:r>
    </w:p>
    <w:p w14:paraId="5FD5F8E2">
      <w:pPr>
        <w:widowControl/>
        <w:spacing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13</w:t>
      </w:r>
      <w:r>
        <w:rPr>
          <w:rFonts w:ascii="Arial" w:hAnsi="宋体" w:cs="Arial"/>
          <w:b/>
          <w:bCs/>
          <w:color w:val="auto"/>
          <w:kern w:val="0"/>
          <w:szCs w:val="21"/>
          <w:highlight w:val="none"/>
        </w:rPr>
        <w:t>、投标保证金</w:t>
      </w:r>
    </w:p>
    <w:p w14:paraId="38964316">
      <w:pPr>
        <w:spacing w:line="360" w:lineRule="auto"/>
        <w:ind w:firstLine="426" w:firstLineChars="202"/>
        <w:rPr>
          <w:rFonts w:ascii="Arial" w:hAnsi="Arial" w:cs="Arial"/>
          <w:b/>
          <w:color w:val="auto"/>
          <w:szCs w:val="21"/>
          <w:highlight w:val="none"/>
        </w:rPr>
      </w:pPr>
      <w:r>
        <w:rPr>
          <w:rFonts w:ascii="Arial" w:hAnsi="Arial" w:cs="Arial"/>
          <w:b/>
          <w:color w:val="auto"/>
          <w:szCs w:val="21"/>
          <w:highlight w:val="none"/>
        </w:rPr>
        <w:t>13.1</w:t>
      </w:r>
      <w:r>
        <w:rPr>
          <w:rFonts w:ascii="Arial" w:hAnsi="宋体" w:cs="Arial"/>
          <w:b/>
          <w:color w:val="auto"/>
          <w:szCs w:val="21"/>
          <w:highlight w:val="none"/>
        </w:rPr>
        <w:t>投标保证金的交纳办法：</w:t>
      </w:r>
    </w:p>
    <w:p w14:paraId="22ACE62E">
      <w:pPr>
        <w:spacing w:line="360" w:lineRule="auto"/>
        <w:ind w:firstLine="426" w:firstLineChars="202"/>
        <w:rPr>
          <w:rFonts w:ascii="Arial" w:hAnsi="Arial" w:cs="Arial"/>
          <w:b/>
          <w:color w:val="auto"/>
          <w:highlight w:val="none"/>
        </w:rPr>
      </w:pPr>
      <w:r>
        <w:rPr>
          <w:rFonts w:ascii="Arial" w:hAnsi="宋体" w:cs="Arial"/>
          <w:b/>
          <w:color w:val="auto"/>
          <w:szCs w:val="21"/>
          <w:highlight w:val="none"/>
        </w:rPr>
        <w:t>作为投标文件的一部分，投标人应提供</w:t>
      </w:r>
      <w:r>
        <w:rPr>
          <w:rFonts w:ascii="Arial" w:hAnsi="Arial" w:cs="Arial"/>
          <w:b/>
          <w:color w:val="auto"/>
          <w:szCs w:val="21"/>
          <w:highlight w:val="none"/>
        </w:rPr>
        <w:t>人民币</w:t>
      </w:r>
      <w:r>
        <w:rPr>
          <w:rFonts w:hint="eastAsia" w:ascii="Arial" w:hAnsi="Arial" w:cs="Arial"/>
          <w:b/>
          <w:color w:val="auto"/>
          <w:szCs w:val="21"/>
          <w:highlight w:val="none"/>
          <w:lang w:val="en-US" w:eastAsia="zh-CN"/>
        </w:rPr>
        <w:t>玖万玖仟肆佰</w:t>
      </w:r>
      <w:r>
        <w:rPr>
          <w:rFonts w:ascii="Arial" w:hAnsi="Arial" w:cs="Arial"/>
          <w:b/>
          <w:color w:val="auto"/>
          <w:szCs w:val="21"/>
          <w:highlight w:val="none"/>
        </w:rPr>
        <w:t>元</w:t>
      </w:r>
      <w:r>
        <w:rPr>
          <w:rFonts w:ascii="Arial" w:hAnsi="宋体" w:cs="Arial"/>
          <w:b/>
          <w:color w:val="auto"/>
          <w:szCs w:val="21"/>
          <w:highlight w:val="none"/>
        </w:rPr>
        <w:t>的投标保证金；投标保证金有效期应当与投标有效期一致。</w:t>
      </w:r>
      <w:r>
        <w:rPr>
          <w:rFonts w:ascii="Arial" w:hAnsi="宋体" w:cs="Arial"/>
          <w:b/>
          <w:color w:val="auto"/>
          <w:highlight w:val="none"/>
        </w:rPr>
        <w:t>投标保证金必须从本单位法人账户缴纳（银行保函除外）。</w:t>
      </w:r>
    </w:p>
    <w:p w14:paraId="20975298">
      <w:pPr>
        <w:spacing w:line="360" w:lineRule="auto"/>
        <w:ind w:firstLine="426" w:firstLineChars="202"/>
        <w:rPr>
          <w:rFonts w:ascii="Arial" w:hAnsi="Arial" w:cs="Arial"/>
          <w:b/>
          <w:bCs/>
          <w:color w:val="auto"/>
          <w:szCs w:val="21"/>
          <w:highlight w:val="none"/>
        </w:rPr>
      </w:pPr>
      <w:r>
        <w:rPr>
          <w:rFonts w:ascii="Arial" w:hAnsi="Arial" w:cs="Arial"/>
          <w:b/>
          <w:bCs/>
          <w:color w:val="auto"/>
          <w:szCs w:val="21"/>
          <w:highlight w:val="none"/>
        </w:rPr>
        <w:t>13.2</w:t>
      </w:r>
      <w:r>
        <w:rPr>
          <w:rFonts w:ascii="Arial" w:hAnsi="宋体" w:cs="Arial"/>
          <w:b/>
          <w:bCs/>
          <w:color w:val="auto"/>
          <w:szCs w:val="21"/>
          <w:highlight w:val="none"/>
        </w:rPr>
        <w:t>投标保证金的递交形式：电汇、银行保函、本票、汇票等。</w:t>
      </w:r>
    </w:p>
    <w:p w14:paraId="039843D4">
      <w:pPr>
        <w:spacing w:line="360" w:lineRule="auto"/>
        <w:ind w:firstLine="426" w:firstLineChars="202"/>
        <w:rPr>
          <w:rFonts w:ascii="Arial" w:hAnsi="Arial" w:cs="Arial"/>
          <w:b/>
          <w:bCs/>
          <w:color w:val="auto"/>
          <w:szCs w:val="21"/>
          <w:highlight w:val="none"/>
        </w:rPr>
      </w:pPr>
      <w:r>
        <w:rPr>
          <w:rFonts w:ascii="Arial" w:hAnsi="Arial" w:cs="Arial"/>
          <w:b/>
          <w:color w:val="auto"/>
          <w:szCs w:val="21"/>
          <w:highlight w:val="none"/>
        </w:rPr>
        <w:t>13.2.1</w:t>
      </w:r>
      <w:r>
        <w:rPr>
          <w:rFonts w:ascii="Arial" w:hAnsi="宋体" w:cs="Arial"/>
          <w:b/>
          <w:color w:val="auto"/>
          <w:szCs w:val="21"/>
          <w:highlight w:val="none"/>
        </w:rPr>
        <w:t>投标保证金以电汇形式递交的：</w:t>
      </w:r>
    </w:p>
    <w:p w14:paraId="08BC3E28">
      <w:pPr>
        <w:widowControl/>
        <w:spacing w:line="360" w:lineRule="auto"/>
        <w:ind w:firstLine="420"/>
        <w:rPr>
          <w:rFonts w:ascii="Arial" w:hAnsi="Arial" w:cs="Arial"/>
          <w:color w:val="auto"/>
          <w:szCs w:val="21"/>
          <w:highlight w:val="none"/>
        </w:rPr>
      </w:pPr>
      <w:r>
        <w:rPr>
          <w:rFonts w:hint="eastAsia" w:ascii="Arial" w:hAnsi="Arial" w:cs="Arial"/>
          <w:color w:val="auto"/>
          <w:szCs w:val="21"/>
          <w:highlight w:val="none"/>
        </w:rPr>
        <w:t>在保证金缴纳截止日期之前，通过e交易会员注册账号将保证金转入对应的保证金账户中；保证金收款账户名称、收款开户行、收款账号等信息详见【网上报名】中的‘报名回执’，每个项目的保证金账号都不一样，请仔细核对，不要汇错账号；保证金有效以e交易系统到账时间为准（e交易系统到账时间可能晚于银行到账时间，为确保及时到账请提前准备并优先选择同行网银或网点操作）。招标代理机构委托江苏易交易信息科技有限公司和中国工商银行股份有限公司常州分行办理投标保证金收、退、转及对账、结算等相关业务。</w:t>
      </w:r>
    </w:p>
    <w:p w14:paraId="1B58D8B9">
      <w:pPr>
        <w:widowControl/>
        <w:spacing w:line="360" w:lineRule="auto"/>
        <w:ind w:firstLine="420"/>
        <w:rPr>
          <w:rFonts w:ascii="Arial" w:hAnsi="Arial" w:cs="Arial"/>
          <w:b/>
          <w:color w:val="auto"/>
          <w:szCs w:val="21"/>
          <w:highlight w:val="none"/>
        </w:rPr>
      </w:pPr>
      <w:r>
        <w:rPr>
          <w:rFonts w:ascii="Arial" w:hAnsi="Arial" w:cs="Arial"/>
          <w:b/>
          <w:color w:val="auto"/>
          <w:szCs w:val="21"/>
          <w:highlight w:val="none"/>
        </w:rPr>
        <w:t>13.2.2</w:t>
      </w:r>
      <w:r>
        <w:rPr>
          <w:rFonts w:ascii="Arial" w:hAnsi="宋体" w:cs="Arial"/>
          <w:b/>
          <w:color w:val="auto"/>
          <w:szCs w:val="21"/>
          <w:highlight w:val="none"/>
        </w:rPr>
        <w:t>投标保证金以银行保函、本票、汇票等形式递交的：</w:t>
      </w:r>
    </w:p>
    <w:p w14:paraId="2FA6C79D">
      <w:pPr>
        <w:widowControl/>
        <w:spacing w:line="360" w:lineRule="auto"/>
        <w:ind w:firstLine="420"/>
        <w:rPr>
          <w:rFonts w:ascii="Arial" w:hAnsi="Arial" w:cs="Arial"/>
          <w:b/>
          <w:bCs/>
          <w:color w:val="auto"/>
          <w:kern w:val="0"/>
          <w:szCs w:val="21"/>
          <w:highlight w:val="none"/>
        </w:rPr>
      </w:pPr>
      <w:r>
        <w:rPr>
          <w:rFonts w:ascii="Arial" w:hAnsi="宋体" w:cs="Arial"/>
          <w:color w:val="auto"/>
          <w:szCs w:val="21"/>
          <w:highlight w:val="none"/>
        </w:rPr>
        <w:t>应将银行保函、本票、汇票等凭证正本单独封装，随投标文件纸质正本一同密封递交，同时将凭证复印件加盖投标人单位公章装订在投标文件纸质正、副本中。</w:t>
      </w:r>
    </w:p>
    <w:p w14:paraId="1E0CEABB">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13.3 </w:t>
      </w:r>
      <w:r>
        <w:rPr>
          <w:rFonts w:ascii="Arial" w:hAnsi="宋体" w:cs="Arial"/>
          <w:color w:val="auto"/>
          <w:kern w:val="0"/>
          <w:szCs w:val="21"/>
          <w:highlight w:val="none"/>
        </w:rPr>
        <w:t>投标保证金应按照上述规定的数额和办法缴纳。</w:t>
      </w:r>
    </w:p>
    <w:p w14:paraId="7AD8D5AC">
      <w:pPr>
        <w:spacing w:line="360" w:lineRule="auto"/>
        <w:ind w:firstLine="424" w:firstLineChars="202"/>
        <w:rPr>
          <w:rFonts w:ascii="Arial" w:hAnsi="Arial" w:cs="Arial"/>
          <w:b/>
          <w:bCs/>
          <w:color w:val="auto"/>
          <w:szCs w:val="21"/>
          <w:highlight w:val="none"/>
        </w:rPr>
      </w:pPr>
      <w:r>
        <w:rPr>
          <w:rFonts w:ascii="Arial" w:hAnsi="Arial" w:cs="Arial"/>
          <w:color w:val="auto"/>
          <w:highlight w:val="none"/>
        </w:rPr>
        <w:t xml:space="preserve">13.4 </w:t>
      </w:r>
      <w:r>
        <w:rPr>
          <w:rFonts w:ascii="Arial" w:hAnsi="宋体" w:cs="Arial"/>
          <w:color w:val="auto"/>
          <w:highlight w:val="none"/>
        </w:rPr>
        <w:t>联合体投标的，以牵头方名义提交投标保证金的，对联合体各方均具有约束力。</w:t>
      </w:r>
    </w:p>
    <w:p w14:paraId="1DCF4552">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13.5 </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将自</w:t>
      </w:r>
      <w:r>
        <w:rPr>
          <w:color w:val="auto"/>
          <w:highlight w:val="none"/>
        </w:rPr>
        <w:fldChar w:fldCharType="begin"/>
      </w:r>
      <w:r>
        <w:rPr>
          <w:color w:val="auto"/>
          <w:highlight w:val="none"/>
        </w:rPr>
        <w:instrText xml:space="preserve"> HYPERLINK "http://lilun.caigou2003.com/recijiedu/2539156.html" \t "_blank" </w:instrText>
      </w:r>
      <w:r>
        <w:rPr>
          <w:color w:val="auto"/>
          <w:highlight w:val="none"/>
        </w:rPr>
        <w:fldChar w:fldCharType="separate"/>
      </w:r>
      <w:r>
        <w:rPr>
          <w:rFonts w:ascii="Arial" w:hAnsi="宋体" w:cs="Arial"/>
          <w:color w:val="auto"/>
          <w:kern w:val="0"/>
          <w:szCs w:val="21"/>
          <w:highlight w:val="none"/>
        </w:rPr>
        <w:t>中标通知书</w:t>
      </w:r>
      <w:r>
        <w:rPr>
          <w:rFonts w:ascii="Arial" w:hAnsi="宋体" w:cs="Arial"/>
          <w:color w:val="auto"/>
          <w:kern w:val="0"/>
          <w:szCs w:val="21"/>
          <w:highlight w:val="none"/>
        </w:rPr>
        <w:fldChar w:fldCharType="end"/>
      </w:r>
      <w:r>
        <w:rPr>
          <w:rFonts w:ascii="Arial" w:hAnsi="宋体" w:cs="Arial"/>
          <w:color w:val="auto"/>
          <w:kern w:val="0"/>
          <w:szCs w:val="21"/>
          <w:highlight w:val="none"/>
        </w:rPr>
        <w:t>发出之日起</w:t>
      </w:r>
      <w:r>
        <w:rPr>
          <w:rFonts w:ascii="Arial" w:hAnsi="Arial" w:cs="Arial"/>
          <w:color w:val="auto"/>
          <w:kern w:val="0"/>
          <w:szCs w:val="21"/>
          <w:highlight w:val="none"/>
        </w:rPr>
        <w:t>5</w:t>
      </w:r>
      <w:r>
        <w:rPr>
          <w:rFonts w:ascii="Arial" w:hAnsi="宋体" w:cs="Arial"/>
          <w:color w:val="auto"/>
          <w:kern w:val="0"/>
          <w:szCs w:val="21"/>
          <w:highlight w:val="none"/>
        </w:rPr>
        <w:t>个工作日内退还未中标人的投标保证金，自采购合同签订之日起</w:t>
      </w:r>
      <w:r>
        <w:rPr>
          <w:rFonts w:ascii="Arial" w:hAnsi="Arial" w:cs="Arial"/>
          <w:color w:val="auto"/>
          <w:kern w:val="0"/>
          <w:szCs w:val="21"/>
          <w:highlight w:val="none"/>
        </w:rPr>
        <w:t>5</w:t>
      </w:r>
      <w:r>
        <w:rPr>
          <w:rFonts w:ascii="Arial" w:hAnsi="宋体" w:cs="Arial"/>
          <w:color w:val="auto"/>
          <w:kern w:val="0"/>
          <w:szCs w:val="21"/>
          <w:highlight w:val="none"/>
        </w:rPr>
        <w:t>个工作日内退还中标人的投标保证金。未中标投标人应主动与投标文件接收人联系办理投标保证金退还事宜，以及办理退还手续，由于投标人自身原因未及时办理投标保证金退还的，其责任和由此造成的后果由投标人自行承担。</w:t>
      </w:r>
    </w:p>
    <w:p w14:paraId="58B66C5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13.6 </w:t>
      </w:r>
      <w:r>
        <w:rPr>
          <w:rFonts w:ascii="Arial" w:hAnsi="宋体" w:cs="Arial"/>
          <w:color w:val="auto"/>
          <w:kern w:val="0"/>
          <w:szCs w:val="21"/>
          <w:highlight w:val="none"/>
        </w:rPr>
        <w:t>发生下列情况之一的，投标保证金不予退还：</w:t>
      </w:r>
    </w:p>
    <w:p w14:paraId="0AC197C1">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）投标有效期内撤回其投标的；</w:t>
      </w:r>
    </w:p>
    <w:p w14:paraId="634A875D">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）中标通知书发出后三十天内，中标人未与采购人签订合同的；</w:t>
      </w:r>
    </w:p>
    <w:p w14:paraId="57772074">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）提供虚假材料谋取中标的；</w:t>
      </w:r>
    </w:p>
    <w:p w14:paraId="694C16AE">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）经查实属于串通投标的等。</w:t>
      </w:r>
    </w:p>
    <w:p w14:paraId="0C4FF16C">
      <w:pPr>
        <w:widowControl/>
        <w:spacing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14</w:t>
      </w:r>
      <w:r>
        <w:rPr>
          <w:rFonts w:ascii="Arial" w:hAnsi="宋体" w:cs="Arial"/>
          <w:b/>
          <w:bCs/>
          <w:color w:val="auto"/>
          <w:kern w:val="0"/>
          <w:szCs w:val="21"/>
          <w:highlight w:val="none"/>
        </w:rPr>
        <w:t>、投标有效期</w:t>
      </w:r>
    </w:p>
    <w:p w14:paraId="59C307D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14.1 </w:t>
      </w:r>
      <w:r>
        <w:rPr>
          <w:rFonts w:ascii="Arial" w:hAnsi="宋体" w:cs="Arial"/>
          <w:color w:val="auto"/>
          <w:kern w:val="0"/>
          <w:szCs w:val="21"/>
          <w:highlight w:val="none"/>
        </w:rPr>
        <w:t>自开标之日起</w:t>
      </w:r>
      <w:r>
        <w:rPr>
          <w:rFonts w:ascii="Arial" w:hAnsi="Arial" w:cs="Arial"/>
          <w:b/>
          <w:color w:val="auto"/>
          <w:kern w:val="0"/>
          <w:szCs w:val="21"/>
          <w:highlight w:val="none"/>
        </w:rPr>
        <w:t>90</w:t>
      </w:r>
      <w:r>
        <w:rPr>
          <w:rFonts w:ascii="Arial" w:hAnsi="宋体" w:cs="Arial"/>
          <w:color w:val="auto"/>
          <w:kern w:val="0"/>
          <w:szCs w:val="21"/>
          <w:highlight w:val="none"/>
        </w:rPr>
        <w:t>天内投标有效</w:t>
      </w:r>
      <w:r>
        <w:rPr>
          <w:rFonts w:ascii="Arial" w:hAnsi="宋体" w:cs="Arial"/>
          <w:b/>
          <w:color w:val="auto"/>
          <w:highlight w:val="none"/>
        </w:rPr>
        <w:t>，投标有效期从提交投标文件的截止之日起算。投标文件中承诺的投标有效期应当不少于招标文件中载明的投标有效期。</w:t>
      </w:r>
    </w:p>
    <w:p w14:paraId="42DD3A0B">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14.2 </w:t>
      </w:r>
      <w:r>
        <w:rPr>
          <w:rFonts w:ascii="Arial" w:hAnsi="宋体" w:cs="Arial"/>
          <w:color w:val="auto"/>
          <w:kern w:val="0"/>
          <w:szCs w:val="21"/>
          <w:highlight w:val="none"/>
        </w:rPr>
        <w:t>特殊情况下，在原投标有效期截止之前，</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36518F49">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15</w:t>
      </w:r>
      <w:r>
        <w:rPr>
          <w:rFonts w:ascii="Arial" w:hAnsi="宋体" w:cs="Arial"/>
          <w:b/>
          <w:bCs/>
          <w:color w:val="auto"/>
          <w:kern w:val="0"/>
          <w:szCs w:val="21"/>
          <w:highlight w:val="none"/>
        </w:rPr>
        <w:t>、投标文件签署</w:t>
      </w:r>
    </w:p>
    <w:p w14:paraId="48F13F55">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15.1 </w:t>
      </w:r>
      <w:r>
        <w:rPr>
          <w:rFonts w:ascii="Arial" w:hAnsi="宋体" w:cs="Arial"/>
          <w:color w:val="auto"/>
          <w:kern w:val="0"/>
          <w:szCs w:val="21"/>
          <w:highlight w:val="none"/>
        </w:rPr>
        <w:t>投标文件的正本和副本均应由投标人</w:t>
      </w:r>
      <w:r>
        <w:rPr>
          <w:rFonts w:hint="eastAsia" w:ascii="Arial" w:hAnsi="宋体" w:cs="Arial"/>
          <w:color w:val="auto"/>
          <w:kern w:val="0"/>
          <w:szCs w:val="21"/>
          <w:highlight w:val="none"/>
        </w:rPr>
        <w:t>法定</w:t>
      </w:r>
      <w:r>
        <w:rPr>
          <w:rFonts w:ascii="Arial" w:hAnsi="宋体" w:cs="Arial"/>
          <w:color w:val="auto"/>
          <w:kern w:val="0"/>
          <w:szCs w:val="21"/>
          <w:highlight w:val="none"/>
        </w:rPr>
        <w:t>代表人或经正式授权并对投标人有约束力的委托代理人签字，如果它们之间内容有差异，则以正本为准。</w:t>
      </w:r>
    </w:p>
    <w:p w14:paraId="2727DAE0">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16</w:t>
      </w:r>
      <w:r>
        <w:rPr>
          <w:rFonts w:ascii="Arial" w:hAnsi="宋体" w:cs="Arial"/>
          <w:b/>
          <w:bCs/>
          <w:color w:val="auto"/>
          <w:kern w:val="0"/>
          <w:szCs w:val="21"/>
          <w:highlight w:val="none"/>
        </w:rPr>
        <w:t>、投标费用</w:t>
      </w:r>
    </w:p>
    <w:p w14:paraId="48D4B2A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16.1 </w:t>
      </w:r>
      <w:r>
        <w:rPr>
          <w:rFonts w:ascii="Arial" w:hAnsi="宋体" w:cs="Arial"/>
          <w:color w:val="auto"/>
          <w:kern w:val="0"/>
          <w:szCs w:val="21"/>
          <w:highlight w:val="none"/>
        </w:rPr>
        <w:t>投标人应承担所有与准备和参加投标有关的费用，无论</w:t>
      </w:r>
      <w:r>
        <w:rPr>
          <w:rFonts w:hint="eastAsia" w:ascii="Arial" w:hAnsi="宋体" w:cs="Arial"/>
          <w:color w:val="auto"/>
          <w:kern w:val="0"/>
          <w:szCs w:val="21"/>
          <w:highlight w:val="none"/>
        </w:rPr>
        <w:t>招标</w:t>
      </w:r>
      <w:r>
        <w:rPr>
          <w:rFonts w:ascii="Arial" w:hAnsi="宋体" w:cs="Arial"/>
          <w:color w:val="auto"/>
          <w:kern w:val="0"/>
          <w:szCs w:val="21"/>
          <w:highlight w:val="none"/>
        </w:rPr>
        <w:t>结果如何，</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和</w:t>
      </w:r>
      <w:r>
        <w:rPr>
          <w:rFonts w:hint="eastAsia" w:ascii="Arial" w:hAnsi="宋体" w:cs="Arial"/>
          <w:color w:val="auto"/>
          <w:kern w:val="0"/>
          <w:szCs w:val="21"/>
          <w:highlight w:val="none"/>
        </w:rPr>
        <w:t>采购人</w:t>
      </w:r>
      <w:r>
        <w:rPr>
          <w:rFonts w:ascii="Arial" w:hAnsi="宋体" w:cs="Arial"/>
          <w:color w:val="auto"/>
          <w:kern w:val="0"/>
          <w:szCs w:val="21"/>
          <w:highlight w:val="none"/>
        </w:rPr>
        <w:t>在任何情况下均无义务和责任承担这些费用。</w:t>
      </w:r>
    </w:p>
    <w:p w14:paraId="70DEC731">
      <w:pPr>
        <w:widowControl/>
        <w:spacing w:line="360" w:lineRule="auto"/>
        <w:ind w:firstLine="420"/>
        <w:rPr>
          <w:rFonts w:ascii="Arial" w:hAnsi="Arial" w:cs="Arial"/>
          <w:b/>
          <w:color w:val="auto"/>
          <w:kern w:val="0"/>
          <w:szCs w:val="21"/>
          <w:highlight w:val="none"/>
        </w:rPr>
      </w:pPr>
      <w:r>
        <w:rPr>
          <w:rFonts w:ascii="Arial" w:hAnsi="Arial" w:cs="Arial"/>
          <w:b/>
          <w:color w:val="auto"/>
          <w:kern w:val="0"/>
          <w:szCs w:val="21"/>
          <w:highlight w:val="none"/>
        </w:rPr>
        <w:t xml:space="preserve">16.2 </w:t>
      </w:r>
      <w:r>
        <w:rPr>
          <w:rFonts w:ascii="Arial" w:hAnsi="宋体" w:cs="Arial"/>
          <w:b/>
          <w:color w:val="auto"/>
          <w:kern w:val="0"/>
          <w:szCs w:val="21"/>
          <w:highlight w:val="none"/>
        </w:rPr>
        <w:t>招标代理服务费：本次招标，中标人参照《招标代理服务费管理暂行办法》（国家发展计划委员会计价格【</w:t>
      </w:r>
      <w:r>
        <w:rPr>
          <w:rFonts w:ascii="Arial" w:hAnsi="Arial" w:cs="Arial"/>
          <w:b/>
          <w:color w:val="auto"/>
          <w:kern w:val="0"/>
          <w:szCs w:val="21"/>
          <w:highlight w:val="none"/>
        </w:rPr>
        <w:t>2002</w:t>
      </w:r>
      <w:r>
        <w:rPr>
          <w:rFonts w:ascii="Arial" w:hAnsi="宋体" w:cs="Arial"/>
          <w:b/>
          <w:color w:val="auto"/>
          <w:kern w:val="0"/>
          <w:szCs w:val="21"/>
          <w:highlight w:val="none"/>
        </w:rPr>
        <w:t>】</w:t>
      </w:r>
      <w:r>
        <w:rPr>
          <w:rFonts w:ascii="Arial" w:hAnsi="Arial" w:cs="Arial"/>
          <w:b/>
          <w:color w:val="auto"/>
          <w:kern w:val="0"/>
          <w:szCs w:val="21"/>
          <w:highlight w:val="none"/>
        </w:rPr>
        <w:t>1980</w:t>
      </w:r>
      <w:r>
        <w:rPr>
          <w:rFonts w:ascii="Arial" w:hAnsi="宋体" w:cs="Arial"/>
          <w:b/>
          <w:color w:val="auto"/>
          <w:kern w:val="0"/>
          <w:szCs w:val="21"/>
          <w:highlight w:val="none"/>
        </w:rPr>
        <w:t>号）代理</w:t>
      </w:r>
      <w:r>
        <w:rPr>
          <w:rFonts w:ascii="Arial" w:hAnsi="Arial" w:cs="Arial"/>
          <w:b/>
          <w:color w:val="auto"/>
          <w:kern w:val="0"/>
          <w:szCs w:val="21"/>
          <w:highlight w:val="none"/>
          <w:u w:val="single"/>
        </w:rPr>
        <w:t xml:space="preserve"> </w:t>
      </w:r>
      <w:r>
        <w:rPr>
          <w:rFonts w:hint="eastAsia" w:ascii="Arial" w:hAnsi="Arial" w:cs="Arial"/>
          <w:b/>
          <w:color w:val="auto"/>
          <w:kern w:val="0"/>
          <w:szCs w:val="21"/>
          <w:highlight w:val="none"/>
          <w:u w:val="single"/>
        </w:rPr>
        <w:t>货物</w:t>
      </w:r>
      <w:r>
        <w:rPr>
          <w:rFonts w:ascii="Arial" w:hAnsi="Arial" w:cs="Arial"/>
          <w:b/>
          <w:color w:val="auto"/>
          <w:kern w:val="0"/>
          <w:szCs w:val="21"/>
          <w:highlight w:val="none"/>
          <w:u w:val="single"/>
        </w:rPr>
        <w:t xml:space="preserve"> </w:t>
      </w:r>
      <w:r>
        <w:rPr>
          <w:rFonts w:ascii="Arial" w:hAnsi="宋体" w:cs="Arial"/>
          <w:b/>
          <w:color w:val="auto"/>
          <w:kern w:val="0"/>
          <w:szCs w:val="21"/>
          <w:highlight w:val="none"/>
        </w:rPr>
        <w:t>招标收费基准费率</w:t>
      </w:r>
      <w:r>
        <w:rPr>
          <w:rFonts w:hint="eastAsia" w:ascii="Arial" w:hAnsi="宋体" w:cs="Arial"/>
          <w:b/>
          <w:color w:val="auto"/>
          <w:kern w:val="0"/>
          <w:szCs w:val="21"/>
          <w:highlight w:val="none"/>
          <w:u w:val="single"/>
        </w:rPr>
        <w:t>62</w:t>
      </w:r>
      <w:r>
        <w:rPr>
          <w:rFonts w:ascii="Arial" w:hAnsi="Arial" w:cs="Arial"/>
          <w:b/>
          <w:color w:val="auto"/>
          <w:kern w:val="0"/>
          <w:szCs w:val="21"/>
          <w:highlight w:val="none"/>
          <w:u w:val="single"/>
        </w:rPr>
        <w:t xml:space="preserve"> </w:t>
      </w:r>
      <w:r>
        <w:rPr>
          <w:rFonts w:ascii="Arial" w:hAnsi="Arial" w:cs="Arial"/>
          <w:b/>
          <w:color w:val="auto"/>
          <w:kern w:val="0"/>
          <w:szCs w:val="21"/>
          <w:highlight w:val="none"/>
        </w:rPr>
        <w:t>%</w:t>
      </w:r>
      <w:r>
        <w:rPr>
          <w:rFonts w:ascii="Arial" w:hAnsi="宋体" w:cs="Arial"/>
          <w:b/>
          <w:color w:val="auto"/>
          <w:kern w:val="0"/>
          <w:szCs w:val="21"/>
          <w:highlight w:val="none"/>
        </w:rPr>
        <w:t>计算</w:t>
      </w:r>
      <w:r>
        <w:rPr>
          <w:rFonts w:hint="eastAsia" w:ascii="Arial" w:hAnsi="宋体" w:cs="Arial"/>
          <w:b/>
          <w:color w:val="auto"/>
          <w:kern w:val="0"/>
          <w:szCs w:val="21"/>
          <w:highlight w:val="none"/>
        </w:rPr>
        <w:t>，招标代理服务费最高限价5.6万元</w:t>
      </w:r>
      <w:r>
        <w:rPr>
          <w:rFonts w:ascii="Arial" w:hAnsi="宋体" w:cs="Arial"/>
          <w:b/>
          <w:color w:val="auto"/>
          <w:kern w:val="0"/>
          <w:szCs w:val="21"/>
          <w:highlight w:val="none"/>
        </w:rPr>
        <w:t>，在领取中标通知书前向</w:t>
      </w:r>
      <w:r>
        <w:rPr>
          <w:rFonts w:hint="eastAsia" w:ascii="Arial" w:hAnsi="宋体" w:cs="Arial"/>
          <w:b/>
          <w:color w:val="auto"/>
          <w:kern w:val="0"/>
          <w:szCs w:val="21"/>
          <w:highlight w:val="none"/>
        </w:rPr>
        <w:t>采购代理机构</w:t>
      </w:r>
      <w:r>
        <w:rPr>
          <w:rFonts w:ascii="Arial" w:hAnsi="宋体" w:cs="Arial"/>
          <w:b/>
          <w:color w:val="auto"/>
          <w:kern w:val="0"/>
          <w:szCs w:val="21"/>
          <w:highlight w:val="none"/>
        </w:rPr>
        <w:t>支付招标服务费。本项费用无需在投标报价表中单列。</w:t>
      </w:r>
    </w:p>
    <w:p w14:paraId="042E62B3">
      <w:pPr>
        <w:widowControl/>
        <w:spacing w:line="360" w:lineRule="auto"/>
        <w:ind w:firstLine="420"/>
        <w:rPr>
          <w:rFonts w:hint="eastAsia" w:ascii="Arial" w:hAnsi="宋体" w:cs="Arial"/>
          <w:color w:val="auto"/>
          <w:kern w:val="0"/>
          <w:szCs w:val="21"/>
          <w:highlight w:val="none"/>
        </w:rPr>
      </w:pPr>
      <w:r>
        <w:rPr>
          <w:rFonts w:ascii="Arial" w:hAnsi="Arial" w:cs="Arial"/>
          <w:color w:val="auto"/>
          <w:kern w:val="0"/>
          <w:szCs w:val="21"/>
          <w:highlight w:val="none"/>
        </w:rPr>
        <w:t>16.3</w:t>
      </w:r>
      <w:r>
        <w:rPr>
          <w:rFonts w:ascii="Arial" w:hAnsi="宋体" w:cs="Arial"/>
          <w:color w:val="auto"/>
          <w:kern w:val="0"/>
          <w:szCs w:val="21"/>
          <w:highlight w:val="none"/>
        </w:rPr>
        <w:t>开标公证费</w:t>
      </w:r>
    </w:p>
    <w:p w14:paraId="732881A5">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中标人在领取中标通知书前,向南京市南京公证处支付开标公证费,开标公证费按下列标准支付：</w:t>
      </w:r>
    </w:p>
    <w:p w14:paraId="226AE4CA">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中标金额≤200万元人民币，开标公证费500元人民币；</w:t>
      </w:r>
    </w:p>
    <w:p w14:paraId="1D5F269B">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200万元人民币＜中标金额≤600万元人民币，开标公证费600元人民币；</w:t>
      </w:r>
    </w:p>
    <w:p w14:paraId="52B6A8E1">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600万元人民币＜中标金额≤1000万元人民币，开标公证费800元人民币；</w:t>
      </w:r>
    </w:p>
    <w:p w14:paraId="35175F3E">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中标金额＞1000万元人民币，开标公证费按中标金额的万分之一收取，但最高不超过3000元人民币。</w:t>
      </w:r>
    </w:p>
    <w:p w14:paraId="6F9B68FE">
      <w:pPr>
        <w:widowControl/>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开标公证费一次付清,由公证处出具收费发票。</w:t>
      </w:r>
    </w:p>
    <w:p w14:paraId="0B98EB50">
      <w:pPr>
        <w:widowControl/>
        <w:spacing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四、投标文件的递交</w:t>
      </w:r>
    </w:p>
    <w:p w14:paraId="64B2A861">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17</w:t>
      </w:r>
      <w:r>
        <w:rPr>
          <w:rFonts w:ascii="Arial" w:hAnsi="宋体" w:cs="Arial"/>
          <w:b/>
          <w:bCs/>
          <w:color w:val="auto"/>
          <w:kern w:val="0"/>
          <w:szCs w:val="21"/>
          <w:highlight w:val="none"/>
        </w:rPr>
        <w:t>、投标文件的密封和递交</w:t>
      </w:r>
    </w:p>
    <w:p w14:paraId="476DC63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17.1</w:t>
      </w:r>
      <w:r>
        <w:rPr>
          <w:rFonts w:ascii="Arial" w:hAnsi="宋体" w:cs="Arial"/>
          <w:b/>
          <w:bCs/>
          <w:color w:val="auto"/>
          <w:kern w:val="0"/>
          <w:szCs w:val="21"/>
          <w:highlight w:val="none"/>
        </w:rPr>
        <w:t>投标人的</w:t>
      </w:r>
      <w:r>
        <w:rPr>
          <w:rFonts w:ascii="Arial" w:hAnsi="宋体" w:cs="Arial"/>
          <w:b/>
          <w:color w:val="auto"/>
          <w:highlight w:val="none"/>
        </w:rPr>
        <w:t>所有投标文件均应密封后递交，同时应提供电子版投标文件</w:t>
      </w:r>
      <w:r>
        <w:rPr>
          <w:rFonts w:ascii="Arial" w:hAnsi="宋体" w:cs="Arial"/>
          <w:b/>
          <w:color w:val="auto"/>
          <w:szCs w:val="21"/>
          <w:highlight w:val="none"/>
        </w:rPr>
        <w:t>壹份（</w:t>
      </w:r>
      <w:r>
        <w:rPr>
          <w:rFonts w:hint="eastAsia" w:ascii="Arial" w:hAnsi="宋体" w:cs="Arial"/>
          <w:b/>
          <w:color w:val="auto"/>
          <w:szCs w:val="21"/>
          <w:highlight w:val="none"/>
        </w:rPr>
        <w:t>电子版须为投标文件正本加盖公章、签字后形成PDF扫描件，扫描件内容应与纸质投标文件正本完全一致</w:t>
      </w:r>
      <w:r>
        <w:rPr>
          <w:rFonts w:ascii="Arial" w:hAnsi="宋体" w:cs="Arial"/>
          <w:b/>
          <w:color w:val="auto"/>
          <w:szCs w:val="21"/>
          <w:highlight w:val="none"/>
        </w:rPr>
        <w:t>、U盘形式（单独封装）、随纸质正本文件一并提交）</w:t>
      </w:r>
      <w:r>
        <w:rPr>
          <w:rFonts w:ascii="Arial" w:hAnsi="宋体" w:cs="Arial"/>
          <w:b/>
          <w:color w:val="auto"/>
          <w:highlight w:val="none"/>
        </w:rPr>
        <w:t>。</w:t>
      </w:r>
      <w:r>
        <w:rPr>
          <w:rFonts w:ascii="Arial" w:hAnsi="宋体" w:cs="Arial"/>
          <w:color w:val="auto"/>
          <w:highlight w:val="none"/>
        </w:rPr>
        <w:t>当电子版文件和纸质正本文件不一致时，以纸质正本文件为准。</w:t>
      </w:r>
      <w:r>
        <w:rPr>
          <w:rFonts w:ascii="Arial" w:hAnsi="宋体" w:cs="Arial"/>
          <w:color w:val="auto"/>
          <w:kern w:val="0"/>
          <w:szCs w:val="21"/>
          <w:highlight w:val="none"/>
        </w:rPr>
        <w:t>每套投标文件须清楚标明</w:t>
      </w:r>
      <w:r>
        <w:rPr>
          <w:rFonts w:hint="eastAsia" w:ascii="Arial" w:hAnsi="Arial" w:cs="Arial"/>
          <w:color w:val="auto"/>
          <w:kern w:val="0"/>
          <w:szCs w:val="21"/>
          <w:highlight w:val="none"/>
        </w:rPr>
        <w:t>“</w:t>
      </w:r>
      <w:r>
        <w:rPr>
          <w:rFonts w:ascii="Arial" w:hAnsi="宋体" w:cs="Arial"/>
          <w:color w:val="auto"/>
          <w:kern w:val="0"/>
          <w:szCs w:val="21"/>
          <w:highlight w:val="none"/>
        </w:rPr>
        <w:t>正本</w:t>
      </w:r>
      <w:r>
        <w:rPr>
          <w:rFonts w:hint="eastAsia" w:ascii="Arial" w:hAnsi="Arial" w:cs="Arial"/>
          <w:color w:val="auto"/>
          <w:kern w:val="0"/>
          <w:szCs w:val="21"/>
          <w:highlight w:val="none"/>
        </w:rPr>
        <w:t>”</w:t>
      </w:r>
      <w:r>
        <w:rPr>
          <w:rFonts w:ascii="Arial" w:hAnsi="宋体" w:cs="Arial"/>
          <w:color w:val="auto"/>
          <w:kern w:val="0"/>
          <w:szCs w:val="21"/>
          <w:highlight w:val="none"/>
        </w:rPr>
        <w:t>、</w:t>
      </w:r>
      <w:r>
        <w:rPr>
          <w:rFonts w:hint="eastAsia" w:ascii="Arial" w:hAnsi="Arial" w:cs="Arial"/>
          <w:color w:val="auto"/>
          <w:kern w:val="0"/>
          <w:szCs w:val="21"/>
          <w:highlight w:val="none"/>
        </w:rPr>
        <w:t>“</w:t>
      </w:r>
      <w:r>
        <w:rPr>
          <w:rFonts w:ascii="Arial" w:hAnsi="宋体" w:cs="Arial"/>
          <w:color w:val="auto"/>
          <w:kern w:val="0"/>
          <w:szCs w:val="21"/>
          <w:highlight w:val="none"/>
        </w:rPr>
        <w:t>副本</w:t>
      </w:r>
      <w:r>
        <w:rPr>
          <w:rFonts w:hint="eastAsia" w:ascii="Arial" w:hAnsi="Arial" w:cs="Arial"/>
          <w:color w:val="auto"/>
          <w:kern w:val="0"/>
          <w:szCs w:val="21"/>
          <w:highlight w:val="none"/>
        </w:rPr>
        <w:t>”</w:t>
      </w:r>
      <w:r>
        <w:rPr>
          <w:rFonts w:ascii="Arial" w:hAnsi="宋体" w:cs="Arial"/>
          <w:color w:val="auto"/>
          <w:kern w:val="0"/>
          <w:szCs w:val="21"/>
          <w:highlight w:val="none"/>
        </w:rPr>
        <w:t>。</w:t>
      </w:r>
      <w:r>
        <w:rPr>
          <w:rFonts w:ascii="Arial" w:hAnsi="宋体" w:cs="Arial"/>
          <w:color w:val="auto"/>
          <w:highlight w:val="none"/>
        </w:rPr>
        <w:t>如果它们之间内容有差异，以正本为准。</w:t>
      </w:r>
    </w:p>
    <w:p w14:paraId="518CA8FC">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17.2 </w:t>
      </w:r>
      <w:r>
        <w:rPr>
          <w:rFonts w:ascii="Arial" w:hAnsi="宋体" w:cs="Arial"/>
          <w:b/>
          <w:color w:val="auto"/>
          <w:highlight w:val="none"/>
        </w:rPr>
        <w:t>投标文件正本和所有副本均需打印或用不褪色墨水书写，并由投标人的法定代表人或授权代表签字</w:t>
      </w:r>
      <w:r>
        <w:rPr>
          <w:rFonts w:hint="eastAsia" w:ascii="Arial" w:hAnsi="宋体" w:cs="Arial"/>
          <w:b/>
          <w:color w:val="auto"/>
          <w:highlight w:val="none"/>
        </w:rPr>
        <w:t>（或签章）</w:t>
      </w:r>
      <w:r>
        <w:rPr>
          <w:rFonts w:ascii="Arial" w:hAnsi="宋体" w:cs="Arial"/>
          <w:b/>
          <w:color w:val="auto"/>
          <w:highlight w:val="none"/>
        </w:rPr>
        <w:t>并在招标文件中注明须加盖公章的地方加盖公章，如为授权代表签字的应附</w:t>
      </w:r>
      <w:r>
        <w:rPr>
          <w:rFonts w:ascii="Arial" w:hAnsi="Arial" w:cs="Arial"/>
          <w:b/>
          <w:color w:val="auto"/>
          <w:highlight w:val="none"/>
        </w:rPr>
        <w:t>“</w:t>
      </w:r>
      <w:r>
        <w:rPr>
          <w:rFonts w:hint="eastAsia" w:ascii="Arial" w:hAnsi="宋体" w:cs="Arial"/>
          <w:b/>
          <w:color w:val="auto"/>
          <w:highlight w:val="none"/>
        </w:rPr>
        <w:t>法定代表人授权书</w:t>
      </w:r>
      <w:r>
        <w:rPr>
          <w:rFonts w:ascii="Arial" w:hAnsi="Arial" w:cs="Arial"/>
          <w:b/>
          <w:color w:val="auto"/>
          <w:highlight w:val="none"/>
        </w:rPr>
        <w:t>”</w:t>
      </w:r>
      <w:r>
        <w:rPr>
          <w:rFonts w:ascii="Arial" w:hAnsi="宋体" w:cs="Arial"/>
          <w:b/>
          <w:color w:val="auto"/>
          <w:highlight w:val="none"/>
        </w:rPr>
        <w:t>，正本必须为原件，但投标人的相关证明文件可采用复印件，采用复印件的，评标委员会认为需要时，投标人应提供原件供核对。</w:t>
      </w:r>
    </w:p>
    <w:p w14:paraId="1BA1EE7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17.3 </w:t>
      </w:r>
      <w:r>
        <w:rPr>
          <w:rFonts w:ascii="Arial" w:hAnsi="宋体" w:cs="Arial"/>
          <w:color w:val="auto"/>
          <w:kern w:val="0"/>
          <w:szCs w:val="21"/>
          <w:highlight w:val="none"/>
        </w:rPr>
        <w:t>投标文件不应有涂改、增删之处，如必须修改时，修改处必须有投标人法定代表人或授权代表签字</w:t>
      </w:r>
      <w:r>
        <w:rPr>
          <w:rFonts w:hint="eastAsia" w:ascii="Arial" w:hAnsi="宋体" w:cs="Arial"/>
          <w:color w:val="auto"/>
          <w:kern w:val="0"/>
          <w:szCs w:val="21"/>
          <w:highlight w:val="none"/>
        </w:rPr>
        <w:t>（或签章），</w:t>
      </w:r>
      <w:r>
        <w:rPr>
          <w:rFonts w:ascii="Arial" w:hAnsi="宋体" w:cs="Arial"/>
          <w:color w:val="auto"/>
          <w:kern w:val="0"/>
          <w:szCs w:val="21"/>
          <w:highlight w:val="none"/>
        </w:rPr>
        <w:t>同时加盖投标人公章。</w:t>
      </w:r>
    </w:p>
    <w:p w14:paraId="1734B3F8">
      <w:pPr>
        <w:widowControl/>
        <w:spacing w:line="360" w:lineRule="auto"/>
        <w:ind w:firstLine="420"/>
        <w:rPr>
          <w:rFonts w:ascii="Arial" w:hAnsi="Arial" w:cs="Arial"/>
          <w:color w:val="auto"/>
          <w:kern w:val="0"/>
          <w:szCs w:val="21"/>
          <w:highlight w:val="none"/>
        </w:rPr>
      </w:pPr>
      <w:r>
        <w:rPr>
          <w:rFonts w:ascii="Arial" w:hAnsi="Arial" w:cs="Arial"/>
          <w:color w:val="auto"/>
          <w:highlight w:val="none"/>
        </w:rPr>
        <w:t>17.4</w:t>
      </w:r>
      <w:r>
        <w:rPr>
          <w:rFonts w:ascii="Arial" w:hAnsi="宋体" w:cs="Arial"/>
          <w:color w:val="auto"/>
          <w:highlight w:val="none"/>
        </w:rPr>
        <w:t>投标文件提倡按照</w:t>
      </w:r>
      <w:r>
        <w:rPr>
          <w:rFonts w:ascii="Arial" w:hAnsi="Arial" w:cs="Arial"/>
          <w:color w:val="auto"/>
          <w:highlight w:val="none"/>
        </w:rPr>
        <w:t>A4</w:t>
      </w:r>
      <w:r>
        <w:rPr>
          <w:rFonts w:ascii="Arial" w:hAnsi="宋体" w:cs="Arial"/>
          <w:color w:val="auto"/>
          <w:highlight w:val="none"/>
        </w:rPr>
        <w:t>幅面打印或复印并进行装订，如有资料超过</w:t>
      </w:r>
      <w:r>
        <w:rPr>
          <w:rFonts w:ascii="Arial" w:hAnsi="Arial" w:cs="Arial"/>
          <w:color w:val="auto"/>
          <w:highlight w:val="none"/>
        </w:rPr>
        <w:t>A4</w:t>
      </w:r>
      <w:r>
        <w:rPr>
          <w:rFonts w:ascii="Arial" w:hAnsi="宋体" w:cs="Arial"/>
          <w:color w:val="auto"/>
          <w:highlight w:val="none"/>
        </w:rPr>
        <w:t>幅面折叠成</w:t>
      </w:r>
      <w:r>
        <w:rPr>
          <w:rFonts w:ascii="Arial" w:hAnsi="Arial" w:cs="Arial"/>
          <w:color w:val="auto"/>
          <w:highlight w:val="none"/>
        </w:rPr>
        <w:t>A4</w:t>
      </w:r>
      <w:r>
        <w:rPr>
          <w:rFonts w:ascii="Arial" w:hAnsi="宋体" w:cs="Arial"/>
          <w:color w:val="auto"/>
          <w:highlight w:val="none"/>
        </w:rPr>
        <w:t>幅面；投标文件装订提倡采用胶装的形式。</w:t>
      </w:r>
    </w:p>
    <w:p w14:paraId="665E09E2">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17.5 </w:t>
      </w:r>
      <w:r>
        <w:rPr>
          <w:rFonts w:ascii="Arial" w:hAnsi="宋体" w:cs="Arial"/>
          <w:b/>
          <w:bCs/>
          <w:color w:val="auto"/>
          <w:kern w:val="0"/>
          <w:szCs w:val="21"/>
          <w:highlight w:val="none"/>
        </w:rPr>
        <w:t>投标人应当在招标文件要求提交投标文件的截止时间前，将投标文件密封送达投标地点。</w:t>
      </w:r>
      <w:r>
        <w:rPr>
          <w:rFonts w:ascii="Arial" w:hAnsi="宋体" w:cs="Arial"/>
          <w:color w:val="auto"/>
          <w:kern w:val="0"/>
          <w:szCs w:val="21"/>
          <w:highlight w:val="none"/>
        </w:rPr>
        <w:t>任何单位和个人不得在开标前开启投标文件。</w:t>
      </w:r>
    </w:p>
    <w:p w14:paraId="47389D6D">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18</w:t>
      </w:r>
      <w:r>
        <w:rPr>
          <w:rFonts w:ascii="Arial" w:hAnsi="宋体" w:cs="Arial"/>
          <w:b/>
          <w:bCs/>
          <w:color w:val="auto"/>
          <w:kern w:val="0"/>
          <w:szCs w:val="21"/>
          <w:highlight w:val="none"/>
        </w:rPr>
        <w:t>、有下列情形的投标文件将被拒收：</w:t>
      </w:r>
    </w:p>
    <w:p w14:paraId="7FBA452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18.1</w:t>
      </w:r>
      <w:r>
        <w:rPr>
          <w:rFonts w:ascii="Arial" w:hAnsi="宋体" w:cs="Arial"/>
          <w:color w:val="auto"/>
          <w:kern w:val="0"/>
          <w:szCs w:val="21"/>
          <w:highlight w:val="none"/>
        </w:rPr>
        <w:t>逾期送达的；</w:t>
      </w:r>
    </w:p>
    <w:p w14:paraId="421B4F2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18.2</w:t>
      </w:r>
      <w:r>
        <w:rPr>
          <w:rFonts w:ascii="Arial" w:hAnsi="宋体" w:cs="Arial"/>
          <w:color w:val="auto"/>
          <w:kern w:val="0"/>
          <w:szCs w:val="21"/>
          <w:highlight w:val="none"/>
        </w:rPr>
        <w:t>未按照招标文件要求密封的。</w:t>
      </w:r>
    </w:p>
    <w:p w14:paraId="60706606">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19</w:t>
      </w:r>
      <w:r>
        <w:rPr>
          <w:rFonts w:ascii="Arial" w:hAnsi="宋体" w:cs="Arial"/>
          <w:b/>
          <w:bCs/>
          <w:color w:val="auto"/>
          <w:kern w:val="0"/>
          <w:szCs w:val="21"/>
          <w:highlight w:val="none"/>
        </w:rPr>
        <w:t>、投标文件的修改和撤回</w:t>
      </w:r>
    </w:p>
    <w:p w14:paraId="03F67A1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19.1</w:t>
      </w:r>
      <w:r>
        <w:rPr>
          <w:rFonts w:ascii="Arial" w:hAnsi="宋体" w:cs="Arial"/>
          <w:color w:val="auto"/>
          <w:kern w:val="0"/>
          <w:szCs w:val="21"/>
          <w:highlight w:val="none"/>
        </w:rPr>
        <w:t>投标人在投标截止时间前，可以对所递交的投标文件进行补充、修改或者撤回，并书面通知</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。补充、修改的内容应当按照招标文件要求签署、盖章、密封后，作为投标文件的组成部分。</w:t>
      </w:r>
    </w:p>
    <w:p w14:paraId="2F6ED6D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19.2 </w:t>
      </w:r>
      <w:r>
        <w:rPr>
          <w:rFonts w:ascii="Arial" w:hAnsi="宋体" w:cs="Arial"/>
          <w:color w:val="auto"/>
          <w:kern w:val="0"/>
          <w:szCs w:val="21"/>
          <w:highlight w:val="none"/>
        </w:rPr>
        <w:t>投标截止时间之后，投标文件不得撤回；如撤回，投标保证金不予退还。</w:t>
      </w:r>
    </w:p>
    <w:p w14:paraId="1DF2E96F">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20</w:t>
      </w:r>
      <w:r>
        <w:rPr>
          <w:rFonts w:ascii="Arial" w:hAnsi="宋体" w:cs="Arial"/>
          <w:b/>
          <w:bCs/>
          <w:color w:val="auto"/>
          <w:kern w:val="0"/>
          <w:szCs w:val="21"/>
          <w:highlight w:val="none"/>
        </w:rPr>
        <w:t>、诚实信用</w:t>
      </w:r>
    </w:p>
    <w:p w14:paraId="1558C85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20.1</w:t>
      </w:r>
      <w:r>
        <w:rPr>
          <w:rFonts w:ascii="Arial" w:hAnsi="宋体" w:cs="Arial"/>
          <w:color w:val="auto"/>
          <w:kern w:val="0"/>
          <w:szCs w:val="21"/>
          <w:highlight w:val="none"/>
        </w:rPr>
        <w:t>投标人应当遵循公平竞争的原则，不得恶意串通，不得妨碍其他投标人的竞争行为，不得损害</w:t>
      </w:r>
      <w:r>
        <w:rPr>
          <w:rFonts w:hint="eastAsia" w:ascii="Arial" w:hAnsi="宋体" w:cs="Arial"/>
          <w:color w:val="auto"/>
          <w:kern w:val="0"/>
          <w:szCs w:val="21"/>
          <w:highlight w:val="none"/>
        </w:rPr>
        <w:t>采购人</w:t>
      </w:r>
      <w:r>
        <w:rPr>
          <w:rFonts w:ascii="Arial" w:hAnsi="宋体" w:cs="Arial"/>
          <w:color w:val="auto"/>
          <w:kern w:val="0"/>
          <w:szCs w:val="21"/>
          <w:highlight w:val="none"/>
        </w:rPr>
        <w:t>或者其他投标人的合法权益。</w:t>
      </w:r>
    </w:p>
    <w:p w14:paraId="7E73A1F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20.2</w:t>
      </w:r>
      <w:r>
        <w:rPr>
          <w:rFonts w:ascii="Arial" w:hAnsi="宋体" w:cs="Arial"/>
          <w:color w:val="auto"/>
          <w:kern w:val="0"/>
          <w:szCs w:val="21"/>
          <w:highlight w:val="none"/>
        </w:rPr>
        <w:t>在评标过程中发现投标人有上述情形的，评标委员会应当认定其投标无效，并书面报告本级财政部门。</w:t>
      </w:r>
    </w:p>
    <w:p w14:paraId="5406036A">
      <w:pPr>
        <w:widowControl/>
        <w:spacing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五、开标、评标与定标</w:t>
      </w:r>
    </w:p>
    <w:p w14:paraId="05AB2419">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21</w:t>
      </w:r>
      <w:r>
        <w:rPr>
          <w:rFonts w:ascii="Arial" w:hAnsi="宋体" w:cs="Arial"/>
          <w:b/>
          <w:bCs/>
          <w:color w:val="auto"/>
          <w:kern w:val="0"/>
          <w:szCs w:val="21"/>
          <w:highlight w:val="none"/>
        </w:rPr>
        <w:t>、开标</w:t>
      </w:r>
    </w:p>
    <w:p w14:paraId="7C3B290B">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21.1 </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将在招标文件确定的时间和地点进行公开开标。投标人应委派代表准时参加，参加开标的代表须签名报到以证明其出席。</w:t>
      </w:r>
    </w:p>
    <w:p w14:paraId="76B1BED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21.2</w:t>
      </w:r>
      <w:r>
        <w:rPr>
          <w:rFonts w:ascii="Arial" w:hAnsi="宋体" w:cs="Arial"/>
          <w:color w:val="auto"/>
          <w:kern w:val="0"/>
          <w:szCs w:val="21"/>
          <w:highlight w:val="none"/>
        </w:rPr>
        <w:t>开标时，应当由投标人或者其推选的代表检查投标文件的密封情况；经确认无误后，由</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工作人员当众拆封，宣布投标人名称、投标价格和招标文件规定的需要宣布的其他内容。</w:t>
      </w:r>
    </w:p>
    <w:p w14:paraId="0750AE3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21.3</w:t>
      </w:r>
      <w:r>
        <w:rPr>
          <w:rFonts w:ascii="Arial" w:hAnsi="宋体" w:cs="Arial"/>
          <w:color w:val="auto"/>
          <w:kern w:val="0"/>
          <w:szCs w:val="21"/>
          <w:highlight w:val="none"/>
        </w:rPr>
        <w:t>投标人不足</w:t>
      </w:r>
      <w:r>
        <w:rPr>
          <w:rFonts w:ascii="Arial" w:hAnsi="Arial" w:cs="Arial"/>
          <w:color w:val="auto"/>
          <w:kern w:val="0"/>
          <w:szCs w:val="21"/>
          <w:highlight w:val="none"/>
        </w:rPr>
        <w:t>3</w:t>
      </w:r>
      <w:r>
        <w:rPr>
          <w:rFonts w:ascii="Arial" w:hAnsi="宋体" w:cs="Arial"/>
          <w:color w:val="auto"/>
          <w:kern w:val="0"/>
          <w:szCs w:val="21"/>
          <w:highlight w:val="none"/>
        </w:rPr>
        <w:t>家的，不得开标。</w:t>
      </w:r>
    </w:p>
    <w:p w14:paraId="452C3F9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21.4</w:t>
      </w:r>
      <w:r>
        <w:rPr>
          <w:rFonts w:ascii="Arial" w:hAnsi="宋体" w:cs="Arial"/>
          <w:color w:val="auto"/>
          <w:kern w:val="0"/>
          <w:szCs w:val="21"/>
          <w:highlight w:val="none"/>
        </w:rPr>
        <w:t>开标过程由</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负责记录，由参加开标的各投标人代表和相关工作人员签字确认后随</w:t>
      </w:r>
      <w:r>
        <w:rPr>
          <w:rFonts w:hint="eastAsia" w:ascii="Arial" w:hAnsi="宋体" w:cs="Arial"/>
          <w:color w:val="auto"/>
          <w:kern w:val="0"/>
          <w:szCs w:val="21"/>
          <w:highlight w:val="none"/>
        </w:rPr>
        <w:t>招标</w:t>
      </w:r>
      <w:r>
        <w:rPr>
          <w:rFonts w:ascii="Arial" w:hAnsi="宋体" w:cs="Arial"/>
          <w:color w:val="auto"/>
          <w:kern w:val="0"/>
          <w:szCs w:val="21"/>
          <w:highlight w:val="none"/>
        </w:rPr>
        <w:t>文件一并存档。</w:t>
      </w:r>
    </w:p>
    <w:p w14:paraId="41019610">
      <w:pPr>
        <w:spacing w:line="360" w:lineRule="auto"/>
        <w:ind w:firstLine="420" w:firstLineChars="200"/>
        <w:rPr>
          <w:rFonts w:ascii="Arial" w:hAnsi="Arial" w:cs="Arial"/>
          <w:color w:val="auto"/>
          <w:highlight w:val="none"/>
        </w:rPr>
      </w:pPr>
      <w:r>
        <w:rPr>
          <w:rFonts w:ascii="Arial" w:hAnsi="宋体" w:cs="Arial"/>
          <w:color w:val="auto"/>
          <w:highlight w:val="none"/>
        </w:rPr>
        <w:t>投标人代表对开标过程和开标记录有疑义，以及认为</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相关工作人员有需要回避的情形的，应当场提出询问或者回避申请。</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对投标人代表提出的询问或者回避申请及时处理。</w:t>
      </w:r>
    </w:p>
    <w:p w14:paraId="6621ED72">
      <w:pPr>
        <w:spacing w:line="360" w:lineRule="auto"/>
        <w:ind w:firstLine="420" w:firstLineChars="200"/>
        <w:rPr>
          <w:rFonts w:ascii="Arial" w:hAnsi="Arial" w:cs="Arial"/>
          <w:color w:val="auto"/>
          <w:highlight w:val="none"/>
        </w:rPr>
      </w:pPr>
      <w:r>
        <w:rPr>
          <w:rFonts w:ascii="Arial" w:hAnsi="Arial" w:cs="Arial"/>
          <w:color w:val="auto"/>
          <w:highlight w:val="none"/>
        </w:rPr>
        <w:t>21.5</w:t>
      </w:r>
      <w:r>
        <w:rPr>
          <w:rFonts w:ascii="Arial" w:hAnsi="宋体" w:cs="Arial"/>
          <w:color w:val="auto"/>
          <w:highlight w:val="none"/>
        </w:rPr>
        <w:t>投标人未参加开标的，视同认可开标结果。</w:t>
      </w:r>
    </w:p>
    <w:p w14:paraId="4F761E3C">
      <w:pPr>
        <w:spacing w:line="360" w:lineRule="auto"/>
        <w:ind w:firstLine="420" w:firstLineChars="200"/>
        <w:rPr>
          <w:rFonts w:ascii="Arial" w:hAnsi="Arial" w:cs="Arial"/>
          <w:color w:val="auto"/>
          <w:highlight w:val="none"/>
        </w:rPr>
      </w:pPr>
      <w:r>
        <w:rPr>
          <w:rFonts w:ascii="Arial" w:hAnsi="Arial" w:cs="Arial"/>
          <w:color w:val="auto"/>
          <w:highlight w:val="none"/>
        </w:rPr>
        <w:t>21.6</w:t>
      </w:r>
      <w:r>
        <w:rPr>
          <w:rFonts w:ascii="Arial" w:hAnsi="宋体" w:cs="Arial"/>
          <w:color w:val="auto"/>
          <w:highlight w:val="none"/>
        </w:rPr>
        <w:t>公开招标数额标准以上的采购项目，投标截止后投标人不足</w:t>
      </w:r>
      <w:r>
        <w:rPr>
          <w:rFonts w:ascii="Arial" w:hAnsi="Arial" w:cs="Arial"/>
          <w:color w:val="auto"/>
          <w:highlight w:val="none"/>
        </w:rPr>
        <w:t>3</w:t>
      </w:r>
      <w:r>
        <w:rPr>
          <w:rFonts w:ascii="Arial" w:hAnsi="宋体" w:cs="Arial"/>
          <w:color w:val="auto"/>
          <w:highlight w:val="none"/>
        </w:rPr>
        <w:t>家或者通过资格审查或符合性审查的投标人不足</w:t>
      </w:r>
      <w:r>
        <w:rPr>
          <w:rFonts w:ascii="Arial" w:hAnsi="Arial" w:cs="Arial"/>
          <w:color w:val="auto"/>
          <w:highlight w:val="none"/>
        </w:rPr>
        <w:t>3</w:t>
      </w:r>
      <w:r>
        <w:rPr>
          <w:rFonts w:ascii="Arial" w:hAnsi="宋体" w:cs="Arial"/>
          <w:color w:val="auto"/>
          <w:highlight w:val="none"/>
        </w:rPr>
        <w:t>家的，除采购任务取消情形外，按照以下方式处理：</w:t>
      </w:r>
    </w:p>
    <w:p w14:paraId="0BB11C0A">
      <w:pPr>
        <w:spacing w:line="360" w:lineRule="auto"/>
        <w:ind w:firstLine="420" w:firstLineChars="200"/>
        <w:rPr>
          <w:rFonts w:ascii="Arial" w:hAnsi="Arial" w:cs="Arial"/>
          <w:color w:val="auto"/>
          <w:highlight w:val="none"/>
        </w:rPr>
      </w:pPr>
      <w:r>
        <w:rPr>
          <w:rFonts w:ascii="Arial" w:hAnsi="宋体" w:cs="Arial"/>
          <w:color w:val="auto"/>
          <w:highlight w:val="none"/>
        </w:rPr>
        <w:t>（</w:t>
      </w:r>
      <w:r>
        <w:rPr>
          <w:rFonts w:ascii="Arial" w:hAnsi="Arial" w:cs="Arial"/>
          <w:color w:val="auto"/>
          <w:highlight w:val="none"/>
        </w:rPr>
        <w:t>1</w:t>
      </w:r>
      <w:r>
        <w:rPr>
          <w:rFonts w:ascii="Arial" w:hAnsi="宋体" w:cs="Arial"/>
          <w:color w:val="auto"/>
          <w:highlight w:val="none"/>
        </w:rPr>
        <w:t>）招标文件存在不合理条款或者招标程序不符合规定的，</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改正后依法重新招标；</w:t>
      </w:r>
    </w:p>
    <w:p w14:paraId="07424F04">
      <w:pPr>
        <w:widowControl/>
        <w:spacing w:line="360" w:lineRule="auto"/>
        <w:ind w:firstLine="420"/>
        <w:rPr>
          <w:rFonts w:hint="eastAsia" w:ascii="Arial" w:hAnsi="宋体" w:cs="Arial"/>
          <w:color w:val="auto"/>
          <w:kern w:val="0"/>
          <w:szCs w:val="21"/>
          <w:highlight w:val="none"/>
        </w:rPr>
      </w:pPr>
      <w:r>
        <w:rPr>
          <w:rFonts w:ascii="Arial" w:hAnsi="宋体" w:cs="Arial"/>
          <w:color w:val="auto"/>
          <w:highlight w:val="none"/>
        </w:rPr>
        <w:t>（</w:t>
      </w:r>
      <w:r>
        <w:rPr>
          <w:rFonts w:ascii="Arial" w:hAnsi="Arial" w:cs="Arial"/>
          <w:color w:val="auto"/>
          <w:highlight w:val="none"/>
        </w:rPr>
        <w:t>2</w:t>
      </w:r>
      <w:r>
        <w:rPr>
          <w:rFonts w:ascii="Arial" w:hAnsi="宋体" w:cs="Arial"/>
          <w:color w:val="auto"/>
          <w:highlight w:val="none"/>
        </w:rPr>
        <w:t>）招标文件没有不合理条款、招标程序符合规定，需要采用其他采购方式采购的，</w:t>
      </w:r>
      <w:r>
        <w:rPr>
          <w:rFonts w:hint="eastAsia" w:ascii="Arial" w:hAnsi="宋体" w:cs="Arial"/>
          <w:color w:val="auto"/>
          <w:highlight w:val="none"/>
        </w:rPr>
        <w:t>采购人</w:t>
      </w:r>
      <w:r>
        <w:rPr>
          <w:rFonts w:ascii="Arial" w:hAnsi="宋体" w:cs="Arial"/>
          <w:color w:val="auto"/>
          <w:highlight w:val="none"/>
        </w:rPr>
        <w:t>依法报财政部门批准，</w:t>
      </w:r>
      <w:r>
        <w:rPr>
          <w:rFonts w:ascii="Arial" w:hAnsi="宋体" w:cs="Arial"/>
          <w:color w:val="auto"/>
          <w:kern w:val="0"/>
          <w:szCs w:val="21"/>
          <w:highlight w:val="none"/>
        </w:rPr>
        <w:t>经批准后，可变更为其他采购方式采购。</w:t>
      </w:r>
    </w:p>
    <w:p w14:paraId="7FF776D9">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22</w:t>
      </w:r>
      <w:r>
        <w:rPr>
          <w:rFonts w:ascii="Arial" w:hAnsi="宋体" w:cs="Arial"/>
          <w:b/>
          <w:bCs/>
          <w:color w:val="auto"/>
          <w:kern w:val="0"/>
          <w:szCs w:val="21"/>
          <w:highlight w:val="none"/>
        </w:rPr>
        <w:t>、评标</w:t>
      </w:r>
    </w:p>
    <w:p w14:paraId="5A3253E9">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 xml:space="preserve">22.1 </w:t>
      </w:r>
      <w:r>
        <w:rPr>
          <w:rFonts w:ascii="Arial" w:hAnsi="宋体" w:cs="Arial"/>
          <w:b/>
          <w:bCs/>
          <w:color w:val="auto"/>
          <w:kern w:val="0"/>
          <w:szCs w:val="21"/>
          <w:highlight w:val="none"/>
        </w:rPr>
        <w:t>评标委员会</w:t>
      </w:r>
    </w:p>
    <w:p w14:paraId="50737FE5">
      <w:pPr>
        <w:widowControl/>
        <w:spacing w:line="360" w:lineRule="auto"/>
        <w:ind w:firstLine="420"/>
        <w:rPr>
          <w:rFonts w:ascii="Arial" w:hAnsi="Arial" w:cs="Arial"/>
          <w:bCs/>
          <w:color w:val="auto"/>
          <w:kern w:val="0"/>
          <w:szCs w:val="21"/>
          <w:highlight w:val="none"/>
        </w:rPr>
      </w:pPr>
      <w:r>
        <w:rPr>
          <w:rFonts w:ascii="Arial" w:hAnsi="Arial" w:cs="Arial"/>
          <w:b/>
          <w:bCs/>
          <w:color w:val="auto"/>
          <w:kern w:val="0"/>
          <w:szCs w:val="21"/>
          <w:highlight w:val="none"/>
        </w:rPr>
        <w:t>22.1.1</w:t>
      </w:r>
      <w:r>
        <w:rPr>
          <w:rFonts w:ascii="Arial" w:hAnsi="宋体" w:cs="Arial"/>
          <w:bCs/>
          <w:color w:val="auto"/>
          <w:kern w:val="0"/>
          <w:szCs w:val="21"/>
          <w:highlight w:val="none"/>
        </w:rPr>
        <w:t>评标委员会负责具体评标事务，并独立履行下列职责：</w:t>
      </w:r>
    </w:p>
    <w:p w14:paraId="7442AB7F">
      <w:pPr>
        <w:widowControl/>
        <w:spacing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（一）审查、评价投标文件是否符合招标文件的商务、技术等实质性要求；</w:t>
      </w:r>
    </w:p>
    <w:p w14:paraId="015081CD">
      <w:pPr>
        <w:widowControl/>
        <w:spacing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（二）要求投标人对投标文件有关事项作出澄清或者说明；</w:t>
      </w:r>
    </w:p>
    <w:p w14:paraId="57F82101">
      <w:pPr>
        <w:widowControl/>
        <w:spacing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（三）对投标文件进行比较和评价；</w:t>
      </w:r>
    </w:p>
    <w:p w14:paraId="48A88A31">
      <w:pPr>
        <w:widowControl/>
        <w:spacing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（四）确定中标候选人名单，以及根据采购人委托直接确定中标人；</w:t>
      </w:r>
    </w:p>
    <w:p w14:paraId="6C754A29">
      <w:pPr>
        <w:widowControl/>
        <w:spacing w:line="360" w:lineRule="auto"/>
        <w:ind w:firstLine="420"/>
        <w:rPr>
          <w:rFonts w:ascii="Arial" w:hAnsi="Arial" w:cs="Arial"/>
          <w:color w:val="auto"/>
          <w:kern w:val="0"/>
          <w:szCs w:val="21"/>
          <w:highlight w:val="none"/>
        </w:rPr>
      </w:pPr>
      <w:r>
        <w:rPr>
          <w:rFonts w:ascii="Arial" w:hAnsi="宋体" w:cs="Arial"/>
          <w:bCs/>
          <w:color w:val="auto"/>
          <w:kern w:val="0"/>
          <w:szCs w:val="21"/>
          <w:highlight w:val="none"/>
        </w:rPr>
        <w:t>（五）向</w:t>
      </w:r>
      <w:r>
        <w:rPr>
          <w:rFonts w:hint="eastAsia" w:ascii="Arial" w:hAnsi="宋体" w:cs="Arial"/>
          <w:bCs/>
          <w:color w:val="auto"/>
          <w:kern w:val="0"/>
          <w:szCs w:val="21"/>
          <w:highlight w:val="none"/>
        </w:rPr>
        <w:t>采购人</w:t>
      </w:r>
      <w:r>
        <w:rPr>
          <w:rFonts w:ascii="Arial" w:hAnsi="宋体" w:cs="Arial"/>
          <w:bCs/>
          <w:color w:val="auto"/>
          <w:kern w:val="0"/>
          <w:szCs w:val="21"/>
          <w:highlight w:val="none"/>
        </w:rPr>
        <w:t>、</w:t>
      </w:r>
      <w:r>
        <w:rPr>
          <w:rFonts w:hint="eastAsia" w:ascii="Arial" w:hAnsi="宋体" w:cs="Arial"/>
          <w:bCs/>
          <w:color w:val="auto"/>
          <w:kern w:val="0"/>
          <w:szCs w:val="21"/>
          <w:highlight w:val="none"/>
        </w:rPr>
        <w:t>采购代理机构</w:t>
      </w:r>
      <w:r>
        <w:rPr>
          <w:rFonts w:ascii="Arial" w:hAnsi="宋体" w:cs="Arial"/>
          <w:bCs/>
          <w:color w:val="auto"/>
          <w:kern w:val="0"/>
          <w:szCs w:val="21"/>
          <w:highlight w:val="none"/>
        </w:rPr>
        <w:t>或者有关部门报告评标中发现的违法行为。</w:t>
      </w:r>
    </w:p>
    <w:p w14:paraId="525D57C4">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 xml:space="preserve">22.1.2 </w:t>
      </w:r>
      <w:r>
        <w:rPr>
          <w:rFonts w:ascii="Arial" w:hAnsi="宋体" w:cs="Arial"/>
          <w:color w:val="auto"/>
          <w:kern w:val="0"/>
          <w:szCs w:val="21"/>
          <w:highlight w:val="none"/>
        </w:rPr>
        <w:t>评标委员会由</w:t>
      </w:r>
      <w:r>
        <w:rPr>
          <w:rFonts w:hint="eastAsia" w:ascii="Arial" w:hAnsi="宋体" w:cs="Arial"/>
          <w:bCs/>
          <w:color w:val="auto"/>
          <w:kern w:val="0"/>
          <w:szCs w:val="21"/>
          <w:highlight w:val="none"/>
        </w:rPr>
        <w:t>采购人</w:t>
      </w:r>
      <w:r>
        <w:rPr>
          <w:rFonts w:ascii="Arial" w:hAnsi="宋体" w:cs="Arial"/>
          <w:color w:val="auto"/>
          <w:kern w:val="0"/>
          <w:szCs w:val="21"/>
          <w:highlight w:val="none"/>
        </w:rPr>
        <w:t>代表和有关技术、经济等方面的专家组成，独立开展评审工作。</w:t>
      </w:r>
    </w:p>
    <w:p w14:paraId="1384E2D7">
      <w:pPr>
        <w:widowControl/>
        <w:spacing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 xml:space="preserve">22.2  </w:t>
      </w:r>
      <w:r>
        <w:rPr>
          <w:rFonts w:ascii="Arial" w:hAnsi="宋体" w:cs="Arial"/>
          <w:b/>
          <w:bCs/>
          <w:color w:val="auto"/>
          <w:kern w:val="0"/>
          <w:szCs w:val="21"/>
          <w:highlight w:val="none"/>
        </w:rPr>
        <w:t>评标程序</w:t>
      </w:r>
    </w:p>
    <w:p w14:paraId="5F575816">
      <w:pPr>
        <w:widowControl/>
        <w:spacing w:line="360" w:lineRule="auto"/>
        <w:ind w:firstLine="420"/>
        <w:jc w:val="left"/>
        <w:rPr>
          <w:rFonts w:ascii="Arial" w:hAnsi="Arial" w:cs="Arial"/>
          <w:b/>
          <w:color w:val="auto"/>
          <w:kern w:val="0"/>
          <w:szCs w:val="21"/>
          <w:highlight w:val="none"/>
        </w:rPr>
      </w:pPr>
      <w:r>
        <w:rPr>
          <w:rFonts w:ascii="Arial" w:hAnsi="Arial" w:cs="Arial"/>
          <w:b/>
          <w:color w:val="auto"/>
          <w:kern w:val="0"/>
          <w:szCs w:val="21"/>
          <w:highlight w:val="none"/>
        </w:rPr>
        <w:t xml:space="preserve">22.2.1 </w:t>
      </w:r>
      <w:r>
        <w:rPr>
          <w:rFonts w:ascii="Arial" w:hAnsi="宋体" w:cs="Arial"/>
          <w:b/>
          <w:bCs/>
          <w:color w:val="auto"/>
          <w:kern w:val="0"/>
          <w:szCs w:val="21"/>
          <w:highlight w:val="none"/>
        </w:rPr>
        <w:t>投标文件的资格性检查。</w:t>
      </w:r>
      <w:r>
        <w:rPr>
          <w:rFonts w:ascii="Arial" w:hAnsi="宋体" w:cs="Arial"/>
          <w:color w:val="auto"/>
          <w:kern w:val="0"/>
          <w:szCs w:val="21"/>
          <w:highlight w:val="none"/>
        </w:rPr>
        <w:t>公开招标采购项目开标结束后，</w:t>
      </w:r>
      <w:r>
        <w:rPr>
          <w:rFonts w:hint="eastAsia" w:ascii="Arial" w:hAnsi="宋体" w:cs="Arial"/>
          <w:color w:val="auto"/>
          <w:highlight w:val="none"/>
        </w:rPr>
        <w:t>采购人</w:t>
      </w:r>
      <w:r>
        <w:rPr>
          <w:rFonts w:ascii="Arial" w:hAnsi="宋体" w:cs="Arial"/>
          <w:color w:val="auto"/>
          <w:kern w:val="0"/>
          <w:szCs w:val="21"/>
          <w:highlight w:val="none"/>
        </w:rPr>
        <w:t>或者</w:t>
      </w:r>
      <w:r>
        <w:rPr>
          <w:rFonts w:hint="eastAsia" w:ascii="Arial" w:hAnsi="宋体" w:cs="Arial"/>
          <w:color w:val="auto"/>
          <w:highlight w:val="none"/>
        </w:rPr>
        <w:t>采购代理机构</w:t>
      </w:r>
      <w:r>
        <w:rPr>
          <w:rFonts w:ascii="Arial" w:hAnsi="宋体" w:cs="Arial"/>
          <w:color w:val="auto"/>
          <w:kern w:val="0"/>
          <w:szCs w:val="21"/>
          <w:highlight w:val="none"/>
        </w:rPr>
        <w:t>应当依法对投标人的资格进行审查。合格投标人不足</w:t>
      </w:r>
      <w:r>
        <w:rPr>
          <w:rFonts w:ascii="Arial" w:hAnsi="Arial" w:cs="Arial"/>
          <w:color w:val="auto"/>
          <w:kern w:val="0"/>
          <w:szCs w:val="21"/>
          <w:highlight w:val="none"/>
        </w:rPr>
        <w:t>3</w:t>
      </w:r>
      <w:r>
        <w:rPr>
          <w:rFonts w:ascii="Arial" w:hAnsi="宋体" w:cs="Arial"/>
          <w:color w:val="auto"/>
          <w:kern w:val="0"/>
          <w:szCs w:val="21"/>
          <w:highlight w:val="none"/>
        </w:rPr>
        <w:t>家的，不得评标。</w:t>
      </w:r>
    </w:p>
    <w:p w14:paraId="0E1DD220">
      <w:pPr>
        <w:widowControl/>
        <w:spacing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22.2.2</w:t>
      </w:r>
      <w:r>
        <w:rPr>
          <w:rFonts w:ascii="Arial" w:hAnsi="宋体" w:cs="Arial"/>
          <w:b/>
          <w:bCs/>
          <w:color w:val="auto"/>
          <w:kern w:val="0"/>
          <w:szCs w:val="21"/>
          <w:highlight w:val="none"/>
        </w:rPr>
        <w:t>投标文件的符合性审查</w:t>
      </w:r>
      <w:r>
        <w:rPr>
          <w:rFonts w:ascii="Arial" w:hAnsi="宋体" w:cs="Arial"/>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4FAB6998">
      <w:pPr>
        <w:widowControl/>
        <w:spacing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1</w:t>
      </w:r>
      <w:r>
        <w:rPr>
          <w:rFonts w:ascii="Arial" w:hAnsi="宋体" w:cs="Arial"/>
          <w:b/>
          <w:color w:val="auto"/>
          <w:kern w:val="0"/>
          <w:szCs w:val="21"/>
          <w:highlight w:val="none"/>
        </w:rPr>
        <w:t>）未按照招标文件规定</w:t>
      </w:r>
      <w:r>
        <w:rPr>
          <w:rFonts w:hint="eastAsia" w:ascii="Arial" w:hAnsi="宋体" w:cs="Arial"/>
          <w:b/>
          <w:color w:val="auto"/>
          <w:kern w:val="0"/>
          <w:szCs w:val="21"/>
          <w:highlight w:val="none"/>
        </w:rPr>
        <w:t>的</w:t>
      </w:r>
      <w:r>
        <w:rPr>
          <w:rFonts w:ascii="Arial" w:hAnsi="宋体" w:cs="Arial"/>
          <w:b/>
          <w:color w:val="auto"/>
          <w:kern w:val="0"/>
          <w:szCs w:val="21"/>
          <w:highlight w:val="none"/>
        </w:rPr>
        <w:t>要求密封、签署、盖章的</w:t>
      </w:r>
      <w:r>
        <w:rPr>
          <w:rFonts w:ascii="Arial" w:hAnsi="宋体" w:cs="Arial"/>
          <w:b/>
          <w:bCs/>
          <w:color w:val="auto"/>
          <w:kern w:val="0"/>
          <w:szCs w:val="21"/>
          <w:highlight w:val="none"/>
        </w:rPr>
        <w:t>；</w:t>
      </w:r>
    </w:p>
    <w:p w14:paraId="10F8D8E8">
      <w:pPr>
        <w:widowControl/>
        <w:spacing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2</w:t>
      </w:r>
      <w:r>
        <w:rPr>
          <w:rFonts w:ascii="Arial" w:hAnsi="宋体" w:cs="Arial"/>
          <w:b/>
          <w:color w:val="auto"/>
          <w:kern w:val="0"/>
          <w:szCs w:val="21"/>
          <w:highlight w:val="none"/>
        </w:rPr>
        <w:t>）不具备招标文件中规定</w:t>
      </w:r>
      <w:r>
        <w:rPr>
          <w:rFonts w:hint="eastAsia" w:ascii="Arial" w:hAnsi="宋体" w:cs="Arial"/>
          <w:b/>
          <w:color w:val="auto"/>
          <w:kern w:val="0"/>
          <w:szCs w:val="21"/>
          <w:highlight w:val="none"/>
        </w:rPr>
        <w:t>的</w:t>
      </w:r>
      <w:r>
        <w:rPr>
          <w:rFonts w:ascii="Arial" w:hAnsi="宋体" w:cs="Arial"/>
          <w:b/>
          <w:color w:val="auto"/>
          <w:kern w:val="0"/>
          <w:szCs w:val="21"/>
          <w:highlight w:val="none"/>
        </w:rPr>
        <w:t>资格要求的；</w:t>
      </w:r>
    </w:p>
    <w:p w14:paraId="2074981B">
      <w:pPr>
        <w:widowControl/>
        <w:spacing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3</w:t>
      </w:r>
      <w:r>
        <w:rPr>
          <w:rFonts w:ascii="Arial" w:hAnsi="宋体" w:cs="Arial"/>
          <w:b/>
          <w:color w:val="auto"/>
          <w:kern w:val="0"/>
          <w:szCs w:val="21"/>
          <w:highlight w:val="none"/>
        </w:rPr>
        <w:t>）报价超过招标文件中规定的预算金额或者最高限价的；</w:t>
      </w:r>
    </w:p>
    <w:p w14:paraId="544234DC">
      <w:pPr>
        <w:widowControl/>
        <w:spacing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4</w:t>
      </w:r>
      <w:r>
        <w:rPr>
          <w:rFonts w:ascii="Arial" w:hAnsi="宋体" w:cs="Arial"/>
          <w:b/>
          <w:color w:val="auto"/>
          <w:kern w:val="0"/>
          <w:szCs w:val="21"/>
          <w:highlight w:val="none"/>
        </w:rPr>
        <w:t>）投标文件含有</w:t>
      </w:r>
      <w:r>
        <w:rPr>
          <w:rFonts w:hint="eastAsia" w:ascii="Arial" w:hAnsi="宋体" w:cs="Arial"/>
          <w:b/>
          <w:color w:val="auto"/>
          <w:kern w:val="0"/>
          <w:szCs w:val="21"/>
          <w:highlight w:val="none"/>
        </w:rPr>
        <w:t>采购人</w:t>
      </w:r>
      <w:r>
        <w:rPr>
          <w:rFonts w:ascii="Arial" w:hAnsi="宋体" w:cs="Arial"/>
          <w:b/>
          <w:color w:val="auto"/>
          <w:kern w:val="0"/>
          <w:szCs w:val="21"/>
          <w:highlight w:val="none"/>
        </w:rPr>
        <w:t>不能接受的附加条件的；</w:t>
      </w:r>
    </w:p>
    <w:p w14:paraId="2CCCD77A">
      <w:pPr>
        <w:widowControl/>
        <w:spacing w:line="360" w:lineRule="auto"/>
        <w:ind w:firstLine="420"/>
        <w:jc w:val="left"/>
        <w:rPr>
          <w:rFonts w:hint="eastAsia" w:ascii="Arial" w:hAnsi="宋体"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5</w:t>
      </w:r>
      <w:r>
        <w:rPr>
          <w:rFonts w:ascii="Arial" w:hAnsi="宋体" w:cs="Arial"/>
          <w:b/>
          <w:color w:val="auto"/>
          <w:kern w:val="0"/>
          <w:szCs w:val="21"/>
          <w:highlight w:val="none"/>
        </w:rPr>
        <w:t>）投标文件内容不全或不符合招标文件中规定的其它实质性要求的</w:t>
      </w:r>
      <w:r>
        <w:rPr>
          <w:rFonts w:hint="eastAsia" w:ascii="Arial" w:hAnsi="宋体" w:cs="Arial"/>
          <w:b/>
          <w:color w:val="auto"/>
          <w:kern w:val="0"/>
          <w:szCs w:val="21"/>
          <w:highlight w:val="none"/>
        </w:rPr>
        <w:t>；</w:t>
      </w:r>
    </w:p>
    <w:p w14:paraId="47F4FEB7">
      <w:pPr>
        <w:widowControl/>
        <w:spacing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6</w:t>
      </w:r>
      <w:r>
        <w:rPr>
          <w:rFonts w:ascii="Arial" w:hAnsi="宋体" w:cs="Arial"/>
          <w:b/>
          <w:color w:val="auto"/>
          <w:kern w:val="0"/>
          <w:szCs w:val="21"/>
          <w:highlight w:val="none"/>
        </w:rPr>
        <w:t>）未按</w:t>
      </w:r>
      <w:r>
        <w:rPr>
          <w:rFonts w:hint="eastAsia" w:ascii="Arial" w:hAnsi="宋体" w:cs="Arial"/>
          <w:b/>
          <w:color w:val="auto"/>
          <w:kern w:val="0"/>
          <w:szCs w:val="21"/>
          <w:highlight w:val="none"/>
        </w:rPr>
        <w:t>招标文件</w:t>
      </w:r>
      <w:r>
        <w:rPr>
          <w:rFonts w:ascii="Arial" w:hAnsi="宋体" w:cs="Arial"/>
          <w:b/>
          <w:color w:val="auto"/>
          <w:kern w:val="0"/>
          <w:szCs w:val="21"/>
          <w:highlight w:val="none"/>
        </w:rPr>
        <w:t>规定的数额和</w:t>
      </w:r>
      <w:r>
        <w:rPr>
          <w:rFonts w:hint="eastAsia" w:ascii="Arial" w:hAnsi="宋体" w:cs="Arial"/>
          <w:b/>
          <w:color w:val="auto"/>
          <w:kern w:val="0"/>
          <w:szCs w:val="21"/>
          <w:highlight w:val="none"/>
        </w:rPr>
        <w:t>形式</w:t>
      </w:r>
      <w:r>
        <w:rPr>
          <w:rFonts w:ascii="Arial" w:hAnsi="宋体" w:cs="Arial"/>
          <w:b/>
          <w:color w:val="auto"/>
          <w:kern w:val="0"/>
          <w:szCs w:val="21"/>
          <w:highlight w:val="none"/>
        </w:rPr>
        <w:t>交纳投标保证金的；</w:t>
      </w:r>
    </w:p>
    <w:p w14:paraId="1209D466">
      <w:pPr>
        <w:widowControl/>
        <w:spacing w:line="360" w:lineRule="auto"/>
        <w:ind w:firstLine="420"/>
        <w:rPr>
          <w:rFonts w:hint="eastAsia" w:ascii="Arial" w:hAnsi="宋体"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7</w:t>
      </w:r>
      <w:r>
        <w:rPr>
          <w:rFonts w:ascii="Arial" w:hAnsi="宋体" w:cs="Arial"/>
          <w:b/>
          <w:color w:val="auto"/>
          <w:kern w:val="0"/>
          <w:szCs w:val="21"/>
          <w:highlight w:val="none"/>
        </w:rPr>
        <w:t>）现行法律、法规</w:t>
      </w:r>
      <w:r>
        <w:rPr>
          <w:rFonts w:hint="eastAsia" w:ascii="Arial" w:hAnsi="宋体" w:cs="Arial"/>
          <w:b/>
          <w:color w:val="auto"/>
          <w:kern w:val="0"/>
          <w:szCs w:val="21"/>
          <w:highlight w:val="none"/>
        </w:rPr>
        <w:t>、</w:t>
      </w:r>
      <w:r>
        <w:rPr>
          <w:rFonts w:ascii="Arial" w:hAnsi="宋体" w:cs="Arial"/>
          <w:b/>
          <w:color w:val="auto"/>
          <w:kern w:val="0"/>
          <w:szCs w:val="21"/>
          <w:highlight w:val="none"/>
        </w:rPr>
        <w:t>规章和招标文件规定的其他无效情形。</w:t>
      </w:r>
    </w:p>
    <w:p w14:paraId="57D1A5DA">
      <w:pPr>
        <w:widowControl/>
        <w:spacing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 xml:space="preserve">22.2.2.1 </w:t>
      </w:r>
      <w:r>
        <w:rPr>
          <w:rFonts w:ascii="Arial" w:hAnsi="宋体" w:cs="Arial"/>
          <w:b/>
          <w:bCs/>
          <w:color w:val="auto"/>
          <w:kern w:val="0"/>
          <w:szCs w:val="21"/>
          <w:highlight w:val="none"/>
        </w:rPr>
        <w:t>实质性要求是指本招标文件中用带星号（</w:t>
      </w:r>
      <w:r>
        <w:rPr>
          <w:rFonts w:ascii="Arial" w:hAnsi="Arial" w:cs="Arial"/>
          <w:b/>
          <w:bCs/>
          <w:color w:val="auto"/>
          <w:kern w:val="0"/>
          <w:szCs w:val="21"/>
          <w:highlight w:val="none"/>
        </w:rPr>
        <w:t>“</w:t>
      </w:r>
      <w:r>
        <w:rPr>
          <w:rFonts w:hint="eastAsia" w:ascii="宋体" w:hAnsi="宋体" w:cs="宋体"/>
          <w:bCs/>
          <w:color w:val="auto"/>
          <w:szCs w:val="21"/>
          <w:highlight w:val="none"/>
        </w:rPr>
        <w:t>★</w:t>
      </w:r>
      <w:r>
        <w:rPr>
          <w:rFonts w:ascii="Arial" w:hAnsi="Arial" w:cs="Arial"/>
          <w:b/>
          <w:bCs/>
          <w:color w:val="auto"/>
          <w:kern w:val="0"/>
          <w:szCs w:val="21"/>
          <w:highlight w:val="none"/>
        </w:rPr>
        <w:t>”</w:t>
      </w:r>
      <w:r>
        <w:rPr>
          <w:rFonts w:ascii="Arial" w:hAnsi="宋体" w:cs="Arial"/>
          <w:b/>
          <w:bCs/>
          <w:color w:val="auto"/>
          <w:kern w:val="0"/>
          <w:szCs w:val="21"/>
          <w:highlight w:val="none"/>
        </w:rPr>
        <w:t>）、</w:t>
      </w:r>
      <w:r>
        <w:rPr>
          <w:rFonts w:ascii="Arial" w:hAnsi="Arial" w:cs="Arial"/>
          <w:b/>
          <w:bCs/>
          <w:color w:val="auto"/>
          <w:kern w:val="0"/>
          <w:szCs w:val="21"/>
          <w:highlight w:val="none"/>
        </w:rPr>
        <w:t>“</w:t>
      </w:r>
      <w:r>
        <w:rPr>
          <w:rFonts w:ascii="Arial" w:hAnsi="宋体" w:cs="Arial"/>
          <w:b/>
          <w:bCs/>
          <w:color w:val="auto"/>
          <w:kern w:val="0"/>
          <w:szCs w:val="21"/>
          <w:highlight w:val="none"/>
        </w:rPr>
        <w:t>必须</w:t>
      </w:r>
      <w:r>
        <w:rPr>
          <w:rFonts w:ascii="Arial" w:hAnsi="Arial" w:cs="Arial"/>
          <w:b/>
          <w:bCs/>
          <w:color w:val="auto"/>
          <w:kern w:val="0"/>
          <w:szCs w:val="21"/>
          <w:highlight w:val="none"/>
        </w:rPr>
        <w:t>”</w:t>
      </w:r>
      <w:r>
        <w:rPr>
          <w:rFonts w:ascii="Arial" w:hAnsi="宋体" w:cs="Arial"/>
          <w:b/>
          <w:bCs/>
          <w:color w:val="auto"/>
          <w:kern w:val="0"/>
          <w:szCs w:val="21"/>
          <w:highlight w:val="none"/>
        </w:rPr>
        <w:t>或</w:t>
      </w:r>
      <w:r>
        <w:rPr>
          <w:rFonts w:ascii="Arial" w:hAnsi="Arial" w:cs="Arial"/>
          <w:b/>
          <w:bCs/>
          <w:color w:val="auto"/>
          <w:kern w:val="0"/>
          <w:szCs w:val="21"/>
          <w:highlight w:val="none"/>
        </w:rPr>
        <w:t>“</w:t>
      </w:r>
      <w:r>
        <w:rPr>
          <w:rFonts w:ascii="Arial" w:hAnsi="宋体" w:cs="Arial"/>
          <w:b/>
          <w:bCs/>
          <w:color w:val="auto"/>
          <w:kern w:val="0"/>
          <w:szCs w:val="21"/>
          <w:highlight w:val="none"/>
        </w:rPr>
        <w:t>应（应当）</w:t>
      </w:r>
      <w:r>
        <w:rPr>
          <w:rFonts w:ascii="Arial" w:hAnsi="Arial" w:cs="Arial"/>
          <w:b/>
          <w:bCs/>
          <w:color w:val="auto"/>
          <w:kern w:val="0"/>
          <w:szCs w:val="21"/>
          <w:highlight w:val="none"/>
        </w:rPr>
        <w:t>”</w:t>
      </w:r>
      <w:r>
        <w:rPr>
          <w:rFonts w:ascii="Arial" w:hAnsi="宋体" w:cs="Arial"/>
          <w:b/>
          <w:bCs/>
          <w:color w:val="auto"/>
          <w:kern w:val="0"/>
          <w:szCs w:val="21"/>
          <w:highlight w:val="none"/>
        </w:rPr>
        <w:t>等其他文字说明的商务和技术要求。</w:t>
      </w:r>
    </w:p>
    <w:p w14:paraId="2B65EEFE">
      <w:pPr>
        <w:widowControl/>
        <w:spacing w:line="360" w:lineRule="auto"/>
        <w:ind w:firstLine="420"/>
        <w:jc w:val="left"/>
        <w:rPr>
          <w:rFonts w:ascii="Arial" w:hAnsi="Arial" w:cs="Arial"/>
          <w:b/>
          <w:color w:val="auto"/>
          <w:kern w:val="0"/>
          <w:szCs w:val="21"/>
          <w:highlight w:val="none"/>
        </w:rPr>
      </w:pPr>
      <w:r>
        <w:rPr>
          <w:rFonts w:ascii="Arial" w:hAnsi="Arial" w:cs="Arial"/>
          <w:b/>
          <w:color w:val="auto"/>
          <w:kern w:val="0"/>
          <w:szCs w:val="21"/>
          <w:highlight w:val="none"/>
        </w:rPr>
        <w:t>22.2.2.2</w:t>
      </w:r>
      <w:r>
        <w:rPr>
          <w:rFonts w:ascii="Arial" w:hAnsi="宋体" w:cs="Arial"/>
          <w:color w:val="auto"/>
          <w:kern w:val="0"/>
          <w:szCs w:val="21"/>
          <w:highlight w:val="none"/>
        </w:rPr>
        <w:t>有下列情形之一的予以废标：</w:t>
      </w:r>
    </w:p>
    <w:p w14:paraId="17B3F98B">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）符合专业条件的投标人或者对招标文件作实质性响应的投标人不足三家的；</w:t>
      </w:r>
    </w:p>
    <w:p w14:paraId="52CE2C2C">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）出现影响采购公正的违法、违规行为的；</w:t>
      </w:r>
    </w:p>
    <w:p w14:paraId="20C61D05">
      <w:pPr>
        <w:widowControl/>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）投标人的报价均超过了采购预算，采购人不能支付的；</w:t>
      </w:r>
    </w:p>
    <w:p w14:paraId="6C378533">
      <w:pPr>
        <w:widowControl/>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）因重大变故，采购任务取消的。</w:t>
      </w:r>
    </w:p>
    <w:p w14:paraId="7BB99856">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w:t>
      </w:r>
      <w:r>
        <w:rPr>
          <w:rFonts w:ascii="Arial" w:hAnsi="宋体" w:cs="Arial"/>
          <w:b/>
          <w:bCs/>
          <w:color w:val="auto"/>
          <w:kern w:val="0"/>
          <w:szCs w:val="21"/>
          <w:highlight w:val="none"/>
        </w:rPr>
        <w:t>澄清有关问题</w:t>
      </w:r>
      <w:r>
        <w:rPr>
          <w:rFonts w:ascii="Arial" w:hAnsi="宋体" w:cs="Arial"/>
          <w:color w:val="auto"/>
          <w:kern w:val="0"/>
          <w:szCs w:val="21"/>
          <w:highlight w:val="none"/>
        </w:rPr>
        <w:t>。</w:t>
      </w:r>
    </w:p>
    <w:p w14:paraId="4D03E66F">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22.2.3.1</w:t>
      </w:r>
      <w:r>
        <w:rPr>
          <w:rFonts w:ascii="Arial" w:hAnsi="宋体" w:cs="Arial"/>
          <w:color w:val="auto"/>
          <w:kern w:val="0"/>
          <w:szCs w:val="21"/>
          <w:highlight w:val="none"/>
        </w:rPr>
        <w:t>对于投标文件中含义不明确、同类问题表述不一致或者有明显文字和计算错误的内容，评标委员会应当以书面形式要求投标人作出必要的澄清、说明或者补正。</w:t>
      </w:r>
    </w:p>
    <w:p w14:paraId="4ACB9839">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22.2.3.2</w:t>
      </w:r>
      <w:r>
        <w:rPr>
          <w:rFonts w:ascii="Arial" w:hAnsi="宋体" w:cs="Arial"/>
          <w:color w:val="auto"/>
          <w:kern w:val="0"/>
          <w:szCs w:val="21"/>
          <w:highlight w:val="none"/>
        </w:rPr>
        <w:t>投标人的澄清、说明或者补正应当采用书面形式，并加盖公章，或者由法定代表人或其授权代表签字。投标人的澄清、说明或者补正不得超出投标文件的范围或者改变投标文件的实质性内容。</w:t>
      </w:r>
    </w:p>
    <w:p w14:paraId="37C308EE">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22.2.3.3</w:t>
      </w:r>
      <w:r>
        <w:rPr>
          <w:rFonts w:ascii="Arial" w:hAnsi="宋体" w:cs="Arial"/>
          <w:color w:val="auto"/>
          <w:kern w:val="0"/>
          <w:szCs w:val="21"/>
          <w:highlight w:val="none"/>
        </w:rPr>
        <w:t>投标文件报价出现前后不一致的，除招标文件另有规定外，按照下列规定修正：</w:t>
      </w:r>
    </w:p>
    <w:p w14:paraId="427ADFCD">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w:t>
      </w:r>
      <w:r>
        <w:rPr>
          <w:rFonts w:ascii="Arial" w:hAnsi="Arial" w:cs="Arial"/>
          <w:color w:val="auto"/>
          <w:kern w:val="0"/>
          <w:szCs w:val="21"/>
          <w:highlight w:val="none"/>
        </w:rPr>
        <w:t>1</w:t>
      </w:r>
      <w:r>
        <w:rPr>
          <w:rFonts w:hint="eastAsia" w:ascii="Arial" w:hAnsi="Arial" w:cs="Arial"/>
          <w:color w:val="auto"/>
          <w:kern w:val="0"/>
          <w:szCs w:val="21"/>
          <w:highlight w:val="none"/>
        </w:rPr>
        <w:t>）</w:t>
      </w:r>
      <w:r>
        <w:rPr>
          <w:rFonts w:ascii="Arial" w:hAnsi="宋体" w:cs="Arial"/>
          <w:color w:val="auto"/>
          <w:kern w:val="0"/>
          <w:szCs w:val="21"/>
          <w:highlight w:val="none"/>
        </w:rPr>
        <w:t>投标文件中开标一览表（报价表）内容与投标文件中相应内容不一致的，以开标一览表（报价表）为准；</w:t>
      </w:r>
    </w:p>
    <w:p w14:paraId="5242CFB3">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（2）</w:t>
      </w:r>
      <w:r>
        <w:rPr>
          <w:rFonts w:ascii="Arial" w:hAnsi="宋体" w:cs="Arial"/>
          <w:color w:val="auto"/>
          <w:kern w:val="0"/>
          <w:szCs w:val="21"/>
          <w:highlight w:val="none"/>
        </w:rPr>
        <w:t>大写金额和小写金额不一致的，以大写金额为准；</w:t>
      </w:r>
    </w:p>
    <w:p w14:paraId="7AFD76BF">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w:t>
      </w:r>
      <w:r>
        <w:rPr>
          <w:rFonts w:ascii="Arial" w:hAnsi="宋体" w:cs="Arial"/>
          <w:color w:val="auto"/>
          <w:kern w:val="0"/>
          <w:szCs w:val="21"/>
          <w:highlight w:val="none"/>
        </w:rPr>
        <w:t>单价金额小数点或者百分比有明显错位的，以开标一览表的总价为准，并修改单价；</w:t>
      </w:r>
    </w:p>
    <w:p w14:paraId="5ACE0CF1">
      <w:pPr>
        <w:widowControl/>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（4）</w:t>
      </w:r>
      <w:r>
        <w:rPr>
          <w:rFonts w:ascii="Arial" w:hAnsi="宋体" w:cs="Arial"/>
          <w:color w:val="auto"/>
          <w:kern w:val="0"/>
          <w:szCs w:val="21"/>
          <w:highlight w:val="none"/>
        </w:rPr>
        <w:t>总价金额与按单价汇总金额不一致的，以单价金额计算结果为准。</w:t>
      </w:r>
    </w:p>
    <w:p w14:paraId="7189340C">
      <w:pPr>
        <w:widowControl/>
        <w:spacing w:line="360" w:lineRule="auto"/>
        <w:ind w:firstLine="420"/>
        <w:rPr>
          <w:rFonts w:ascii="Arial" w:hAnsi="Arial" w:cs="Arial"/>
          <w:b/>
          <w:color w:val="auto"/>
          <w:kern w:val="0"/>
          <w:szCs w:val="21"/>
          <w:highlight w:val="none"/>
        </w:rPr>
      </w:pPr>
      <w:r>
        <w:rPr>
          <w:rFonts w:ascii="Arial" w:hAnsi="宋体" w:cs="Arial"/>
          <w:color w:val="auto"/>
          <w:kern w:val="0"/>
          <w:szCs w:val="21"/>
          <w:highlight w:val="none"/>
        </w:rPr>
        <w:t>同时出现两种以上不一致的，按照前款规定的顺序修正。</w:t>
      </w:r>
      <w:r>
        <w:rPr>
          <w:rFonts w:ascii="Arial" w:hAnsi="宋体" w:cs="Arial"/>
          <w:b/>
          <w:color w:val="auto"/>
          <w:kern w:val="0"/>
          <w:szCs w:val="21"/>
          <w:highlight w:val="none"/>
        </w:rPr>
        <w:t>修正后的报价按照前款规定经投标人确认后产生约束力，投标人不确认的，其投标无效。</w:t>
      </w:r>
    </w:p>
    <w:p w14:paraId="135E7E2D">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22.2.3.4</w:t>
      </w:r>
      <w:r>
        <w:rPr>
          <w:rFonts w:ascii="Arial" w:hAnsi="宋体" w:cs="Arial"/>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ascii="Arial" w:hAnsi="宋体" w:cs="Arial"/>
          <w:b/>
          <w:color w:val="auto"/>
          <w:highlight w:val="none"/>
        </w:rPr>
        <w:t>投标人不能证明其报价合理性的，评标委员会将其作为无效投标处理。</w:t>
      </w:r>
    </w:p>
    <w:p w14:paraId="7944A2D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22.2.4</w:t>
      </w:r>
      <w:r>
        <w:rPr>
          <w:rFonts w:ascii="Arial" w:hAnsi="宋体" w:cs="Arial"/>
          <w:bCs/>
          <w:color w:val="auto"/>
          <w:kern w:val="0"/>
          <w:szCs w:val="21"/>
          <w:highlight w:val="none"/>
        </w:rPr>
        <w:t>比较与评价。</w:t>
      </w:r>
      <w:r>
        <w:rPr>
          <w:rFonts w:ascii="Arial" w:hAnsi="宋体" w:cs="Arial"/>
          <w:color w:val="auto"/>
          <w:kern w:val="0"/>
          <w:szCs w:val="21"/>
          <w:highlight w:val="none"/>
        </w:rPr>
        <w:t>评标委员会应当按照招标文件中规定的评标方法和标准，对符合性审查合格的投标文件进行商务和技术评估，综合比较与评价。</w:t>
      </w:r>
    </w:p>
    <w:p w14:paraId="558BF978">
      <w:pPr>
        <w:widowControl/>
        <w:spacing w:line="360" w:lineRule="auto"/>
        <w:ind w:firstLine="420"/>
        <w:jc w:val="left"/>
        <w:rPr>
          <w:rFonts w:ascii="Arial" w:hAnsi="Arial" w:cs="Arial"/>
          <w:color w:val="auto"/>
          <w:highlight w:val="none"/>
        </w:rPr>
      </w:pPr>
      <w:r>
        <w:rPr>
          <w:rFonts w:ascii="Arial" w:hAnsi="Arial" w:cs="Arial"/>
          <w:color w:val="auto"/>
          <w:kern w:val="0"/>
          <w:szCs w:val="21"/>
          <w:highlight w:val="none"/>
        </w:rPr>
        <w:t>22.2.5</w:t>
      </w:r>
      <w:r>
        <w:rPr>
          <w:rFonts w:ascii="Arial" w:hAnsi="宋体" w:cs="Arial"/>
          <w:color w:val="auto"/>
          <w:highlight w:val="none"/>
        </w:rPr>
        <w:t>相同品牌产品的投标</w:t>
      </w:r>
    </w:p>
    <w:p w14:paraId="306B978F">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5D891792">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639B8DFD">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非单一产品采购项目，确定核心产品的方法在招标文件技术需求中载明。多家投标人提供的核心产品品牌相同的，按前两款规定处理。</w:t>
      </w:r>
    </w:p>
    <w:p w14:paraId="190FB0B9">
      <w:pPr>
        <w:widowControl/>
        <w:spacing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 xml:space="preserve">22.3 </w:t>
      </w:r>
      <w:r>
        <w:rPr>
          <w:rFonts w:ascii="Arial" w:hAnsi="宋体" w:cs="Arial"/>
          <w:b/>
          <w:bCs/>
          <w:color w:val="auto"/>
          <w:kern w:val="0"/>
          <w:szCs w:val="21"/>
          <w:highlight w:val="none"/>
        </w:rPr>
        <w:t>评标方法和标准</w:t>
      </w:r>
    </w:p>
    <w:p w14:paraId="21709FF2">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22.3.1评标方法分为最低评标价法和综合评分法。本次招标的评标方法和标准，详见本招标文件第三章。</w:t>
      </w:r>
    </w:p>
    <w:p w14:paraId="5A3BAE75">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22.3.2最低评标价法，是指投标文件满足招标文件全部实质性要求，且投标报价最低的投标人为中标候选人的评标方法。</w:t>
      </w:r>
    </w:p>
    <w:p w14:paraId="2BAC9A70">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采用最低评标价法评标时，除了算术修正和落实政府采购政策需进行的价格扣除外，不对投标人的投标价格进行任何调整。</w:t>
      </w:r>
    </w:p>
    <w:p w14:paraId="695E67A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22.3.3综合评分法，是指投标文件满足招标文件全部实质性要求，且按照评审因素的量化指标评审得分最高的投标人为中标候选人的评标方法。</w:t>
      </w:r>
    </w:p>
    <w:p w14:paraId="37BF9468">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评审因素，包括价格、技术、商务等。</w:t>
      </w:r>
    </w:p>
    <w:p w14:paraId="584C420C">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评标时，评标委员会各成员应当独立对每个投标人的投标文件进行评价，并汇总每个投标人的得分。</w:t>
      </w:r>
    </w:p>
    <w:p w14:paraId="3420C381">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价格分采用低价优先法计算，即满足招标文件要求且投标价格最低的投标报价为评标基准价，其价格分为满分。</w:t>
      </w:r>
    </w:p>
    <w:p w14:paraId="2869860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评标总得分＝F1×A1＋F2×A2＋……＋Fn×An</w:t>
      </w:r>
    </w:p>
    <w:p w14:paraId="2065483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F1、F2……Fn分别为各项评审因素的得分；</w:t>
      </w:r>
    </w:p>
    <w:p w14:paraId="2A40A10C">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A1、A2、……An 分别为各项评审因素所占的权重(A1＋A2＋……＋An＝1)。</w:t>
      </w:r>
    </w:p>
    <w:p w14:paraId="2A2FFA3B">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因落实政府采购政策进行价格调整的，以调整后的价格计算评标基准价和投标报价。</w:t>
      </w:r>
    </w:p>
    <w:p w14:paraId="19602B6C">
      <w:pPr>
        <w:widowControl/>
        <w:spacing w:line="360" w:lineRule="auto"/>
        <w:ind w:firstLine="420"/>
        <w:rPr>
          <w:rFonts w:ascii="Arial" w:hAnsi="Arial" w:cs="Arial"/>
          <w:b/>
          <w:color w:val="auto"/>
          <w:kern w:val="0"/>
          <w:szCs w:val="21"/>
          <w:highlight w:val="none"/>
        </w:rPr>
      </w:pPr>
      <w:r>
        <w:rPr>
          <w:rFonts w:ascii="Arial" w:hAnsi="Arial" w:cs="Arial"/>
          <w:b/>
          <w:bCs/>
          <w:color w:val="auto"/>
          <w:kern w:val="0"/>
          <w:szCs w:val="21"/>
          <w:highlight w:val="none"/>
        </w:rPr>
        <w:t>23、</w:t>
      </w:r>
      <w:r>
        <w:rPr>
          <w:rFonts w:ascii="Arial" w:hAnsi="Arial" w:cs="Arial"/>
          <w:b/>
          <w:color w:val="auto"/>
          <w:kern w:val="0"/>
          <w:szCs w:val="21"/>
          <w:highlight w:val="none"/>
        </w:rPr>
        <w:t>确定中标人</w:t>
      </w:r>
    </w:p>
    <w:p w14:paraId="564ED55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3B69EF8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781F213">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23.3 中标人确定后，在省级以上财政部门指定的媒体上公告中标结果，中标公告期为1个工作日，公告的同时向中标人发出中标通知书。</w:t>
      </w:r>
    </w:p>
    <w:p w14:paraId="671AA797">
      <w:pPr>
        <w:widowControl/>
        <w:spacing w:line="360" w:lineRule="auto"/>
        <w:ind w:firstLine="420"/>
        <w:rPr>
          <w:rFonts w:ascii="Arial" w:hAnsi="Arial" w:cs="Arial"/>
          <w:b/>
          <w:color w:val="auto"/>
          <w:kern w:val="0"/>
          <w:szCs w:val="21"/>
          <w:highlight w:val="none"/>
        </w:rPr>
      </w:pPr>
      <w:r>
        <w:rPr>
          <w:rFonts w:ascii="Arial" w:hAnsi="Arial" w:cs="Arial"/>
          <w:b/>
          <w:bCs/>
          <w:color w:val="auto"/>
          <w:kern w:val="0"/>
          <w:szCs w:val="21"/>
          <w:highlight w:val="none"/>
        </w:rPr>
        <w:t>23.4 中标通知书对</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和中标人具有同等法律效力。</w:t>
      </w:r>
      <w:r>
        <w:rPr>
          <w:rFonts w:hint="eastAsia" w:ascii="Arial" w:hAnsi="Arial" w:cs="Arial"/>
          <w:b/>
          <w:bCs/>
          <w:color w:val="auto"/>
          <w:kern w:val="0"/>
          <w:szCs w:val="21"/>
          <w:highlight w:val="none"/>
        </w:rPr>
        <w:t>中标通知书发出后，采购人不得</w:t>
      </w:r>
      <w:r>
        <w:rPr>
          <w:rFonts w:hint="eastAsia" w:ascii="Arial" w:hAnsi="Arial" w:cs="Arial"/>
          <w:b/>
          <w:color w:val="auto"/>
          <w:kern w:val="0"/>
          <w:szCs w:val="21"/>
          <w:highlight w:val="none"/>
        </w:rPr>
        <w:t>违法改变中标结果，中标人无正当理由不得放弃中标。</w:t>
      </w:r>
    </w:p>
    <w:p w14:paraId="75273639">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23.</w:t>
      </w:r>
      <w:r>
        <w:rPr>
          <w:rFonts w:hint="eastAsia" w:ascii="Arial" w:hAnsi="Arial" w:cs="Arial"/>
          <w:color w:val="auto"/>
          <w:kern w:val="0"/>
          <w:szCs w:val="21"/>
          <w:highlight w:val="none"/>
        </w:rPr>
        <w:t>5</w:t>
      </w:r>
      <w:r>
        <w:rPr>
          <w:rFonts w:ascii="Arial" w:hAnsi="Arial" w:cs="Arial"/>
          <w:color w:val="auto"/>
          <w:kern w:val="0"/>
          <w:szCs w:val="21"/>
          <w:highlight w:val="none"/>
        </w:rPr>
        <w:t xml:space="preserve"> 所有投标文件不论中标与否，均不退回。</w:t>
      </w:r>
    </w:p>
    <w:p w14:paraId="004812A3">
      <w:pPr>
        <w:widowControl/>
        <w:spacing w:line="360" w:lineRule="auto"/>
        <w:ind w:firstLine="412"/>
        <w:rPr>
          <w:rFonts w:ascii="Arial" w:hAnsi="Arial" w:cs="Arial"/>
          <w:color w:val="auto"/>
          <w:kern w:val="0"/>
          <w:szCs w:val="21"/>
          <w:highlight w:val="none"/>
        </w:rPr>
      </w:pPr>
      <w:r>
        <w:rPr>
          <w:rFonts w:ascii="Arial" w:hAnsi="Arial" w:cs="Arial"/>
          <w:b/>
          <w:bCs/>
          <w:color w:val="auto"/>
          <w:kern w:val="0"/>
          <w:szCs w:val="21"/>
          <w:highlight w:val="none"/>
        </w:rPr>
        <w:t>24、编写评标报告</w:t>
      </w:r>
    </w:p>
    <w:p w14:paraId="57163DE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24.1评标委员会根据全体评标成员签字的原始评标记录和评标结果编写评标报告。</w:t>
      </w:r>
    </w:p>
    <w:p w14:paraId="7F0D0DCB">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25、评标过程的保密性</w:t>
      </w:r>
    </w:p>
    <w:p w14:paraId="24FE8E4A">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25.1 </w:t>
      </w:r>
      <w:r>
        <w:rPr>
          <w:rFonts w:hint="eastAsia" w:ascii="Arial" w:hAnsi="Arial" w:cs="Arial"/>
          <w:color w:val="auto"/>
          <w:kern w:val="0"/>
          <w:szCs w:val="21"/>
          <w:highlight w:val="none"/>
        </w:rPr>
        <w:t>采购人</w:t>
      </w:r>
      <w:r>
        <w:rPr>
          <w:rFonts w:ascii="Arial" w:hAnsi="Arial" w:cs="Arial"/>
          <w:color w:val="auto"/>
          <w:kern w:val="0"/>
          <w:szCs w:val="21"/>
          <w:highlight w:val="none"/>
        </w:rPr>
        <w:t>和</w:t>
      </w:r>
      <w:r>
        <w:rPr>
          <w:rFonts w:hint="eastAsia" w:ascii="Arial" w:hAnsi="Arial" w:cs="Arial"/>
          <w:color w:val="auto"/>
          <w:kern w:val="0"/>
          <w:szCs w:val="21"/>
          <w:highlight w:val="none"/>
        </w:rPr>
        <w:t>采购代理机构</w:t>
      </w:r>
      <w:r>
        <w:rPr>
          <w:rFonts w:ascii="Arial" w:hAnsi="Arial" w:cs="Arial"/>
          <w:color w:val="auto"/>
          <w:kern w:val="0"/>
          <w:szCs w:val="21"/>
          <w:highlight w:val="none"/>
        </w:rPr>
        <w:t>将采取必要措施，保证评标在严格保密的情况下进行。</w:t>
      </w:r>
    </w:p>
    <w:p w14:paraId="368F5073">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25.2 任何单位和个人不得非法干预、影响评标办法的确定，以及评标过程和结果。</w:t>
      </w:r>
    </w:p>
    <w:p w14:paraId="7C02D6A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25.3 凡是与审查、澄清、评价和比较投标的有关资料等，均不向投标人及与评标无关的其他人员透露。</w:t>
      </w:r>
    </w:p>
    <w:p w14:paraId="53EA6C34">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六、签订合同</w:t>
      </w:r>
    </w:p>
    <w:p w14:paraId="3ED1951E">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26、签订合同</w:t>
      </w:r>
    </w:p>
    <w:p w14:paraId="607F2DD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26.1</w:t>
      </w:r>
      <w:r>
        <w:rPr>
          <w:rFonts w:hint="eastAsia" w:ascii="Arial" w:hAnsi="Arial" w:cs="Arial"/>
          <w:color w:val="auto"/>
          <w:kern w:val="0"/>
          <w:szCs w:val="21"/>
          <w:highlight w:val="none"/>
        </w:rPr>
        <w:t>采购人</w:t>
      </w:r>
      <w:r>
        <w:rPr>
          <w:rFonts w:ascii="Arial" w:hAnsi="Arial" w:cs="Arial"/>
          <w:color w:val="auto"/>
          <w:kern w:val="0"/>
          <w:szCs w:val="21"/>
          <w:highlight w:val="none"/>
        </w:rPr>
        <w:t>与中标人应当自中标通知书发出之日起30日内，按照招标文件和中标人投标文件的规定，签订书面合同。所签订的合同不得对招标文件确定的事项和中标人投标文件作实质性修改。</w:t>
      </w:r>
    </w:p>
    <w:p w14:paraId="75D00122">
      <w:pPr>
        <w:widowControl/>
        <w:spacing w:line="360" w:lineRule="auto"/>
        <w:ind w:firstLine="420"/>
        <w:rPr>
          <w:rFonts w:ascii="Arial" w:hAnsi="Arial" w:cs="Arial"/>
          <w:b/>
          <w:bCs/>
          <w:color w:val="auto"/>
          <w:szCs w:val="21"/>
          <w:highlight w:val="none"/>
        </w:rPr>
      </w:pPr>
      <w:r>
        <w:rPr>
          <w:rFonts w:ascii="Arial" w:hAnsi="Arial" w:cs="Arial"/>
          <w:b/>
          <w:color w:val="auto"/>
          <w:kern w:val="0"/>
          <w:szCs w:val="21"/>
          <w:highlight w:val="none"/>
        </w:rPr>
        <w:t>2</w:t>
      </w:r>
      <w:r>
        <w:rPr>
          <w:rFonts w:hint="eastAsia" w:ascii="Arial" w:hAnsi="Arial" w:cs="Arial"/>
          <w:b/>
          <w:color w:val="auto"/>
          <w:kern w:val="0"/>
          <w:szCs w:val="21"/>
          <w:highlight w:val="none"/>
        </w:rPr>
        <w:t>6</w:t>
      </w:r>
      <w:r>
        <w:rPr>
          <w:rFonts w:ascii="Arial" w:hAnsi="Arial" w:cs="Arial"/>
          <w:b/>
          <w:color w:val="auto"/>
          <w:kern w:val="0"/>
          <w:szCs w:val="21"/>
          <w:highlight w:val="none"/>
        </w:rPr>
        <w:t>.</w:t>
      </w:r>
      <w:r>
        <w:rPr>
          <w:rFonts w:hint="eastAsia" w:ascii="Arial" w:hAnsi="Arial" w:cs="Arial"/>
          <w:b/>
          <w:color w:val="auto"/>
          <w:kern w:val="0"/>
          <w:szCs w:val="21"/>
          <w:highlight w:val="none"/>
        </w:rPr>
        <w:t>2</w:t>
      </w:r>
      <w:r>
        <w:rPr>
          <w:rFonts w:ascii="Arial" w:hAnsi="Arial" w:cs="Arial"/>
          <w:b/>
          <w:color w:val="auto"/>
          <w:kern w:val="0"/>
          <w:szCs w:val="21"/>
          <w:highlight w:val="none"/>
        </w:rPr>
        <w:t xml:space="preserve"> </w:t>
      </w:r>
      <w:r>
        <w:rPr>
          <w:rFonts w:hint="eastAsia" w:ascii="Arial" w:hAnsi="Arial" w:cs="Arial"/>
          <w:color w:val="auto"/>
          <w:szCs w:val="21"/>
          <w:highlight w:val="none"/>
        </w:rPr>
        <w:t xml:space="preserve"> 除继续履行将损害国家利益和社会公众利益的，政府采购合同的双方当事人不得擅自变更、中止或者终止合同。</w:t>
      </w:r>
      <w:r>
        <w:rPr>
          <w:rFonts w:hint="eastAsia" w:ascii="Arial" w:hAnsi="Arial" w:cs="Arial"/>
          <w:b/>
          <w:bCs/>
          <w:color w:val="auto"/>
          <w:szCs w:val="21"/>
          <w:highlight w:val="none"/>
        </w:rPr>
        <w:t>放弃或拒绝签订合同的，中标人不得参加对该项目重新开展的采购活动，投标</w:t>
      </w:r>
      <w:r>
        <w:rPr>
          <w:rFonts w:ascii="Arial" w:hAnsi="Arial" w:cs="Arial"/>
          <w:b/>
          <w:bCs/>
          <w:color w:val="auto"/>
          <w:szCs w:val="21"/>
          <w:highlight w:val="none"/>
        </w:rPr>
        <w:t>保证金不予退还</w:t>
      </w:r>
      <w:r>
        <w:rPr>
          <w:rFonts w:hint="eastAsia" w:ascii="Arial" w:hAnsi="Arial" w:cs="Arial"/>
          <w:b/>
          <w:bCs/>
          <w:color w:val="auto"/>
          <w:kern w:val="0"/>
          <w:szCs w:val="21"/>
          <w:highlight w:val="none"/>
        </w:rPr>
        <w:t>，不收取投标保证金的项目，中标人</w:t>
      </w:r>
      <w:r>
        <w:rPr>
          <w:rFonts w:ascii="Arial" w:hAnsi="Arial" w:cs="Arial"/>
          <w:b/>
          <w:bCs/>
          <w:color w:val="auto"/>
          <w:kern w:val="0"/>
          <w:szCs w:val="21"/>
          <w:highlight w:val="none"/>
        </w:rPr>
        <w:t>应向</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支付</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为</w:t>
      </w:r>
      <w:r>
        <w:rPr>
          <w:rFonts w:hint="eastAsia" w:ascii="Arial" w:hAnsi="Arial" w:cs="Arial"/>
          <w:b/>
          <w:bCs/>
          <w:color w:val="auto"/>
          <w:kern w:val="0"/>
          <w:szCs w:val="21"/>
          <w:highlight w:val="none"/>
        </w:rPr>
        <w:t>招标</w:t>
      </w:r>
      <w:r>
        <w:rPr>
          <w:rFonts w:ascii="Arial" w:hAnsi="Arial" w:cs="Arial"/>
          <w:b/>
          <w:bCs/>
          <w:color w:val="auto"/>
          <w:kern w:val="0"/>
          <w:szCs w:val="21"/>
          <w:highlight w:val="none"/>
        </w:rPr>
        <w:t>所发生的</w:t>
      </w:r>
      <w:r>
        <w:rPr>
          <w:rFonts w:hint="eastAsia" w:ascii="Arial" w:hAnsi="Arial" w:cs="Arial"/>
          <w:b/>
          <w:bCs/>
          <w:color w:val="auto"/>
          <w:kern w:val="0"/>
          <w:szCs w:val="21"/>
          <w:highlight w:val="none"/>
        </w:rPr>
        <w:t>相关</w:t>
      </w:r>
      <w:r>
        <w:rPr>
          <w:rFonts w:ascii="Arial" w:hAnsi="Arial" w:cs="Arial"/>
          <w:b/>
          <w:bCs/>
          <w:color w:val="auto"/>
          <w:kern w:val="0"/>
          <w:szCs w:val="21"/>
          <w:highlight w:val="none"/>
        </w:rPr>
        <w:t>费用</w:t>
      </w:r>
      <w:r>
        <w:rPr>
          <w:rFonts w:hint="eastAsia" w:ascii="Arial" w:hAnsi="Arial" w:cs="Arial"/>
          <w:b/>
          <w:bCs/>
          <w:color w:val="auto"/>
          <w:kern w:val="0"/>
          <w:szCs w:val="21"/>
          <w:highlight w:val="none"/>
        </w:rPr>
        <w:t>，</w:t>
      </w:r>
      <w:r>
        <w:rPr>
          <w:rFonts w:hint="eastAsia" w:ascii="Arial" w:hAnsi="Arial" w:cs="Arial"/>
          <w:b/>
          <w:bCs/>
          <w:color w:val="auto"/>
          <w:szCs w:val="21"/>
          <w:highlight w:val="none"/>
        </w:rPr>
        <w:t>由财政部门列入不良行为记录名单，在一至三年内禁止参加政府采购活动，并予以通报。</w:t>
      </w:r>
    </w:p>
    <w:p w14:paraId="6C82A49B">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3采购人</w:t>
      </w:r>
      <w:r>
        <w:rPr>
          <w:rFonts w:ascii="Arial" w:hAnsi="Arial" w:cs="Arial"/>
          <w:color w:val="auto"/>
          <w:kern w:val="0"/>
          <w:szCs w:val="21"/>
          <w:highlight w:val="none"/>
        </w:rPr>
        <w:t>不得向中标人提出任何不合理的要求作为签订合同的条件。</w:t>
      </w:r>
    </w:p>
    <w:p w14:paraId="0E6CC365">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4</w:t>
      </w:r>
      <w:r>
        <w:rPr>
          <w:rFonts w:ascii="Arial" w:hAnsi="Arial" w:cs="Arial"/>
          <w:color w:val="auto"/>
          <w:kern w:val="0"/>
          <w:szCs w:val="21"/>
          <w:highlight w:val="none"/>
        </w:rPr>
        <w:t>中标人拒绝与采购人签订合同的，</w:t>
      </w:r>
      <w:r>
        <w:rPr>
          <w:rFonts w:hint="eastAsia" w:ascii="Arial" w:hAnsi="Arial" w:cs="Arial"/>
          <w:color w:val="auto"/>
          <w:kern w:val="0"/>
          <w:szCs w:val="21"/>
          <w:highlight w:val="none"/>
        </w:rPr>
        <w:t>采购人</w:t>
      </w:r>
      <w:r>
        <w:rPr>
          <w:rFonts w:ascii="Arial" w:hAnsi="Arial" w:cs="Arial"/>
          <w:color w:val="auto"/>
          <w:kern w:val="0"/>
          <w:szCs w:val="21"/>
          <w:highlight w:val="none"/>
        </w:rPr>
        <w:t>可以按照评审报告推荐的中标或者成交候选人名单排序，确定下一候选人为中标或者成交供应商，也可以重新开展政府采购活动。</w:t>
      </w:r>
    </w:p>
    <w:p w14:paraId="288E4ED4">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5</w:t>
      </w:r>
      <w:r>
        <w:rPr>
          <w:rFonts w:ascii="Arial" w:hAnsi="Arial" w:cs="Arial"/>
          <w:color w:val="auto"/>
          <w:kern w:val="0"/>
          <w:szCs w:val="21"/>
          <w:highlight w:val="none"/>
        </w:rPr>
        <w:t xml:space="preserve"> 政府采购合同履行中，</w:t>
      </w:r>
      <w:r>
        <w:rPr>
          <w:rFonts w:hint="eastAsia" w:ascii="Arial" w:hAnsi="Arial" w:cs="Arial"/>
          <w:color w:val="auto"/>
          <w:kern w:val="0"/>
          <w:szCs w:val="21"/>
          <w:highlight w:val="none"/>
        </w:rPr>
        <w:t>采购人</w:t>
      </w:r>
      <w:r>
        <w:rPr>
          <w:rFonts w:ascii="Arial" w:hAnsi="Arial" w:cs="Arial"/>
          <w:color w:val="auto"/>
          <w:kern w:val="0"/>
          <w:szCs w:val="21"/>
          <w:highlight w:val="none"/>
        </w:rPr>
        <w:t>需追加与合同标的相同的货物或者服务的，在不改变合同其他条款的前提下，可以与供应商协商签订补充合同，但所有补充合同的采购金额不得超过原合同采购金额的百分之十。</w:t>
      </w:r>
    </w:p>
    <w:p w14:paraId="7B168D1F">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6</w:t>
      </w:r>
      <w:r>
        <w:rPr>
          <w:rFonts w:ascii="Arial" w:hAnsi="Arial" w:cs="Arial"/>
          <w:color w:val="auto"/>
          <w:kern w:val="0"/>
          <w:szCs w:val="21"/>
          <w:highlight w:val="none"/>
        </w:rPr>
        <w:t xml:space="preserve"> </w:t>
      </w:r>
      <w:r>
        <w:rPr>
          <w:rFonts w:hint="eastAsia" w:ascii="Arial" w:hAnsi="Arial" w:cs="Arial"/>
          <w:color w:val="auto"/>
          <w:kern w:val="0"/>
          <w:szCs w:val="21"/>
          <w:highlight w:val="none"/>
        </w:rPr>
        <w:t>采购人</w:t>
      </w:r>
      <w:r>
        <w:rPr>
          <w:rFonts w:ascii="Arial" w:hAnsi="Arial" w:cs="Arial"/>
          <w:color w:val="auto"/>
          <w:kern w:val="0"/>
          <w:szCs w:val="21"/>
          <w:highlight w:val="none"/>
        </w:rPr>
        <w:t>与中标人应当根据合同的约定依法履行合同义务。</w:t>
      </w:r>
    </w:p>
    <w:p w14:paraId="71186697">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七、质疑和投诉</w:t>
      </w:r>
    </w:p>
    <w:p w14:paraId="69B13867">
      <w:pPr>
        <w:widowControl/>
        <w:spacing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27、质疑</w:t>
      </w:r>
    </w:p>
    <w:p w14:paraId="0AF235BB">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27.1供应商对招标活动事项有疑问的，可以向</w:t>
      </w:r>
      <w:r>
        <w:rPr>
          <w:rFonts w:hint="eastAsia" w:ascii="Arial" w:hAnsi="Arial" w:cs="Arial"/>
          <w:color w:val="auto"/>
          <w:kern w:val="0"/>
          <w:szCs w:val="21"/>
          <w:highlight w:val="none"/>
        </w:rPr>
        <w:t>采购代理机构</w:t>
      </w:r>
      <w:r>
        <w:rPr>
          <w:rFonts w:ascii="Arial" w:hAnsi="Arial" w:cs="Arial"/>
          <w:color w:val="auto"/>
          <w:kern w:val="0"/>
          <w:szCs w:val="21"/>
          <w:highlight w:val="none"/>
        </w:rPr>
        <w:t>提出询问，</w:t>
      </w:r>
      <w:r>
        <w:rPr>
          <w:rFonts w:hint="eastAsia" w:ascii="Arial" w:hAnsi="Arial" w:cs="Arial"/>
          <w:color w:val="auto"/>
          <w:kern w:val="0"/>
          <w:szCs w:val="21"/>
          <w:highlight w:val="none"/>
        </w:rPr>
        <w:t>采购代理机构</w:t>
      </w:r>
      <w:r>
        <w:rPr>
          <w:rFonts w:ascii="Arial" w:hAnsi="Arial" w:cs="Arial"/>
          <w:color w:val="auto"/>
          <w:kern w:val="0"/>
          <w:szCs w:val="21"/>
          <w:highlight w:val="none"/>
        </w:rPr>
        <w:t>将依法作出答复，但答复的内容不涉及商业秘密</w:t>
      </w:r>
      <w:r>
        <w:rPr>
          <w:rFonts w:ascii="Arial" w:hAnsi="Arial" w:cs="Arial"/>
          <w:b/>
          <w:bCs/>
          <w:color w:val="auto"/>
          <w:kern w:val="0"/>
          <w:szCs w:val="21"/>
          <w:highlight w:val="none"/>
        </w:rPr>
        <w:t>。</w:t>
      </w:r>
    </w:p>
    <w:p w14:paraId="0A8FE083">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27.2提出质疑的供应商应当是参与所质疑项目采购活动的供应商。潜在供应商已依法获取其可质疑的采购文件的，可以对该文件提出质疑。</w:t>
      </w:r>
    </w:p>
    <w:p w14:paraId="1EE8EB8A">
      <w:pPr>
        <w:widowControl/>
        <w:spacing w:line="360" w:lineRule="auto"/>
        <w:ind w:firstLine="420"/>
        <w:rPr>
          <w:rFonts w:ascii="Arial" w:hAnsi="Arial" w:cs="Arial"/>
          <w:color w:val="auto"/>
          <w:kern w:val="0"/>
          <w:szCs w:val="21"/>
          <w:highlight w:val="none"/>
        </w:rPr>
      </w:pPr>
      <w:r>
        <w:rPr>
          <w:rFonts w:ascii="Arial" w:hAnsi="Arial" w:cs="Arial"/>
          <w:color w:val="auto"/>
          <w:szCs w:val="21"/>
          <w:highlight w:val="none"/>
        </w:rPr>
        <w:t>以联合体形式参加政府采购活动的，其质疑应当由组成联合体的所有供应商共同提出。</w:t>
      </w:r>
    </w:p>
    <w:p w14:paraId="221380F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5A5D126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43FFE161">
      <w:pPr>
        <w:widowControl/>
        <w:spacing w:line="360" w:lineRule="auto"/>
        <w:ind w:firstLine="420"/>
        <w:rPr>
          <w:rFonts w:ascii="Arial" w:hAnsi="Arial" w:cs="Arial"/>
          <w:b/>
          <w:bCs/>
          <w:color w:val="auto"/>
          <w:kern w:val="0"/>
          <w:szCs w:val="21"/>
          <w:highlight w:val="none"/>
        </w:rPr>
      </w:pPr>
      <w:r>
        <w:rPr>
          <w:rFonts w:ascii="Arial" w:hAnsi="Arial" w:cs="Arial"/>
          <w:b/>
          <w:bCs/>
          <w:color w:val="auto"/>
          <w:highlight w:val="none"/>
        </w:rPr>
        <w:t>供应商必须在法定质疑期内一次性提出针对同一采购程序环节的质疑。</w:t>
      </w:r>
    </w:p>
    <w:p w14:paraId="4F8F297D">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27.4 供应商提出质疑应当提交质疑函和必要的证明材料。质疑函应当包括下列内容：</w:t>
      </w:r>
    </w:p>
    <w:p w14:paraId="5E88F16E">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（一）供应商的姓名或者名称、地址、邮编、联系人及联系电话；</w:t>
      </w:r>
    </w:p>
    <w:p w14:paraId="1DC1FA35">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（二）质疑项目的名称、编号；</w:t>
      </w:r>
    </w:p>
    <w:p w14:paraId="1E9B023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（三）具体、明确的质疑事项和与质疑事项相关的请求（具体条款）；</w:t>
      </w:r>
    </w:p>
    <w:p w14:paraId="3F69C131">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（四）事实依据（具体条款）；</w:t>
      </w:r>
    </w:p>
    <w:p w14:paraId="084E5557">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（五）必要的法律依据（具体条款）；</w:t>
      </w:r>
    </w:p>
    <w:p w14:paraId="05C099E2">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　　（六）提出质疑的日期。</w:t>
      </w:r>
    </w:p>
    <w:p w14:paraId="0D5E84CE">
      <w:pPr>
        <w:widowControl/>
        <w:spacing w:line="360" w:lineRule="auto"/>
        <w:ind w:firstLine="420"/>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99D7C90">
      <w:pPr>
        <w:widowControl/>
        <w:spacing w:line="360" w:lineRule="auto"/>
        <w:ind w:firstLine="420"/>
        <w:rPr>
          <w:rFonts w:ascii="Arial" w:hAnsi="Arial" w:cs="Arial"/>
          <w:color w:val="auto"/>
          <w:szCs w:val="21"/>
          <w:highlight w:val="none"/>
        </w:rPr>
      </w:pPr>
      <w:r>
        <w:rPr>
          <w:rFonts w:ascii="Arial" w:hAnsi="Arial" w:cs="Arial"/>
          <w:color w:val="auto"/>
          <w:szCs w:val="21"/>
          <w:highlight w:val="none"/>
        </w:rPr>
        <w:t>质疑函应当使用中文。相关当事人提供外文书证或者外国语视听资料的，应当附有中文译本，由翻译机构盖章或者翻译人员签名。</w:t>
      </w:r>
    </w:p>
    <w:p w14:paraId="25FDEA66">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27.5质疑函应当现场提交至采购代理机构联系人处，提交时应出示有效身份证明。未按上述要求提交质疑函的，质疑不予受理。</w:t>
      </w:r>
    </w:p>
    <w:p w14:paraId="38ECDA10">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595149A8">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27.7采购代理机构在收到投标人的书面质疑后将及时组织调查核实，在</w:t>
      </w:r>
      <w:r>
        <w:rPr>
          <w:rFonts w:ascii="Arial" w:hAnsi="Arial" w:cs="Arial"/>
          <w:b/>
          <w:bCs/>
          <w:color w:val="auto"/>
          <w:kern w:val="0"/>
          <w:szCs w:val="21"/>
          <w:highlight w:val="none"/>
        </w:rPr>
        <w:t>七个工作日内</w:t>
      </w:r>
      <w:r>
        <w:rPr>
          <w:rFonts w:ascii="Arial" w:hAnsi="Arial" w:cs="Arial"/>
          <w:color w:val="auto"/>
          <w:kern w:val="0"/>
          <w:szCs w:val="21"/>
          <w:highlight w:val="none"/>
        </w:rPr>
        <w:t>作出答复，并以书面或在网站公告形式通知质疑投标人和其他有关投标人，答复的内容不涉及商业秘密。</w:t>
      </w:r>
    </w:p>
    <w:p w14:paraId="4099C66C">
      <w:pPr>
        <w:widowControl/>
        <w:spacing w:line="360" w:lineRule="auto"/>
        <w:ind w:firstLine="420"/>
        <w:rPr>
          <w:rFonts w:ascii="Arial" w:hAnsi="Arial" w:cs="Arial"/>
          <w:color w:val="auto"/>
          <w:kern w:val="0"/>
          <w:szCs w:val="21"/>
          <w:highlight w:val="none"/>
        </w:rPr>
      </w:pPr>
      <w:r>
        <w:rPr>
          <w:rFonts w:ascii="Arial" w:hAnsi="Arial" w:cs="Arial"/>
          <w:color w:val="auto"/>
          <w:kern w:val="0"/>
          <w:szCs w:val="21"/>
          <w:highlight w:val="none"/>
        </w:rPr>
        <w:t>任何单位和个人对代理机构在招标采购活动中的违法行为，有权控告和检举，联系电话：025-86636139（</w:t>
      </w:r>
      <w:r>
        <w:rPr>
          <w:rFonts w:hint="eastAsia" w:ascii="Arial" w:hAnsi="Arial" w:cs="Arial"/>
          <w:color w:val="auto"/>
          <w:kern w:val="0"/>
          <w:szCs w:val="21"/>
          <w:highlight w:val="none"/>
        </w:rPr>
        <w:t>采购代理机构</w:t>
      </w:r>
      <w:r>
        <w:rPr>
          <w:rFonts w:ascii="Arial" w:hAnsi="Arial" w:cs="Arial"/>
          <w:color w:val="auto"/>
          <w:kern w:val="0"/>
          <w:szCs w:val="21"/>
          <w:highlight w:val="none"/>
        </w:rPr>
        <w:t>质量管理部门）、025-866368</w:t>
      </w:r>
      <w:r>
        <w:rPr>
          <w:rFonts w:hint="eastAsia" w:ascii="Arial" w:hAnsi="Arial" w:cs="Arial"/>
          <w:color w:val="auto"/>
          <w:kern w:val="0"/>
          <w:szCs w:val="21"/>
          <w:highlight w:val="none"/>
        </w:rPr>
        <w:t>53</w:t>
      </w:r>
      <w:r>
        <w:rPr>
          <w:rFonts w:ascii="Arial" w:hAnsi="Arial" w:cs="Arial"/>
          <w:color w:val="auto"/>
          <w:kern w:val="0"/>
          <w:szCs w:val="21"/>
          <w:highlight w:val="none"/>
        </w:rPr>
        <w:t>（</w:t>
      </w:r>
      <w:r>
        <w:rPr>
          <w:rFonts w:hint="eastAsia" w:ascii="Arial" w:hAnsi="Arial" w:cs="Arial"/>
          <w:color w:val="auto"/>
          <w:kern w:val="0"/>
          <w:szCs w:val="21"/>
          <w:highlight w:val="none"/>
        </w:rPr>
        <w:t>采购代理机构</w:t>
      </w:r>
      <w:r>
        <w:rPr>
          <w:rFonts w:ascii="Arial" w:hAnsi="Arial" w:cs="Arial"/>
          <w:color w:val="auto"/>
          <w:kern w:val="0"/>
          <w:szCs w:val="21"/>
          <w:highlight w:val="none"/>
        </w:rPr>
        <w:t>纪检监察部门）。</w:t>
      </w:r>
    </w:p>
    <w:p w14:paraId="10727F5D">
      <w:pPr>
        <w:widowControl/>
        <w:spacing w:line="420" w:lineRule="exact"/>
        <w:ind w:firstLine="420"/>
        <w:rPr>
          <w:rFonts w:ascii="Arial" w:hAnsi="Arial" w:cs="Arial"/>
          <w:color w:val="auto"/>
          <w:kern w:val="0"/>
          <w:szCs w:val="21"/>
          <w:highlight w:val="none"/>
        </w:rPr>
      </w:pPr>
      <w:r>
        <w:rPr>
          <w:rFonts w:ascii="Arial" w:hAnsi="Arial" w:cs="Arial"/>
          <w:b/>
          <w:bCs/>
          <w:color w:val="auto"/>
          <w:kern w:val="0"/>
          <w:szCs w:val="21"/>
          <w:highlight w:val="none"/>
        </w:rPr>
        <w:t>28、投诉</w:t>
      </w:r>
    </w:p>
    <w:p w14:paraId="1F9636EC">
      <w:pPr>
        <w:spacing w:line="420" w:lineRule="exact"/>
        <w:ind w:firstLine="420" w:firstLineChars="200"/>
        <w:rPr>
          <w:rFonts w:ascii="Arial" w:hAnsi="Arial" w:cs="Arial"/>
          <w:color w:val="auto"/>
          <w:highlight w:val="none"/>
        </w:rPr>
      </w:pPr>
      <w:r>
        <w:rPr>
          <w:rFonts w:ascii="Arial" w:hAnsi="Arial" w:cs="Arial"/>
          <w:color w:val="auto"/>
          <w:highlight w:val="none"/>
        </w:rPr>
        <w:t>28.1质疑供应商对采购代理机构的答复不满意或者采购代理机构未在规定的时间内作出答复的，可以在答复期满后十五个工作日内向同级政府采购监督管理部门投诉。</w:t>
      </w:r>
    </w:p>
    <w:p w14:paraId="2049233A">
      <w:pPr>
        <w:spacing w:line="420" w:lineRule="exact"/>
        <w:ind w:firstLine="420" w:firstLineChars="200"/>
        <w:rPr>
          <w:rFonts w:ascii="Arial" w:hAnsi="Arial" w:cs="Arial"/>
          <w:color w:val="auto"/>
          <w:highlight w:val="none"/>
        </w:rPr>
      </w:pPr>
      <w:r>
        <w:rPr>
          <w:rFonts w:ascii="Arial" w:hAnsi="Arial" w:cs="Arial"/>
          <w:color w:val="auto"/>
          <w:szCs w:val="21"/>
          <w:highlight w:val="none"/>
        </w:rPr>
        <w:t>28.2供应商投诉应当有明确的请求和必要的证明材料。供应商投诉的事项不得超出已质疑事项的范围。</w:t>
      </w:r>
    </w:p>
    <w:p w14:paraId="5675E79F">
      <w:pPr>
        <w:spacing w:line="420" w:lineRule="exact"/>
        <w:ind w:firstLine="420" w:firstLineChars="200"/>
        <w:rPr>
          <w:rFonts w:ascii="Arial" w:hAnsi="Arial" w:cs="Arial"/>
          <w:color w:val="auto"/>
          <w:highlight w:val="none"/>
        </w:rPr>
      </w:pPr>
      <w:r>
        <w:rPr>
          <w:rFonts w:ascii="Arial" w:hAnsi="Arial" w:cs="Arial"/>
          <w:color w:val="auto"/>
          <w:szCs w:val="21"/>
          <w:highlight w:val="none"/>
        </w:rPr>
        <w:t>28.3投诉人对政府采购监督管理部门的投诉处理决定不服或者政府采购监督管理部门逾期未作处理的，可以依法申请行政复议或者向人民法院提起行政诉讼。</w:t>
      </w:r>
    </w:p>
    <w:p w14:paraId="0959BBE2">
      <w:pPr>
        <w:spacing w:line="420" w:lineRule="exact"/>
        <w:ind w:firstLine="420" w:firstLineChars="200"/>
        <w:rPr>
          <w:rFonts w:ascii="Arial" w:hAnsi="Arial" w:cs="Arial"/>
          <w:color w:val="auto"/>
          <w:szCs w:val="21"/>
          <w:highlight w:val="none"/>
        </w:rPr>
      </w:pPr>
      <w:r>
        <w:rPr>
          <w:rFonts w:ascii="Arial" w:hAnsi="Arial" w:cs="Arial"/>
          <w:color w:val="auto"/>
          <w:highlight w:val="none"/>
        </w:rPr>
        <w:t>28.4 投诉人有下列行为之一的，属于严重失信行为，</w:t>
      </w:r>
      <w:r>
        <w:rPr>
          <w:rFonts w:ascii="Arial" w:hAnsi="Arial" w:cs="Arial"/>
          <w:color w:val="auto"/>
          <w:szCs w:val="21"/>
          <w:highlight w:val="none"/>
        </w:rPr>
        <w:t>由财政部门列入不良行为记录名单，禁止其一至三年内参加政府采购活动。</w:t>
      </w:r>
    </w:p>
    <w:p w14:paraId="0960A342">
      <w:pPr>
        <w:spacing w:line="420" w:lineRule="exact"/>
        <w:ind w:firstLine="420" w:firstLineChars="200"/>
        <w:rPr>
          <w:rFonts w:ascii="Arial" w:hAnsi="Arial" w:cs="Arial"/>
          <w:color w:val="auto"/>
          <w:highlight w:val="none"/>
        </w:rPr>
      </w:pPr>
      <w:r>
        <w:rPr>
          <w:rFonts w:ascii="Arial" w:hAnsi="Arial" w:cs="Arial"/>
          <w:color w:val="auto"/>
          <w:highlight w:val="none"/>
        </w:rPr>
        <w:t>（1）投诉人在全国范围12个月内三次以上投诉查无实据的；</w:t>
      </w:r>
    </w:p>
    <w:p w14:paraId="4418B340">
      <w:pPr>
        <w:spacing w:line="420" w:lineRule="exact"/>
        <w:ind w:firstLine="420" w:firstLineChars="200"/>
        <w:rPr>
          <w:rFonts w:ascii="Arial" w:hAnsi="Arial" w:cs="Arial"/>
          <w:color w:val="auto"/>
          <w:highlight w:val="none"/>
        </w:rPr>
      </w:pPr>
      <w:r>
        <w:rPr>
          <w:rFonts w:ascii="Arial" w:hAnsi="Arial" w:cs="Arial"/>
          <w:color w:val="auto"/>
          <w:highlight w:val="none"/>
        </w:rPr>
        <w:t>（2）采用捏造事实、提供虚假材料或者以非法手段取得证明材料等方式进行虚假、恶意投诉。</w:t>
      </w:r>
    </w:p>
    <w:p w14:paraId="4254940F">
      <w:pPr>
        <w:spacing w:line="420" w:lineRule="exact"/>
        <w:ind w:firstLine="420" w:firstLineChars="200"/>
        <w:rPr>
          <w:rFonts w:ascii="Arial" w:hAnsi="Arial" w:cs="Arial"/>
          <w:color w:val="auto"/>
          <w:highlight w:val="none"/>
        </w:rPr>
      </w:pPr>
      <w:r>
        <w:rPr>
          <w:rFonts w:ascii="Arial" w:hAnsi="Arial" w:cs="Arial"/>
          <w:color w:val="auto"/>
          <w:highlight w:val="none"/>
        </w:rPr>
        <w:t>证据来源的合法性存在明显疑问，投诉人无法证明其取得方式合法的，视为以非法手段取得证明材料。</w:t>
      </w:r>
    </w:p>
    <w:p w14:paraId="5E8439AE">
      <w:pPr>
        <w:rPr>
          <w:rFonts w:ascii="Arial" w:hAnsi="Arial" w:cs="Arial"/>
          <w:color w:val="auto"/>
          <w:kern w:val="0"/>
          <w:highlight w:val="none"/>
        </w:rPr>
      </w:pPr>
      <w:bookmarkStart w:id="5" w:name="_Toc11112"/>
      <w:r>
        <w:rPr>
          <w:rFonts w:ascii="Arial" w:hAnsi="Arial" w:cs="Arial"/>
          <w:color w:val="auto"/>
          <w:kern w:val="0"/>
          <w:highlight w:val="none"/>
        </w:rPr>
        <w:br w:type="page"/>
      </w:r>
    </w:p>
    <w:p w14:paraId="49C5AFD2">
      <w:pPr>
        <w:pStyle w:val="3"/>
        <w:numPr>
          <w:ilvl w:val="0"/>
          <w:numId w:val="0"/>
        </w:numPr>
        <w:rPr>
          <w:rFonts w:ascii="Arial" w:hAnsi="Arial" w:cs="Arial"/>
          <w:color w:val="auto"/>
          <w:kern w:val="0"/>
          <w:highlight w:val="none"/>
        </w:rPr>
      </w:pPr>
      <w:r>
        <w:rPr>
          <w:rFonts w:ascii="Arial" w:hAnsi="Arial" w:cs="Arial"/>
          <w:color w:val="auto"/>
          <w:kern w:val="0"/>
          <w:highlight w:val="none"/>
        </w:rPr>
        <w:t> </w:t>
      </w:r>
      <w:bookmarkStart w:id="6" w:name="_Toc481057145"/>
      <w:r>
        <w:rPr>
          <w:rFonts w:ascii="Arial" w:hAnsi="Arial" w:cs="Arial"/>
          <w:color w:val="auto"/>
          <w:kern w:val="0"/>
          <w:highlight w:val="none"/>
        </w:rPr>
        <w:t>第三章  评标标准</w:t>
      </w:r>
      <w:bookmarkEnd w:id="5"/>
    </w:p>
    <w:bookmarkEnd w:id="6"/>
    <w:p w14:paraId="3C6525F0">
      <w:pPr>
        <w:spacing w:line="360" w:lineRule="auto"/>
        <w:ind w:firstLine="420" w:firstLineChars="200"/>
        <w:rPr>
          <w:rFonts w:ascii="Arial" w:hAnsi="Arial" w:cs="Arial"/>
          <w:color w:val="auto"/>
          <w:highlight w:val="none"/>
        </w:rPr>
      </w:pPr>
      <w:r>
        <w:rPr>
          <w:rFonts w:ascii="Arial" w:hAnsi="Arial" w:cs="Arial"/>
          <w:color w:val="auto"/>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3"/>
        <w:tblW w:w="97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396"/>
      </w:tblGrid>
      <w:tr w14:paraId="31FC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noWrap w:val="0"/>
            <w:vAlign w:val="center"/>
          </w:tcPr>
          <w:p w14:paraId="3FF9F282">
            <w:pPr>
              <w:spacing w:line="240" w:lineRule="auto"/>
              <w:ind w:firstLine="0" w:firstLineChars="0"/>
              <w:jc w:val="center"/>
              <w:rPr>
                <w:rFonts w:hint="eastAsia" w:ascii="宋体" w:hAnsi="宋体"/>
                <w:color w:val="auto"/>
                <w:szCs w:val="24"/>
                <w:highlight w:val="none"/>
              </w:rPr>
            </w:pPr>
            <w:bookmarkStart w:id="60" w:name="_GoBack"/>
            <w:r>
              <w:rPr>
                <w:rFonts w:hint="eastAsia" w:ascii="宋体" w:hAnsi="宋体"/>
                <w:color w:val="auto"/>
                <w:szCs w:val="24"/>
                <w:highlight w:val="none"/>
              </w:rPr>
              <w:t>价格</w:t>
            </w:r>
          </w:p>
          <w:p w14:paraId="5472F22A">
            <w:pPr>
              <w:spacing w:line="240" w:lineRule="auto"/>
              <w:ind w:firstLine="0" w:firstLineChars="0"/>
              <w:jc w:val="center"/>
              <w:rPr>
                <w:rFonts w:ascii="宋体" w:hAnsi="宋体" w:cs="Arial"/>
                <w:color w:val="auto"/>
                <w:szCs w:val="24"/>
                <w:highlight w:val="none"/>
              </w:rPr>
            </w:pPr>
            <w:r>
              <w:rPr>
                <w:rFonts w:hint="eastAsia" w:ascii="宋体" w:hAnsi="宋体"/>
                <w:color w:val="auto"/>
                <w:szCs w:val="24"/>
                <w:highlight w:val="none"/>
              </w:rPr>
              <w:t>（</w:t>
            </w:r>
            <w:r>
              <w:rPr>
                <w:rFonts w:ascii="宋体" w:hAnsi="宋体"/>
                <w:color w:val="auto"/>
                <w:szCs w:val="24"/>
                <w:highlight w:val="none"/>
              </w:rPr>
              <w:t>30</w:t>
            </w:r>
            <w:r>
              <w:rPr>
                <w:rFonts w:hint="eastAsia" w:ascii="宋体" w:hAnsi="宋体"/>
                <w:color w:val="auto"/>
                <w:szCs w:val="24"/>
                <w:highlight w:val="none"/>
              </w:rPr>
              <w:t>分）</w:t>
            </w:r>
          </w:p>
        </w:tc>
        <w:tc>
          <w:tcPr>
            <w:tcW w:w="8396" w:type="dxa"/>
            <w:noWrap w:val="0"/>
            <w:vAlign w:val="center"/>
          </w:tcPr>
          <w:p w14:paraId="30625BB3">
            <w:pPr>
              <w:spacing w:line="240" w:lineRule="auto"/>
              <w:ind w:firstLine="0" w:firstLineChars="0"/>
              <w:rPr>
                <w:rFonts w:ascii="宋体" w:hAnsi="宋体"/>
                <w:color w:val="auto"/>
                <w:szCs w:val="24"/>
                <w:highlight w:val="none"/>
              </w:rPr>
            </w:pPr>
            <w:r>
              <w:rPr>
                <w:rFonts w:hint="eastAsia" w:ascii="宋体" w:hAnsi="宋体" w:eastAsia="宋体" w:cs="宋体"/>
                <w:color w:val="auto"/>
                <w:sz w:val="21"/>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color w:val="auto"/>
                <w:szCs w:val="24"/>
                <w:highlight w:val="none"/>
              </w:rPr>
              <w:t>。</w:t>
            </w:r>
          </w:p>
        </w:tc>
      </w:tr>
      <w:tr w14:paraId="30B3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noWrap w:val="0"/>
            <w:vAlign w:val="center"/>
          </w:tcPr>
          <w:p w14:paraId="777E3529">
            <w:pPr>
              <w:spacing w:line="240" w:lineRule="auto"/>
              <w:ind w:firstLine="0" w:firstLineChars="0"/>
              <w:jc w:val="center"/>
              <w:rPr>
                <w:rFonts w:hint="eastAsia" w:ascii="宋体" w:hAnsi="宋体"/>
                <w:color w:val="auto"/>
                <w:szCs w:val="24"/>
                <w:highlight w:val="none"/>
                <w:lang w:val="en-US" w:eastAsia="zh-CN"/>
              </w:rPr>
            </w:pPr>
            <w:r>
              <w:rPr>
                <w:rFonts w:hint="eastAsia" w:ascii="宋体" w:hAnsi="宋体"/>
                <w:color w:val="auto"/>
                <w:szCs w:val="24"/>
                <w:highlight w:val="none"/>
              </w:rPr>
              <w:t>技术</w:t>
            </w:r>
            <w:r>
              <w:rPr>
                <w:rFonts w:hint="eastAsia" w:ascii="宋体" w:hAnsi="宋体"/>
                <w:color w:val="auto"/>
                <w:szCs w:val="24"/>
                <w:highlight w:val="none"/>
                <w:lang w:val="en-US" w:eastAsia="zh-CN"/>
              </w:rPr>
              <w:t>响应</w:t>
            </w:r>
          </w:p>
          <w:p w14:paraId="78E69BAC">
            <w:pPr>
              <w:spacing w:line="240" w:lineRule="auto"/>
              <w:ind w:firstLine="0" w:firstLineChars="0"/>
              <w:jc w:val="center"/>
              <w:rPr>
                <w:rFonts w:hint="eastAsia" w:ascii="宋体" w:hAnsi="宋体" w:eastAsia="宋体" w:cs="Arial"/>
                <w:color w:val="auto"/>
                <w:szCs w:val="24"/>
                <w:highlight w:val="none"/>
                <w:lang w:val="en-US" w:eastAsia="zh-CN"/>
              </w:rPr>
            </w:pPr>
            <w:r>
              <w:rPr>
                <w:rFonts w:hint="eastAsia" w:ascii="宋体" w:hAnsi="宋体"/>
                <w:color w:val="auto"/>
                <w:szCs w:val="24"/>
                <w:highlight w:val="none"/>
              </w:rPr>
              <w:t>（</w:t>
            </w:r>
            <w:r>
              <w:rPr>
                <w:rFonts w:hint="eastAsia" w:ascii="宋体" w:hAnsi="宋体"/>
                <w:color w:val="auto"/>
                <w:szCs w:val="24"/>
                <w:highlight w:val="none"/>
                <w:lang w:val="en-US" w:eastAsia="zh-CN"/>
              </w:rPr>
              <w:t>42分）</w:t>
            </w:r>
          </w:p>
        </w:tc>
        <w:tc>
          <w:tcPr>
            <w:tcW w:w="8396" w:type="dxa"/>
            <w:noWrap w:val="0"/>
            <w:vAlign w:val="center"/>
          </w:tcPr>
          <w:p w14:paraId="57F108CF">
            <w:pPr>
              <w:spacing w:line="240" w:lineRule="auto"/>
              <w:ind w:firstLine="0" w:firstLineChars="0"/>
              <w:rPr>
                <w:rFonts w:ascii="宋体" w:hAnsi="宋体"/>
                <w:color w:val="auto"/>
                <w:szCs w:val="24"/>
                <w:highlight w:val="none"/>
              </w:rPr>
            </w:pPr>
            <w:r>
              <w:rPr>
                <w:rFonts w:hint="eastAsia" w:ascii="宋体" w:hAnsi="宋体"/>
                <w:color w:val="auto"/>
                <w:szCs w:val="24"/>
                <w:highlight w:val="none"/>
              </w:rPr>
              <w:t>投标产品对招标文件具体需求的响应程度能够满足招标文件技术要求的得</w:t>
            </w:r>
            <w:r>
              <w:rPr>
                <w:rFonts w:ascii="宋体" w:hAnsi="宋体"/>
                <w:color w:val="auto"/>
                <w:szCs w:val="24"/>
                <w:highlight w:val="none"/>
              </w:rPr>
              <w:t>3</w:t>
            </w:r>
            <w:r>
              <w:rPr>
                <w:rFonts w:hint="eastAsia" w:ascii="宋体" w:hAnsi="宋体"/>
                <w:color w:val="auto"/>
                <w:szCs w:val="24"/>
                <w:highlight w:val="none"/>
                <w:lang w:val="en-US" w:eastAsia="zh-CN"/>
              </w:rPr>
              <w:t>5</w:t>
            </w:r>
            <w:r>
              <w:rPr>
                <w:rFonts w:ascii="宋体" w:hAnsi="宋体"/>
                <w:color w:val="auto"/>
                <w:szCs w:val="24"/>
                <w:highlight w:val="none"/>
              </w:rPr>
              <w:t>分</w:t>
            </w:r>
            <w:r>
              <w:rPr>
                <w:rFonts w:hint="eastAsia" w:ascii="宋体" w:hAnsi="宋体"/>
                <w:color w:val="auto"/>
                <w:szCs w:val="24"/>
                <w:highlight w:val="none"/>
              </w:rPr>
              <w:t>，其中</w:t>
            </w:r>
            <w:r>
              <w:rPr>
                <w:b/>
                <w:bCs/>
                <w:color w:val="auto"/>
                <w:szCs w:val="24"/>
                <w:highlight w:val="none"/>
              </w:rPr>
              <w:t>▲</w:t>
            </w:r>
            <w:r>
              <w:rPr>
                <w:rFonts w:hint="eastAsia" w:ascii="宋体" w:hAnsi="宋体"/>
                <w:color w:val="auto"/>
                <w:szCs w:val="24"/>
                <w:highlight w:val="none"/>
              </w:rPr>
              <w:t>项技术要求如有负偏离每有一项扣</w:t>
            </w:r>
            <w:r>
              <w:rPr>
                <w:rFonts w:ascii="宋体" w:hAnsi="宋体"/>
                <w:color w:val="auto"/>
                <w:szCs w:val="24"/>
                <w:highlight w:val="none"/>
              </w:rPr>
              <w:t>2</w:t>
            </w:r>
            <w:r>
              <w:rPr>
                <w:rFonts w:hint="eastAsia" w:ascii="宋体" w:hAnsi="宋体"/>
                <w:color w:val="auto"/>
                <w:szCs w:val="24"/>
                <w:highlight w:val="none"/>
              </w:rPr>
              <w:t>分，其他一般性技术要求每有一项负偏离扣</w:t>
            </w:r>
            <w:r>
              <w:rPr>
                <w:rFonts w:ascii="宋体" w:hAnsi="宋体"/>
                <w:color w:val="auto"/>
                <w:szCs w:val="24"/>
                <w:highlight w:val="none"/>
              </w:rPr>
              <w:t>0.5</w:t>
            </w:r>
            <w:r>
              <w:rPr>
                <w:rFonts w:hint="eastAsia" w:ascii="宋体" w:hAnsi="宋体"/>
                <w:color w:val="auto"/>
                <w:szCs w:val="24"/>
                <w:highlight w:val="none"/>
              </w:rPr>
              <w:t>分，直至扣完为止</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注：加▲项参数指标，需要提供相关证明材料，参数内指明要求的证明材料按照要求提供，参数未指明的证明材料包含但不限于第三方机构检测报告或产品彩页或官网截图（加网址）或技术证明文件或软件截图，须加盖投标人公章，未提供相关证明资料或未加盖对应公章的均视为未响应参数。</w:t>
            </w:r>
          </w:p>
        </w:tc>
      </w:tr>
      <w:tr w14:paraId="49C5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noWrap w:val="0"/>
            <w:vAlign w:val="center"/>
          </w:tcPr>
          <w:p w14:paraId="53499033">
            <w:pPr>
              <w:spacing w:line="240" w:lineRule="auto"/>
              <w:ind w:firstLine="0" w:firstLineChars="0"/>
              <w:jc w:val="center"/>
              <w:rPr>
                <w:rFonts w:ascii="宋体" w:hAnsi="宋体"/>
                <w:color w:val="auto"/>
                <w:szCs w:val="24"/>
                <w:highlight w:val="none"/>
              </w:rPr>
            </w:pPr>
          </w:p>
        </w:tc>
        <w:tc>
          <w:tcPr>
            <w:tcW w:w="8396" w:type="dxa"/>
            <w:noWrap w:val="0"/>
            <w:vAlign w:val="center"/>
          </w:tcPr>
          <w:p w14:paraId="7681326E">
            <w:pPr>
              <w:spacing w:line="240" w:lineRule="auto"/>
              <w:ind w:firstLine="0" w:firstLineChars="0"/>
              <w:rPr>
                <w:rFonts w:ascii="宋体" w:hAnsi="宋体"/>
                <w:color w:val="auto"/>
                <w:szCs w:val="24"/>
                <w:highlight w:val="none"/>
              </w:rPr>
            </w:pPr>
            <w:r>
              <w:rPr>
                <w:rFonts w:hint="eastAsia" w:ascii="宋体" w:hAnsi="宋体" w:eastAsia="宋体" w:cs="宋体"/>
                <w:color w:val="auto"/>
                <w:sz w:val="21"/>
                <w:szCs w:val="21"/>
                <w:highlight w:val="none"/>
              </w:rPr>
              <w:t>投标产品性能稳定、质量可靠、技术先进的，得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分；性能稳定性、质量可靠性较高、技术较先进的，得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分；性能稳定性、质量可靠性一般、技术先进性一般的，得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分；性能稳定性差、质量可靠性低或技术落后的，得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olor w:val="auto"/>
                <w:szCs w:val="24"/>
                <w:highlight w:val="none"/>
              </w:rPr>
              <w:t>。</w:t>
            </w:r>
          </w:p>
        </w:tc>
      </w:tr>
      <w:tr w14:paraId="6887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noWrap w:val="0"/>
            <w:vAlign w:val="center"/>
          </w:tcPr>
          <w:p w14:paraId="2A395193">
            <w:pPr>
              <w:spacing w:line="240" w:lineRule="auto"/>
              <w:ind w:firstLine="0" w:firstLineChars="0"/>
              <w:jc w:val="center"/>
              <w:rPr>
                <w:rFonts w:hint="eastAsia" w:ascii="宋体" w:hAnsi="宋体"/>
                <w:color w:val="auto"/>
                <w:szCs w:val="24"/>
                <w:highlight w:val="none"/>
              </w:rPr>
            </w:pPr>
            <w:r>
              <w:rPr>
                <w:rFonts w:hint="eastAsia" w:ascii="宋体" w:hAnsi="宋体"/>
                <w:color w:val="auto"/>
                <w:szCs w:val="24"/>
                <w:highlight w:val="none"/>
              </w:rPr>
              <w:t>服务</w:t>
            </w:r>
          </w:p>
          <w:p w14:paraId="4EBEB9D4">
            <w:pPr>
              <w:spacing w:line="240" w:lineRule="auto"/>
              <w:ind w:firstLine="0" w:firstLineChars="0"/>
              <w:jc w:val="center"/>
              <w:rPr>
                <w:rFonts w:ascii="宋体" w:hAnsi="宋体" w:cs="Arial"/>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8</w:t>
            </w:r>
            <w:r>
              <w:rPr>
                <w:rFonts w:hint="eastAsia" w:ascii="宋体" w:hAnsi="宋体"/>
                <w:color w:val="auto"/>
                <w:szCs w:val="24"/>
                <w:highlight w:val="none"/>
              </w:rPr>
              <w:t>分）</w:t>
            </w:r>
          </w:p>
        </w:tc>
        <w:tc>
          <w:tcPr>
            <w:tcW w:w="8396" w:type="dxa"/>
            <w:noWrap w:val="0"/>
            <w:vAlign w:val="center"/>
          </w:tcPr>
          <w:p w14:paraId="7722866E">
            <w:pPr>
              <w:spacing w:line="240" w:lineRule="auto"/>
              <w:ind w:firstLine="0" w:firstLineChars="0"/>
              <w:rPr>
                <w:rFonts w:ascii="宋体" w:hAnsi="宋体"/>
                <w:color w:val="auto"/>
                <w:szCs w:val="24"/>
                <w:highlight w:val="none"/>
              </w:rPr>
            </w:pPr>
            <w:r>
              <w:rPr>
                <w:rFonts w:hint="eastAsia" w:ascii="宋体" w:hAnsi="宋体"/>
                <w:color w:val="auto"/>
                <w:szCs w:val="24"/>
                <w:highlight w:val="none"/>
              </w:rPr>
              <w:t>售后服务：根据投标人提供的售后服务体系、售后服务人员、售后服务承诺、售后服务应答及处理时间，质保期内的售后服务范围、质保期满后的售后服务范围进行打分。方案详细，可操作性强得5分，方案较详细，可操作性较强得3分，方案粗略，可操作性一般得1分。</w:t>
            </w:r>
          </w:p>
        </w:tc>
      </w:tr>
      <w:tr w14:paraId="5BA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22" w:type="dxa"/>
            <w:vMerge w:val="continue"/>
            <w:noWrap w:val="0"/>
            <w:vAlign w:val="center"/>
          </w:tcPr>
          <w:p w14:paraId="3DCA06F3">
            <w:pPr>
              <w:spacing w:line="240" w:lineRule="auto"/>
              <w:ind w:firstLine="0" w:firstLineChars="0"/>
              <w:jc w:val="center"/>
              <w:rPr>
                <w:rFonts w:ascii="宋体" w:hAnsi="宋体"/>
                <w:color w:val="auto"/>
                <w:szCs w:val="24"/>
                <w:highlight w:val="none"/>
              </w:rPr>
            </w:pPr>
          </w:p>
        </w:tc>
        <w:tc>
          <w:tcPr>
            <w:tcW w:w="8396" w:type="dxa"/>
            <w:noWrap w:val="0"/>
            <w:vAlign w:val="center"/>
          </w:tcPr>
          <w:p w14:paraId="4C002B42">
            <w:pPr>
              <w:keepNext/>
              <w:keepLines/>
              <w:spacing w:line="240" w:lineRule="auto"/>
              <w:ind w:firstLine="0" w:firstLineChars="0"/>
              <w:outlineLvl w:val="3"/>
              <w:rPr>
                <w:rFonts w:ascii="宋体" w:hAnsi="宋体"/>
                <w:color w:val="auto"/>
                <w:szCs w:val="24"/>
                <w:highlight w:val="none"/>
              </w:rPr>
            </w:pPr>
            <w:r>
              <w:rPr>
                <w:rFonts w:hint="eastAsia" w:ascii="宋体" w:hAnsi="宋体"/>
                <w:color w:val="auto"/>
                <w:szCs w:val="24"/>
                <w:highlight w:val="none"/>
              </w:rPr>
              <w:t>培训：对买方操作、维护人员的培训方案及计划等方面综合评分。方案详细，可操作性强的，得</w:t>
            </w:r>
            <w:r>
              <w:rPr>
                <w:rFonts w:hint="eastAsia" w:ascii="宋体" w:hAnsi="宋体"/>
                <w:color w:val="auto"/>
                <w:szCs w:val="24"/>
                <w:highlight w:val="none"/>
                <w:lang w:val="en-US" w:eastAsia="zh-CN"/>
              </w:rPr>
              <w:t>3</w:t>
            </w:r>
            <w:r>
              <w:rPr>
                <w:rFonts w:hint="eastAsia" w:ascii="宋体" w:hAnsi="宋体"/>
                <w:color w:val="auto"/>
                <w:szCs w:val="24"/>
                <w:highlight w:val="none"/>
              </w:rPr>
              <w:t>分；方案较详细，可操作性较强的，得1分；方案粗略，可操作性差的，不得分。</w:t>
            </w:r>
          </w:p>
        </w:tc>
      </w:tr>
      <w:tr w14:paraId="3F9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noWrap w:val="0"/>
            <w:vAlign w:val="center"/>
          </w:tcPr>
          <w:p w14:paraId="1CB1BC26">
            <w:pPr>
              <w:spacing w:line="240" w:lineRule="auto"/>
              <w:ind w:firstLine="0" w:firstLineChars="0"/>
              <w:jc w:val="center"/>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履约能力</w:t>
            </w:r>
          </w:p>
          <w:p w14:paraId="02B8B353">
            <w:pPr>
              <w:spacing w:line="240" w:lineRule="auto"/>
              <w:ind w:firstLine="0" w:firstLineChars="0"/>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szCs w:val="24"/>
                <w:highlight w:val="none"/>
                <w:lang w:val="en-US" w:eastAsia="zh-CN"/>
              </w:rPr>
              <w:t>（6分）</w:t>
            </w:r>
          </w:p>
        </w:tc>
        <w:tc>
          <w:tcPr>
            <w:tcW w:w="8396" w:type="dxa"/>
            <w:shd w:val="clear" w:color="auto" w:fill="auto"/>
            <w:noWrap w:val="0"/>
            <w:vAlign w:val="center"/>
          </w:tcPr>
          <w:p w14:paraId="67BA0225">
            <w:pPr>
              <w:numPr>
                <w:ilvl w:val="-1"/>
                <w:numId w:val="0"/>
              </w:numPr>
              <w:spacing w:line="240" w:lineRule="auto"/>
              <w:ind w:firstLine="0" w:firstLine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eastAsia" w:ascii="宋体" w:hAnsi="宋体" w:eastAsia="宋体" w:cs="Times New Roman"/>
                <w:color w:val="auto"/>
                <w:kern w:val="2"/>
                <w:sz w:val="21"/>
                <w:szCs w:val="24"/>
                <w:highlight w:val="none"/>
                <w:lang w:val="en-US" w:eastAsia="zh-CN" w:bidi="ar-SA"/>
              </w:rPr>
              <w:t>投标人为本项目委托的项目经理同时具备高级（电子类）职称证书、安全生产考核（B类）合格证书证在有效期内的得2分，中级（电子类）职称证书、安全生产考核（B类）合格证书证在有效期内的得1分，未提供或提供不全不得分（提供相应证书复印件及投标人为其缴纳近6个月的社保缴费证明并加盖投标人公章，原件备查）；</w:t>
            </w:r>
          </w:p>
          <w:p w14:paraId="26B0DEAB">
            <w:pPr>
              <w:numPr>
                <w:ilvl w:val="-1"/>
                <w:numId w:val="0"/>
              </w:numPr>
              <w:spacing w:line="240" w:lineRule="auto"/>
              <w:ind w:firstLine="0" w:firstLine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w:t>
            </w:r>
            <w:r>
              <w:rPr>
                <w:rFonts w:hint="eastAsia" w:ascii="宋体" w:hAnsi="宋体" w:eastAsia="宋体" w:cs="Times New Roman"/>
                <w:color w:val="auto"/>
                <w:kern w:val="2"/>
                <w:sz w:val="21"/>
                <w:szCs w:val="24"/>
                <w:highlight w:val="none"/>
                <w:lang w:val="en-US" w:eastAsia="zh-CN" w:bidi="ar-SA"/>
              </w:rPr>
              <w:t>投标人为本项目委派的实施团队人员中应具备安全员C证、电工证，每提供一证得1分，不提供的不得分，共2分（提供相应证书复印件及投标人为其缴纳近6个月的社保缴费证明并加盖投标人公章，原件备查）；</w:t>
            </w:r>
          </w:p>
          <w:p w14:paraId="15ADC938">
            <w:pPr>
              <w:numPr>
                <w:ilvl w:val="-1"/>
                <w:numId w:val="0"/>
              </w:numPr>
              <w:spacing w:line="240" w:lineRule="auto"/>
              <w:ind w:firstLine="0" w:firstLine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w:t>
            </w:r>
            <w:r>
              <w:rPr>
                <w:rFonts w:hint="eastAsia" w:ascii="宋体" w:hAnsi="宋体" w:eastAsia="宋体" w:cs="Times New Roman"/>
                <w:color w:val="auto"/>
                <w:kern w:val="2"/>
                <w:sz w:val="21"/>
                <w:szCs w:val="24"/>
                <w:highlight w:val="none"/>
                <w:lang w:val="en-US" w:eastAsia="zh-CN" w:bidi="ar-SA"/>
              </w:rPr>
              <w:t>投标人具有有效期内电子与智能化工程专业承包贰级及以上资质得2分</w:t>
            </w:r>
            <w:r>
              <w:rPr>
                <w:rFonts w:hint="eastAsia" w:ascii="宋体" w:hAnsi="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提供证书复印件加盖投标人公章，未提供不得分，原件备查</w:t>
            </w:r>
            <w:r>
              <w:rPr>
                <w:rFonts w:hint="eastAsia" w:ascii="宋体" w:hAnsi="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w:t>
            </w:r>
          </w:p>
        </w:tc>
      </w:tr>
      <w:tr w14:paraId="1A98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noWrap w:val="0"/>
            <w:vAlign w:val="center"/>
          </w:tcPr>
          <w:p w14:paraId="315FB33B">
            <w:pPr>
              <w:spacing w:line="240" w:lineRule="auto"/>
              <w:ind w:firstLine="0" w:firstLineChars="0"/>
              <w:jc w:val="center"/>
              <w:rPr>
                <w:rFonts w:hint="eastAsia" w:ascii="宋体" w:hAnsi="宋体"/>
                <w:color w:val="auto"/>
                <w:szCs w:val="24"/>
                <w:highlight w:val="none"/>
              </w:rPr>
            </w:pPr>
            <w:r>
              <w:rPr>
                <w:rFonts w:hint="eastAsia" w:ascii="宋体" w:hAnsi="宋体"/>
                <w:color w:val="auto"/>
                <w:szCs w:val="24"/>
                <w:highlight w:val="none"/>
              </w:rPr>
              <w:t>业绩</w:t>
            </w:r>
          </w:p>
          <w:p w14:paraId="2796F021">
            <w:pPr>
              <w:spacing w:line="240" w:lineRule="auto"/>
              <w:ind w:firstLine="0" w:firstLineChars="0"/>
              <w:jc w:val="center"/>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6</w:t>
            </w:r>
            <w:r>
              <w:rPr>
                <w:rFonts w:hint="eastAsia" w:ascii="宋体" w:hAnsi="宋体"/>
                <w:color w:val="auto"/>
                <w:szCs w:val="24"/>
                <w:highlight w:val="none"/>
              </w:rPr>
              <w:t>分）</w:t>
            </w:r>
          </w:p>
        </w:tc>
        <w:tc>
          <w:tcPr>
            <w:tcW w:w="8396" w:type="dxa"/>
            <w:noWrap w:val="0"/>
            <w:vAlign w:val="center"/>
          </w:tcPr>
          <w:p w14:paraId="3C35C2AD">
            <w:pPr>
              <w:spacing w:line="240" w:lineRule="auto"/>
              <w:ind w:firstLine="0" w:firstLineChars="0"/>
              <w:rPr>
                <w:rFonts w:ascii="宋体" w:hAnsi="宋体"/>
                <w:color w:val="auto"/>
                <w:szCs w:val="24"/>
                <w:highlight w:val="none"/>
              </w:rPr>
            </w:pPr>
            <w:r>
              <w:rPr>
                <w:rFonts w:hint="eastAsia" w:ascii="宋体" w:hAnsi="宋体"/>
                <w:color w:val="auto"/>
                <w:szCs w:val="24"/>
                <w:highlight w:val="none"/>
              </w:rPr>
              <w:t>投标人近三年(2021年8月1日-截至投标之日)的具有同类设备集成项目成功实施的类似业绩（投标人提供的业绩合同里</w:t>
            </w:r>
            <w:r>
              <w:rPr>
                <w:rFonts w:hint="eastAsia" w:ascii="宋体" w:hAnsi="宋体"/>
                <w:color w:val="auto"/>
                <w:szCs w:val="24"/>
                <w:highlight w:val="none"/>
                <w:lang w:val="en-US" w:eastAsia="zh-CN"/>
              </w:rPr>
              <w:t>至少同时</w:t>
            </w:r>
            <w:r>
              <w:rPr>
                <w:rFonts w:hint="eastAsia" w:ascii="宋体" w:hAnsi="宋体"/>
                <w:color w:val="auto"/>
                <w:szCs w:val="24"/>
                <w:highlight w:val="none"/>
              </w:rPr>
              <w:t>包含显示、扩声、会议系统</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控制系统中的两项</w:t>
            </w:r>
            <w:r>
              <w:rPr>
                <w:rFonts w:hint="eastAsia" w:ascii="宋体" w:hAnsi="宋体"/>
                <w:color w:val="auto"/>
                <w:szCs w:val="24"/>
                <w:highlight w:val="none"/>
              </w:rPr>
              <w:t>）。每提供一份有效合同复印件得1分，最多得</w:t>
            </w:r>
            <w:r>
              <w:rPr>
                <w:rFonts w:hint="eastAsia" w:ascii="宋体" w:hAnsi="宋体"/>
                <w:color w:val="auto"/>
                <w:szCs w:val="24"/>
                <w:highlight w:val="none"/>
                <w:lang w:val="en-US" w:eastAsia="zh-CN"/>
              </w:rPr>
              <w:t>6</w:t>
            </w:r>
            <w:r>
              <w:rPr>
                <w:rFonts w:hint="eastAsia" w:ascii="宋体" w:hAnsi="宋体"/>
                <w:color w:val="auto"/>
                <w:szCs w:val="24"/>
                <w:highlight w:val="none"/>
              </w:rPr>
              <w:t>分。提供合同复印件加盖公章，原件备查。</w:t>
            </w:r>
          </w:p>
        </w:tc>
      </w:tr>
      <w:tr w14:paraId="48E0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noWrap w:val="0"/>
            <w:vAlign w:val="center"/>
          </w:tcPr>
          <w:p w14:paraId="38996CDE">
            <w:pPr>
              <w:spacing w:line="240" w:lineRule="auto"/>
              <w:ind w:firstLine="0" w:firstLineChars="0"/>
              <w:jc w:val="center"/>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实施方案</w:t>
            </w:r>
          </w:p>
          <w:p w14:paraId="67491F56">
            <w:pPr>
              <w:spacing w:line="240" w:lineRule="auto"/>
              <w:ind w:firstLine="0" w:firstLineChars="0"/>
              <w:jc w:val="center"/>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7</w:t>
            </w:r>
            <w:r>
              <w:rPr>
                <w:rFonts w:hint="eastAsia" w:ascii="宋体" w:hAnsi="宋体"/>
                <w:color w:val="auto"/>
                <w:szCs w:val="24"/>
                <w:highlight w:val="none"/>
              </w:rPr>
              <w:t>分）</w:t>
            </w:r>
          </w:p>
        </w:tc>
        <w:tc>
          <w:tcPr>
            <w:tcW w:w="8396" w:type="dxa"/>
            <w:noWrap w:val="0"/>
            <w:vAlign w:val="center"/>
          </w:tcPr>
          <w:p w14:paraId="2B658E32">
            <w:pPr>
              <w:spacing w:line="24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项目实施方案包括但不限于供货及安装各节点时间进度、人员配置及详细分工、质量保障措施、应急处理方案、安装调试方案</w:t>
            </w:r>
            <w:r>
              <w:rPr>
                <w:rFonts w:hint="eastAsia" w:ascii="宋体" w:hAnsi="宋体" w:cs="宋体"/>
                <w:color w:val="auto"/>
                <w:szCs w:val="24"/>
                <w:highlight w:val="none"/>
                <w:lang w:val="en-US" w:eastAsia="zh-CN"/>
              </w:rPr>
              <w:t>及验收方案</w:t>
            </w:r>
            <w:r>
              <w:rPr>
                <w:rFonts w:hint="eastAsia" w:ascii="宋体" w:hAnsi="宋体" w:cs="宋体"/>
                <w:color w:val="auto"/>
                <w:szCs w:val="24"/>
                <w:highlight w:val="none"/>
              </w:rPr>
              <w:t>等方面，根据项目方案内容的完整性进行综合评分。</w:t>
            </w:r>
          </w:p>
          <w:p w14:paraId="0EE7C02D">
            <w:pPr>
              <w:spacing w:line="24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实施方案合理完善，全面科学，完全满足招标人需求，得</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分；</w:t>
            </w:r>
          </w:p>
          <w:p w14:paraId="30984116">
            <w:pPr>
              <w:spacing w:line="24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实施方案合理较完善，基本满足招标人需求，得</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分；</w:t>
            </w:r>
          </w:p>
          <w:p w14:paraId="543445FE">
            <w:pPr>
              <w:spacing w:line="24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实施方案合理但不完善，招标人需求满足性较差，得</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分；</w:t>
            </w:r>
          </w:p>
          <w:p w14:paraId="5F9FD4F9">
            <w:pPr>
              <w:spacing w:line="24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不提供或其他不得分。</w:t>
            </w:r>
          </w:p>
        </w:tc>
      </w:tr>
      <w:tr w14:paraId="109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noWrap w:val="0"/>
            <w:vAlign w:val="center"/>
          </w:tcPr>
          <w:p w14:paraId="5FBE31F9">
            <w:pPr>
              <w:spacing w:line="240" w:lineRule="auto"/>
              <w:ind w:firstLine="0" w:firstLineChars="0"/>
              <w:jc w:val="center"/>
              <w:rPr>
                <w:rFonts w:ascii="宋体" w:hAnsi="宋体"/>
                <w:color w:val="auto"/>
                <w:szCs w:val="24"/>
                <w:highlight w:val="none"/>
              </w:rPr>
            </w:pPr>
            <w:r>
              <w:rPr>
                <w:rFonts w:hint="eastAsia" w:ascii="宋体" w:hAnsi="宋体"/>
                <w:color w:val="auto"/>
                <w:szCs w:val="24"/>
                <w:highlight w:val="none"/>
              </w:rPr>
              <w:t>国家政策导向（</w:t>
            </w:r>
            <w:r>
              <w:rPr>
                <w:rFonts w:hint="eastAsia" w:ascii="宋体" w:hAnsi="宋体"/>
                <w:color w:val="auto"/>
                <w:szCs w:val="24"/>
                <w:highlight w:val="none"/>
                <w:lang w:val="en-US" w:eastAsia="zh-CN"/>
              </w:rPr>
              <w:t>1</w:t>
            </w:r>
            <w:r>
              <w:rPr>
                <w:rFonts w:hint="eastAsia" w:ascii="宋体" w:hAnsi="宋体"/>
                <w:color w:val="auto"/>
                <w:szCs w:val="24"/>
                <w:highlight w:val="none"/>
              </w:rPr>
              <w:t>分）</w:t>
            </w:r>
          </w:p>
        </w:tc>
        <w:tc>
          <w:tcPr>
            <w:tcW w:w="8396" w:type="dxa"/>
            <w:noWrap w:val="0"/>
            <w:vAlign w:val="center"/>
          </w:tcPr>
          <w:p w14:paraId="7F301BAB">
            <w:pPr>
              <w:widowControl/>
              <w:spacing w:line="240" w:lineRule="auto"/>
              <w:ind w:firstLine="0" w:firstLineChars="0"/>
              <w:jc w:val="left"/>
              <w:rPr>
                <w:rFonts w:ascii="宋体" w:hAnsi="宋体"/>
                <w:color w:val="auto"/>
                <w:szCs w:val="24"/>
                <w:highlight w:val="none"/>
              </w:rPr>
            </w:pPr>
            <w:r>
              <w:rPr>
                <w:rFonts w:hint="eastAsia" w:ascii="宋体" w:hAnsi="宋体" w:cs="宋体"/>
                <w:color w:val="auto"/>
                <w:szCs w:val="24"/>
                <w:highlight w:val="none"/>
              </w:rPr>
              <w:t>环境标志产品：投标产品有《环境标志产品政府采购品目清单》内产品，并提供参与实施政府采购环境标志产品认证机构出具的认证证书得</w:t>
            </w:r>
            <w:r>
              <w:rPr>
                <w:rFonts w:hint="eastAsia" w:ascii="宋体" w:hAnsi="宋体" w:cs="宋体"/>
                <w:color w:val="auto"/>
                <w:szCs w:val="24"/>
                <w:highlight w:val="none"/>
                <w:lang w:val="en-US" w:eastAsia="zh-CN"/>
              </w:rPr>
              <w:t>0.5</w:t>
            </w:r>
            <w:r>
              <w:rPr>
                <w:rFonts w:hint="eastAsia" w:ascii="宋体" w:hAnsi="宋体" w:cs="宋体"/>
                <w:color w:val="auto"/>
                <w:szCs w:val="24"/>
                <w:highlight w:val="none"/>
              </w:rPr>
              <w:t>分。</w:t>
            </w:r>
          </w:p>
        </w:tc>
      </w:tr>
      <w:tr w14:paraId="426C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noWrap w:val="0"/>
            <w:vAlign w:val="center"/>
          </w:tcPr>
          <w:p w14:paraId="6FEA730C">
            <w:pPr>
              <w:widowControl/>
              <w:spacing w:line="240" w:lineRule="auto"/>
              <w:ind w:firstLine="0" w:firstLineChars="0"/>
              <w:jc w:val="center"/>
              <w:rPr>
                <w:rFonts w:ascii="宋体" w:hAnsi="宋体"/>
                <w:color w:val="auto"/>
                <w:szCs w:val="24"/>
                <w:highlight w:val="none"/>
              </w:rPr>
            </w:pPr>
          </w:p>
        </w:tc>
        <w:tc>
          <w:tcPr>
            <w:tcW w:w="8396" w:type="dxa"/>
            <w:noWrap w:val="0"/>
            <w:vAlign w:val="center"/>
          </w:tcPr>
          <w:p w14:paraId="6DBB6583">
            <w:pPr>
              <w:widowControl/>
              <w:spacing w:line="240" w:lineRule="auto"/>
              <w:ind w:firstLine="0" w:firstLineChars="0"/>
              <w:jc w:val="left"/>
              <w:rPr>
                <w:rFonts w:ascii="宋体" w:hAnsi="宋体"/>
                <w:color w:val="auto"/>
                <w:szCs w:val="24"/>
                <w:highlight w:val="none"/>
              </w:rPr>
            </w:pPr>
            <w:r>
              <w:rPr>
                <w:rFonts w:hint="eastAsia" w:ascii="宋体" w:hAnsi="宋体" w:cs="宋体"/>
                <w:color w:val="auto"/>
                <w:szCs w:val="24"/>
                <w:highlight w:val="none"/>
              </w:rPr>
              <w:t>节能产品：投标产品有《节能产品政府采购品目清单》内产品，并提供参与实施政府采购节能产品认证机构出具的认证证书得</w:t>
            </w:r>
            <w:r>
              <w:rPr>
                <w:rFonts w:hint="eastAsia" w:ascii="宋体" w:hAnsi="宋体" w:cs="宋体"/>
                <w:color w:val="auto"/>
                <w:szCs w:val="24"/>
                <w:highlight w:val="none"/>
                <w:lang w:val="en-US" w:eastAsia="zh-CN"/>
              </w:rPr>
              <w:t>0.5</w:t>
            </w:r>
            <w:r>
              <w:rPr>
                <w:rFonts w:hint="eastAsia" w:ascii="宋体" w:hAnsi="宋体" w:cs="宋体"/>
                <w:color w:val="auto"/>
                <w:szCs w:val="24"/>
                <w:highlight w:val="none"/>
              </w:rPr>
              <w:t>分。</w:t>
            </w:r>
          </w:p>
        </w:tc>
      </w:tr>
      <w:bookmarkEnd w:id="60"/>
    </w:tbl>
    <w:p w14:paraId="4C2BEE63">
      <w:pPr>
        <w:spacing w:line="360" w:lineRule="auto"/>
        <w:rPr>
          <w:rFonts w:ascii="Arial" w:hAnsi="Arial" w:cs="Arial"/>
          <w:bCs/>
          <w:color w:val="auto"/>
          <w:sz w:val="22"/>
          <w:szCs w:val="28"/>
          <w:highlight w:val="none"/>
        </w:rPr>
      </w:pPr>
      <w:r>
        <w:rPr>
          <w:rFonts w:ascii="Arial" w:hAnsi="Arial" w:cs="Arial"/>
          <w:bCs/>
          <w:color w:val="auto"/>
          <w:sz w:val="22"/>
          <w:szCs w:val="28"/>
          <w:highlight w:val="none"/>
        </w:rPr>
        <w:t>说明：</w:t>
      </w:r>
    </w:p>
    <w:p w14:paraId="52F24218">
      <w:pPr>
        <w:spacing w:line="360" w:lineRule="auto"/>
        <w:rPr>
          <w:rFonts w:ascii="Arial" w:hAnsi="Arial" w:cs="Arial"/>
          <w:bCs/>
          <w:color w:val="auto"/>
          <w:sz w:val="22"/>
          <w:szCs w:val="28"/>
          <w:highlight w:val="none"/>
        </w:rPr>
      </w:pPr>
      <w:r>
        <w:rPr>
          <w:rFonts w:hint="eastAsia" w:ascii="Arial" w:hAnsi="Arial" w:cs="Arial"/>
          <w:bCs/>
          <w:color w:val="auto"/>
          <w:sz w:val="22"/>
          <w:szCs w:val="28"/>
          <w:highlight w:val="none"/>
        </w:rPr>
        <w:t>1.</w:t>
      </w:r>
      <w:r>
        <w:rPr>
          <w:rFonts w:ascii="Arial" w:hAnsi="Arial" w:cs="Arial"/>
          <w:bCs/>
          <w:color w:val="auto"/>
          <w:sz w:val="22"/>
          <w:szCs w:val="28"/>
          <w:highlight w:val="none"/>
        </w:rPr>
        <w:t>所有认证、证明和业绩均以有效清晰的证明文件的复印件为依据，原件备查。</w:t>
      </w:r>
    </w:p>
    <w:p w14:paraId="2D0EB53C">
      <w:pPr>
        <w:spacing w:line="360" w:lineRule="auto"/>
        <w:rPr>
          <w:rFonts w:ascii="Arial" w:hAnsi="Arial" w:cs="Arial"/>
          <w:bCs/>
          <w:color w:val="auto"/>
          <w:kern w:val="0"/>
          <w:highlight w:val="none"/>
        </w:rPr>
      </w:pPr>
      <w:r>
        <w:rPr>
          <w:rFonts w:hint="eastAsia" w:ascii="Arial" w:hAnsi="Arial" w:cs="Arial"/>
          <w:bCs/>
          <w:color w:val="auto"/>
          <w:kern w:val="0"/>
          <w:highlight w:val="none"/>
        </w:rPr>
        <w:t>2.小微企业价格扣除</w:t>
      </w:r>
    </w:p>
    <w:p w14:paraId="2B764E2C">
      <w:pPr>
        <w:spacing w:line="360" w:lineRule="auto"/>
        <w:rPr>
          <w:rFonts w:ascii="Arial" w:hAnsi="Arial" w:cs="Arial"/>
          <w:bCs/>
          <w:color w:val="auto"/>
          <w:kern w:val="0"/>
          <w:highlight w:val="none"/>
        </w:rPr>
      </w:pPr>
      <w:r>
        <w:rPr>
          <w:rFonts w:hint="eastAsia" w:ascii="Arial" w:hAnsi="Arial" w:cs="Arial"/>
          <w:bCs/>
          <w:color w:val="auto"/>
          <w:kern w:val="0"/>
          <w:highlight w:val="none"/>
        </w:rPr>
        <w:t>2.1对于专门面向中小企业或小型、微型企业的项目，只面向中小企业或小型、微型企业采购。对于非专门面向中小企业的项目，对小型和微型企业的价格给予10%的扣除，用扣除后的价格参与评审。</w:t>
      </w:r>
    </w:p>
    <w:p w14:paraId="21C38BC0">
      <w:pPr>
        <w:spacing w:line="360" w:lineRule="auto"/>
        <w:rPr>
          <w:rFonts w:ascii="Arial" w:hAnsi="Arial" w:cs="Arial"/>
          <w:bCs/>
          <w:color w:val="auto"/>
          <w:kern w:val="0"/>
          <w:highlight w:val="none"/>
        </w:rPr>
      </w:pPr>
      <w:r>
        <w:rPr>
          <w:rFonts w:hint="eastAsia" w:ascii="Arial" w:hAnsi="Arial" w:cs="Arial"/>
          <w:bCs/>
          <w:color w:val="auto"/>
          <w:kern w:val="0"/>
          <w:highlight w:val="none"/>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4A3A69C1">
      <w:pPr>
        <w:spacing w:line="360" w:lineRule="auto"/>
        <w:rPr>
          <w:rFonts w:ascii="Arial" w:hAnsi="Arial" w:cs="Arial"/>
          <w:bCs/>
          <w:color w:val="auto"/>
          <w:kern w:val="0"/>
          <w:highlight w:val="none"/>
        </w:rPr>
      </w:pPr>
      <w:r>
        <w:rPr>
          <w:rFonts w:hint="eastAsia" w:ascii="Arial" w:hAnsi="Arial" w:cs="Arial"/>
          <w:bCs/>
          <w:color w:val="auto"/>
          <w:kern w:val="0"/>
          <w:highlight w:val="none"/>
        </w:rPr>
        <w:t>3.监狱和戒毒企业的价格扣除</w:t>
      </w:r>
    </w:p>
    <w:p w14:paraId="55FC08B6">
      <w:pPr>
        <w:spacing w:line="360" w:lineRule="auto"/>
        <w:rPr>
          <w:rFonts w:ascii="Arial" w:hAnsi="Arial" w:cs="Arial"/>
          <w:bCs/>
          <w:color w:val="auto"/>
          <w:kern w:val="0"/>
          <w:highlight w:val="none"/>
        </w:rPr>
      </w:pPr>
      <w:r>
        <w:rPr>
          <w:rFonts w:hint="eastAsia" w:ascii="Arial" w:hAnsi="Arial" w:cs="Arial"/>
          <w:bCs/>
          <w:color w:val="auto"/>
          <w:kern w:val="0"/>
          <w:highlight w:val="none"/>
        </w:rPr>
        <w:t>3.1 本项目对监狱和戒毒企业，给予10%的价格扣除，用扣除后的价格参与评审。</w:t>
      </w:r>
    </w:p>
    <w:p w14:paraId="42ABFB7D">
      <w:pPr>
        <w:spacing w:line="360" w:lineRule="auto"/>
        <w:rPr>
          <w:rFonts w:ascii="Arial" w:hAnsi="Arial" w:cs="Arial"/>
          <w:bCs/>
          <w:color w:val="auto"/>
          <w:kern w:val="0"/>
          <w:highlight w:val="none"/>
        </w:rPr>
      </w:pPr>
      <w:r>
        <w:rPr>
          <w:rFonts w:hint="eastAsia" w:ascii="Arial" w:hAnsi="Arial" w:cs="Arial"/>
          <w:bCs/>
          <w:color w:val="auto"/>
          <w:kern w:val="0"/>
          <w:highlight w:val="none"/>
        </w:rPr>
        <w:t>3.2 监狱企业需提供由省级以上监狱管理局、戒毒管理局（含新疆生产建设兵团）出具的属于监狱企业的证明文件。</w:t>
      </w:r>
    </w:p>
    <w:p w14:paraId="2C6F11AA">
      <w:pPr>
        <w:spacing w:line="360" w:lineRule="auto"/>
        <w:rPr>
          <w:rFonts w:ascii="Arial" w:hAnsi="Arial" w:cs="Arial"/>
          <w:bCs/>
          <w:color w:val="auto"/>
          <w:kern w:val="0"/>
          <w:highlight w:val="none"/>
        </w:rPr>
      </w:pPr>
      <w:r>
        <w:rPr>
          <w:rFonts w:hint="eastAsia" w:ascii="Arial" w:hAnsi="Arial" w:cs="Arial"/>
          <w:bCs/>
          <w:color w:val="auto"/>
          <w:kern w:val="0"/>
          <w:highlight w:val="none"/>
        </w:rPr>
        <w:t>3.3 监狱企业标准请参照《关于政府采购支持监狱企业发展有关问题的通知》（财库〔2014〕68号）。</w:t>
      </w:r>
    </w:p>
    <w:p w14:paraId="55CC8F12">
      <w:pPr>
        <w:spacing w:line="360" w:lineRule="auto"/>
        <w:rPr>
          <w:rFonts w:ascii="Arial" w:hAnsi="Arial" w:cs="Arial"/>
          <w:bCs/>
          <w:color w:val="auto"/>
          <w:kern w:val="0"/>
          <w:highlight w:val="none"/>
        </w:rPr>
      </w:pPr>
      <w:r>
        <w:rPr>
          <w:rFonts w:hint="eastAsia" w:ascii="Arial" w:hAnsi="Arial" w:cs="Arial"/>
          <w:bCs/>
          <w:color w:val="auto"/>
          <w:kern w:val="0"/>
          <w:highlight w:val="none"/>
        </w:rPr>
        <w:t>4.残疾人福利性单位的价格扣除</w:t>
      </w:r>
    </w:p>
    <w:p w14:paraId="7C3FB378">
      <w:pPr>
        <w:spacing w:line="360" w:lineRule="auto"/>
        <w:rPr>
          <w:rFonts w:ascii="Arial" w:hAnsi="Arial" w:cs="Arial"/>
          <w:bCs/>
          <w:color w:val="auto"/>
          <w:kern w:val="0"/>
          <w:highlight w:val="none"/>
        </w:rPr>
      </w:pPr>
      <w:r>
        <w:rPr>
          <w:rFonts w:hint="eastAsia" w:ascii="Arial" w:hAnsi="Arial" w:cs="Arial"/>
          <w:bCs/>
          <w:color w:val="auto"/>
          <w:kern w:val="0"/>
          <w:highlight w:val="none"/>
        </w:rPr>
        <w:t>4.1 本项目对残疾人福利性单位，给予10%的价格扣除，用扣除后的价格参与评审。</w:t>
      </w:r>
    </w:p>
    <w:p w14:paraId="46D170DA">
      <w:pPr>
        <w:spacing w:line="360" w:lineRule="auto"/>
        <w:rPr>
          <w:rFonts w:ascii="Arial" w:hAnsi="Arial" w:cs="Arial"/>
          <w:bCs/>
          <w:color w:val="auto"/>
          <w:kern w:val="0"/>
          <w:highlight w:val="none"/>
        </w:rPr>
      </w:pPr>
      <w:r>
        <w:rPr>
          <w:rFonts w:hint="eastAsia" w:ascii="Arial" w:hAnsi="Arial" w:cs="Arial"/>
          <w:bCs/>
          <w:color w:val="auto"/>
          <w:kern w:val="0"/>
          <w:highlight w:val="none"/>
        </w:rPr>
        <w:t>4.2 残疾人福利性单位需提供《残疾人福利性单位声明函》。</w:t>
      </w:r>
    </w:p>
    <w:p w14:paraId="674E8067">
      <w:pPr>
        <w:spacing w:line="360" w:lineRule="auto"/>
        <w:rPr>
          <w:rFonts w:ascii="Arial" w:hAnsi="Arial" w:cs="Arial"/>
          <w:bCs/>
          <w:color w:val="auto"/>
          <w:kern w:val="0"/>
          <w:highlight w:val="none"/>
        </w:rPr>
      </w:pPr>
      <w:r>
        <w:rPr>
          <w:rFonts w:hint="eastAsia" w:ascii="Arial" w:hAnsi="Arial" w:cs="Arial"/>
          <w:bCs/>
          <w:color w:val="auto"/>
          <w:kern w:val="0"/>
          <w:highlight w:val="none"/>
        </w:rPr>
        <w:t>4.3 残疾人福利性单位标准请参照《关于促进残疾人就业政府采购政策的通知》（财库〔2017〕141号）。</w:t>
      </w:r>
    </w:p>
    <w:p w14:paraId="52856885">
      <w:pPr>
        <w:spacing w:line="360" w:lineRule="auto"/>
        <w:rPr>
          <w:rFonts w:ascii="Arial" w:hAnsi="Arial" w:cs="Arial"/>
          <w:bCs/>
          <w:color w:val="auto"/>
          <w:kern w:val="0"/>
          <w:highlight w:val="none"/>
        </w:rPr>
      </w:pPr>
      <w:r>
        <w:rPr>
          <w:rFonts w:hint="eastAsia" w:ascii="Arial" w:hAnsi="Arial" w:cs="Arial"/>
          <w:bCs/>
          <w:color w:val="auto"/>
          <w:kern w:val="0"/>
          <w:highlight w:val="none"/>
        </w:rPr>
        <w:t>5. 监狱企业、残疾人福利性单位属于小型、微型企业的，不重复享受政策。</w:t>
      </w:r>
    </w:p>
    <w:p w14:paraId="53828444">
      <w:pPr>
        <w:pStyle w:val="3"/>
        <w:numPr>
          <w:ilvl w:val="0"/>
          <w:numId w:val="0"/>
        </w:numPr>
        <w:rPr>
          <w:rFonts w:ascii="Arial" w:hAnsi="Arial" w:cs="Arial"/>
          <w:color w:val="auto"/>
          <w:kern w:val="0"/>
          <w:highlight w:val="none"/>
        </w:rPr>
        <w:sectPr>
          <w:footerReference r:id="rId12" w:type="first"/>
          <w:footerReference r:id="rId11" w:type="default"/>
          <w:pgSz w:w="11906" w:h="16838"/>
          <w:pgMar w:top="1349" w:right="1440" w:bottom="1440" w:left="1361" w:header="851" w:footer="992" w:gutter="0"/>
          <w:cols w:space="720" w:num="1"/>
          <w:titlePg/>
          <w:docGrid w:type="lines" w:linePitch="337" w:charSpace="0"/>
        </w:sectPr>
      </w:pPr>
      <w:bookmarkStart w:id="7" w:name="_Toc23380"/>
    </w:p>
    <w:p w14:paraId="50157F33">
      <w:pPr>
        <w:pStyle w:val="3"/>
        <w:numPr>
          <w:ilvl w:val="0"/>
          <w:numId w:val="0"/>
        </w:numPr>
        <w:rPr>
          <w:rFonts w:ascii="Arial" w:hAnsi="Arial" w:cs="Arial"/>
          <w:color w:val="auto"/>
          <w:kern w:val="0"/>
          <w:highlight w:val="none"/>
        </w:rPr>
      </w:pPr>
      <w:r>
        <w:rPr>
          <w:rFonts w:ascii="Arial" w:hAnsi="Arial" w:cs="Arial"/>
          <w:color w:val="auto"/>
          <w:kern w:val="0"/>
          <w:highlight w:val="none"/>
        </w:rPr>
        <w:t>第四章 采购需求</w:t>
      </w:r>
      <w:bookmarkEnd w:id="7"/>
      <w:bookmarkStart w:id="8" w:name="_Toc481057147"/>
    </w:p>
    <w:p w14:paraId="2E79540B">
      <w:pPr>
        <w:ind w:firstLine="480"/>
        <w:rPr>
          <w:rFonts w:hint="eastAsia"/>
          <w:color w:val="auto"/>
          <w:szCs w:val="24"/>
          <w:highlight w:val="none"/>
        </w:rPr>
      </w:pPr>
      <w:r>
        <w:rPr>
          <w:rFonts w:hint="eastAsia"/>
          <w:color w:val="auto"/>
          <w:szCs w:val="24"/>
          <w:highlight w:val="none"/>
        </w:rPr>
        <w:t>本</w:t>
      </w:r>
      <w:r>
        <w:rPr>
          <w:color w:val="auto"/>
          <w:szCs w:val="24"/>
          <w:highlight w:val="none"/>
        </w:rPr>
        <w:t>项目</w:t>
      </w:r>
      <w:r>
        <w:rPr>
          <w:rFonts w:hint="eastAsia"/>
          <w:color w:val="auto"/>
          <w:szCs w:val="24"/>
          <w:highlight w:val="none"/>
        </w:rPr>
        <w:t>主要采购人文社科科研楼三楼</w:t>
      </w:r>
      <w:r>
        <w:rPr>
          <w:color w:val="auto"/>
          <w:szCs w:val="24"/>
          <w:highlight w:val="none"/>
        </w:rPr>
        <w:t>5间会议场所</w:t>
      </w:r>
      <w:r>
        <w:rPr>
          <w:rFonts w:hint="eastAsia"/>
          <w:color w:val="auto"/>
          <w:szCs w:val="24"/>
          <w:highlight w:val="none"/>
        </w:rPr>
        <w:t>（包括</w:t>
      </w:r>
      <w:r>
        <w:rPr>
          <w:color w:val="auto"/>
          <w:szCs w:val="24"/>
          <w:highlight w:val="none"/>
        </w:rPr>
        <w:t>301大型报告厅1间、309中型报告厅1间、310研讨型小型会议室1间、313</w:t>
      </w:r>
      <w:r>
        <w:rPr>
          <w:rFonts w:hint="eastAsia"/>
          <w:color w:val="auto"/>
          <w:szCs w:val="24"/>
          <w:highlight w:val="none"/>
        </w:rPr>
        <w:t>及</w:t>
      </w:r>
      <w:r>
        <w:rPr>
          <w:color w:val="auto"/>
          <w:szCs w:val="24"/>
          <w:highlight w:val="none"/>
        </w:rPr>
        <w:t>314小型报告厅2间</w:t>
      </w:r>
      <w:r>
        <w:rPr>
          <w:rFonts w:hint="eastAsia"/>
          <w:color w:val="auto"/>
          <w:szCs w:val="24"/>
          <w:highlight w:val="none"/>
        </w:rPr>
        <w:t>）设备与集成服务。</w:t>
      </w:r>
      <w:r>
        <w:rPr>
          <w:rFonts w:hint="eastAsia" w:ascii="宋体" w:hAnsi="宋体"/>
          <w:color w:val="auto"/>
          <w:szCs w:val="24"/>
          <w:highlight w:val="none"/>
        </w:rPr>
        <w:t>投标方须考察现场，了解现场现状及空间、电气及网络接口等安装条件，设备安装及安装条件的准备由供方负责，采购方负责提供安装施工必要的便利条件，安装施工中造成的墙面、地面和顶面的破损供方应负责修复。</w:t>
      </w:r>
    </w:p>
    <w:p w14:paraId="72D095B0">
      <w:pPr>
        <w:ind w:firstLine="0" w:firstLineChars="0"/>
        <w:rPr>
          <w:rFonts w:hint="eastAsia" w:ascii="宋体" w:hAnsi="宋体"/>
          <w:b/>
          <w:color w:val="auto"/>
          <w:szCs w:val="24"/>
          <w:highlight w:val="none"/>
          <w:lang w:eastAsia="zh-CN"/>
        </w:rPr>
      </w:pPr>
      <w:bookmarkStart w:id="9" w:name="_Toc5352"/>
      <w:r>
        <w:rPr>
          <w:rFonts w:hint="eastAsia" w:ascii="宋体" w:hAnsi="宋体"/>
          <w:b/>
          <w:color w:val="auto"/>
          <w:szCs w:val="24"/>
          <w:highlight w:val="none"/>
        </w:rPr>
        <w:t>1、</w:t>
      </w:r>
      <w:r>
        <w:rPr>
          <w:rFonts w:ascii="宋体" w:hAnsi="宋体"/>
          <w:b/>
          <w:color w:val="auto"/>
          <w:szCs w:val="24"/>
          <w:highlight w:val="none"/>
        </w:rPr>
        <w:t>投标产品</w:t>
      </w:r>
      <w:r>
        <w:rPr>
          <w:rFonts w:hint="eastAsia" w:ascii="宋体" w:hAnsi="宋体"/>
          <w:b/>
          <w:color w:val="auto"/>
          <w:szCs w:val="24"/>
          <w:highlight w:val="none"/>
        </w:rPr>
        <w:t>：</w:t>
      </w:r>
      <w:r>
        <w:rPr>
          <w:rFonts w:ascii="宋体" w:hAnsi="宋体"/>
          <w:b/>
          <w:color w:val="auto"/>
          <w:szCs w:val="24"/>
          <w:highlight w:val="none"/>
        </w:rPr>
        <w:t>须注明生产厂家及型号规格</w:t>
      </w:r>
    </w:p>
    <w:p w14:paraId="53192D95">
      <w:pPr>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现场设备安装一般要求</w:t>
      </w:r>
    </w:p>
    <w:p w14:paraId="1A8ADD02">
      <w:pPr>
        <w:ind w:firstLine="480"/>
        <w:rPr>
          <w:rFonts w:hint="eastAsia" w:ascii="宋体" w:hAnsi="宋体"/>
          <w:color w:val="auto"/>
          <w:szCs w:val="21"/>
          <w:highlight w:val="none"/>
        </w:rPr>
      </w:pPr>
      <w:r>
        <w:rPr>
          <w:rFonts w:hint="eastAsia" w:ascii="宋体" w:hAnsi="宋体"/>
          <w:color w:val="auto"/>
          <w:szCs w:val="21"/>
          <w:highlight w:val="none"/>
        </w:rPr>
        <w:t>根据设备工作原理和用户要求，设备安装集成施工前应编制《</w:t>
      </w:r>
      <w:r>
        <w:rPr>
          <w:rFonts w:hint="eastAsia" w:ascii="宋体" w:hAnsi="宋体"/>
          <w:color w:val="auto"/>
          <w:szCs w:val="21"/>
          <w:highlight w:val="none"/>
          <w:lang w:val="en-US" w:eastAsia="zh-CN"/>
        </w:rPr>
        <w:t>安装调试</w:t>
      </w:r>
      <w:r>
        <w:rPr>
          <w:rFonts w:hint="eastAsia" w:ascii="宋体" w:hAnsi="宋体"/>
          <w:color w:val="auto"/>
          <w:szCs w:val="21"/>
          <w:highlight w:val="none"/>
        </w:rPr>
        <w:t>方案》，绘制《系统安装接线图》，经招标方审核后方可施工。</w:t>
      </w:r>
    </w:p>
    <w:p w14:paraId="1B7888C2">
      <w:pPr>
        <w:ind w:firstLine="480"/>
        <w:rPr>
          <w:rFonts w:ascii="宋体" w:hAnsi="宋体" w:cs="宋体"/>
          <w:color w:val="auto"/>
          <w:kern w:val="0"/>
          <w:szCs w:val="21"/>
          <w:highlight w:val="none"/>
        </w:rPr>
      </w:pPr>
      <w:r>
        <w:rPr>
          <w:rFonts w:hint="eastAsia" w:ascii="宋体" w:hAnsi="宋体"/>
          <w:color w:val="auto"/>
          <w:szCs w:val="21"/>
          <w:highlight w:val="none"/>
        </w:rPr>
        <w:t>设备</w:t>
      </w:r>
      <w:r>
        <w:rPr>
          <w:rFonts w:hint="eastAsia" w:ascii="宋体" w:hAnsi="宋体" w:cs="宋体"/>
          <w:color w:val="auto"/>
          <w:kern w:val="0"/>
          <w:szCs w:val="21"/>
          <w:highlight w:val="none"/>
        </w:rPr>
        <w:t>强弱电线路布线要避免相互干扰。隐蔽线路走强弱电桥架或加保护套管，尽量避免走明线（迫不得已情况走明线要征得招标方的书面许可），明线须穿套管，套管须横平竖直，牢靠固定，强弱电线路不能有中间直接对接头。</w:t>
      </w:r>
    </w:p>
    <w:p w14:paraId="3E1DF88B">
      <w:pPr>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安装集成中使用的各类线材应采用优质品牌产品，网线应使用六类品牌线配6类品牌模块。</w:t>
      </w:r>
    </w:p>
    <w:p w14:paraId="780FE621">
      <w:pPr>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3、软件要求</w:t>
      </w:r>
    </w:p>
    <w:p w14:paraId="1C74C013">
      <w:pPr>
        <w:ind w:firstLine="480"/>
        <w:rPr>
          <w:rFonts w:hint="eastAsia" w:ascii="宋体" w:hAnsi="宋体" w:cs="宋体"/>
          <w:color w:val="auto"/>
          <w:kern w:val="0"/>
          <w:szCs w:val="21"/>
          <w:highlight w:val="none"/>
        </w:rPr>
      </w:pPr>
      <w:r>
        <w:rPr>
          <w:rFonts w:hint="eastAsia" w:ascii="宋体" w:hAnsi="宋体" w:cs="宋体"/>
          <w:bCs/>
          <w:color w:val="auto"/>
          <w:szCs w:val="21"/>
          <w:highlight w:val="none"/>
        </w:rPr>
        <w:t>随硬件提供的软件需提供无限期授权，有更新版本时应提供及时的更新服务，信息交互软件作为系统集成的内容之一，应满足功能需求，并提供免费安装部署。</w:t>
      </w:r>
    </w:p>
    <w:bookmarkEnd w:id="9"/>
    <w:p w14:paraId="45995217">
      <w:pPr>
        <w:pStyle w:val="3"/>
        <w:keepLines/>
        <w:numPr>
          <w:ilvl w:val="0"/>
          <w:numId w:val="0"/>
        </w:numPr>
        <w:adjustRightInd w:val="0"/>
        <w:jc w:val="both"/>
        <w:rPr>
          <w:rFonts w:eastAsia="宋体"/>
          <w:bCs/>
          <w:color w:val="auto"/>
          <w:kern w:val="44"/>
          <w:sz w:val="24"/>
          <w:szCs w:val="24"/>
          <w:highlight w:val="none"/>
        </w:rPr>
      </w:pPr>
      <w:bookmarkStart w:id="10" w:name="_Toc188030377"/>
      <w:bookmarkStart w:id="11" w:name="_Toc180676465"/>
      <w:bookmarkStart w:id="12" w:name="_Toc19708"/>
      <w:bookmarkStart w:id="13" w:name="_Toc180695430"/>
      <w:bookmarkStart w:id="14" w:name="_Toc14289"/>
      <w:bookmarkStart w:id="15" w:name="_Toc303216624"/>
      <w:bookmarkStart w:id="16" w:name="_Toc303906048"/>
      <w:bookmarkStart w:id="17" w:name="_Toc215027661"/>
      <w:r>
        <w:rPr>
          <w:rFonts w:hint="eastAsia" w:eastAsia="宋体"/>
          <w:bCs/>
          <w:color w:val="auto"/>
          <w:kern w:val="44"/>
          <w:sz w:val="24"/>
          <w:szCs w:val="24"/>
          <w:highlight w:val="none"/>
        </w:rPr>
        <w:t>4、投标</w:t>
      </w:r>
      <w:r>
        <w:rPr>
          <w:rFonts w:eastAsia="宋体"/>
          <w:bCs/>
          <w:color w:val="auto"/>
          <w:kern w:val="44"/>
          <w:sz w:val="24"/>
          <w:szCs w:val="24"/>
          <w:highlight w:val="none"/>
        </w:rPr>
        <w:t>设计依据及标准</w:t>
      </w:r>
      <w:bookmarkEnd w:id="10"/>
      <w:bookmarkEnd w:id="11"/>
      <w:bookmarkEnd w:id="12"/>
      <w:bookmarkEnd w:id="13"/>
      <w:bookmarkEnd w:id="14"/>
      <w:bookmarkEnd w:id="15"/>
      <w:bookmarkEnd w:id="16"/>
    </w:p>
    <w:p w14:paraId="6A4B30C8">
      <w:pPr>
        <w:pStyle w:val="200"/>
        <w:numPr>
          <w:ilvl w:val="0"/>
          <w:numId w:val="6"/>
        </w:numPr>
        <w:rPr>
          <w:rFonts w:ascii="Times New Roman" w:hAnsi="Times New Roman"/>
          <w:color w:val="auto"/>
          <w:highlight w:val="none"/>
        </w:rPr>
      </w:pPr>
      <w:r>
        <w:rPr>
          <w:rFonts w:ascii="Times New Roman" w:hAnsi="Times New Roman"/>
          <w:color w:val="auto"/>
          <w:highlight w:val="none"/>
        </w:rPr>
        <w:t>《厅堂扩声系统设计规范》 GB50371-2006</w:t>
      </w:r>
    </w:p>
    <w:p w14:paraId="75E8C2C2">
      <w:pPr>
        <w:pStyle w:val="200"/>
        <w:numPr>
          <w:ilvl w:val="0"/>
          <w:numId w:val="6"/>
        </w:numPr>
        <w:rPr>
          <w:rFonts w:ascii="Times New Roman" w:hAnsi="Times New Roman"/>
          <w:color w:val="auto"/>
          <w:highlight w:val="none"/>
          <w:lang w:val="zh-CN"/>
        </w:rPr>
      </w:pPr>
      <w:r>
        <w:rPr>
          <w:rFonts w:ascii="Times New Roman" w:hAnsi="Times New Roman"/>
          <w:color w:val="auto"/>
          <w:highlight w:val="none"/>
          <w:lang w:val="zh-CN"/>
        </w:rPr>
        <w:t>《厅堂、体育场馆扩声系统设计规范》GB/T28049-2011</w:t>
      </w:r>
    </w:p>
    <w:p w14:paraId="391D8F1D">
      <w:pPr>
        <w:pStyle w:val="200"/>
        <w:numPr>
          <w:ilvl w:val="0"/>
          <w:numId w:val="6"/>
        </w:numPr>
        <w:rPr>
          <w:rFonts w:ascii="Times New Roman" w:hAnsi="Times New Roman"/>
          <w:color w:val="auto"/>
          <w:highlight w:val="none"/>
        </w:rPr>
      </w:pPr>
      <w:r>
        <w:rPr>
          <w:rFonts w:ascii="Times New Roman" w:hAnsi="Times New Roman"/>
          <w:color w:val="auto"/>
          <w:highlight w:val="none"/>
        </w:rPr>
        <w:t xml:space="preserve">《厅堂扩声特性测量方法》 GB/T 4959－2011 </w:t>
      </w:r>
    </w:p>
    <w:p w14:paraId="12B1D7CB">
      <w:pPr>
        <w:pStyle w:val="200"/>
        <w:numPr>
          <w:ilvl w:val="0"/>
          <w:numId w:val="6"/>
        </w:numPr>
        <w:rPr>
          <w:rFonts w:ascii="Times New Roman" w:hAnsi="Times New Roman"/>
          <w:color w:val="auto"/>
          <w:highlight w:val="none"/>
          <w:lang w:val="zh-CN"/>
        </w:rPr>
      </w:pPr>
      <w:r>
        <w:rPr>
          <w:rFonts w:ascii="Times New Roman" w:hAnsi="Times New Roman"/>
          <w:color w:val="auto"/>
          <w:highlight w:val="none"/>
          <w:lang w:val="zh-CN"/>
        </w:rPr>
        <w:t>《电子会议系统工程设计规范》GB 50799-2012</w:t>
      </w:r>
    </w:p>
    <w:p w14:paraId="7352A2D3">
      <w:pPr>
        <w:pStyle w:val="200"/>
        <w:numPr>
          <w:ilvl w:val="0"/>
          <w:numId w:val="6"/>
        </w:numPr>
        <w:rPr>
          <w:rFonts w:ascii="Times New Roman" w:hAnsi="Times New Roman"/>
          <w:color w:val="auto"/>
          <w:highlight w:val="none"/>
        </w:rPr>
      </w:pPr>
      <w:r>
        <w:rPr>
          <w:rFonts w:ascii="Times New Roman" w:hAnsi="Times New Roman"/>
          <w:color w:val="auto"/>
          <w:highlight w:val="none"/>
        </w:rPr>
        <w:t>《声学语言清晰度测试方法》 GB/T15508-1995</w:t>
      </w:r>
    </w:p>
    <w:p w14:paraId="422042F3">
      <w:pPr>
        <w:pStyle w:val="200"/>
        <w:numPr>
          <w:ilvl w:val="0"/>
          <w:numId w:val="6"/>
        </w:numPr>
        <w:rPr>
          <w:rFonts w:ascii="Times New Roman" w:hAnsi="Times New Roman"/>
          <w:color w:val="auto"/>
          <w:highlight w:val="none"/>
        </w:rPr>
      </w:pPr>
      <w:r>
        <w:rPr>
          <w:rFonts w:ascii="Times New Roman" w:hAnsi="Times New Roman"/>
          <w:color w:val="auto"/>
          <w:highlight w:val="none"/>
        </w:rPr>
        <w:t>《民用建筑电气设计标准》 GB51348-2019</w:t>
      </w:r>
    </w:p>
    <w:p w14:paraId="5B147506">
      <w:pPr>
        <w:pStyle w:val="200"/>
        <w:numPr>
          <w:ilvl w:val="0"/>
          <w:numId w:val="6"/>
        </w:numPr>
        <w:rPr>
          <w:rFonts w:ascii="Times New Roman" w:hAnsi="Times New Roman"/>
          <w:color w:val="auto"/>
          <w:highlight w:val="none"/>
        </w:rPr>
      </w:pPr>
      <w:r>
        <w:rPr>
          <w:rFonts w:ascii="Times New Roman" w:hAnsi="Times New Roman"/>
          <w:color w:val="auto"/>
          <w:highlight w:val="none"/>
        </w:rPr>
        <w:t>《视频显示系统工程技术规范》 GB50464-2008</w:t>
      </w:r>
    </w:p>
    <w:p w14:paraId="69D289F8">
      <w:pPr>
        <w:pStyle w:val="200"/>
        <w:numPr>
          <w:ilvl w:val="0"/>
          <w:numId w:val="6"/>
        </w:numPr>
        <w:rPr>
          <w:rFonts w:ascii="Times New Roman" w:hAnsi="Times New Roman"/>
          <w:color w:val="auto"/>
          <w:highlight w:val="none"/>
        </w:rPr>
      </w:pPr>
      <w:r>
        <w:rPr>
          <w:rFonts w:ascii="Times New Roman" w:hAnsi="Times New Roman"/>
          <w:color w:val="auto"/>
          <w:highlight w:val="none"/>
        </w:rPr>
        <w:t>《综合布线系统工程设计规范》 GB50311-2016</w:t>
      </w:r>
    </w:p>
    <w:p w14:paraId="7A7A1FC2">
      <w:pPr>
        <w:pStyle w:val="200"/>
        <w:numPr>
          <w:ilvl w:val="0"/>
          <w:numId w:val="6"/>
        </w:numPr>
        <w:rPr>
          <w:rFonts w:ascii="Times New Roman" w:hAnsi="Times New Roman"/>
          <w:color w:val="auto"/>
          <w:highlight w:val="none"/>
        </w:rPr>
      </w:pPr>
      <w:r>
        <w:rPr>
          <w:rFonts w:ascii="Times New Roman" w:hAnsi="Times New Roman"/>
          <w:color w:val="auto"/>
          <w:highlight w:val="none"/>
        </w:rPr>
        <w:t>《智能建筑设计标准》GB50314-2015</w:t>
      </w:r>
    </w:p>
    <w:p w14:paraId="33232698">
      <w:pPr>
        <w:pStyle w:val="200"/>
        <w:numPr>
          <w:ilvl w:val="0"/>
          <w:numId w:val="6"/>
        </w:numPr>
        <w:rPr>
          <w:rFonts w:ascii="Times New Roman" w:hAnsi="Times New Roman"/>
          <w:color w:val="auto"/>
          <w:highlight w:val="none"/>
        </w:rPr>
      </w:pPr>
      <w:r>
        <w:rPr>
          <w:rFonts w:ascii="Times New Roman" w:hAnsi="Times New Roman"/>
          <w:color w:val="auto"/>
          <w:highlight w:val="none"/>
        </w:rPr>
        <w:t>《会议电视系统工程设计规范》YD/5032-97</w:t>
      </w:r>
    </w:p>
    <w:p w14:paraId="56CD19E8">
      <w:pPr>
        <w:pStyle w:val="200"/>
        <w:numPr>
          <w:ilvl w:val="0"/>
          <w:numId w:val="6"/>
        </w:numPr>
        <w:rPr>
          <w:rFonts w:ascii="Times New Roman" w:hAnsi="Times New Roman"/>
          <w:color w:val="auto"/>
          <w:highlight w:val="none"/>
        </w:rPr>
      </w:pPr>
      <w:r>
        <w:rPr>
          <w:rFonts w:ascii="Times New Roman" w:hAnsi="Times New Roman"/>
          <w:color w:val="auto"/>
          <w:highlight w:val="none"/>
        </w:rPr>
        <w:t>用户对项目的要求</w:t>
      </w:r>
    </w:p>
    <w:p w14:paraId="3F65DF32">
      <w:pPr>
        <w:pStyle w:val="200"/>
        <w:numPr>
          <w:ilvl w:val="0"/>
          <w:numId w:val="6"/>
        </w:numPr>
        <w:rPr>
          <w:rFonts w:ascii="Times New Roman" w:hAnsi="Times New Roman"/>
          <w:color w:val="auto"/>
          <w:highlight w:val="none"/>
        </w:rPr>
      </w:pPr>
      <w:r>
        <w:rPr>
          <w:rFonts w:ascii="Times New Roman" w:hAnsi="Times New Roman"/>
          <w:color w:val="auto"/>
          <w:highlight w:val="none"/>
        </w:rPr>
        <w:t>现场情况</w:t>
      </w:r>
    </w:p>
    <w:p w14:paraId="02CF18B7">
      <w:pPr>
        <w:pStyle w:val="200"/>
        <w:numPr>
          <w:ilvl w:val="0"/>
          <w:numId w:val="6"/>
        </w:numPr>
        <w:rPr>
          <w:rFonts w:ascii="Times New Roman" w:hAnsi="Times New Roman"/>
          <w:color w:val="auto"/>
          <w:highlight w:val="none"/>
        </w:rPr>
      </w:pPr>
      <w:r>
        <w:rPr>
          <w:rFonts w:ascii="Times New Roman" w:hAnsi="Times New Roman"/>
          <w:color w:val="auto"/>
          <w:highlight w:val="none"/>
        </w:rPr>
        <w:t>提供的项目图纸</w:t>
      </w:r>
    </w:p>
    <w:p w14:paraId="64905C7A">
      <w:pPr>
        <w:pStyle w:val="200"/>
        <w:numPr>
          <w:ilvl w:val="0"/>
          <w:numId w:val="6"/>
        </w:numPr>
        <w:rPr>
          <w:rFonts w:ascii="Times New Roman" w:hAnsi="Times New Roman"/>
          <w:color w:val="auto"/>
          <w:highlight w:val="none"/>
        </w:rPr>
      </w:pPr>
      <w:r>
        <w:rPr>
          <w:rFonts w:ascii="Times New Roman" w:hAnsi="Times New Roman"/>
          <w:color w:val="auto"/>
          <w:highlight w:val="none"/>
        </w:rPr>
        <w:t>其他有关文件和资料</w:t>
      </w:r>
    </w:p>
    <w:p w14:paraId="114A262C">
      <w:pPr>
        <w:rPr>
          <w:b/>
          <w:bCs/>
          <w:color w:val="auto"/>
          <w:szCs w:val="24"/>
          <w:highlight w:val="none"/>
        </w:rPr>
      </w:pPr>
      <w:r>
        <w:rPr>
          <w:b/>
          <w:bCs/>
          <w:color w:val="auto"/>
          <w:szCs w:val="24"/>
          <w:highlight w:val="none"/>
        </w:rPr>
        <w:t>注：如以上所有设计规范、规程、标准的文件版本出现更新的，均应采用最新版本；</w:t>
      </w:r>
    </w:p>
    <w:p w14:paraId="2D7FB432">
      <w:pPr>
        <w:ind w:firstLine="480"/>
        <w:rPr>
          <w:color w:val="auto"/>
          <w:szCs w:val="24"/>
          <w:highlight w:val="none"/>
        </w:rPr>
      </w:pPr>
      <w:bookmarkStart w:id="18" w:name="_Toc188030378"/>
      <w:r>
        <w:rPr>
          <w:color w:val="auto"/>
          <w:szCs w:val="24"/>
          <w:highlight w:val="none"/>
        </w:rPr>
        <w:t>音频扩声系统的设计指标参考GB50371-2006扩声系统指标。</w:t>
      </w:r>
    </w:p>
    <w:p w14:paraId="523007CC">
      <w:pPr>
        <w:ind w:firstLine="480"/>
        <w:rPr>
          <w:rFonts w:hint="eastAsia"/>
          <w:color w:val="auto"/>
          <w:szCs w:val="24"/>
          <w:highlight w:val="none"/>
        </w:rPr>
      </w:pPr>
      <w:r>
        <w:rPr>
          <w:color w:val="auto"/>
          <w:szCs w:val="24"/>
          <w:highlight w:val="none"/>
        </w:rPr>
        <w:t>根据用户规划及建设标准，301会议厅扩声系统可满足语言扩声同时兼顾小型活动性质，其建设按照多用途类扩声系统标准一级建设。其余309报告厅、310讨论型会议室、313</w:t>
      </w:r>
      <w:r>
        <w:rPr>
          <w:rFonts w:hint="eastAsia"/>
          <w:color w:val="auto"/>
          <w:szCs w:val="24"/>
          <w:highlight w:val="none"/>
        </w:rPr>
        <w:t>及</w:t>
      </w:r>
      <w:r>
        <w:rPr>
          <w:color w:val="auto"/>
          <w:szCs w:val="24"/>
          <w:highlight w:val="none"/>
        </w:rPr>
        <w:t>314报告厅均按照会议类扩声系统标准一级建设。</w:t>
      </w:r>
    </w:p>
    <w:bookmarkEnd w:id="18"/>
    <w:p w14:paraId="79F5D2E5">
      <w:pPr>
        <w:pStyle w:val="3"/>
        <w:numPr>
          <w:ilvl w:val="0"/>
          <w:numId w:val="0"/>
        </w:numPr>
        <w:jc w:val="both"/>
        <w:rPr>
          <w:rFonts w:eastAsia="宋体"/>
          <w:color w:val="auto"/>
          <w:sz w:val="24"/>
          <w:szCs w:val="24"/>
          <w:highlight w:val="none"/>
        </w:rPr>
      </w:pPr>
      <w:bookmarkStart w:id="19" w:name="_Toc25043"/>
      <w:bookmarkStart w:id="20" w:name="_Toc188030380"/>
      <w:r>
        <w:rPr>
          <w:rFonts w:hint="eastAsia" w:eastAsia="宋体"/>
          <w:color w:val="auto"/>
          <w:sz w:val="24"/>
          <w:szCs w:val="24"/>
          <w:highlight w:val="none"/>
        </w:rPr>
        <w:t>5、</w:t>
      </w:r>
      <w:r>
        <w:rPr>
          <w:rFonts w:eastAsia="宋体"/>
          <w:color w:val="auto"/>
          <w:sz w:val="24"/>
          <w:szCs w:val="24"/>
          <w:highlight w:val="none"/>
        </w:rPr>
        <w:t>详细功能要求</w:t>
      </w:r>
      <w:bookmarkEnd w:id="19"/>
    </w:p>
    <w:p w14:paraId="08453890">
      <w:pPr>
        <w:pStyle w:val="4"/>
        <w:numPr>
          <w:ilvl w:val="0"/>
          <w:numId w:val="0"/>
        </w:numPr>
        <w:tabs>
          <w:tab w:val="left" w:pos="0"/>
        </w:tabs>
        <w:ind w:left="397"/>
        <w:rPr>
          <w:rFonts w:ascii="Times New Roman" w:hAnsi="Times New Roman" w:eastAsia="宋体"/>
          <w:color w:val="auto"/>
          <w:sz w:val="24"/>
          <w:szCs w:val="24"/>
          <w:highlight w:val="none"/>
        </w:rPr>
      </w:pPr>
      <w:bookmarkStart w:id="21" w:name="_Toc12087"/>
      <w:r>
        <w:rPr>
          <w:rFonts w:hint="eastAsia" w:ascii="Times New Roman" w:hAnsi="Times New Roman" w:eastAsia="宋体"/>
          <w:color w:val="auto"/>
          <w:sz w:val="24"/>
          <w:szCs w:val="24"/>
          <w:highlight w:val="none"/>
        </w:rPr>
        <w:t>5.1</w:t>
      </w:r>
      <w:r>
        <w:rPr>
          <w:rFonts w:ascii="Times New Roman" w:hAnsi="Times New Roman" w:eastAsia="宋体"/>
          <w:color w:val="auto"/>
          <w:sz w:val="24"/>
          <w:szCs w:val="24"/>
          <w:highlight w:val="none"/>
        </w:rPr>
        <w:t>通用要求</w:t>
      </w:r>
      <w:bookmarkEnd w:id="21"/>
    </w:p>
    <w:p w14:paraId="0B143363">
      <w:pPr>
        <w:ind w:firstLine="480"/>
        <w:rPr>
          <w:rFonts w:hint="eastAsia"/>
          <w:color w:val="auto"/>
          <w:szCs w:val="24"/>
          <w:highlight w:val="none"/>
        </w:rPr>
      </w:pPr>
      <w:r>
        <w:rPr>
          <w:rFonts w:hint="eastAsia"/>
          <w:b/>
          <w:bCs/>
          <w:color w:val="auto"/>
          <w:szCs w:val="24"/>
          <w:highlight w:val="none"/>
        </w:rPr>
        <w:t>考虑到设备使用稳定性及后续维护的便利性，本项目5个会议场所的同类设备优先使用同一品牌，如同类LED屏、同类扬声器、同类功放、同类音频处理器、同类投影机等。</w:t>
      </w:r>
    </w:p>
    <w:p w14:paraId="040ABA12">
      <w:pPr>
        <w:ind w:firstLine="480"/>
        <w:rPr>
          <w:color w:val="auto"/>
          <w:szCs w:val="24"/>
          <w:highlight w:val="none"/>
        </w:rPr>
      </w:pPr>
      <w:r>
        <w:rPr>
          <w:rFonts w:hint="eastAsia"/>
          <w:color w:val="auto"/>
          <w:szCs w:val="24"/>
          <w:highlight w:val="none"/>
        </w:rPr>
        <w:t>随硬件提供的软件需提供无限期授权，有更新版本时应提供及时的更新服务，信息交互软件作为系统集成的内容之一，应满足功能需求，并提供免费安装部署。</w:t>
      </w:r>
    </w:p>
    <w:p w14:paraId="25E12C2E">
      <w:pPr>
        <w:ind w:firstLine="480"/>
        <w:rPr>
          <w:color w:val="auto"/>
          <w:szCs w:val="24"/>
          <w:highlight w:val="none"/>
        </w:rPr>
      </w:pPr>
      <w:r>
        <w:rPr>
          <w:color w:val="auto"/>
          <w:szCs w:val="24"/>
          <w:highlight w:val="none"/>
        </w:rPr>
        <w:t>系统检测以及整改要求：</w:t>
      </w:r>
    </w:p>
    <w:p w14:paraId="39E635C5">
      <w:pPr>
        <w:ind w:firstLine="480"/>
        <w:rPr>
          <w:color w:val="auto"/>
          <w:szCs w:val="24"/>
          <w:highlight w:val="none"/>
        </w:rPr>
      </w:pPr>
      <w:r>
        <w:rPr>
          <w:color w:val="auto"/>
          <w:szCs w:val="24"/>
          <w:highlight w:val="none"/>
        </w:rPr>
        <w:t>1、系统检测：乙方所提供的所有系统（包括但不限于声场系统、显示系统、照明系统等），甲方有权委托具备相应资质的第三方机构进行全面检测，检测内容覆盖系统的各项功能指标及性能参数，以确保符合本技术需求书及国家和行业相关建设标准与规范要求。</w:t>
      </w:r>
    </w:p>
    <w:p w14:paraId="0D0C56C4">
      <w:pPr>
        <w:ind w:firstLine="480"/>
        <w:rPr>
          <w:color w:val="auto"/>
          <w:szCs w:val="24"/>
          <w:highlight w:val="none"/>
        </w:rPr>
      </w:pPr>
      <w:r>
        <w:rPr>
          <w:color w:val="auto"/>
          <w:szCs w:val="24"/>
          <w:highlight w:val="none"/>
        </w:rPr>
        <w:t>2、检测费用承担：所有与上述检测相关的费用，包括但不限于检测机构的服务费用、材料费用及可能产生的其他费用，若检测结果证明系统各项指标均满足本技术需求书及国家和行业建设标准，则视为系统验收合格，所有费用由甲方承担，如不合格，所有费用由乙方承担。</w:t>
      </w:r>
    </w:p>
    <w:p w14:paraId="4E805E22">
      <w:pPr>
        <w:ind w:firstLine="480"/>
        <w:rPr>
          <w:color w:val="auto"/>
          <w:szCs w:val="24"/>
          <w:highlight w:val="none"/>
        </w:rPr>
      </w:pPr>
      <w:r>
        <w:rPr>
          <w:color w:val="auto"/>
          <w:szCs w:val="24"/>
          <w:highlight w:val="none"/>
        </w:rPr>
        <w:t>3、整改要求：</w:t>
      </w:r>
    </w:p>
    <w:p w14:paraId="10B2B363">
      <w:pPr>
        <w:ind w:firstLine="480"/>
        <w:rPr>
          <w:color w:val="auto"/>
          <w:szCs w:val="24"/>
          <w:highlight w:val="none"/>
        </w:rPr>
      </w:pPr>
      <w:r>
        <w:rPr>
          <w:color w:val="auto"/>
          <w:szCs w:val="24"/>
          <w:highlight w:val="none"/>
        </w:rPr>
        <w:t>若检测结果中有任何一项或多项指标不满足标准，乙方需立即无条件进行整改，直至系统全部满足标准为止。整改期间，所有费用及可能造成的延误损失均由乙方承担。</w:t>
      </w:r>
    </w:p>
    <w:p w14:paraId="629F4C04">
      <w:pPr>
        <w:ind w:firstLine="480"/>
        <w:rPr>
          <w:color w:val="auto"/>
          <w:szCs w:val="24"/>
          <w:highlight w:val="none"/>
        </w:rPr>
      </w:pPr>
      <w:r>
        <w:rPr>
          <w:color w:val="auto"/>
          <w:szCs w:val="24"/>
          <w:highlight w:val="none"/>
        </w:rPr>
        <w:t>乙方应在收到整改通知后的指定期限内完成整改工作，并重新申请检测。如乙方未能在规定时间内完成整改或整改后仍不满足标准，甲方有权根据合同约定采取进一步措施，包括但不限于解除合同、要求赔偿等。</w:t>
      </w:r>
    </w:p>
    <w:p w14:paraId="133EE7AC">
      <w:pPr>
        <w:pStyle w:val="4"/>
        <w:numPr>
          <w:ilvl w:val="0"/>
          <w:numId w:val="0"/>
        </w:numPr>
        <w:tabs>
          <w:tab w:val="left" w:pos="0"/>
        </w:tabs>
        <w:ind w:left="397"/>
        <w:rPr>
          <w:rFonts w:ascii="Times New Roman" w:hAnsi="Times New Roman" w:eastAsia="宋体"/>
          <w:color w:val="auto"/>
          <w:sz w:val="24"/>
          <w:szCs w:val="24"/>
          <w:highlight w:val="none"/>
        </w:rPr>
      </w:pPr>
      <w:bookmarkStart w:id="22" w:name="_Toc17232"/>
      <w:r>
        <w:rPr>
          <w:rFonts w:hint="eastAsia" w:ascii="Times New Roman" w:hAnsi="Times New Roman" w:eastAsia="宋体"/>
          <w:color w:val="auto"/>
          <w:sz w:val="24"/>
          <w:szCs w:val="24"/>
          <w:highlight w:val="none"/>
        </w:rPr>
        <w:t xml:space="preserve">5.2 </w:t>
      </w:r>
      <w:r>
        <w:rPr>
          <w:rFonts w:ascii="Times New Roman" w:hAnsi="Times New Roman" w:eastAsia="宋体"/>
          <w:color w:val="auto"/>
          <w:sz w:val="24"/>
          <w:szCs w:val="24"/>
          <w:highlight w:val="none"/>
        </w:rPr>
        <w:t>301报告厅</w:t>
      </w:r>
      <w:bookmarkEnd w:id="22"/>
    </w:p>
    <w:p w14:paraId="7C499A03">
      <w:pPr>
        <w:ind w:firstLine="480"/>
        <w:rPr>
          <w:color w:val="auto"/>
          <w:szCs w:val="24"/>
          <w:highlight w:val="none"/>
        </w:rPr>
      </w:pPr>
      <w:r>
        <w:rPr>
          <w:color w:val="auto"/>
          <w:szCs w:val="24"/>
          <w:highlight w:val="none"/>
        </w:rPr>
        <w:t>会议空间尺寸：长23.8m，宽26m，舞台区域层高6.02m，面积621.5㎡。</w:t>
      </w:r>
      <w:r>
        <w:rPr>
          <w:color w:val="auto"/>
          <w:kern w:val="0"/>
          <w:szCs w:val="21"/>
          <w:highlight w:val="none"/>
        </w:rPr>
        <w:t>301</w:t>
      </w:r>
      <w:r>
        <w:rPr>
          <w:rFonts w:hint="eastAsia" w:ascii="宋体" w:hAnsi="宋体" w:cs="宋体"/>
          <w:color w:val="auto"/>
          <w:kern w:val="0"/>
          <w:szCs w:val="21"/>
          <w:highlight w:val="none"/>
        </w:rPr>
        <w:t>报告厅功能定位：学术交流、小型活动，适合举办300人左右的大型报告、学术讲座、学生活动等功能。301报告厅内部</w:t>
      </w:r>
      <w:r>
        <w:rPr>
          <w:color w:val="auto"/>
          <w:szCs w:val="24"/>
          <w:highlight w:val="none"/>
        </w:rPr>
        <w:t>设计多媒体会议系统包含：视频显示系统、音频扩声系统、会议发言系统、录播系统、视频切换及控制系统、会议灯光及窗帘系统</w:t>
      </w:r>
      <w:r>
        <w:rPr>
          <w:rFonts w:hint="eastAsia"/>
          <w:color w:val="auto"/>
          <w:szCs w:val="24"/>
          <w:highlight w:val="none"/>
        </w:rPr>
        <w:t>、</w:t>
      </w:r>
      <w:r>
        <w:rPr>
          <w:color w:val="auto"/>
          <w:szCs w:val="24"/>
          <w:highlight w:val="none"/>
        </w:rPr>
        <w:t>设备辅材系统</w:t>
      </w:r>
      <w:r>
        <w:rPr>
          <w:rFonts w:hint="eastAsia" w:ascii="宋体" w:hAnsi="宋体" w:cs="宋体"/>
          <w:color w:val="auto"/>
          <w:kern w:val="0"/>
          <w:szCs w:val="21"/>
          <w:highlight w:val="none"/>
        </w:rPr>
        <w:t>以及设备完成功能和设备间协同工作所需要的配套软件</w:t>
      </w:r>
      <w:r>
        <w:rPr>
          <w:rFonts w:hint="eastAsia"/>
          <w:color w:val="auto"/>
          <w:szCs w:val="24"/>
          <w:highlight w:val="none"/>
        </w:rPr>
        <w:t>、</w:t>
      </w:r>
      <w:r>
        <w:rPr>
          <w:color w:val="auto"/>
          <w:szCs w:val="24"/>
          <w:highlight w:val="none"/>
        </w:rPr>
        <w:t>新增固定主舞台结构与台阶，舞台面积98.6㎡，高0.3m，两侧设台阶，采用钢架结构，上铺实木地板；台阶采用方管焊接并做防锈处理，上铺实木地板；</w:t>
      </w:r>
      <w:r>
        <w:rPr>
          <w:rFonts w:hint="eastAsia"/>
          <w:color w:val="auto"/>
          <w:szCs w:val="24"/>
          <w:highlight w:val="none"/>
        </w:rPr>
        <w:t>为满足LED屏折叠后隐入耳房，需对耳房进行施工和恢复；301</w:t>
      </w:r>
      <w:r>
        <w:rPr>
          <w:color w:val="auto"/>
          <w:szCs w:val="24"/>
          <w:highlight w:val="none"/>
        </w:rPr>
        <w:t>报告厅台唇以及返听设计需要重点考虑设计数量以及声场覆盖问题。同时报告厅内部存在五根立柱，这些立柱在支撑建筑结构的同时，也对声场覆盖造成了一定的影响。立柱作为硬质的障碍物，会反射、散射或阻挡声波的传播，导致声场分布不均匀，部分区域可能出现声音衰减或回声现象。需要通过合理的声学设计、音响系统布局以及可能的立柱声学处理等措施来加以改善，以确保报告厅能够提供良好的声学环境和优质的听觉体验。</w:t>
      </w:r>
    </w:p>
    <w:p w14:paraId="75F9D777">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3" w:name="_Toc15462"/>
      <w:r>
        <w:rPr>
          <w:rFonts w:hint="eastAsia" w:ascii="Times New Roman" w:hAnsi="Times New Roman" w:eastAsia="宋体"/>
          <w:bCs/>
          <w:color w:val="auto"/>
          <w:sz w:val="24"/>
          <w:szCs w:val="24"/>
          <w:highlight w:val="none"/>
        </w:rPr>
        <w:t xml:space="preserve">5.2.1 </w:t>
      </w:r>
      <w:r>
        <w:rPr>
          <w:rFonts w:ascii="Times New Roman" w:hAnsi="Times New Roman" w:eastAsia="宋体"/>
          <w:bCs/>
          <w:color w:val="auto"/>
          <w:sz w:val="24"/>
          <w:szCs w:val="24"/>
          <w:highlight w:val="none"/>
        </w:rPr>
        <w:t>视频显示系统</w:t>
      </w:r>
      <w:bookmarkEnd w:id="23"/>
    </w:p>
    <w:p w14:paraId="70D746B3">
      <w:pPr>
        <w:ind w:firstLine="480"/>
        <w:rPr>
          <w:color w:val="auto"/>
          <w:szCs w:val="24"/>
          <w:highlight w:val="none"/>
        </w:rPr>
      </w:pPr>
      <w:r>
        <w:rPr>
          <w:color w:val="auto"/>
          <w:szCs w:val="24"/>
          <w:highlight w:val="none"/>
        </w:rPr>
        <w:t>主显示要求：像素点间距：≤1.25mm，像素密度≥640000点/㎡，单块屏体显示尺寸≥2.</w:t>
      </w:r>
      <w:r>
        <w:rPr>
          <w:rFonts w:hint="eastAsia"/>
          <w:color w:val="auto"/>
          <w:szCs w:val="24"/>
          <w:highlight w:val="none"/>
        </w:rPr>
        <w:t>2</w:t>
      </w:r>
      <w:r>
        <w:rPr>
          <w:color w:val="auto"/>
          <w:szCs w:val="24"/>
          <w:highlight w:val="none"/>
        </w:rPr>
        <w:t>4</w:t>
      </w:r>
      <w:r>
        <w:rPr>
          <w:rFonts w:hint="eastAsia"/>
          <w:color w:val="auto"/>
          <w:szCs w:val="24"/>
          <w:highlight w:val="none"/>
        </w:rPr>
        <w:t>m</w:t>
      </w:r>
      <w:r>
        <w:rPr>
          <w:color w:val="auto"/>
          <w:szCs w:val="24"/>
          <w:highlight w:val="none"/>
        </w:rPr>
        <w:t>*5.</w:t>
      </w:r>
      <w:r>
        <w:rPr>
          <w:rFonts w:hint="eastAsia"/>
          <w:color w:val="auto"/>
          <w:szCs w:val="24"/>
          <w:highlight w:val="none"/>
        </w:rPr>
        <w:t>12m</w:t>
      </w:r>
      <w:r>
        <w:rPr>
          <w:color w:val="auto"/>
          <w:szCs w:val="24"/>
          <w:highlight w:val="none"/>
        </w:rPr>
        <w:t>，共6块，展开后整屏宽度≥1</w:t>
      </w:r>
      <w:r>
        <w:rPr>
          <w:rFonts w:hint="eastAsia"/>
          <w:color w:val="auto"/>
          <w:szCs w:val="24"/>
          <w:highlight w:val="none"/>
        </w:rPr>
        <w:t>3.44m</w:t>
      </w:r>
      <w:r>
        <w:rPr>
          <w:color w:val="auto"/>
          <w:szCs w:val="24"/>
          <w:highlight w:val="none"/>
        </w:rPr>
        <w:t>，高度≥5.</w:t>
      </w:r>
      <w:r>
        <w:rPr>
          <w:rFonts w:hint="eastAsia"/>
          <w:color w:val="auto"/>
          <w:szCs w:val="24"/>
          <w:highlight w:val="none"/>
        </w:rPr>
        <w:t>12m</w:t>
      </w:r>
      <w:r>
        <w:rPr>
          <w:color w:val="auto"/>
          <w:szCs w:val="24"/>
          <w:highlight w:val="none"/>
        </w:rPr>
        <w:t>，展开后整屏净显示面积≥</w:t>
      </w:r>
      <w:r>
        <w:rPr>
          <w:rFonts w:hint="eastAsia"/>
          <w:color w:val="auto"/>
          <w:szCs w:val="24"/>
          <w:highlight w:val="none"/>
        </w:rPr>
        <w:t>68.8</w:t>
      </w:r>
      <w:r>
        <w:rPr>
          <w:color w:val="auto"/>
          <w:szCs w:val="24"/>
          <w:highlight w:val="none"/>
        </w:rPr>
        <w:t>㎡，屏幕折叠后收入两侧耳房隐藏，需满足单、双、三</w:t>
      </w:r>
      <w:r>
        <w:rPr>
          <w:rFonts w:hint="eastAsia"/>
          <w:color w:val="auto"/>
          <w:szCs w:val="24"/>
          <w:highlight w:val="none"/>
          <w:lang w:eastAsia="zh-CN"/>
        </w:rPr>
        <w:t>、</w:t>
      </w:r>
      <w:r>
        <w:rPr>
          <w:rFonts w:hint="eastAsia"/>
          <w:color w:val="auto"/>
          <w:szCs w:val="24"/>
          <w:highlight w:val="none"/>
          <w:lang w:val="en-US" w:eastAsia="zh-CN"/>
        </w:rPr>
        <w:t>四</w:t>
      </w:r>
      <w:r>
        <w:rPr>
          <w:color w:val="auto"/>
          <w:szCs w:val="24"/>
          <w:highlight w:val="none"/>
        </w:rPr>
        <w:t>屏分屏显示。播放设备采用视频拼接处理器1台，分辨率满足主显示分辨率要求。</w:t>
      </w:r>
    </w:p>
    <w:p w14:paraId="7220DC88">
      <w:pPr>
        <w:ind w:firstLine="480"/>
        <w:rPr>
          <w:color w:val="auto"/>
          <w:szCs w:val="24"/>
          <w:highlight w:val="none"/>
        </w:rPr>
      </w:pPr>
      <w:r>
        <w:rPr>
          <w:color w:val="auto"/>
          <w:szCs w:val="24"/>
          <w:highlight w:val="none"/>
        </w:rPr>
        <w:t>会标系统要求：配置1套LED会标屏，点间距≤2.5mm，像素密度≥160000点/㎡，屏体净宽≥</w:t>
      </w:r>
      <w:r>
        <w:rPr>
          <w:rFonts w:hint="eastAsia"/>
          <w:color w:val="auto"/>
          <w:szCs w:val="24"/>
          <w:highlight w:val="none"/>
        </w:rPr>
        <w:t>12.15</w:t>
      </w:r>
      <w:r>
        <w:rPr>
          <w:color w:val="auto"/>
          <w:szCs w:val="24"/>
          <w:highlight w:val="none"/>
        </w:rPr>
        <w:t>m，屏体净高≥0.</w:t>
      </w:r>
      <w:r>
        <w:rPr>
          <w:rFonts w:hint="eastAsia"/>
          <w:color w:val="auto"/>
          <w:szCs w:val="24"/>
          <w:highlight w:val="none"/>
        </w:rPr>
        <w:t>8</w:t>
      </w:r>
      <w:r>
        <w:rPr>
          <w:color w:val="auto"/>
          <w:szCs w:val="24"/>
          <w:highlight w:val="none"/>
        </w:rPr>
        <w:t>m，显示面积≥</w:t>
      </w:r>
      <w:r>
        <w:rPr>
          <w:rFonts w:hint="eastAsia"/>
          <w:color w:val="auto"/>
          <w:szCs w:val="24"/>
          <w:highlight w:val="none"/>
        </w:rPr>
        <w:t>9.72</w:t>
      </w:r>
      <w:r>
        <w:rPr>
          <w:color w:val="auto"/>
          <w:szCs w:val="24"/>
          <w:highlight w:val="none"/>
        </w:rPr>
        <w:t>㎡。</w:t>
      </w:r>
    </w:p>
    <w:p w14:paraId="53FAF1CF">
      <w:pPr>
        <w:ind w:firstLine="480"/>
        <w:rPr>
          <w:color w:val="auto"/>
          <w:szCs w:val="24"/>
          <w:highlight w:val="none"/>
        </w:rPr>
      </w:pPr>
      <w:r>
        <w:rPr>
          <w:color w:val="auto"/>
          <w:szCs w:val="24"/>
          <w:highlight w:val="none"/>
        </w:rPr>
        <w:t>舞台返看要求：配置2台尺寸不低于65"显示屏；配置移动支架。</w:t>
      </w:r>
    </w:p>
    <w:p w14:paraId="123E5A77">
      <w:pPr>
        <w:ind w:firstLine="480"/>
        <w:rPr>
          <w:color w:val="auto"/>
          <w:szCs w:val="24"/>
          <w:highlight w:val="none"/>
        </w:rPr>
      </w:pPr>
      <w:r>
        <w:rPr>
          <w:color w:val="auto"/>
          <w:szCs w:val="24"/>
          <w:highlight w:val="none"/>
        </w:rPr>
        <w:t>机房监看要求：配置2台尺寸不低于55"1.8mm拼缝的液晶拼接屏；配置壁挂液压前维护支架。</w:t>
      </w:r>
    </w:p>
    <w:p w14:paraId="08D4EA04">
      <w:pPr>
        <w:ind w:firstLine="480"/>
        <w:rPr>
          <w:color w:val="auto"/>
          <w:szCs w:val="24"/>
          <w:highlight w:val="none"/>
        </w:rPr>
      </w:pPr>
      <w:r>
        <w:rPr>
          <w:color w:val="auto"/>
          <w:szCs w:val="24"/>
          <w:highlight w:val="none"/>
        </w:rPr>
        <w:t>智慧门牌要求：配置2台尺寸不低于21.5寸智慧会议门牌。</w:t>
      </w:r>
    </w:p>
    <w:p w14:paraId="605DE212">
      <w:pPr>
        <w:ind w:firstLine="480"/>
        <w:rPr>
          <w:color w:val="auto"/>
          <w:szCs w:val="24"/>
          <w:highlight w:val="none"/>
        </w:rPr>
      </w:pPr>
      <w:r>
        <w:rPr>
          <w:color w:val="auto"/>
          <w:szCs w:val="24"/>
          <w:highlight w:val="none"/>
        </w:rPr>
        <w:t>无线协作要求：支持多布局显示，可根据场景需求选择如整屏显示，画中画，2分屏，3分屏，4分屏；支持Windows、MAC、Android、iOS、鸿蒙、国产麒麟等主流操作平台；支持HDMI2.0，输出最大分辨率不低于3840x2160@60Hz；支持扩展桌面、白板批注、反向控制等功能；提供CEC、WebGUI、Telnet、RS232控制方式，支持第三方中控。</w:t>
      </w:r>
    </w:p>
    <w:p w14:paraId="3B14A33E">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4" w:name="_Toc29296"/>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.2</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音频扩声系统</w:t>
      </w:r>
      <w:bookmarkEnd w:id="24"/>
    </w:p>
    <w:p w14:paraId="27074DF2">
      <w:pPr>
        <w:ind w:firstLine="480"/>
        <w:rPr>
          <w:color w:val="auto"/>
          <w:szCs w:val="24"/>
          <w:highlight w:val="none"/>
        </w:rPr>
      </w:pPr>
      <w:r>
        <w:rPr>
          <w:color w:val="auto"/>
          <w:szCs w:val="24"/>
          <w:highlight w:val="none"/>
        </w:rPr>
        <w:t>声学建设要求：按照GB50371-2006扩声系统指标多用途类一级标准建设，最大声压级≥1</w:t>
      </w:r>
      <w:r>
        <w:rPr>
          <w:rFonts w:hint="eastAsia"/>
          <w:color w:val="auto"/>
          <w:szCs w:val="24"/>
          <w:highlight w:val="none"/>
          <w:lang w:val="en-US" w:eastAsia="zh-CN"/>
        </w:rPr>
        <w:t>30</w:t>
      </w:r>
      <w:r>
        <w:rPr>
          <w:color w:val="auto"/>
          <w:szCs w:val="24"/>
          <w:highlight w:val="none"/>
        </w:rPr>
        <w:t>dB，不均匀度≤6dB。</w:t>
      </w:r>
    </w:p>
    <w:p w14:paraId="5126ABC5">
      <w:pPr>
        <w:ind w:firstLine="480"/>
        <w:rPr>
          <w:b/>
          <w:bCs/>
          <w:color w:val="auto"/>
          <w:szCs w:val="24"/>
          <w:highlight w:val="none"/>
        </w:rPr>
      </w:pPr>
      <w:r>
        <w:rPr>
          <w:color w:val="auto"/>
          <w:szCs w:val="24"/>
          <w:highlight w:val="none"/>
        </w:rPr>
        <w:t>扬声器要求：（1）主扬声器系统采用阵列扬声器，左右声道方式扩声，每组配置扬声器数量4只，单元规格采用2x8英寸低音单元，4x2英寸高音单元；另外，每组搭配1只18英寸超低频扬声器使用，通过线阵吊架安装实现报告厅全场主扩扩声，为便于维护，吊架配套≥6m行程葫芦使用。（2）搭配二分频 12”带号角的全频音箱2只，高频单元</w:t>
      </w:r>
      <w:r>
        <w:rPr>
          <w:rFonts w:hint="eastAsia"/>
          <w:color w:val="auto"/>
          <w:kern w:val="0"/>
          <w:sz w:val="21"/>
          <w:szCs w:val="21"/>
          <w:highlight w:val="none"/>
          <w:lang w:bidi="ar"/>
        </w:rPr>
        <w:t>≥</w:t>
      </w:r>
      <w:r>
        <w:rPr>
          <w:color w:val="auto"/>
          <w:szCs w:val="24"/>
          <w:highlight w:val="none"/>
        </w:rPr>
        <w:t>3英寸，壁挂安装，进行中后场补声。（3）在舞台位置配置二分频 12”带号角的全频音箱2只，高频单元</w:t>
      </w:r>
      <w:r>
        <w:rPr>
          <w:rFonts w:hint="eastAsia"/>
          <w:color w:val="auto"/>
          <w:kern w:val="0"/>
          <w:sz w:val="21"/>
          <w:szCs w:val="21"/>
          <w:highlight w:val="none"/>
          <w:lang w:bidi="ar"/>
        </w:rPr>
        <w:t>≥</w:t>
      </w:r>
      <w:r>
        <w:rPr>
          <w:color w:val="auto"/>
          <w:szCs w:val="24"/>
          <w:highlight w:val="none"/>
        </w:rPr>
        <w:t>3英寸，落地安装，作为台唇音箱；（4）配置二分频 12”带号角的全频音箱2只，高频单元</w:t>
      </w:r>
      <w:r>
        <w:rPr>
          <w:rFonts w:hint="eastAsia"/>
          <w:color w:val="auto"/>
          <w:kern w:val="0"/>
          <w:sz w:val="21"/>
          <w:szCs w:val="21"/>
          <w:highlight w:val="none"/>
          <w:lang w:bidi="ar"/>
        </w:rPr>
        <w:t>≥</w:t>
      </w:r>
      <w:r>
        <w:rPr>
          <w:color w:val="auto"/>
          <w:szCs w:val="24"/>
          <w:highlight w:val="none"/>
        </w:rPr>
        <w:t>3英寸，落地安装，作为返听扬声器。</w:t>
      </w:r>
    </w:p>
    <w:p w14:paraId="39D0FD40">
      <w:pPr>
        <w:ind w:firstLine="480"/>
        <w:rPr>
          <w:color w:val="auto"/>
          <w:szCs w:val="24"/>
          <w:highlight w:val="none"/>
        </w:rPr>
      </w:pPr>
      <w:r>
        <w:rPr>
          <w:color w:val="auto"/>
          <w:szCs w:val="24"/>
          <w:highlight w:val="none"/>
        </w:rPr>
        <w:t>功率放大器要求：在阻抗匹配情况下，按满足扬声器的连续功率配比不低于1.5倍配置。</w:t>
      </w:r>
    </w:p>
    <w:p w14:paraId="3E377866">
      <w:pPr>
        <w:ind w:firstLine="480"/>
        <w:rPr>
          <w:color w:val="auto"/>
          <w:szCs w:val="24"/>
          <w:highlight w:val="none"/>
        </w:rPr>
      </w:pPr>
      <w:r>
        <w:rPr>
          <w:color w:val="auto"/>
          <w:szCs w:val="24"/>
          <w:highlight w:val="none"/>
        </w:rPr>
        <w:t>混音设备要求：配置1台不少于32个输入通道的数字调音台，搭配不少于25个PRO电动推子；主屏幕：7”日光可视显示屏。</w:t>
      </w:r>
    </w:p>
    <w:p w14:paraId="3797D1DD">
      <w:pPr>
        <w:ind w:firstLine="480"/>
        <w:rPr>
          <w:color w:val="auto"/>
          <w:szCs w:val="24"/>
          <w:highlight w:val="none"/>
        </w:rPr>
      </w:pPr>
      <w:r>
        <w:rPr>
          <w:color w:val="auto"/>
          <w:szCs w:val="24"/>
          <w:highlight w:val="none"/>
        </w:rPr>
        <w:t>处理设备要求：</w:t>
      </w:r>
      <w:r>
        <w:rPr>
          <w:rFonts w:hint="eastAsia"/>
          <w:color w:val="auto"/>
          <w:szCs w:val="24"/>
          <w:highlight w:val="none"/>
        </w:rPr>
        <w:t>配置1台数字音频处理器</w:t>
      </w:r>
      <w:r>
        <w:rPr>
          <w:color w:val="auto"/>
          <w:szCs w:val="24"/>
          <w:highlight w:val="none"/>
        </w:rPr>
        <w:t>不少于12 路模拟输入和 8 路模拟输出，并在所有输入中包含声学回声消除 (AEC) 技术，8 路可配置 USB音频通道实现对软件视频会议的音频输入与输出的需求，通过以太网进行系统配置和控制；</w:t>
      </w:r>
    </w:p>
    <w:p w14:paraId="539954AD">
      <w:pPr>
        <w:ind w:firstLine="480"/>
        <w:rPr>
          <w:color w:val="auto"/>
          <w:szCs w:val="24"/>
          <w:highlight w:val="none"/>
        </w:rPr>
      </w:pPr>
      <w:r>
        <w:rPr>
          <w:color w:val="auto"/>
          <w:szCs w:val="24"/>
          <w:highlight w:val="none"/>
        </w:rPr>
        <w:t>监听设备要求：机房配置2只不低于5"左右声道有源监听音箱和</w:t>
      </w:r>
      <w:r>
        <w:rPr>
          <w:rFonts w:hint="eastAsia"/>
          <w:color w:val="auto"/>
          <w:szCs w:val="24"/>
          <w:highlight w:val="none"/>
        </w:rPr>
        <w:t>2副</w:t>
      </w:r>
      <w:r>
        <w:rPr>
          <w:color w:val="auto"/>
          <w:szCs w:val="24"/>
          <w:highlight w:val="none"/>
        </w:rPr>
        <w:t>监听耳机。</w:t>
      </w:r>
    </w:p>
    <w:p w14:paraId="1CDD5E1A">
      <w:pPr>
        <w:ind w:firstLine="480"/>
        <w:rPr>
          <w:color w:val="auto"/>
          <w:szCs w:val="24"/>
          <w:highlight w:val="none"/>
        </w:rPr>
      </w:pPr>
      <w:r>
        <w:rPr>
          <w:color w:val="auto"/>
          <w:szCs w:val="24"/>
          <w:highlight w:val="none"/>
        </w:rPr>
        <w:t>电源管理：配置≥2台电源时序器，满足音频系统时序管理，支持中控控制实现平台软件一键开关会议系统。</w:t>
      </w:r>
    </w:p>
    <w:p w14:paraId="14332E72">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5" w:name="_Toc26656"/>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.3</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会议发言系统</w:t>
      </w:r>
      <w:bookmarkEnd w:id="25"/>
    </w:p>
    <w:p w14:paraId="2B57AEC3">
      <w:pPr>
        <w:ind w:firstLine="480"/>
        <w:rPr>
          <w:color w:val="auto"/>
          <w:szCs w:val="24"/>
          <w:highlight w:val="none"/>
        </w:rPr>
      </w:pPr>
      <w:r>
        <w:rPr>
          <w:color w:val="auto"/>
          <w:szCs w:val="24"/>
          <w:highlight w:val="none"/>
        </w:rPr>
        <w:t>采用有线、无线相结合拾音系统。</w:t>
      </w:r>
    </w:p>
    <w:p w14:paraId="015D4184">
      <w:pPr>
        <w:pStyle w:val="17"/>
        <w:ind w:firstLine="480"/>
        <w:rPr>
          <w:color w:val="auto"/>
          <w:szCs w:val="24"/>
          <w:highlight w:val="none"/>
        </w:rPr>
      </w:pPr>
      <w:r>
        <w:rPr>
          <w:color w:val="auto"/>
          <w:szCs w:val="24"/>
          <w:highlight w:val="none"/>
        </w:rPr>
        <w:t>领导席话筒要求：配置1套数字会议系统，1台数字会议主机，15只话筒单元，单元要求话筒柄可以灵活调整，话筒要求是短杆方管样式。</w:t>
      </w:r>
    </w:p>
    <w:p w14:paraId="29B49847">
      <w:pPr>
        <w:pStyle w:val="17"/>
        <w:ind w:firstLine="480"/>
        <w:rPr>
          <w:color w:val="auto"/>
          <w:szCs w:val="24"/>
          <w:highlight w:val="none"/>
        </w:rPr>
      </w:pPr>
      <w:r>
        <w:rPr>
          <w:color w:val="auto"/>
          <w:szCs w:val="24"/>
          <w:highlight w:val="none"/>
        </w:rPr>
        <w:t>汇报席话筒：与会议话筒同档次，双鹅颈式话筒设计，最大输入声压级：≥1</w:t>
      </w:r>
      <w:r>
        <w:rPr>
          <w:rFonts w:hint="eastAsia"/>
          <w:color w:val="auto"/>
          <w:szCs w:val="24"/>
          <w:highlight w:val="none"/>
        </w:rPr>
        <w:t>3</w:t>
      </w:r>
      <w:r>
        <w:rPr>
          <w:color w:val="auto"/>
          <w:szCs w:val="24"/>
          <w:highlight w:val="none"/>
        </w:rPr>
        <w:t xml:space="preserve">0dB。 </w:t>
      </w:r>
    </w:p>
    <w:p w14:paraId="57FBE081">
      <w:pPr>
        <w:ind w:firstLine="480"/>
        <w:rPr>
          <w:color w:val="auto"/>
          <w:szCs w:val="24"/>
          <w:highlight w:val="none"/>
        </w:rPr>
      </w:pPr>
      <w:r>
        <w:rPr>
          <w:color w:val="auto"/>
          <w:szCs w:val="24"/>
          <w:highlight w:val="none"/>
        </w:rPr>
        <w:t>无线话筒要求：配置不低于2套双通道数字手持话筒与2套双通道头戴话筒（可领夹）。无线话筒接收机要求双通道无线系统；避免无线话筒使用出现掉频情况，配置天线分配系统。</w:t>
      </w:r>
    </w:p>
    <w:p w14:paraId="4E06B5D1">
      <w:pPr>
        <w:rPr>
          <w:b/>
          <w:bCs/>
          <w:color w:val="auto"/>
          <w:szCs w:val="24"/>
          <w:highlight w:val="none"/>
        </w:rPr>
      </w:pPr>
      <w:r>
        <w:rPr>
          <w:b/>
          <w:bCs/>
          <w:color w:val="auto"/>
          <w:szCs w:val="24"/>
          <w:highlight w:val="none"/>
        </w:rPr>
        <w:t>要求舞台左右侧墙预留无线话筒接入墙插各1只，用于临时活动无线话筒快速接入使用。</w:t>
      </w:r>
    </w:p>
    <w:p w14:paraId="6C1F47A8">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6" w:name="_Toc3222"/>
      <w:bookmarkStart w:id="27" w:name="_Toc11146"/>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.4</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高清录播系统</w:t>
      </w:r>
      <w:bookmarkEnd w:id="26"/>
    </w:p>
    <w:p w14:paraId="2C53CDA2">
      <w:pPr>
        <w:ind w:firstLine="480"/>
        <w:jc w:val="left"/>
        <w:rPr>
          <w:color w:val="auto"/>
          <w:szCs w:val="24"/>
          <w:highlight w:val="none"/>
        </w:rPr>
      </w:pPr>
      <w:r>
        <w:rPr>
          <w:color w:val="auto"/>
          <w:szCs w:val="24"/>
          <w:highlight w:val="none"/>
        </w:rPr>
        <w:t>摄像机要求：为会场配置3台4K会议摄像机，成像元器件：≥1/2.5英寸 CMOS传感器；传感器有效像素：不低于850万像素；光学变焦：≥30倍；视频输出：3G-SDIx1、HDMIx1、LANx1。</w:t>
      </w:r>
    </w:p>
    <w:p w14:paraId="53666262">
      <w:pPr>
        <w:ind w:firstLine="480"/>
        <w:jc w:val="left"/>
        <w:rPr>
          <w:color w:val="auto"/>
          <w:szCs w:val="24"/>
          <w:highlight w:val="none"/>
        </w:rPr>
      </w:pPr>
      <w:r>
        <w:rPr>
          <w:color w:val="auto"/>
          <w:szCs w:val="24"/>
          <w:highlight w:val="none"/>
        </w:rPr>
        <w:t>录播主机要求：录播主机必须支持会议录制、视频会议、互动终端、可编中控、无缝矩阵、音频处理六大功能于一体；存储：≥2T硬盘存储；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p w14:paraId="1D22CBB4">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8" w:name="_Toc26583"/>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.5</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视频切换及控制系统</w:t>
      </w:r>
      <w:bookmarkEnd w:id="28"/>
    </w:p>
    <w:p w14:paraId="73A19B19">
      <w:pPr>
        <w:ind w:firstLine="480"/>
        <w:rPr>
          <w:color w:val="auto"/>
          <w:szCs w:val="24"/>
          <w:highlight w:val="none"/>
        </w:rPr>
      </w:pPr>
      <w:r>
        <w:rPr>
          <w:color w:val="auto"/>
          <w:szCs w:val="24"/>
          <w:highlight w:val="none"/>
        </w:rPr>
        <w:t>切换器要求：支持矩阵无缝切换；支持</w:t>
      </w:r>
      <w:r>
        <w:rPr>
          <w:rFonts w:hint="eastAsia"/>
          <w:color w:val="auto"/>
          <w:kern w:val="0"/>
          <w:sz w:val="21"/>
          <w:szCs w:val="21"/>
          <w:highlight w:val="none"/>
          <w:lang w:bidi="ar"/>
        </w:rPr>
        <w:t>≥</w:t>
      </w:r>
      <w:r>
        <w:rPr>
          <w:color w:val="auto"/>
          <w:szCs w:val="24"/>
          <w:highlight w:val="none"/>
        </w:rPr>
        <w:t>8路HDMI输入，</w:t>
      </w:r>
      <w:r>
        <w:rPr>
          <w:rFonts w:hint="eastAsia"/>
          <w:color w:val="auto"/>
          <w:kern w:val="0"/>
          <w:sz w:val="21"/>
          <w:szCs w:val="21"/>
          <w:highlight w:val="none"/>
          <w:lang w:bidi="ar"/>
        </w:rPr>
        <w:t>≥</w:t>
      </w:r>
      <w:r>
        <w:rPr>
          <w:color w:val="auto"/>
          <w:szCs w:val="24"/>
          <w:highlight w:val="none"/>
        </w:rPr>
        <w:t>8路HDMI输出，</w:t>
      </w:r>
      <w:r>
        <w:rPr>
          <w:rFonts w:hint="eastAsia"/>
          <w:color w:val="auto"/>
          <w:kern w:val="0"/>
          <w:sz w:val="21"/>
          <w:szCs w:val="21"/>
          <w:highlight w:val="none"/>
          <w:lang w:bidi="ar"/>
        </w:rPr>
        <w:t>≥</w:t>
      </w:r>
      <w:r>
        <w:rPr>
          <w:color w:val="auto"/>
          <w:szCs w:val="24"/>
          <w:highlight w:val="none"/>
        </w:rPr>
        <w:t>8路3.5mm音频独立输出；支持电视墙拼接功能；输出支持画面分割功能；支持输入输出信号状态监测功能。</w:t>
      </w:r>
    </w:p>
    <w:p w14:paraId="1BBA491D">
      <w:pPr>
        <w:ind w:firstLine="480"/>
        <w:rPr>
          <w:color w:val="auto"/>
          <w:szCs w:val="24"/>
          <w:highlight w:val="none"/>
        </w:rPr>
      </w:pPr>
      <w:r>
        <w:rPr>
          <w:color w:val="auto"/>
          <w:szCs w:val="24"/>
          <w:highlight w:val="none"/>
        </w:rPr>
        <w:t>控制主机要求：不少于2个总线接口；不少于2个10/100LAN接口；不少于8个数字I/O端口；不少于8路RS232双向端口；不少于8路红外/串行输出端口；不少于8路弱电继电器端口；具有内置网页服务器功能；具有支持HTML及JAVA的功能；具有可将触摸屏界面变成网页的功能；具备4G物联网功能，实现远程状态查询、周边环境控制。</w:t>
      </w:r>
    </w:p>
    <w:p w14:paraId="1E4027F4">
      <w:pPr>
        <w:ind w:firstLine="480"/>
        <w:rPr>
          <w:color w:val="auto"/>
          <w:szCs w:val="24"/>
          <w:highlight w:val="none"/>
        </w:rPr>
      </w:pPr>
      <w:r>
        <w:rPr>
          <w:color w:val="auto"/>
          <w:szCs w:val="24"/>
          <w:highlight w:val="none"/>
        </w:rPr>
        <w:t>交互界面要求：配置有线和无线控制终端各1台。</w:t>
      </w:r>
    </w:p>
    <w:p w14:paraId="0BAD4FED">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29" w:name="_Toc12444"/>
      <w:r>
        <w:rPr>
          <w:rFonts w:hint="eastAsia" w:ascii="Times New Roman" w:hAnsi="Times New Roman" w:eastAsia="宋体"/>
          <w:bCs/>
          <w:color w:val="auto"/>
          <w:sz w:val="24"/>
          <w:szCs w:val="24"/>
          <w:highlight w:val="none"/>
        </w:rPr>
        <w:t xml:space="preserve">5.2.6 </w:t>
      </w:r>
      <w:r>
        <w:rPr>
          <w:rFonts w:ascii="Times New Roman" w:hAnsi="Times New Roman" w:eastAsia="宋体"/>
          <w:bCs/>
          <w:color w:val="auto"/>
          <w:sz w:val="24"/>
          <w:szCs w:val="24"/>
          <w:highlight w:val="none"/>
        </w:rPr>
        <w:t>会议灯光及窗帘系统</w:t>
      </w:r>
      <w:bookmarkEnd w:id="27"/>
      <w:bookmarkEnd w:id="29"/>
    </w:p>
    <w:p w14:paraId="1DA32E17">
      <w:pPr>
        <w:ind w:firstLine="480"/>
        <w:rPr>
          <w:color w:val="auto"/>
          <w:szCs w:val="24"/>
          <w:highlight w:val="none"/>
        </w:rPr>
      </w:pPr>
      <w:r>
        <w:rPr>
          <w:color w:val="auto"/>
          <w:szCs w:val="24"/>
          <w:highlight w:val="none"/>
        </w:rPr>
        <w:t>灯光配置要求：满足会议、汇报等需求灯光。</w:t>
      </w:r>
    </w:p>
    <w:p w14:paraId="090EDA05">
      <w:pPr>
        <w:ind w:firstLine="480"/>
        <w:rPr>
          <w:color w:val="auto"/>
          <w:szCs w:val="24"/>
          <w:highlight w:val="none"/>
        </w:rPr>
      </w:pPr>
      <w:r>
        <w:rPr>
          <w:color w:val="auto"/>
          <w:szCs w:val="24"/>
          <w:highlight w:val="none"/>
        </w:rPr>
        <w:t>面光灯要求：配置10台额定功率不低于300W</w:t>
      </w:r>
      <w:r>
        <w:rPr>
          <w:rFonts w:hint="eastAsia"/>
          <w:color w:val="auto"/>
          <w:szCs w:val="24"/>
          <w:highlight w:val="none"/>
          <w:lang w:val="en-US" w:eastAsia="zh-CN"/>
        </w:rPr>
        <w:t xml:space="preserve"> </w:t>
      </w:r>
      <w:r>
        <w:rPr>
          <w:color w:val="auto"/>
          <w:szCs w:val="24"/>
          <w:highlight w:val="none"/>
        </w:rPr>
        <w:t>LED电动翻转平板灯，不劣于0-60°电动翻转角度；3200K/5600K色温可选。</w:t>
      </w:r>
    </w:p>
    <w:p w14:paraId="253752D1">
      <w:pPr>
        <w:ind w:firstLine="480"/>
        <w:rPr>
          <w:color w:val="auto"/>
          <w:szCs w:val="24"/>
          <w:highlight w:val="none"/>
        </w:rPr>
      </w:pPr>
      <w:r>
        <w:rPr>
          <w:color w:val="auto"/>
          <w:szCs w:val="24"/>
          <w:highlight w:val="none"/>
        </w:rPr>
        <w:t>顶光灯要求：配置不低于10台额定功率不低于</w:t>
      </w:r>
      <w:r>
        <w:rPr>
          <w:rFonts w:hint="eastAsia"/>
          <w:color w:val="auto"/>
          <w:szCs w:val="24"/>
          <w:highlight w:val="none"/>
        </w:rPr>
        <w:t>300</w:t>
      </w:r>
      <w:r>
        <w:rPr>
          <w:color w:val="auto"/>
          <w:szCs w:val="24"/>
          <w:highlight w:val="none"/>
        </w:rPr>
        <w:t>W LED嵌入式平板灯， 3200K-5600K色温可调。</w:t>
      </w:r>
    </w:p>
    <w:p w14:paraId="6A8047F9">
      <w:pPr>
        <w:ind w:firstLine="480"/>
        <w:rPr>
          <w:color w:val="auto"/>
          <w:szCs w:val="24"/>
          <w:highlight w:val="none"/>
        </w:rPr>
      </w:pPr>
      <w:r>
        <w:rPr>
          <w:color w:val="auto"/>
          <w:szCs w:val="24"/>
          <w:highlight w:val="none"/>
        </w:rPr>
        <w:t>灯光控台要求：≥1024个DMX通道。</w:t>
      </w:r>
    </w:p>
    <w:p w14:paraId="4CE6CEF9">
      <w:pPr>
        <w:ind w:firstLine="480"/>
        <w:rPr>
          <w:color w:val="auto"/>
          <w:szCs w:val="24"/>
          <w:highlight w:val="none"/>
        </w:rPr>
      </w:pPr>
      <w:r>
        <w:rPr>
          <w:color w:val="auto"/>
          <w:szCs w:val="24"/>
          <w:highlight w:val="none"/>
        </w:rPr>
        <w:t>为保证舞台LED效果，在舞台后侧窗户处增设16米宽*6米高的电动窗帘一道（含遮光窗帘布），电动窗帘需要和大屏联动控制，同时也能通过本地以及平板控制开合。</w:t>
      </w:r>
    </w:p>
    <w:p w14:paraId="161E1061">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0" w:name="_Toc26978"/>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7</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控制室及其他系统</w:t>
      </w:r>
      <w:bookmarkEnd w:id="30"/>
    </w:p>
    <w:p w14:paraId="7A8CC1D8">
      <w:pPr>
        <w:ind w:firstLine="480"/>
        <w:rPr>
          <w:color w:val="auto"/>
          <w:szCs w:val="24"/>
          <w:highlight w:val="none"/>
        </w:rPr>
      </w:pPr>
      <w:r>
        <w:rPr>
          <w:color w:val="auto"/>
          <w:szCs w:val="24"/>
          <w:highlight w:val="none"/>
        </w:rPr>
        <w:t>控制台要求：配置2人办公工作操作台；含2张椅子。</w:t>
      </w:r>
    </w:p>
    <w:p w14:paraId="2D658F4D">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1" w:name="_Toc23999"/>
      <w:r>
        <w:rPr>
          <w:rFonts w:hint="eastAsia" w:ascii="Times New Roman" w:hAnsi="Times New Roman" w:eastAsia="宋体"/>
          <w:bCs/>
          <w:color w:val="auto"/>
          <w:sz w:val="24"/>
          <w:szCs w:val="24"/>
          <w:highlight w:val="none"/>
        </w:rPr>
        <w:t>5.2</w:t>
      </w:r>
      <w:r>
        <w:rPr>
          <w:rFonts w:ascii="Times New Roman" w:hAnsi="Times New Roman" w:eastAsia="宋体"/>
          <w:bCs/>
          <w:color w:val="auto"/>
          <w:sz w:val="24"/>
          <w:szCs w:val="24"/>
          <w:highlight w:val="none"/>
        </w:rPr>
        <w:t>.8</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控制中心系统</w:t>
      </w:r>
      <w:bookmarkEnd w:id="31"/>
    </w:p>
    <w:p w14:paraId="06186190">
      <w:pPr>
        <w:ind w:firstLine="480"/>
        <w:rPr>
          <w:color w:val="auto"/>
          <w:szCs w:val="24"/>
          <w:highlight w:val="none"/>
        </w:rPr>
      </w:pPr>
      <w:r>
        <w:rPr>
          <w:bCs/>
          <w:color w:val="auto"/>
          <w:szCs w:val="24"/>
          <w:highlight w:val="none"/>
        </w:rPr>
        <w:t>统一控制中心设置会务管理平台服务器及软件，实现各会场设备的集中管理以及集中控制，并配备不间断电源系统保证设备的稳定运行。</w:t>
      </w:r>
    </w:p>
    <w:p w14:paraId="170AC59D">
      <w:pPr>
        <w:pStyle w:val="4"/>
        <w:numPr>
          <w:ilvl w:val="1"/>
          <w:numId w:val="0"/>
        </w:numPr>
        <w:tabs>
          <w:tab w:val="left" w:pos="0"/>
        </w:tabs>
        <w:ind w:left="850" w:hanging="453"/>
        <w:rPr>
          <w:rFonts w:ascii="Times New Roman" w:hAnsi="Times New Roman" w:eastAsia="宋体"/>
          <w:color w:val="auto"/>
          <w:sz w:val="24"/>
          <w:szCs w:val="24"/>
          <w:highlight w:val="none"/>
        </w:rPr>
      </w:pPr>
      <w:bookmarkStart w:id="32" w:name="_Toc23752"/>
      <w:r>
        <w:rPr>
          <w:rFonts w:hint="eastAsia" w:ascii="Times New Roman" w:hAnsi="Times New Roman" w:eastAsia="宋体"/>
          <w:color w:val="auto"/>
          <w:sz w:val="24"/>
          <w:szCs w:val="24"/>
          <w:highlight w:val="none"/>
        </w:rPr>
        <w:t xml:space="preserve">5.3 </w:t>
      </w:r>
      <w:r>
        <w:rPr>
          <w:rFonts w:ascii="Times New Roman" w:hAnsi="Times New Roman" w:eastAsia="宋体"/>
          <w:color w:val="auto"/>
          <w:sz w:val="24"/>
          <w:szCs w:val="24"/>
          <w:highlight w:val="none"/>
        </w:rPr>
        <w:t>309报告厅</w:t>
      </w:r>
      <w:bookmarkEnd w:id="32"/>
    </w:p>
    <w:p w14:paraId="2508B5FA">
      <w:pPr>
        <w:ind w:firstLine="480"/>
        <w:rPr>
          <w:color w:val="auto"/>
          <w:szCs w:val="24"/>
          <w:highlight w:val="none"/>
        </w:rPr>
      </w:pPr>
      <w:r>
        <w:rPr>
          <w:color w:val="auto"/>
          <w:szCs w:val="24"/>
          <w:highlight w:val="none"/>
        </w:rPr>
        <w:t>会议空间尺寸：长19.1m，宽10.25m，高2.8m，面积205㎡；舞台区域（长*宽*高）：11.3m*2.34m*2.5m，舞台面积26.28㎡。设计多媒体会议系统包含：视频显示系统、音频扩声系统、会议发言系统、录播系统、视频切换及控制系统、会议灯光系统及设备辅材系统。</w:t>
      </w:r>
    </w:p>
    <w:p w14:paraId="58F9BF69">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3" w:name="_Toc25281"/>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.1</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视频显示系统</w:t>
      </w:r>
      <w:bookmarkEnd w:id="33"/>
    </w:p>
    <w:p w14:paraId="0E076753">
      <w:pPr>
        <w:ind w:firstLine="480"/>
        <w:rPr>
          <w:color w:val="auto"/>
          <w:szCs w:val="24"/>
          <w:highlight w:val="none"/>
        </w:rPr>
      </w:pPr>
      <w:r>
        <w:rPr>
          <w:color w:val="auto"/>
          <w:szCs w:val="24"/>
          <w:highlight w:val="none"/>
        </w:rPr>
        <w:t>主显示要求：像素点间距：≤1.25mm，像素密度≥640000点/㎡，含钢结构等配套产品，屏体净</w:t>
      </w:r>
      <w:r>
        <w:rPr>
          <w:rFonts w:hint="eastAsia"/>
          <w:color w:val="auto"/>
          <w:szCs w:val="24"/>
          <w:highlight w:val="none"/>
        </w:rPr>
        <w:t>长</w:t>
      </w:r>
      <w:r>
        <w:rPr>
          <w:color w:val="auto"/>
          <w:szCs w:val="24"/>
          <w:highlight w:val="none"/>
        </w:rPr>
        <w:t>≥6</w:t>
      </w:r>
      <w:r>
        <w:rPr>
          <w:rFonts w:hint="eastAsia"/>
          <w:color w:val="auto"/>
          <w:szCs w:val="24"/>
          <w:highlight w:val="none"/>
        </w:rPr>
        <w:t>.4m</w:t>
      </w:r>
      <w:r>
        <w:rPr>
          <w:color w:val="auto"/>
          <w:szCs w:val="24"/>
          <w:highlight w:val="none"/>
        </w:rPr>
        <w:t>，屏体净宽≥1.</w:t>
      </w:r>
      <w:r>
        <w:rPr>
          <w:rFonts w:hint="eastAsia"/>
          <w:color w:val="auto"/>
          <w:szCs w:val="24"/>
          <w:highlight w:val="none"/>
        </w:rPr>
        <w:t>76m</w:t>
      </w:r>
      <w:r>
        <w:rPr>
          <w:color w:val="auto"/>
          <w:szCs w:val="24"/>
          <w:highlight w:val="none"/>
        </w:rPr>
        <w:t>，合计面积≥1</w:t>
      </w:r>
      <w:r>
        <w:rPr>
          <w:rFonts w:hint="eastAsia"/>
          <w:color w:val="auto"/>
          <w:szCs w:val="24"/>
          <w:highlight w:val="none"/>
        </w:rPr>
        <w:t>1.26</w:t>
      </w:r>
      <w:r>
        <w:rPr>
          <w:color w:val="auto"/>
          <w:szCs w:val="24"/>
          <w:highlight w:val="none"/>
        </w:rPr>
        <w:t>㎡。</w:t>
      </w:r>
    </w:p>
    <w:p w14:paraId="38D3E105">
      <w:pPr>
        <w:ind w:firstLine="480"/>
        <w:rPr>
          <w:color w:val="auto"/>
          <w:szCs w:val="24"/>
          <w:highlight w:val="none"/>
        </w:rPr>
      </w:pPr>
      <w:r>
        <w:rPr>
          <w:color w:val="auto"/>
          <w:szCs w:val="24"/>
          <w:highlight w:val="none"/>
        </w:rPr>
        <w:t>辅助显示要求：配置2台尺寸不低于65"显示屏；配置壁挂支架。</w:t>
      </w:r>
    </w:p>
    <w:p w14:paraId="7D603AF2">
      <w:pPr>
        <w:ind w:firstLine="480"/>
        <w:rPr>
          <w:color w:val="auto"/>
          <w:szCs w:val="24"/>
          <w:highlight w:val="none"/>
        </w:rPr>
      </w:pPr>
      <w:r>
        <w:rPr>
          <w:color w:val="auto"/>
          <w:szCs w:val="24"/>
          <w:highlight w:val="none"/>
        </w:rPr>
        <w:t>舞台返看要求：与301共用，预留信号接口。</w:t>
      </w:r>
    </w:p>
    <w:p w14:paraId="435F8EAE">
      <w:pPr>
        <w:ind w:firstLine="480"/>
        <w:rPr>
          <w:color w:val="auto"/>
          <w:szCs w:val="24"/>
          <w:highlight w:val="none"/>
        </w:rPr>
      </w:pPr>
      <w:r>
        <w:rPr>
          <w:color w:val="auto"/>
          <w:szCs w:val="24"/>
          <w:highlight w:val="none"/>
        </w:rPr>
        <w:t>智慧门牌要求：配置1台尺寸不低于21.5寸智慧会议门牌。</w:t>
      </w:r>
    </w:p>
    <w:p w14:paraId="59AF471C">
      <w:pPr>
        <w:ind w:firstLine="480"/>
        <w:rPr>
          <w:color w:val="auto"/>
          <w:szCs w:val="24"/>
          <w:highlight w:val="none"/>
        </w:rPr>
      </w:pPr>
      <w:r>
        <w:rPr>
          <w:color w:val="auto"/>
          <w:szCs w:val="24"/>
          <w:highlight w:val="none"/>
        </w:rPr>
        <w:t>无线协作要求：支持多布局显示，可根据场景需求选择如整屏显示，画中画，2分屏，3分屏，4分屏；支持Windows、MAC、Android、iOS、鸿蒙、国产麒麟等主流操作平台；支持HDMI2.0，输出最大分辨率不低于3840x2160@60Hz；支持扩展桌面、白板批注、反向控制等功能；提供CEC、WebGUI、Telnet、RS232控制方式，支持第三方中控。</w:t>
      </w:r>
    </w:p>
    <w:p w14:paraId="45361824">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4" w:name="_Toc16717"/>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.2</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音频扩声系统</w:t>
      </w:r>
      <w:bookmarkEnd w:id="34"/>
    </w:p>
    <w:p w14:paraId="7A32ABEB">
      <w:pPr>
        <w:ind w:firstLine="480"/>
        <w:rPr>
          <w:color w:val="auto"/>
          <w:szCs w:val="24"/>
          <w:highlight w:val="none"/>
        </w:rPr>
      </w:pPr>
      <w:r>
        <w:rPr>
          <w:color w:val="auto"/>
          <w:szCs w:val="24"/>
          <w:highlight w:val="none"/>
        </w:rPr>
        <w:t>声学建设要求：按照GB50371-2006扩声系统指标会议类一级标准建设，最大声压级≥98dB，不均匀度≤6dB。</w:t>
      </w:r>
    </w:p>
    <w:p w14:paraId="68B79802">
      <w:pPr>
        <w:ind w:firstLine="480"/>
        <w:rPr>
          <w:color w:val="auto"/>
          <w:szCs w:val="24"/>
          <w:highlight w:val="none"/>
        </w:rPr>
      </w:pPr>
      <w:r>
        <w:rPr>
          <w:color w:val="auto"/>
          <w:szCs w:val="24"/>
          <w:highlight w:val="none"/>
        </w:rPr>
        <w:t>扬声器要求：配置4只线性阵列柱式扬声器，频响范围不劣于频率范围：75~15000(Hz)。配置墙面安装支架安装；配置2只线性阵列柱式扬声器，频响范围不劣于频率范围：75~15000(Hz)，作为主席台返听扬声器。</w:t>
      </w:r>
    </w:p>
    <w:p w14:paraId="0F2B54B1">
      <w:pPr>
        <w:pStyle w:val="2"/>
        <w:ind w:left="0" w:leftChars="0" w:firstLine="480"/>
        <w:jc w:val="left"/>
        <w:rPr>
          <w:rFonts w:ascii="Times New Roman" w:hAnsi="Times New Roman" w:eastAsia="宋体" w:cs="Times New Roman"/>
          <w:b/>
          <w:bCs/>
          <w:color w:val="auto"/>
          <w:sz w:val="21"/>
          <w:szCs w:val="24"/>
          <w:highlight w:val="none"/>
        </w:rPr>
      </w:pPr>
      <w:r>
        <w:rPr>
          <w:rFonts w:ascii="Times New Roman" w:hAnsi="Times New Roman" w:eastAsia="宋体" w:cs="Times New Roman"/>
          <w:b/>
          <w:bCs/>
          <w:color w:val="auto"/>
          <w:sz w:val="21"/>
          <w:szCs w:val="24"/>
          <w:highlight w:val="none"/>
        </w:rPr>
        <w:t>因舞台长11.3米，宽2.34米。在舞台摆放会议桌时，返听无法落地摆放安装，为确保声场的覆盖，采用两侧壁挂方式。</w:t>
      </w:r>
    </w:p>
    <w:p w14:paraId="3D75E4DE">
      <w:pPr>
        <w:ind w:firstLine="480"/>
        <w:rPr>
          <w:color w:val="auto"/>
          <w:szCs w:val="24"/>
          <w:highlight w:val="none"/>
        </w:rPr>
      </w:pPr>
      <w:r>
        <w:rPr>
          <w:color w:val="auto"/>
          <w:szCs w:val="24"/>
          <w:highlight w:val="none"/>
        </w:rPr>
        <w:t>功率放大器要求：在阻抗匹配情况下按满足扬声器的连续功率配比不低于1.5倍配置。</w:t>
      </w:r>
    </w:p>
    <w:p w14:paraId="059C7642">
      <w:pPr>
        <w:ind w:firstLine="480"/>
        <w:rPr>
          <w:color w:val="auto"/>
          <w:szCs w:val="24"/>
          <w:highlight w:val="none"/>
        </w:rPr>
      </w:pPr>
      <w:r>
        <w:rPr>
          <w:color w:val="auto"/>
          <w:szCs w:val="24"/>
          <w:highlight w:val="none"/>
        </w:rPr>
        <w:t>混音设备要求：配置1台不少于14个输入通道的数字调音台；主屏幕：7寸日光可视显示屏。</w:t>
      </w:r>
    </w:p>
    <w:p w14:paraId="76EA6874">
      <w:pPr>
        <w:ind w:firstLine="480"/>
        <w:rPr>
          <w:color w:val="auto"/>
          <w:szCs w:val="24"/>
          <w:highlight w:val="none"/>
        </w:rPr>
      </w:pPr>
      <w:r>
        <w:rPr>
          <w:color w:val="auto"/>
          <w:szCs w:val="24"/>
          <w:highlight w:val="none"/>
        </w:rPr>
        <w:t>处理设备要求：配置1台数字音频处理器，模拟通道数量≥10进4出，声学回声消除模块(AEC)通道≥8路；支持跨平台（IOS、Android、Windows、MacOS）平台软件实时远程控制，支持中控控制(RS232 &amp; SoIP)。</w:t>
      </w:r>
    </w:p>
    <w:p w14:paraId="6EAF0902">
      <w:pPr>
        <w:ind w:firstLine="480"/>
        <w:rPr>
          <w:color w:val="auto"/>
          <w:szCs w:val="24"/>
          <w:highlight w:val="none"/>
        </w:rPr>
      </w:pPr>
      <w:r>
        <w:rPr>
          <w:color w:val="auto"/>
          <w:szCs w:val="24"/>
          <w:highlight w:val="none"/>
        </w:rPr>
        <w:t>监听设备要求：机房配置1只不低于5"左右声道有源监听音箱。</w:t>
      </w:r>
    </w:p>
    <w:p w14:paraId="1021BA7F">
      <w:pPr>
        <w:ind w:firstLine="480"/>
        <w:rPr>
          <w:color w:val="auto"/>
          <w:szCs w:val="24"/>
          <w:highlight w:val="none"/>
        </w:rPr>
      </w:pPr>
      <w:r>
        <w:rPr>
          <w:color w:val="auto"/>
          <w:szCs w:val="24"/>
          <w:highlight w:val="none"/>
        </w:rPr>
        <w:t>电源管理：配置1台电源时序器，支持中控控制实现平台软件一键开关会议系统。</w:t>
      </w:r>
    </w:p>
    <w:p w14:paraId="4AA4F922">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5" w:name="_Toc10033"/>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.3</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会议发言系统</w:t>
      </w:r>
      <w:bookmarkEnd w:id="35"/>
    </w:p>
    <w:p w14:paraId="125F2042">
      <w:pPr>
        <w:ind w:firstLine="480"/>
        <w:rPr>
          <w:color w:val="auto"/>
          <w:szCs w:val="24"/>
          <w:highlight w:val="none"/>
        </w:rPr>
      </w:pPr>
      <w:r>
        <w:rPr>
          <w:color w:val="auto"/>
          <w:szCs w:val="24"/>
          <w:highlight w:val="none"/>
        </w:rPr>
        <w:t>采用有线、无线相结合拾音系统。</w:t>
      </w:r>
    </w:p>
    <w:p w14:paraId="0E48FE6F">
      <w:pPr>
        <w:pStyle w:val="17"/>
        <w:ind w:firstLine="480"/>
        <w:rPr>
          <w:color w:val="auto"/>
          <w:szCs w:val="24"/>
          <w:highlight w:val="none"/>
        </w:rPr>
      </w:pPr>
      <w:r>
        <w:rPr>
          <w:color w:val="auto"/>
          <w:szCs w:val="24"/>
          <w:highlight w:val="none"/>
        </w:rPr>
        <w:t xml:space="preserve">领导席话筒要求：配置1套数字会议系统，1台数字会议主机，9只话筒单元，单元要求话筒柄可以灵活调整，采用短杆方管话筒方案； </w:t>
      </w:r>
    </w:p>
    <w:p w14:paraId="2017083C">
      <w:pPr>
        <w:ind w:firstLine="480"/>
        <w:rPr>
          <w:color w:val="auto"/>
          <w:szCs w:val="24"/>
          <w:highlight w:val="none"/>
        </w:rPr>
      </w:pPr>
      <w:r>
        <w:rPr>
          <w:color w:val="auto"/>
          <w:szCs w:val="24"/>
          <w:highlight w:val="none"/>
        </w:rPr>
        <w:t>汇报席话筒：与会议话筒同档次，</w:t>
      </w:r>
      <w:r>
        <w:rPr>
          <w:rFonts w:hint="eastAsia"/>
          <w:color w:val="auto"/>
          <w:szCs w:val="24"/>
          <w:highlight w:val="none"/>
        </w:rPr>
        <w:t>短杆</w:t>
      </w:r>
      <w:r>
        <w:rPr>
          <w:color w:val="auto"/>
          <w:szCs w:val="24"/>
          <w:highlight w:val="none"/>
        </w:rPr>
        <w:t>话筒设计，最大输入声压级：≥1</w:t>
      </w:r>
      <w:r>
        <w:rPr>
          <w:rFonts w:hint="eastAsia"/>
          <w:color w:val="auto"/>
          <w:szCs w:val="24"/>
          <w:highlight w:val="none"/>
        </w:rPr>
        <w:t>3</w:t>
      </w:r>
      <w:r>
        <w:rPr>
          <w:color w:val="auto"/>
          <w:szCs w:val="24"/>
          <w:highlight w:val="none"/>
        </w:rPr>
        <w:t>0dB；无线话筒要求：配置不低于2套双通道数字手持话筒，无线话筒接收机要求双通道无线系统。</w:t>
      </w:r>
    </w:p>
    <w:p w14:paraId="7327CF7C">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6" w:name="_Toc14363"/>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.4</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高清录播系统</w:t>
      </w:r>
      <w:bookmarkEnd w:id="36"/>
    </w:p>
    <w:p w14:paraId="181E0A85">
      <w:pPr>
        <w:ind w:firstLine="480"/>
        <w:jc w:val="left"/>
        <w:rPr>
          <w:color w:val="auto"/>
          <w:szCs w:val="24"/>
          <w:highlight w:val="none"/>
        </w:rPr>
      </w:pPr>
      <w:r>
        <w:rPr>
          <w:color w:val="auto"/>
          <w:szCs w:val="24"/>
          <w:highlight w:val="none"/>
        </w:rPr>
        <w:t>摄像机要求：为会场配置3台4K会议摄像机，成像元器件：≥1/2.5英寸 CMOS传感器；传感器有效像素：不低于850万像素；光学变焦：≥</w:t>
      </w:r>
      <w:r>
        <w:rPr>
          <w:rFonts w:hint="eastAsia"/>
          <w:color w:val="auto"/>
          <w:szCs w:val="24"/>
          <w:highlight w:val="none"/>
        </w:rPr>
        <w:t>20</w:t>
      </w:r>
      <w:r>
        <w:rPr>
          <w:color w:val="auto"/>
          <w:szCs w:val="24"/>
          <w:highlight w:val="none"/>
        </w:rPr>
        <w:t>倍；视频输出：3G-SDIx1、HDMIx1、LANx1。</w:t>
      </w:r>
    </w:p>
    <w:p w14:paraId="15FFBCD7">
      <w:pPr>
        <w:ind w:firstLine="480"/>
        <w:jc w:val="left"/>
        <w:rPr>
          <w:color w:val="auto"/>
          <w:szCs w:val="24"/>
          <w:highlight w:val="none"/>
        </w:rPr>
      </w:pPr>
      <w:r>
        <w:rPr>
          <w:color w:val="auto"/>
          <w:szCs w:val="24"/>
          <w:highlight w:val="none"/>
        </w:rPr>
        <w:t>录播主机要求：录播主机必须支持会议录制、视频会议、互动终端、可编中控、无缝矩阵、音频处理六大功能于一体；存储：≥2T硬盘存储；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p w14:paraId="0128C0FA">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7" w:name="_Toc10246"/>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.5</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视频切换及控制系统</w:t>
      </w:r>
      <w:bookmarkEnd w:id="37"/>
    </w:p>
    <w:p w14:paraId="5BE59335">
      <w:pPr>
        <w:ind w:firstLine="480"/>
        <w:rPr>
          <w:color w:val="auto"/>
          <w:szCs w:val="24"/>
          <w:highlight w:val="none"/>
        </w:rPr>
      </w:pPr>
      <w:r>
        <w:rPr>
          <w:color w:val="auto"/>
          <w:szCs w:val="24"/>
          <w:highlight w:val="none"/>
        </w:rPr>
        <w:t>切换器要求：支持矩阵无缝切换；支持</w:t>
      </w:r>
      <w:r>
        <w:rPr>
          <w:rFonts w:hint="eastAsia"/>
          <w:color w:val="auto"/>
          <w:kern w:val="0"/>
          <w:sz w:val="21"/>
          <w:szCs w:val="21"/>
          <w:highlight w:val="none"/>
          <w:lang w:bidi="ar"/>
        </w:rPr>
        <w:t>≥</w:t>
      </w:r>
      <w:r>
        <w:rPr>
          <w:color w:val="auto"/>
          <w:szCs w:val="24"/>
          <w:highlight w:val="none"/>
        </w:rPr>
        <w:t>8路HDMI输入，</w:t>
      </w:r>
      <w:r>
        <w:rPr>
          <w:rFonts w:hint="eastAsia"/>
          <w:color w:val="auto"/>
          <w:kern w:val="0"/>
          <w:sz w:val="21"/>
          <w:szCs w:val="21"/>
          <w:highlight w:val="none"/>
          <w:lang w:bidi="ar"/>
        </w:rPr>
        <w:t>≥</w:t>
      </w:r>
      <w:r>
        <w:rPr>
          <w:color w:val="auto"/>
          <w:szCs w:val="24"/>
          <w:highlight w:val="none"/>
        </w:rPr>
        <w:t>8路HDMI输出，</w:t>
      </w:r>
      <w:r>
        <w:rPr>
          <w:rFonts w:hint="eastAsia"/>
          <w:color w:val="auto"/>
          <w:kern w:val="0"/>
          <w:sz w:val="21"/>
          <w:szCs w:val="21"/>
          <w:highlight w:val="none"/>
          <w:lang w:bidi="ar"/>
        </w:rPr>
        <w:t>≥</w:t>
      </w:r>
      <w:r>
        <w:rPr>
          <w:color w:val="auto"/>
          <w:szCs w:val="24"/>
          <w:highlight w:val="none"/>
        </w:rPr>
        <w:t>8路3.5mm音频独立输出；支持电视墙拼接功能；输出支持画面分割功能；支持输入输出信号状态监测功能。</w:t>
      </w:r>
    </w:p>
    <w:p w14:paraId="5D140326">
      <w:pPr>
        <w:ind w:firstLine="480"/>
        <w:rPr>
          <w:color w:val="auto"/>
          <w:szCs w:val="24"/>
          <w:highlight w:val="none"/>
        </w:rPr>
      </w:pPr>
      <w:r>
        <w:rPr>
          <w:color w:val="auto"/>
          <w:szCs w:val="24"/>
          <w:highlight w:val="none"/>
        </w:rPr>
        <w:t>控制主机要求：不少于2个总线接口；不少于2个10/100LAN接口；不少于8个数字I/O端口；不少于8路RS232双向端口；不少于8路红外/串行输出端口；不少于8路弱电继电器端口；具有内置网页服务器功能；具有支持HTML及JAVA的功能；具有可将触摸屏界面变成网页的功能；具备4G物联网功能，实现远程状态查询、周边环境控制。</w:t>
      </w:r>
    </w:p>
    <w:p w14:paraId="1A4F8F60">
      <w:pPr>
        <w:ind w:firstLine="480"/>
        <w:rPr>
          <w:color w:val="auto"/>
          <w:szCs w:val="24"/>
          <w:highlight w:val="none"/>
        </w:rPr>
      </w:pPr>
      <w:r>
        <w:rPr>
          <w:color w:val="auto"/>
          <w:szCs w:val="24"/>
          <w:highlight w:val="none"/>
        </w:rPr>
        <w:t>交互界面要求：配置有线和无线控制终端各1台。</w:t>
      </w:r>
    </w:p>
    <w:p w14:paraId="34255482">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38" w:name="_Toc28924"/>
      <w:r>
        <w:rPr>
          <w:rFonts w:hint="eastAsia" w:ascii="Times New Roman" w:hAnsi="Times New Roman" w:eastAsia="宋体"/>
          <w:bCs/>
          <w:color w:val="auto"/>
          <w:sz w:val="24"/>
          <w:szCs w:val="24"/>
          <w:highlight w:val="none"/>
        </w:rPr>
        <w:t>5.3</w:t>
      </w:r>
      <w:r>
        <w:rPr>
          <w:rFonts w:ascii="Times New Roman" w:hAnsi="Times New Roman" w:eastAsia="宋体"/>
          <w:bCs/>
          <w:color w:val="auto"/>
          <w:sz w:val="24"/>
          <w:szCs w:val="24"/>
          <w:highlight w:val="none"/>
        </w:rPr>
        <w:t>.6</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会议灯光系统</w:t>
      </w:r>
      <w:bookmarkEnd w:id="38"/>
    </w:p>
    <w:p w14:paraId="27576669">
      <w:pPr>
        <w:ind w:firstLine="480"/>
        <w:rPr>
          <w:color w:val="auto"/>
          <w:szCs w:val="24"/>
          <w:highlight w:val="none"/>
        </w:rPr>
      </w:pPr>
      <w:r>
        <w:rPr>
          <w:color w:val="auto"/>
          <w:szCs w:val="24"/>
          <w:highlight w:val="none"/>
        </w:rPr>
        <w:t>灯光配置要求：满足会议、汇报等需求灯光。</w:t>
      </w:r>
    </w:p>
    <w:p w14:paraId="46291683">
      <w:pPr>
        <w:ind w:firstLine="480"/>
        <w:jc w:val="left"/>
        <w:rPr>
          <w:color w:val="auto"/>
          <w:szCs w:val="24"/>
          <w:highlight w:val="none"/>
        </w:rPr>
      </w:pPr>
      <w:r>
        <w:rPr>
          <w:color w:val="auto"/>
          <w:szCs w:val="24"/>
          <w:highlight w:val="none"/>
        </w:rPr>
        <w:t>面光灯要求：配置8台额定功率不低于300WLED电动翻转平板灯，不劣于0-60°电动翻转角度；3200K/5600K色温可选。顶光灯要求：配置一道灯光灯位，设计不低于6台额定功率不低于</w:t>
      </w:r>
      <w:r>
        <w:rPr>
          <w:rFonts w:hint="eastAsia"/>
          <w:color w:val="auto"/>
          <w:szCs w:val="24"/>
          <w:highlight w:val="none"/>
        </w:rPr>
        <w:t>30</w:t>
      </w:r>
      <w:r>
        <w:rPr>
          <w:color w:val="auto"/>
          <w:szCs w:val="24"/>
          <w:highlight w:val="none"/>
        </w:rPr>
        <w:t>0W LED嵌入式平板灯，3200K</w:t>
      </w:r>
      <w:r>
        <w:rPr>
          <w:rFonts w:hint="eastAsia"/>
          <w:color w:val="auto"/>
          <w:szCs w:val="24"/>
          <w:highlight w:val="none"/>
          <w:lang w:val="en-US" w:eastAsia="zh-CN"/>
        </w:rPr>
        <w:t>/</w:t>
      </w:r>
      <w:r>
        <w:rPr>
          <w:color w:val="auto"/>
          <w:szCs w:val="24"/>
          <w:highlight w:val="none"/>
        </w:rPr>
        <w:t>5600K色温可调。</w:t>
      </w:r>
    </w:p>
    <w:p w14:paraId="38BCAD81">
      <w:pPr>
        <w:ind w:firstLine="480"/>
        <w:rPr>
          <w:color w:val="auto"/>
          <w:szCs w:val="24"/>
          <w:highlight w:val="none"/>
        </w:rPr>
      </w:pPr>
      <w:r>
        <w:rPr>
          <w:color w:val="auto"/>
          <w:szCs w:val="24"/>
          <w:highlight w:val="none"/>
        </w:rPr>
        <w:t>灯光控台要求：≥1024个DMX通道。</w:t>
      </w:r>
    </w:p>
    <w:bookmarkEnd w:id="17"/>
    <w:bookmarkEnd w:id="20"/>
    <w:p w14:paraId="4855430E">
      <w:pPr>
        <w:pStyle w:val="4"/>
        <w:numPr>
          <w:ilvl w:val="1"/>
          <w:numId w:val="0"/>
        </w:numPr>
        <w:tabs>
          <w:tab w:val="left" w:pos="0"/>
        </w:tabs>
        <w:ind w:left="850" w:hanging="453"/>
        <w:rPr>
          <w:rFonts w:ascii="Times New Roman" w:hAnsi="Times New Roman" w:eastAsia="宋体"/>
          <w:color w:val="auto"/>
          <w:sz w:val="24"/>
          <w:szCs w:val="24"/>
          <w:highlight w:val="none"/>
        </w:rPr>
      </w:pPr>
      <w:bookmarkStart w:id="39" w:name="_Toc2534"/>
      <w:r>
        <w:rPr>
          <w:rFonts w:hint="eastAsia" w:ascii="Times New Roman" w:hAnsi="Times New Roman" w:eastAsia="宋体"/>
          <w:color w:val="auto"/>
          <w:sz w:val="24"/>
          <w:szCs w:val="24"/>
          <w:highlight w:val="none"/>
        </w:rPr>
        <w:t xml:space="preserve">5.4 </w:t>
      </w:r>
      <w:r>
        <w:rPr>
          <w:rFonts w:ascii="Times New Roman" w:hAnsi="Times New Roman" w:eastAsia="宋体"/>
          <w:color w:val="auto"/>
          <w:sz w:val="24"/>
          <w:szCs w:val="24"/>
          <w:highlight w:val="none"/>
        </w:rPr>
        <w:t>310讨论型会议室</w:t>
      </w:r>
      <w:bookmarkEnd w:id="39"/>
    </w:p>
    <w:p w14:paraId="2ED0975C">
      <w:pPr>
        <w:ind w:firstLine="480"/>
        <w:rPr>
          <w:color w:val="auto"/>
          <w:szCs w:val="24"/>
          <w:highlight w:val="none"/>
        </w:rPr>
      </w:pPr>
      <w:r>
        <w:rPr>
          <w:color w:val="auto"/>
          <w:szCs w:val="24"/>
          <w:highlight w:val="none"/>
        </w:rPr>
        <w:t>会议空间尺寸：长15.2m，宽5.8m，高2.8m，面积101㎡。设计多媒体会议系统包含：视频显示系统、音频扩声系统、会议发言系统、视频会议及录播系统、视频切换及控制系统及设备辅材系统。</w:t>
      </w:r>
    </w:p>
    <w:p w14:paraId="38AB1B57">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0" w:name="_Toc27125"/>
      <w:r>
        <w:rPr>
          <w:rFonts w:hint="eastAsia" w:ascii="Times New Roman" w:hAnsi="Times New Roman" w:eastAsia="宋体"/>
          <w:bCs/>
          <w:color w:val="auto"/>
          <w:sz w:val="24"/>
          <w:szCs w:val="24"/>
          <w:highlight w:val="none"/>
        </w:rPr>
        <w:t>5.4</w:t>
      </w:r>
      <w:r>
        <w:rPr>
          <w:rFonts w:ascii="Times New Roman" w:hAnsi="Times New Roman" w:eastAsia="宋体"/>
          <w:bCs/>
          <w:color w:val="auto"/>
          <w:sz w:val="24"/>
          <w:szCs w:val="24"/>
          <w:highlight w:val="none"/>
        </w:rPr>
        <w:t>.1</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视频显示系统</w:t>
      </w:r>
      <w:bookmarkEnd w:id="40"/>
    </w:p>
    <w:p w14:paraId="6FCAF163">
      <w:pPr>
        <w:ind w:firstLine="480"/>
        <w:rPr>
          <w:color w:val="auto"/>
          <w:szCs w:val="24"/>
          <w:highlight w:val="none"/>
        </w:rPr>
      </w:pPr>
      <w:r>
        <w:rPr>
          <w:color w:val="auto"/>
          <w:szCs w:val="24"/>
          <w:highlight w:val="none"/>
        </w:rPr>
        <w:t>主显示要求：配置1台</w:t>
      </w:r>
      <w:r>
        <w:rPr>
          <w:rFonts w:hint="eastAsia"/>
          <w:color w:val="auto"/>
          <w:kern w:val="0"/>
          <w:sz w:val="21"/>
          <w:szCs w:val="21"/>
          <w:highlight w:val="none"/>
          <w:lang w:bidi="ar"/>
        </w:rPr>
        <w:t>≥</w:t>
      </w:r>
      <w:r>
        <w:rPr>
          <w:color w:val="auto"/>
          <w:szCs w:val="24"/>
          <w:highlight w:val="none"/>
        </w:rPr>
        <w:t>5</w:t>
      </w:r>
      <w:r>
        <w:rPr>
          <w:rFonts w:hint="eastAsia"/>
          <w:color w:val="auto"/>
          <w:szCs w:val="24"/>
          <w:highlight w:val="none"/>
          <w:lang w:val="en-US" w:eastAsia="zh-CN"/>
        </w:rPr>
        <w:t>5</w:t>
      </w:r>
      <w:r>
        <w:rPr>
          <w:color w:val="auto"/>
          <w:szCs w:val="24"/>
          <w:highlight w:val="none"/>
        </w:rPr>
        <w:t>00流明短焦激光投影机，分辨率不低于1920*1200；搭配1副尺寸不低于13</w:t>
      </w:r>
      <w:r>
        <w:rPr>
          <w:rFonts w:hint="eastAsia"/>
          <w:color w:val="auto"/>
          <w:szCs w:val="24"/>
          <w:highlight w:val="none"/>
        </w:rPr>
        <w:t>0</w:t>
      </w:r>
      <w:r>
        <w:rPr>
          <w:color w:val="auto"/>
          <w:szCs w:val="24"/>
          <w:highlight w:val="none"/>
        </w:rPr>
        <w:t>寸的窄边画框幕实现视频显示功能，投影机采用固定吊架安装方式。</w:t>
      </w:r>
    </w:p>
    <w:p w14:paraId="0754AEFF">
      <w:pPr>
        <w:ind w:firstLine="480"/>
        <w:rPr>
          <w:color w:val="auto"/>
          <w:szCs w:val="24"/>
          <w:highlight w:val="none"/>
        </w:rPr>
      </w:pPr>
      <w:r>
        <w:rPr>
          <w:color w:val="auto"/>
          <w:szCs w:val="24"/>
          <w:highlight w:val="none"/>
        </w:rPr>
        <w:t>智慧门牌要求：配置1台尺寸不低于21.5寸智慧会议门牌。</w:t>
      </w:r>
    </w:p>
    <w:p w14:paraId="10CD1709">
      <w:pPr>
        <w:ind w:firstLine="480"/>
        <w:rPr>
          <w:color w:val="auto"/>
          <w:szCs w:val="24"/>
          <w:highlight w:val="none"/>
        </w:rPr>
      </w:pPr>
      <w:r>
        <w:rPr>
          <w:color w:val="auto"/>
          <w:szCs w:val="24"/>
          <w:highlight w:val="none"/>
        </w:rPr>
        <w:t>无线协作要求：支持多布局显示，可根据场景需求选择如整屏显示，画中画，2分屏，3分屏，4分屏；支持Windows、MAC、Android、iOS、鸿蒙、国产麒麟等主流操作平台；支持HDMI2.0，输出最大分辨率不低于3840x2160@60Hz；支持扩展桌面、白板批注、反向控制等功能；提供CEC、WebGUI、Telnet、RS232控制方式，支持第三方中控。</w:t>
      </w:r>
    </w:p>
    <w:p w14:paraId="01CDB243">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1" w:name="_Toc30417"/>
      <w:r>
        <w:rPr>
          <w:rFonts w:hint="eastAsia" w:ascii="Times New Roman" w:hAnsi="Times New Roman" w:eastAsia="宋体"/>
          <w:bCs/>
          <w:color w:val="auto"/>
          <w:sz w:val="24"/>
          <w:szCs w:val="24"/>
          <w:highlight w:val="none"/>
        </w:rPr>
        <w:t>5.4</w:t>
      </w:r>
      <w:r>
        <w:rPr>
          <w:rFonts w:ascii="Times New Roman" w:hAnsi="Times New Roman" w:eastAsia="宋体"/>
          <w:bCs/>
          <w:color w:val="auto"/>
          <w:sz w:val="24"/>
          <w:szCs w:val="24"/>
          <w:highlight w:val="none"/>
        </w:rPr>
        <w:t>.2</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音频扩声系统</w:t>
      </w:r>
      <w:bookmarkEnd w:id="41"/>
    </w:p>
    <w:p w14:paraId="78DB1E12">
      <w:pPr>
        <w:ind w:firstLine="480"/>
        <w:rPr>
          <w:color w:val="auto"/>
          <w:szCs w:val="24"/>
          <w:highlight w:val="none"/>
        </w:rPr>
      </w:pPr>
      <w:r>
        <w:rPr>
          <w:color w:val="auto"/>
          <w:szCs w:val="24"/>
          <w:highlight w:val="none"/>
        </w:rPr>
        <w:t>声学建设要求：按照GB50371-2006扩声系统指标会议类一级标准建设，最大声压级≥98dB，不均匀度≤6dB。</w:t>
      </w:r>
    </w:p>
    <w:p w14:paraId="52A57B7D">
      <w:pPr>
        <w:pStyle w:val="17"/>
        <w:ind w:firstLine="480"/>
        <w:rPr>
          <w:color w:val="auto"/>
          <w:szCs w:val="24"/>
          <w:highlight w:val="none"/>
        </w:rPr>
      </w:pPr>
      <w:r>
        <w:rPr>
          <w:color w:val="auto"/>
          <w:szCs w:val="24"/>
          <w:highlight w:val="none"/>
        </w:rPr>
        <w:t>扬声器要求：配置4只线性阵列柱式扬声器，频响范围不劣于频率范围：</w:t>
      </w:r>
      <w:r>
        <w:rPr>
          <w:rFonts w:hint="eastAsia"/>
          <w:color w:val="auto"/>
          <w:szCs w:val="24"/>
          <w:highlight w:val="none"/>
        </w:rPr>
        <w:t>75</w:t>
      </w:r>
      <w:r>
        <w:rPr>
          <w:color w:val="auto"/>
          <w:szCs w:val="24"/>
          <w:highlight w:val="none"/>
        </w:rPr>
        <w:t>~15000(Hz)；配置墙面安装支架安装。</w:t>
      </w:r>
    </w:p>
    <w:p w14:paraId="54A97D21">
      <w:pPr>
        <w:ind w:firstLine="480"/>
        <w:rPr>
          <w:color w:val="auto"/>
          <w:szCs w:val="24"/>
          <w:highlight w:val="none"/>
        </w:rPr>
      </w:pPr>
      <w:r>
        <w:rPr>
          <w:color w:val="auto"/>
          <w:szCs w:val="24"/>
          <w:highlight w:val="none"/>
        </w:rPr>
        <w:t>功率放大器要求：在阻抗匹配情况下，按满足扬声器的连续功率配比不低于1.5倍配置。</w:t>
      </w:r>
    </w:p>
    <w:p w14:paraId="1FE5B516">
      <w:pPr>
        <w:ind w:firstLine="480"/>
        <w:rPr>
          <w:color w:val="auto"/>
          <w:szCs w:val="24"/>
          <w:highlight w:val="none"/>
        </w:rPr>
      </w:pPr>
      <w:r>
        <w:rPr>
          <w:color w:val="auto"/>
          <w:szCs w:val="24"/>
          <w:highlight w:val="none"/>
        </w:rPr>
        <w:t>处理设备要求：配置1台数字音频处理器，模拟通道数量≥10进4出</w:t>
      </w:r>
      <w:r>
        <w:rPr>
          <w:color w:val="auto"/>
          <w:kern w:val="0"/>
          <w:szCs w:val="24"/>
          <w:highlight w:val="none"/>
          <w:lang w:bidi="ar"/>
        </w:rPr>
        <w:t>，声学回声消除模块(AEC)通道≥8路</w:t>
      </w:r>
      <w:r>
        <w:rPr>
          <w:color w:val="auto"/>
          <w:szCs w:val="24"/>
          <w:highlight w:val="none"/>
        </w:rPr>
        <w:t>；支持跨平台（IOS、Android、Windows、MacOS）平台软件实时远程控制，支持中控控制(RS232 &amp; SoIP)。</w:t>
      </w:r>
    </w:p>
    <w:p w14:paraId="7D2DD585">
      <w:pPr>
        <w:ind w:firstLine="480"/>
        <w:rPr>
          <w:color w:val="auto"/>
          <w:szCs w:val="24"/>
          <w:highlight w:val="none"/>
        </w:rPr>
      </w:pPr>
      <w:r>
        <w:rPr>
          <w:color w:val="auto"/>
          <w:szCs w:val="24"/>
          <w:highlight w:val="none"/>
        </w:rPr>
        <w:t>电源管理：配置1台电源时序器，支持中控控制实现平台软件一键开关会议系统。</w:t>
      </w:r>
    </w:p>
    <w:p w14:paraId="26BB59F5">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2" w:name="_Toc208"/>
      <w:r>
        <w:rPr>
          <w:rFonts w:hint="eastAsia" w:ascii="Times New Roman" w:hAnsi="Times New Roman" w:eastAsia="宋体"/>
          <w:bCs/>
          <w:color w:val="auto"/>
          <w:sz w:val="24"/>
          <w:szCs w:val="24"/>
          <w:highlight w:val="none"/>
        </w:rPr>
        <w:t>5.4</w:t>
      </w:r>
      <w:r>
        <w:rPr>
          <w:rFonts w:ascii="Times New Roman" w:hAnsi="Times New Roman" w:eastAsia="宋体"/>
          <w:bCs/>
          <w:color w:val="auto"/>
          <w:sz w:val="24"/>
          <w:szCs w:val="24"/>
          <w:highlight w:val="none"/>
        </w:rPr>
        <w:t>.3</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会议发言系统</w:t>
      </w:r>
      <w:bookmarkEnd w:id="42"/>
    </w:p>
    <w:p w14:paraId="01956A72">
      <w:pPr>
        <w:ind w:firstLine="480"/>
        <w:rPr>
          <w:color w:val="auto"/>
          <w:szCs w:val="24"/>
          <w:highlight w:val="none"/>
        </w:rPr>
      </w:pPr>
      <w:r>
        <w:rPr>
          <w:color w:val="auto"/>
          <w:szCs w:val="24"/>
          <w:highlight w:val="none"/>
        </w:rPr>
        <w:t>采用有线、无线相结合拾音系统。</w:t>
      </w:r>
    </w:p>
    <w:p w14:paraId="2E2C3356">
      <w:pPr>
        <w:pStyle w:val="17"/>
        <w:ind w:firstLine="480"/>
        <w:rPr>
          <w:color w:val="auto"/>
          <w:szCs w:val="24"/>
          <w:highlight w:val="none"/>
        </w:rPr>
      </w:pPr>
      <w:r>
        <w:rPr>
          <w:color w:val="auto"/>
          <w:szCs w:val="24"/>
          <w:highlight w:val="none"/>
        </w:rPr>
        <w:t>领导席话筒要求：配置1套数字会议系统，1台数字会议主机，23只话筒单元，发言单元要求话筒柄可以灵活调整，话筒采用方管短杆话筒方案。</w:t>
      </w:r>
    </w:p>
    <w:p w14:paraId="2FD502E0">
      <w:pPr>
        <w:ind w:firstLine="480"/>
        <w:rPr>
          <w:color w:val="auto"/>
          <w:szCs w:val="24"/>
          <w:highlight w:val="none"/>
        </w:rPr>
      </w:pPr>
      <w:r>
        <w:rPr>
          <w:color w:val="auto"/>
          <w:szCs w:val="24"/>
          <w:highlight w:val="none"/>
        </w:rPr>
        <w:t>无线话筒要求：配置不低于2套双通道数字手持话筒，无线话筒接收机要求双通道无线系统。</w:t>
      </w:r>
    </w:p>
    <w:p w14:paraId="28B7AD86">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3" w:name="_Toc27151"/>
      <w:r>
        <w:rPr>
          <w:rFonts w:hint="eastAsia" w:ascii="Times New Roman" w:hAnsi="Times New Roman" w:eastAsia="宋体"/>
          <w:bCs/>
          <w:color w:val="auto"/>
          <w:sz w:val="24"/>
          <w:szCs w:val="24"/>
          <w:highlight w:val="none"/>
        </w:rPr>
        <w:t>5.4</w:t>
      </w:r>
      <w:r>
        <w:rPr>
          <w:rFonts w:ascii="Times New Roman" w:hAnsi="Times New Roman" w:eastAsia="宋体"/>
          <w:bCs/>
          <w:color w:val="auto"/>
          <w:sz w:val="24"/>
          <w:szCs w:val="24"/>
          <w:highlight w:val="none"/>
        </w:rPr>
        <w:t>.4</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高清录播系统</w:t>
      </w:r>
      <w:bookmarkEnd w:id="43"/>
    </w:p>
    <w:p w14:paraId="074BD3B2">
      <w:pPr>
        <w:ind w:firstLine="480"/>
        <w:jc w:val="left"/>
        <w:rPr>
          <w:color w:val="auto"/>
          <w:szCs w:val="24"/>
          <w:highlight w:val="none"/>
        </w:rPr>
      </w:pPr>
      <w:r>
        <w:rPr>
          <w:color w:val="auto"/>
          <w:szCs w:val="24"/>
          <w:highlight w:val="none"/>
        </w:rPr>
        <w:t>摄像机要求：为会场配置3台4K会议摄像机，成像元器件：≥1/2.5英寸 CMOS传感器；传感器有效像素：不低于850万像素；光学变焦：≥12倍；视频输出：3G-SDIx1、HDMIx1、LANx1。</w:t>
      </w:r>
    </w:p>
    <w:p w14:paraId="1D433210">
      <w:pPr>
        <w:ind w:firstLine="480"/>
        <w:jc w:val="left"/>
        <w:rPr>
          <w:color w:val="auto"/>
          <w:szCs w:val="24"/>
          <w:highlight w:val="none"/>
        </w:rPr>
      </w:pPr>
      <w:r>
        <w:rPr>
          <w:color w:val="auto"/>
          <w:szCs w:val="24"/>
          <w:highlight w:val="none"/>
        </w:rPr>
        <w:t>录播主机要求：录播主机必须支持会议录制、视频会议、互动终端、可编中控、无缝矩阵、音频处理六大功能于一体；存储：≥2T硬盘存储；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p w14:paraId="7964C64D">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4" w:name="_Toc3534"/>
      <w:r>
        <w:rPr>
          <w:rFonts w:hint="eastAsia" w:ascii="Times New Roman" w:hAnsi="Times New Roman" w:eastAsia="宋体"/>
          <w:bCs/>
          <w:color w:val="auto"/>
          <w:sz w:val="24"/>
          <w:szCs w:val="24"/>
          <w:highlight w:val="none"/>
        </w:rPr>
        <w:t>5.4</w:t>
      </w:r>
      <w:r>
        <w:rPr>
          <w:rFonts w:ascii="Times New Roman" w:hAnsi="Times New Roman" w:eastAsia="宋体"/>
          <w:bCs/>
          <w:color w:val="auto"/>
          <w:sz w:val="24"/>
          <w:szCs w:val="24"/>
          <w:highlight w:val="none"/>
        </w:rPr>
        <w:t>.5</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视频切换及控制系统</w:t>
      </w:r>
      <w:bookmarkEnd w:id="44"/>
    </w:p>
    <w:p w14:paraId="4A540965">
      <w:pPr>
        <w:ind w:firstLine="480"/>
        <w:rPr>
          <w:color w:val="auto"/>
          <w:szCs w:val="24"/>
          <w:highlight w:val="none"/>
        </w:rPr>
      </w:pPr>
      <w:r>
        <w:rPr>
          <w:color w:val="auto"/>
          <w:szCs w:val="24"/>
          <w:highlight w:val="none"/>
        </w:rPr>
        <w:t>切换器要求：支持矩阵无缝切换；支持</w:t>
      </w:r>
      <w:r>
        <w:rPr>
          <w:rFonts w:hint="eastAsia"/>
          <w:color w:val="auto"/>
          <w:kern w:val="0"/>
          <w:sz w:val="21"/>
          <w:szCs w:val="21"/>
          <w:highlight w:val="none"/>
          <w:lang w:bidi="ar"/>
        </w:rPr>
        <w:t>≥</w:t>
      </w:r>
      <w:r>
        <w:rPr>
          <w:color w:val="auto"/>
          <w:szCs w:val="24"/>
          <w:highlight w:val="none"/>
        </w:rPr>
        <w:t>8路HDMI输入，</w:t>
      </w:r>
      <w:r>
        <w:rPr>
          <w:rFonts w:hint="eastAsia"/>
          <w:color w:val="auto"/>
          <w:kern w:val="0"/>
          <w:sz w:val="21"/>
          <w:szCs w:val="21"/>
          <w:highlight w:val="none"/>
          <w:lang w:bidi="ar"/>
        </w:rPr>
        <w:t>≥</w:t>
      </w:r>
      <w:r>
        <w:rPr>
          <w:color w:val="auto"/>
          <w:szCs w:val="24"/>
          <w:highlight w:val="none"/>
        </w:rPr>
        <w:t>8路HDMI输出，</w:t>
      </w:r>
      <w:r>
        <w:rPr>
          <w:rFonts w:hint="eastAsia"/>
          <w:color w:val="auto"/>
          <w:kern w:val="0"/>
          <w:sz w:val="21"/>
          <w:szCs w:val="21"/>
          <w:highlight w:val="none"/>
          <w:lang w:bidi="ar"/>
        </w:rPr>
        <w:t>≥</w:t>
      </w:r>
      <w:r>
        <w:rPr>
          <w:color w:val="auto"/>
          <w:szCs w:val="24"/>
          <w:highlight w:val="none"/>
        </w:rPr>
        <w:t>8路3.5mm音频独立输出；支持电视墙拼接功能；输出支持画面分割功能；支持输入输出信号状态监测功能。</w:t>
      </w:r>
    </w:p>
    <w:p w14:paraId="11003D35">
      <w:pPr>
        <w:ind w:firstLine="480"/>
        <w:rPr>
          <w:color w:val="auto"/>
          <w:szCs w:val="24"/>
          <w:highlight w:val="none"/>
        </w:rPr>
      </w:pPr>
      <w:r>
        <w:rPr>
          <w:color w:val="auto"/>
          <w:szCs w:val="24"/>
          <w:highlight w:val="none"/>
        </w:rPr>
        <w:t>控制主机要求：不少于2个总线接口；不少于2个10/100LAN接口；不少于8个数字I/O端口；不少于8路RS232双向端口；不少于8路红外/串行输出端口；不少于8路弱电继电器端口；具有内置网页服务器功能；具有支持HTML及JAVA的功能；具有可将触摸屏界面变成网页的功能；具备4G物联网功能，实现远程状态查询、周边环境控制。</w:t>
      </w:r>
    </w:p>
    <w:p w14:paraId="3E23D7C8">
      <w:pPr>
        <w:ind w:firstLine="480"/>
        <w:rPr>
          <w:color w:val="auto"/>
          <w:szCs w:val="24"/>
          <w:highlight w:val="none"/>
        </w:rPr>
      </w:pPr>
      <w:r>
        <w:rPr>
          <w:color w:val="auto"/>
          <w:szCs w:val="24"/>
          <w:highlight w:val="none"/>
        </w:rPr>
        <w:t>交互界面要求：配置有线和无线控制终端各1台。</w:t>
      </w:r>
    </w:p>
    <w:p w14:paraId="28D5D672">
      <w:pPr>
        <w:pStyle w:val="4"/>
        <w:numPr>
          <w:ilvl w:val="1"/>
          <w:numId w:val="0"/>
        </w:numPr>
        <w:tabs>
          <w:tab w:val="left" w:pos="0"/>
        </w:tabs>
        <w:ind w:left="850" w:hanging="453"/>
        <w:rPr>
          <w:rFonts w:ascii="Times New Roman" w:hAnsi="Times New Roman" w:eastAsia="宋体"/>
          <w:color w:val="auto"/>
          <w:sz w:val="24"/>
          <w:szCs w:val="24"/>
          <w:highlight w:val="none"/>
        </w:rPr>
      </w:pPr>
      <w:bookmarkStart w:id="45" w:name="_Toc25738"/>
      <w:r>
        <w:rPr>
          <w:rFonts w:hint="eastAsia" w:ascii="Times New Roman" w:hAnsi="Times New Roman" w:eastAsia="宋体"/>
          <w:color w:val="auto"/>
          <w:sz w:val="24"/>
          <w:szCs w:val="24"/>
          <w:highlight w:val="none"/>
        </w:rPr>
        <w:t xml:space="preserve">5.5 </w:t>
      </w:r>
      <w:r>
        <w:rPr>
          <w:rFonts w:ascii="Times New Roman" w:hAnsi="Times New Roman" w:eastAsia="宋体"/>
          <w:color w:val="auto"/>
          <w:sz w:val="24"/>
          <w:szCs w:val="24"/>
          <w:highlight w:val="none"/>
        </w:rPr>
        <w:t>313/314报告厅</w:t>
      </w:r>
      <w:bookmarkEnd w:id="45"/>
    </w:p>
    <w:p w14:paraId="3E632587">
      <w:pPr>
        <w:ind w:firstLine="480"/>
        <w:rPr>
          <w:color w:val="auto"/>
          <w:szCs w:val="24"/>
          <w:highlight w:val="none"/>
        </w:rPr>
      </w:pPr>
      <w:r>
        <w:rPr>
          <w:color w:val="auto"/>
          <w:szCs w:val="24"/>
          <w:highlight w:val="none"/>
        </w:rPr>
        <w:t>313报告厅空间尺寸：长10.8m，宽10.9m，高2.8m，面积118㎡。</w:t>
      </w:r>
    </w:p>
    <w:p w14:paraId="7BA05211">
      <w:pPr>
        <w:ind w:firstLine="480"/>
        <w:rPr>
          <w:color w:val="auto"/>
          <w:szCs w:val="24"/>
          <w:highlight w:val="none"/>
        </w:rPr>
      </w:pPr>
      <w:r>
        <w:rPr>
          <w:color w:val="auto"/>
          <w:szCs w:val="24"/>
          <w:highlight w:val="none"/>
        </w:rPr>
        <w:t>314报告厅空间尺寸：长10.9m，宽10.4m，高2.8m，面积114㎡。</w:t>
      </w:r>
    </w:p>
    <w:p w14:paraId="0076DB6F">
      <w:pPr>
        <w:ind w:firstLine="480"/>
        <w:rPr>
          <w:color w:val="auto"/>
          <w:szCs w:val="24"/>
          <w:highlight w:val="none"/>
        </w:rPr>
      </w:pPr>
      <w:r>
        <w:rPr>
          <w:color w:val="auto"/>
          <w:szCs w:val="24"/>
          <w:highlight w:val="none"/>
        </w:rPr>
        <w:t>设计多媒体会议系统包含：视频显示系统、音频扩声系统、会议发言系统、视频会议及录播系统、视频切换及控制系统及设备辅材系统。</w:t>
      </w:r>
    </w:p>
    <w:p w14:paraId="2A7EFD1D">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6" w:name="_Toc14621"/>
      <w:r>
        <w:rPr>
          <w:rFonts w:hint="eastAsia" w:ascii="Times New Roman" w:hAnsi="Times New Roman" w:eastAsia="宋体"/>
          <w:bCs/>
          <w:color w:val="auto"/>
          <w:sz w:val="24"/>
          <w:szCs w:val="24"/>
          <w:highlight w:val="none"/>
        </w:rPr>
        <w:t>5.5</w:t>
      </w:r>
      <w:r>
        <w:rPr>
          <w:rFonts w:ascii="Times New Roman" w:hAnsi="Times New Roman" w:eastAsia="宋体"/>
          <w:bCs/>
          <w:color w:val="auto"/>
          <w:sz w:val="24"/>
          <w:szCs w:val="24"/>
          <w:highlight w:val="none"/>
        </w:rPr>
        <w:t>.1</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视频显示系统</w:t>
      </w:r>
      <w:bookmarkEnd w:id="46"/>
    </w:p>
    <w:p w14:paraId="4DEDC86C">
      <w:pPr>
        <w:ind w:firstLine="480"/>
        <w:rPr>
          <w:color w:val="auto"/>
          <w:szCs w:val="24"/>
          <w:highlight w:val="none"/>
        </w:rPr>
      </w:pPr>
      <w:r>
        <w:rPr>
          <w:color w:val="auto"/>
          <w:szCs w:val="24"/>
          <w:highlight w:val="none"/>
        </w:rPr>
        <w:t>主显示要求：配置1台</w:t>
      </w:r>
      <w:r>
        <w:rPr>
          <w:rFonts w:hint="eastAsia"/>
          <w:color w:val="auto"/>
          <w:kern w:val="0"/>
          <w:sz w:val="21"/>
          <w:szCs w:val="21"/>
          <w:highlight w:val="none"/>
          <w:lang w:bidi="ar"/>
        </w:rPr>
        <w:t>≥</w:t>
      </w:r>
      <w:r>
        <w:rPr>
          <w:color w:val="auto"/>
          <w:szCs w:val="24"/>
          <w:highlight w:val="none"/>
        </w:rPr>
        <w:t>5</w:t>
      </w:r>
      <w:r>
        <w:rPr>
          <w:rFonts w:hint="eastAsia"/>
          <w:color w:val="auto"/>
          <w:szCs w:val="24"/>
          <w:highlight w:val="none"/>
          <w:lang w:val="en-US" w:eastAsia="zh-CN"/>
        </w:rPr>
        <w:t>5</w:t>
      </w:r>
      <w:r>
        <w:rPr>
          <w:color w:val="auto"/>
          <w:szCs w:val="24"/>
          <w:highlight w:val="none"/>
        </w:rPr>
        <w:t>00流明短焦激光投影机，分辨率不低于1920*1200；搭配1副尺寸不低于150寸的窄边画框幕实现视频显示功能，投影机采用固定吊架安装方式。</w:t>
      </w:r>
    </w:p>
    <w:p w14:paraId="0EC723B2">
      <w:pPr>
        <w:ind w:firstLine="480"/>
        <w:rPr>
          <w:color w:val="auto"/>
          <w:szCs w:val="24"/>
          <w:highlight w:val="none"/>
        </w:rPr>
      </w:pPr>
      <w:r>
        <w:rPr>
          <w:color w:val="auto"/>
          <w:szCs w:val="24"/>
          <w:highlight w:val="none"/>
        </w:rPr>
        <w:t>智慧门牌要求：配置1台尺寸不低于21.5寸智慧会议门牌。</w:t>
      </w:r>
    </w:p>
    <w:p w14:paraId="4634112B">
      <w:pPr>
        <w:ind w:firstLine="480"/>
        <w:rPr>
          <w:color w:val="auto"/>
          <w:szCs w:val="24"/>
          <w:highlight w:val="none"/>
        </w:rPr>
      </w:pPr>
      <w:r>
        <w:rPr>
          <w:color w:val="auto"/>
          <w:szCs w:val="24"/>
          <w:highlight w:val="none"/>
        </w:rPr>
        <w:t>无线协作要求：支持多布局显示，可根据场景需求选择如整屏显示，画中画，2分屏，3分屏，4分屏；支持Windows、MAC、Android、iOS、鸿蒙、国产麒麟等主流操作平台；支持HDMI2.0，输出最大分辨率不低于3840x2160@60Hz；支持扩展桌面、白板批注、反向控制等功能；提供CEC、WebGUI、Telnet、RS232控制方式，支持第三方中控。</w:t>
      </w:r>
    </w:p>
    <w:p w14:paraId="57BB8EFC">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7" w:name="_Toc5374"/>
      <w:r>
        <w:rPr>
          <w:rFonts w:hint="eastAsia" w:ascii="Times New Roman" w:hAnsi="Times New Roman" w:eastAsia="宋体"/>
          <w:bCs/>
          <w:color w:val="auto"/>
          <w:sz w:val="24"/>
          <w:szCs w:val="24"/>
          <w:highlight w:val="none"/>
        </w:rPr>
        <w:t>5.5</w:t>
      </w:r>
      <w:r>
        <w:rPr>
          <w:rFonts w:ascii="Times New Roman" w:hAnsi="Times New Roman" w:eastAsia="宋体"/>
          <w:bCs/>
          <w:color w:val="auto"/>
          <w:sz w:val="24"/>
          <w:szCs w:val="24"/>
          <w:highlight w:val="none"/>
        </w:rPr>
        <w:t>.2</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音频扩声系统</w:t>
      </w:r>
      <w:bookmarkEnd w:id="47"/>
    </w:p>
    <w:p w14:paraId="42CC19C6">
      <w:pPr>
        <w:ind w:firstLine="480"/>
        <w:rPr>
          <w:color w:val="auto"/>
          <w:szCs w:val="24"/>
          <w:highlight w:val="none"/>
        </w:rPr>
      </w:pPr>
      <w:r>
        <w:rPr>
          <w:color w:val="auto"/>
          <w:szCs w:val="24"/>
          <w:highlight w:val="none"/>
        </w:rPr>
        <w:t>声学建设要求：按照GB50371-2006扩声系统指标会议类一级标准建设，最大声压级≥98dB，不均匀度≤6dB。</w:t>
      </w:r>
    </w:p>
    <w:p w14:paraId="344C6D7C">
      <w:pPr>
        <w:pStyle w:val="17"/>
        <w:ind w:firstLine="480"/>
        <w:rPr>
          <w:color w:val="auto"/>
          <w:szCs w:val="24"/>
          <w:highlight w:val="none"/>
        </w:rPr>
      </w:pPr>
      <w:r>
        <w:rPr>
          <w:color w:val="auto"/>
          <w:szCs w:val="24"/>
          <w:highlight w:val="none"/>
        </w:rPr>
        <w:t>扬声器要求：配置4只线性阵列柱式扬声器，频响范围不劣于频率范围：75~15000(Hz)；配置墙面安装支架安装。</w:t>
      </w:r>
    </w:p>
    <w:p w14:paraId="740558A6">
      <w:pPr>
        <w:ind w:firstLine="480"/>
        <w:rPr>
          <w:color w:val="auto"/>
          <w:szCs w:val="24"/>
          <w:highlight w:val="none"/>
        </w:rPr>
      </w:pPr>
      <w:r>
        <w:rPr>
          <w:color w:val="auto"/>
          <w:szCs w:val="24"/>
          <w:highlight w:val="none"/>
        </w:rPr>
        <w:t>功率放大器要求：在阻抗匹配情况下，按满足扬声器的连续功率配比不低于1.5倍配置。</w:t>
      </w:r>
    </w:p>
    <w:p w14:paraId="69EB5339">
      <w:pPr>
        <w:ind w:firstLine="480"/>
        <w:rPr>
          <w:color w:val="auto"/>
          <w:szCs w:val="24"/>
          <w:highlight w:val="none"/>
        </w:rPr>
      </w:pPr>
      <w:r>
        <w:rPr>
          <w:color w:val="auto"/>
          <w:szCs w:val="24"/>
          <w:highlight w:val="none"/>
        </w:rPr>
        <w:t>处理设备要求：配置1台数字音频处理器，模拟通道数量≥10进4出</w:t>
      </w:r>
      <w:r>
        <w:rPr>
          <w:color w:val="auto"/>
          <w:kern w:val="0"/>
          <w:szCs w:val="24"/>
          <w:highlight w:val="none"/>
          <w:lang w:bidi="ar"/>
        </w:rPr>
        <w:t>，声学回声消除模块(AEC)通道≥8路</w:t>
      </w:r>
      <w:r>
        <w:rPr>
          <w:color w:val="auto"/>
          <w:szCs w:val="24"/>
          <w:highlight w:val="none"/>
        </w:rPr>
        <w:t>；支持跨平台（IOS、Android、Windows、MacOS）平台软件实时远程控制，支持中控控制(RS232 &amp; SoIP)。</w:t>
      </w:r>
    </w:p>
    <w:p w14:paraId="7C2D871C">
      <w:pPr>
        <w:ind w:firstLine="480"/>
        <w:rPr>
          <w:color w:val="auto"/>
          <w:szCs w:val="24"/>
          <w:highlight w:val="none"/>
        </w:rPr>
      </w:pPr>
      <w:r>
        <w:rPr>
          <w:color w:val="auto"/>
          <w:szCs w:val="24"/>
          <w:highlight w:val="none"/>
        </w:rPr>
        <w:t>电源管理：配置1台电源时序器，支持中控控制实现平台软件一键开关会议系统。</w:t>
      </w:r>
    </w:p>
    <w:p w14:paraId="680ECBBD">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8" w:name="_Toc2244"/>
      <w:r>
        <w:rPr>
          <w:rFonts w:hint="eastAsia" w:ascii="Times New Roman" w:hAnsi="Times New Roman" w:eastAsia="宋体"/>
          <w:bCs/>
          <w:color w:val="auto"/>
          <w:sz w:val="24"/>
          <w:szCs w:val="24"/>
          <w:highlight w:val="none"/>
        </w:rPr>
        <w:t>5.5</w:t>
      </w:r>
      <w:r>
        <w:rPr>
          <w:rFonts w:ascii="Times New Roman" w:hAnsi="Times New Roman" w:eastAsia="宋体"/>
          <w:bCs/>
          <w:color w:val="auto"/>
          <w:sz w:val="24"/>
          <w:szCs w:val="24"/>
          <w:highlight w:val="none"/>
        </w:rPr>
        <w:t>.3</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会议发言系统</w:t>
      </w:r>
      <w:bookmarkEnd w:id="48"/>
    </w:p>
    <w:p w14:paraId="1A0F7BC7">
      <w:pPr>
        <w:ind w:firstLine="480"/>
        <w:rPr>
          <w:color w:val="auto"/>
          <w:szCs w:val="24"/>
          <w:highlight w:val="none"/>
        </w:rPr>
      </w:pPr>
      <w:r>
        <w:rPr>
          <w:color w:val="auto"/>
          <w:szCs w:val="24"/>
          <w:highlight w:val="none"/>
        </w:rPr>
        <w:t>采用有线、无线相结合拾音系统。</w:t>
      </w:r>
    </w:p>
    <w:p w14:paraId="2E90B7FA">
      <w:pPr>
        <w:ind w:firstLine="480"/>
        <w:rPr>
          <w:color w:val="auto"/>
          <w:szCs w:val="24"/>
          <w:highlight w:val="none"/>
        </w:rPr>
      </w:pPr>
      <w:r>
        <w:rPr>
          <w:color w:val="auto"/>
          <w:szCs w:val="24"/>
          <w:highlight w:val="none"/>
        </w:rPr>
        <w:t>汇报席话筒：与会议话筒同档次，双鹅颈式话筒设计，最大输入声压级：≥</w:t>
      </w:r>
      <w:r>
        <w:rPr>
          <w:rFonts w:hint="default"/>
          <w:color w:val="auto"/>
          <w:szCs w:val="24"/>
          <w:highlight w:val="none"/>
          <w:lang w:val="en-US"/>
        </w:rPr>
        <w:t>130</w:t>
      </w:r>
      <w:r>
        <w:rPr>
          <w:color w:val="auto"/>
          <w:szCs w:val="24"/>
          <w:highlight w:val="none"/>
        </w:rPr>
        <w:t>dB；无线话筒要求：配置不低于2套双通道数字手持话筒，无线话筒接收机要求双通道无线系统。</w:t>
      </w:r>
    </w:p>
    <w:p w14:paraId="054D9A4A">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49" w:name="_Toc6819"/>
      <w:r>
        <w:rPr>
          <w:rFonts w:hint="eastAsia" w:ascii="Times New Roman" w:hAnsi="Times New Roman" w:eastAsia="宋体"/>
          <w:bCs/>
          <w:color w:val="auto"/>
          <w:sz w:val="24"/>
          <w:szCs w:val="24"/>
          <w:highlight w:val="none"/>
        </w:rPr>
        <w:t>5.5</w:t>
      </w:r>
      <w:r>
        <w:rPr>
          <w:rFonts w:ascii="Times New Roman" w:hAnsi="Times New Roman" w:eastAsia="宋体"/>
          <w:bCs/>
          <w:color w:val="auto"/>
          <w:sz w:val="24"/>
          <w:szCs w:val="24"/>
          <w:highlight w:val="none"/>
        </w:rPr>
        <w:t>.4</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高清录播系统</w:t>
      </w:r>
      <w:bookmarkEnd w:id="49"/>
    </w:p>
    <w:p w14:paraId="36D1DE08">
      <w:pPr>
        <w:ind w:firstLine="480"/>
        <w:jc w:val="left"/>
        <w:rPr>
          <w:color w:val="auto"/>
          <w:szCs w:val="24"/>
          <w:highlight w:val="none"/>
        </w:rPr>
      </w:pPr>
      <w:r>
        <w:rPr>
          <w:color w:val="auto"/>
          <w:szCs w:val="24"/>
          <w:highlight w:val="none"/>
        </w:rPr>
        <w:t>摄像机要求：为会场配置3台4K会议摄像机，成像元器件：≥1/2.5英寸 CMOS传感器；传感器有效像素：不低于850万像素；光学变焦：≥12倍；视频输出：3G-SDIx1、HDMIx1、LANx1。</w:t>
      </w:r>
    </w:p>
    <w:p w14:paraId="3B7A6187">
      <w:pPr>
        <w:ind w:firstLine="480"/>
        <w:jc w:val="left"/>
        <w:rPr>
          <w:color w:val="auto"/>
          <w:szCs w:val="24"/>
          <w:highlight w:val="none"/>
        </w:rPr>
      </w:pPr>
      <w:r>
        <w:rPr>
          <w:color w:val="auto"/>
          <w:szCs w:val="24"/>
          <w:highlight w:val="none"/>
        </w:rPr>
        <w:t>录播主机要求：录播主机必须支持会议录制、视频会议、互动终端、可编中控、无缝矩阵、音频处理六大功能于一体；存储：≥2T硬盘存储；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p w14:paraId="2EBDB223">
      <w:pPr>
        <w:pStyle w:val="5"/>
        <w:keepLines/>
        <w:numPr>
          <w:ilvl w:val="2"/>
          <w:numId w:val="0"/>
        </w:numPr>
        <w:spacing w:line="360" w:lineRule="auto"/>
        <w:ind w:left="1508" w:hanging="708"/>
        <w:jc w:val="both"/>
        <w:rPr>
          <w:rFonts w:ascii="Times New Roman" w:hAnsi="Times New Roman" w:eastAsia="宋体"/>
          <w:bCs/>
          <w:color w:val="auto"/>
          <w:sz w:val="24"/>
          <w:szCs w:val="24"/>
          <w:highlight w:val="none"/>
        </w:rPr>
      </w:pPr>
      <w:bookmarkStart w:id="50" w:name="_Toc21282"/>
      <w:r>
        <w:rPr>
          <w:rFonts w:hint="eastAsia" w:ascii="Times New Roman" w:hAnsi="Times New Roman" w:eastAsia="宋体"/>
          <w:bCs/>
          <w:color w:val="auto"/>
          <w:sz w:val="24"/>
          <w:szCs w:val="24"/>
          <w:highlight w:val="none"/>
        </w:rPr>
        <w:t>5.5</w:t>
      </w:r>
      <w:r>
        <w:rPr>
          <w:rFonts w:ascii="Times New Roman" w:hAnsi="Times New Roman" w:eastAsia="宋体"/>
          <w:bCs/>
          <w:color w:val="auto"/>
          <w:sz w:val="24"/>
          <w:szCs w:val="24"/>
          <w:highlight w:val="none"/>
        </w:rPr>
        <w:t>.5</w:t>
      </w:r>
      <w:r>
        <w:rPr>
          <w:rFonts w:hint="eastAsia" w:ascii="Times New Roman" w:hAnsi="Times New Roman" w:eastAsia="宋体"/>
          <w:bCs/>
          <w:color w:val="auto"/>
          <w:sz w:val="24"/>
          <w:szCs w:val="24"/>
          <w:highlight w:val="none"/>
        </w:rPr>
        <w:t xml:space="preserve"> </w:t>
      </w:r>
      <w:r>
        <w:rPr>
          <w:rFonts w:ascii="Times New Roman" w:hAnsi="Times New Roman" w:eastAsia="宋体"/>
          <w:bCs/>
          <w:color w:val="auto"/>
          <w:sz w:val="24"/>
          <w:szCs w:val="24"/>
          <w:highlight w:val="none"/>
        </w:rPr>
        <w:t>视频切换及控制系统</w:t>
      </w:r>
      <w:bookmarkEnd w:id="50"/>
    </w:p>
    <w:p w14:paraId="6A981C0B">
      <w:pPr>
        <w:ind w:firstLine="480"/>
        <w:rPr>
          <w:color w:val="auto"/>
          <w:szCs w:val="24"/>
          <w:highlight w:val="none"/>
        </w:rPr>
      </w:pPr>
      <w:r>
        <w:rPr>
          <w:color w:val="auto"/>
          <w:szCs w:val="24"/>
          <w:highlight w:val="none"/>
        </w:rPr>
        <w:t>切换器要求：支持矩阵无缝切换；支持</w:t>
      </w:r>
      <w:r>
        <w:rPr>
          <w:rFonts w:hint="eastAsia"/>
          <w:color w:val="auto"/>
          <w:kern w:val="0"/>
          <w:sz w:val="21"/>
          <w:szCs w:val="21"/>
          <w:highlight w:val="none"/>
          <w:lang w:bidi="ar"/>
        </w:rPr>
        <w:t>≥</w:t>
      </w:r>
      <w:r>
        <w:rPr>
          <w:color w:val="auto"/>
          <w:szCs w:val="24"/>
          <w:highlight w:val="none"/>
        </w:rPr>
        <w:t>8路HDMI输入，</w:t>
      </w:r>
      <w:r>
        <w:rPr>
          <w:rFonts w:hint="eastAsia"/>
          <w:color w:val="auto"/>
          <w:kern w:val="0"/>
          <w:sz w:val="21"/>
          <w:szCs w:val="21"/>
          <w:highlight w:val="none"/>
          <w:lang w:bidi="ar"/>
        </w:rPr>
        <w:t>≥</w:t>
      </w:r>
      <w:r>
        <w:rPr>
          <w:color w:val="auto"/>
          <w:szCs w:val="24"/>
          <w:highlight w:val="none"/>
        </w:rPr>
        <w:t>8路HDMI输出，</w:t>
      </w:r>
      <w:r>
        <w:rPr>
          <w:rFonts w:hint="eastAsia"/>
          <w:color w:val="auto"/>
          <w:kern w:val="0"/>
          <w:sz w:val="21"/>
          <w:szCs w:val="21"/>
          <w:highlight w:val="none"/>
          <w:lang w:bidi="ar"/>
        </w:rPr>
        <w:t>≥</w:t>
      </w:r>
      <w:r>
        <w:rPr>
          <w:color w:val="auto"/>
          <w:szCs w:val="24"/>
          <w:highlight w:val="none"/>
        </w:rPr>
        <w:t>8路3.5mm音频独立输出；支持电视墙拼接功能；输出支持画面分割功能；支持输入输出信号状态监测功能。</w:t>
      </w:r>
    </w:p>
    <w:p w14:paraId="7F937D7B">
      <w:pPr>
        <w:ind w:firstLine="480"/>
        <w:rPr>
          <w:color w:val="auto"/>
          <w:szCs w:val="24"/>
          <w:highlight w:val="none"/>
        </w:rPr>
      </w:pPr>
      <w:r>
        <w:rPr>
          <w:color w:val="auto"/>
          <w:szCs w:val="24"/>
          <w:highlight w:val="none"/>
        </w:rPr>
        <w:t>控制主机要求：不少于2个总线接口；不少于2个10/100LAN接口；不少于8个数字I/O端口；不少于8路RS232双向端口；不少于8路红外/串行输出端口；不少于8路弱电继电器端口；具有内置网页服务器功能；具有支持HTML及JAVA的功能；具有可将触摸屏界面变成网页的功能；具备4G物联网功能，实现远程状态查询、周边环境控制。</w:t>
      </w:r>
    </w:p>
    <w:p w14:paraId="7EE2112A">
      <w:pPr>
        <w:ind w:firstLine="480"/>
        <w:rPr>
          <w:color w:val="auto"/>
          <w:szCs w:val="24"/>
          <w:highlight w:val="none"/>
        </w:rPr>
      </w:pPr>
      <w:r>
        <w:rPr>
          <w:color w:val="auto"/>
          <w:szCs w:val="24"/>
          <w:highlight w:val="none"/>
        </w:rPr>
        <w:t>交互界面要求：配置有线和无线控制终端各1台。</w:t>
      </w:r>
    </w:p>
    <w:p w14:paraId="305740BC">
      <w:pPr>
        <w:pStyle w:val="3"/>
        <w:numPr>
          <w:ilvl w:val="0"/>
          <w:numId w:val="0"/>
        </w:numPr>
        <w:ind w:left="425" w:hanging="425"/>
        <w:jc w:val="both"/>
        <w:rPr>
          <w:rFonts w:eastAsia="宋体"/>
          <w:color w:val="auto"/>
          <w:sz w:val="24"/>
          <w:szCs w:val="24"/>
          <w:highlight w:val="none"/>
        </w:rPr>
      </w:pPr>
      <w:bookmarkStart w:id="51" w:name="_Toc32322"/>
      <w:r>
        <w:rPr>
          <w:rFonts w:hint="eastAsia" w:eastAsia="宋体"/>
          <w:color w:val="auto"/>
          <w:sz w:val="24"/>
          <w:szCs w:val="24"/>
          <w:highlight w:val="none"/>
        </w:rPr>
        <w:t xml:space="preserve">6 </w:t>
      </w:r>
      <w:r>
        <w:rPr>
          <w:rFonts w:eastAsia="宋体"/>
          <w:color w:val="auto"/>
          <w:sz w:val="24"/>
          <w:szCs w:val="24"/>
          <w:highlight w:val="none"/>
        </w:rPr>
        <w:t>设备安装具体要求</w:t>
      </w:r>
      <w:bookmarkEnd w:id="51"/>
    </w:p>
    <w:p w14:paraId="410B0B2E">
      <w:pPr>
        <w:snapToGrid w:val="0"/>
        <w:ind w:firstLine="480"/>
        <w:rPr>
          <w:color w:val="auto"/>
          <w:kern w:val="0"/>
          <w:szCs w:val="24"/>
          <w:highlight w:val="none"/>
        </w:rPr>
      </w:pPr>
      <w:r>
        <w:rPr>
          <w:color w:val="auto"/>
          <w:kern w:val="0"/>
          <w:szCs w:val="24"/>
          <w:highlight w:val="none"/>
        </w:rPr>
        <w:t>设备连接应采用优质线材，设备间以外线材应在报告厅装修工程实施阶段布设到位，避免后期布线困难或破环装修工程成品。设备间以外设备连接要求见表5.1。</w:t>
      </w:r>
    </w:p>
    <w:p w14:paraId="4A9C24B3">
      <w:pPr>
        <w:snapToGrid w:val="0"/>
        <w:ind w:firstLine="480"/>
        <w:rPr>
          <w:color w:val="auto"/>
          <w:kern w:val="0"/>
          <w:szCs w:val="24"/>
          <w:highlight w:val="none"/>
        </w:rPr>
      </w:pPr>
      <w:r>
        <w:rPr>
          <w:color w:val="auto"/>
          <w:kern w:val="0"/>
          <w:szCs w:val="24"/>
          <w:highlight w:val="none"/>
        </w:rPr>
        <w:t>设备安装应符合相关规范，做到牢固、美观、便于后期维护维修，隐藏明线。</w:t>
      </w:r>
    </w:p>
    <w:p w14:paraId="1C212863">
      <w:pPr>
        <w:ind w:firstLine="480"/>
        <w:rPr>
          <w:rFonts w:hint="eastAsia"/>
          <w:color w:val="auto"/>
          <w:kern w:val="0"/>
          <w:szCs w:val="24"/>
          <w:highlight w:val="none"/>
        </w:rPr>
        <w:sectPr>
          <w:pgSz w:w="11906" w:h="16838"/>
          <w:pgMar w:top="1349" w:right="1440" w:bottom="1440" w:left="1361" w:header="851" w:footer="992" w:gutter="0"/>
          <w:cols w:space="720" w:num="1"/>
          <w:titlePg/>
          <w:docGrid w:type="lines" w:linePitch="337" w:charSpace="0"/>
        </w:sectPr>
      </w:pPr>
      <w:r>
        <w:rPr>
          <w:color w:val="auto"/>
          <w:kern w:val="0"/>
          <w:szCs w:val="24"/>
          <w:highlight w:val="none"/>
        </w:rPr>
        <w:t>设备间内跨机柜和机柜内连接根据设备集成需要采用优质线材和跳线连接，有设备原厂线材的应采用设备原厂线</w:t>
      </w:r>
      <w:r>
        <w:rPr>
          <w:rFonts w:hint="eastAsia"/>
          <w:color w:val="auto"/>
          <w:kern w:val="0"/>
          <w:szCs w:val="24"/>
          <w:highlight w:val="none"/>
        </w:rPr>
        <w:t>。</w:t>
      </w:r>
    </w:p>
    <w:p w14:paraId="4E877196">
      <w:pPr>
        <w:snapToGrid w:val="0"/>
        <w:ind w:firstLine="0" w:firstLineChars="0"/>
        <w:jc w:val="left"/>
        <w:rPr>
          <w:b/>
          <w:color w:val="auto"/>
          <w:szCs w:val="24"/>
          <w:highlight w:val="none"/>
        </w:rPr>
      </w:pPr>
      <w:r>
        <w:rPr>
          <w:b/>
          <w:color w:val="auto"/>
          <w:szCs w:val="24"/>
          <w:highlight w:val="none"/>
        </w:rPr>
        <w:t>表</w:t>
      </w:r>
      <w:r>
        <w:rPr>
          <w:rFonts w:hint="eastAsia"/>
          <w:b/>
          <w:color w:val="auto"/>
          <w:szCs w:val="24"/>
          <w:highlight w:val="none"/>
        </w:rPr>
        <w:t>6</w:t>
      </w:r>
      <w:r>
        <w:rPr>
          <w:b/>
          <w:color w:val="auto"/>
          <w:szCs w:val="24"/>
          <w:highlight w:val="none"/>
        </w:rPr>
        <w:t>.1 各会议室设备布置与供电及信号线路布线要求（设备间内设备之间连线根据需要配置）</w:t>
      </w:r>
    </w:p>
    <w:tbl>
      <w:tblPr>
        <w:tblStyle w:val="43"/>
        <w:tblW w:w="16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2443"/>
        <w:gridCol w:w="1957"/>
        <w:gridCol w:w="1594"/>
        <w:gridCol w:w="2149"/>
        <w:gridCol w:w="2014"/>
        <w:gridCol w:w="3259"/>
      </w:tblGrid>
      <w:tr w14:paraId="28D3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3259" w:type="dxa"/>
            <w:noWrap w:val="0"/>
            <w:vAlign w:val="center"/>
          </w:tcPr>
          <w:p w14:paraId="1338E94F">
            <w:pPr>
              <w:jc w:val="center"/>
              <w:rPr>
                <w:b/>
                <w:bCs/>
                <w:color w:val="auto"/>
                <w:szCs w:val="24"/>
                <w:highlight w:val="none"/>
              </w:rPr>
            </w:pPr>
            <w:r>
              <w:rPr>
                <w:b/>
                <w:bCs/>
                <w:color w:val="auto"/>
                <w:szCs w:val="24"/>
                <w:highlight w:val="none"/>
              </w:rPr>
              <w:t>设备名称</w:t>
            </w:r>
          </w:p>
        </w:tc>
        <w:tc>
          <w:tcPr>
            <w:tcW w:w="2443" w:type="dxa"/>
            <w:noWrap w:val="0"/>
            <w:vAlign w:val="center"/>
          </w:tcPr>
          <w:p w14:paraId="136A2353">
            <w:pPr>
              <w:ind w:firstLine="0" w:firstLineChars="0"/>
              <w:jc w:val="center"/>
              <w:rPr>
                <w:b/>
                <w:bCs/>
                <w:color w:val="auto"/>
                <w:szCs w:val="24"/>
                <w:highlight w:val="none"/>
              </w:rPr>
            </w:pPr>
            <w:r>
              <w:rPr>
                <w:b/>
                <w:bCs/>
                <w:color w:val="auto"/>
                <w:szCs w:val="24"/>
                <w:highlight w:val="none"/>
              </w:rPr>
              <w:t>安装位置</w:t>
            </w:r>
          </w:p>
        </w:tc>
        <w:tc>
          <w:tcPr>
            <w:tcW w:w="1957" w:type="dxa"/>
            <w:noWrap w:val="0"/>
            <w:vAlign w:val="center"/>
          </w:tcPr>
          <w:p w14:paraId="662D88BA">
            <w:pPr>
              <w:ind w:firstLine="0" w:firstLineChars="0"/>
              <w:jc w:val="center"/>
              <w:rPr>
                <w:b/>
                <w:bCs/>
                <w:color w:val="auto"/>
                <w:szCs w:val="24"/>
                <w:highlight w:val="none"/>
              </w:rPr>
            </w:pPr>
            <w:r>
              <w:rPr>
                <w:b/>
                <w:bCs/>
                <w:color w:val="auto"/>
                <w:szCs w:val="24"/>
                <w:highlight w:val="none"/>
              </w:rPr>
              <w:t>强电回路及出线方式</w:t>
            </w:r>
          </w:p>
        </w:tc>
        <w:tc>
          <w:tcPr>
            <w:tcW w:w="1594" w:type="dxa"/>
            <w:noWrap w:val="0"/>
            <w:vAlign w:val="center"/>
          </w:tcPr>
          <w:p w14:paraId="504EDB7F">
            <w:pPr>
              <w:ind w:firstLine="0" w:firstLineChars="0"/>
              <w:jc w:val="center"/>
              <w:rPr>
                <w:b/>
                <w:bCs/>
                <w:color w:val="auto"/>
                <w:szCs w:val="24"/>
                <w:highlight w:val="none"/>
              </w:rPr>
            </w:pPr>
            <w:r>
              <w:rPr>
                <w:b/>
                <w:bCs/>
                <w:color w:val="auto"/>
                <w:szCs w:val="24"/>
                <w:highlight w:val="none"/>
              </w:rPr>
              <w:t>信号线标识</w:t>
            </w:r>
          </w:p>
        </w:tc>
        <w:tc>
          <w:tcPr>
            <w:tcW w:w="2149" w:type="dxa"/>
            <w:noWrap w:val="0"/>
            <w:vAlign w:val="center"/>
          </w:tcPr>
          <w:p w14:paraId="1BFEF23A">
            <w:pPr>
              <w:ind w:firstLine="0" w:firstLineChars="0"/>
              <w:jc w:val="center"/>
              <w:rPr>
                <w:b/>
                <w:bCs/>
                <w:color w:val="auto"/>
                <w:szCs w:val="24"/>
                <w:highlight w:val="none"/>
              </w:rPr>
            </w:pPr>
            <w:r>
              <w:rPr>
                <w:b/>
                <w:bCs/>
                <w:color w:val="auto"/>
                <w:szCs w:val="24"/>
                <w:highlight w:val="none"/>
              </w:rPr>
              <w:t>信号线出线方式</w:t>
            </w:r>
          </w:p>
        </w:tc>
        <w:tc>
          <w:tcPr>
            <w:tcW w:w="2014" w:type="dxa"/>
            <w:noWrap w:val="0"/>
            <w:vAlign w:val="center"/>
          </w:tcPr>
          <w:p w14:paraId="7E54E57D">
            <w:pPr>
              <w:ind w:firstLine="0" w:firstLineChars="0"/>
              <w:jc w:val="center"/>
              <w:rPr>
                <w:b/>
                <w:bCs/>
                <w:color w:val="auto"/>
                <w:szCs w:val="24"/>
                <w:highlight w:val="none"/>
              </w:rPr>
            </w:pPr>
            <w:r>
              <w:rPr>
                <w:b/>
                <w:bCs/>
                <w:color w:val="auto"/>
                <w:szCs w:val="24"/>
                <w:highlight w:val="none"/>
              </w:rPr>
              <w:t>线型</w:t>
            </w:r>
          </w:p>
        </w:tc>
        <w:tc>
          <w:tcPr>
            <w:tcW w:w="3259" w:type="dxa"/>
            <w:noWrap w:val="0"/>
            <w:vAlign w:val="center"/>
          </w:tcPr>
          <w:p w14:paraId="307AC1B7">
            <w:pPr>
              <w:ind w:firstLine="0" w:firstLineChars="0"/>
              <w:jc w:val="center"/>
              <w:rPr>
                <w:b/>
                <w:bCs/>
                <w:color w:val="auto"/>
                <w:szCs w:val="24"/>
                <w:highlight w:val="none"/>
              </w:rPr>
            </w:pPr>
            <w:r>
              <w:rPr>
                <w:b/>
                <w:bCs/>
                <w:color w:val="auto"/>
                <w:szCs w:val="24"/>
                <w:highlight w:val="none"/>
              </w:rPr>
              <w:t>连接至</w:t>
            </w:r>
          </w:p>
        </w:tc>
      </w:tr>
      <w:tr w14:paraId="6205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259" w:type="dxa"/>
            <w:vMerge w:val="restart"/>
            <w:noWrap w:val="0"/>
            <w:vAlign w:val="center"/>
          </w:tcPr>
          <w:p w14:paraId="6ADECE79">
            <w:pPr>
              <w:ind w:firstLine="0" w:firstLineChars="0"/>
              <w:jc w:val="center"/>
              <w:rPr>
                <w:color w:val="auto"/>
                <w:sz w:val="21"/>
                <w:szCs w:val="21"/>
                <w:highlight w:val="none"/>
              </w:rPr>
            </w:pPr>
            <w:r>
              <w:rPr>
                <w:color w:val="auto"/>
                <w:sz w:val="21"/>
                <w:szCs w:val="21"/>
                <w:highlight w:val="none"/>
              </w:rPr>
              <w:t>多组联动机械旋转开合滑轨屏</w:t>
            </w:r>
          </w:p>
        </w:tc>
        <w:tc>
          <w:tcPr>
            <w:tcW w:w="2443" w:type="dxa"/>
            <w:vMerge w:val="restart"/>
            <w:noWrap w:val="0"/>
            <w:vAlign w:val="center"/>
          </w:tcPr>
          <w:p w14:paraId="3281B84F">
            <w:pPr>
              <w:ind w:firstLine="0" w:firstLineChars="0"/>
              <w:jc w:val="center"/>
              <w:rPr>
                <w:color w:val="auto"/>
                <w:sz w:val="21"/>
                <w:szCs w:val="21"/>
                <w:highlight w:val="none"/>
              </w:rPr>
            </w:pPr>
            <w:r>
              <w:rPr>
                <w:color w:val="auto"/>
                <w:sz w:val="21"/>
                <w:szCs w:val="21"/>
                <w:highlight w:val="none"/>
              </w:rPr>
              <w:t>301报告厅舞台后侧</w:t>
            </w:r>
          </w:p>
        </w:tc>
        <w:tc>
          <w:tcPr>
            <w:tcW w:w="1957" w:type="dxa"/>
            <w:vMerge w:val="restart"/>
            <w:noWrap w:val="0"/>
            <w:vAlign w:val="center"/>
          </w:tcPr>
          <w:p w14:paraId="307D8D95">
            <w:pPr>
              <w:ind w:firstLine="420"/>
              <w:rPr>
                <w:color w:val="auto"/>
                <w:sz w:val="21"/>
                <w:szCs w:val="21"/>
                <w:highlight w:val="none"/>
              </w:rPr>
            </w:pPr>
            <w:r>
              <w:rPr>
                <w:color w:val="auto"/>
                <w:sz w:val="21"/>
                <w:szCs w:val="21"/>
                <w:highlight w:val="none"/>
              </w:rPr>
              <w:t>AC-1-10</w:t>
            </w:r>
          </w:p>
        </w:tc>
        <w:tc>
          <w:tcPr>
            <w:tcW w:w="1594" w:type="dxa"/>
            <w:vMerge w:val="restart"/>
            <w:noWrap w:val="0"/>
            <w:vAlign w:val="center"/>
          </w:tcPr>
          <w:p w14:paraId="4E6D69BB">
            <w:pPr>
              <w:ind w:firstLine="0" w:firstLineChars="0"/>
              <w:jc w:val="center"/>
              <w:rPr>
                <w:color w:val="auto"/>
                <w:sz w:val="21"/>
                <w:szCs w:val="21"/>
                <w:highlight w:val="none"/>
              </w:rPr>
            </w:pPr>
            <w:r>
              <w:rPr>
                <w:color w:val="auto"/>
                <w:sz w:val="21"/>
                <w:szCs w:val="21"/>
                <w:highlight w:val="none"/>
              </w:rPr>
              <w:t>TJ-1-96</w:t>
            </w:r>
          </w:p>
        </w:tc>
        <w:tc>
          <w:tcPr>
            <w:tcW w:w="2149" w:type="dxa"/>
            <w:vMerge w:val="restart"/>
            <w:noWrap w:val="0"/>
            <w:vAlign w:val="center"/>
          </w:tcPr>
          <w:p w14:paraId="718F1E11">
            <w:pPr>
              <w:ind w:firstLine="0" w:firstLineChars="0"/>
              <w:jc w:val="center"/>
              <w:rPr>
                <w:color w:val="auto"/>
                <w:sz w:val="21"/>
                <w:szCs w:val="21"/>
                <w:highlight w:val="none"/>
              </w:rPr>
            </w:pPr>
            <w:r>
              <w:rPr>
                <w:color w:val="auto"/>
                <w:sz w:val="21"/>
                <w:szCs w:val="21"/>
                <w:highlight w:val="none"/>
              </w:rPr>
              <w:t>6类RJ45模块</w:t>
            </w:r>
          </w:p>
        </w:tc>
        <w:tc>
          <w:tcPr>
            <w:tcW w:w="2014" w:type="dxa"/>
            <w:vMerge w:val="restart"/>
            <w:noWrap w:val="0"/>
            <w:vAlign w:val="center"/>
          </w:tcPr>
          <w:p w14:paraId="50306C6D">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76987578">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4352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259" w:type="dxa"/>
            <w:vMerge w:val="continue"/>
            <w:noWrap w:val="0"/>
            <w:vAlign w:val="center"/>
          </w:tcPr>
          <w:p w14:paraId="1A987F17">
            <w:pPr>
              <w:pStyle w:val="2"/>
              <w:ind w:left="0" w:leftChars="0" w:firstLine="0" w:firstLineChars="0"/>
              <w:rPr>
                <w:rFonts w:ascii="Times New Roman" w:hAnsi="Times New Roman" w:eastAsia="宋体" w:cs="Times New Roman"/>
                <w:color w:val="auto"/>
                <w:highlight w:val="none"/>
              </w:rPr>
            </w:pPr>
          </w:p>
        </w:tc>
        <w:tc>
          <w:tcPr>
            <w:tcW w:w="2443" w:type="dxa"/>
            <w:vMerge w:val="continue"/>
            <w:noWrap w:val="0"/>
            <w:vAlign w:val="center"/>
          </w:tcPr>
          <w:p w14:paraId="150EFAAD">
            <w:pPr>
              <w:pStyle w:val="2"/>
              <w:ind w:left="0" w:leftChars="0" w:firstLine="0" w:firstLineChars="0"/>
              <w:rPr>
                <w:rFonts w:ascii="Times New Roman" w:hAnsi="Times New Roman" w:eastAsia="宋体" w:cs="Times New Roman"/>
                <w:color w:val="auto"/>
                <w:highlight w:val="none"/>
              </w:rPr>
            </w:pPr>
          </w:p>
        </w:tc>
        <w:tc>
          <w:tcPr>
            <w:tcW w:w="1957" w:type="dxa"/>
            <w:vMerge w:val="continue"/>
            <w:noWrap w:val="0"/>
            <w:vAlign w:val="center"/>
          </w:tcPr>
          <w:p w14:paraId="03F1406E">
            <w:pPr>
              <w:pStyle w:val="2"/>
              <w:ind w:left="0" w:leftChars="0" w:firstLine="0" w:firstLineChars="0"/>
              <w:rPr>
                <w:rFonts w:ascii="Times New Roman" w:hAnsi="Times New Roman" w:eastAsia="宋体" w:cs="Times New Roman"/>
                <w:color w:val="auto"/>
                <w:sz w:val="21"/>
                <w:szCs w:val="21"/>
                <w:highlight w:val="none"/>
              </w:rPr>
            </w:pPr>
          </w:p>
        </w:tc>
        <w:tc>
          <w:tcPr>
            <w:tcW w:w="1594" w:type="dxa"/>
            <w:vMerge w:val="continue"/>
            <w:noWrap w:val="0"/>
            <w:vAlign w:val="center"/>
          </w:tcPr>
          <w:p w14:paraId="21997C38">
            <w:pPr>
              <w:pStyle w:val="2"/>
              <w:ind w:left="0" w:leftChars="0" w:firstLine="0" w:firstLineChars="0"/>
              <w:rPr>
                <w:rFonts w:ascii="Times New Roman" w:hAnsi="Times New Roman" w:eastAsia="宋体" w:cs="Times New Roman"/>
                <w:color w:val="auto"/>
                <w:sz w:val="21"/>
                <w:szCs w:val="21"/>
                <w:highlight w:val="none"/>
              </w:rPr>
            </w:pPr>
          </w:p>
        </w:tc>
        <w:tc>
          <w:tcPr>
            <w:tcW w:w="2149" w:type="dxa"/>
            <w:vMerge w:val="continue"/>
            <w:noWrap w:val="0"/>
            <w:vAlign w:val="center"/>
          </w:tcPr>
          <w:p w14:paraId="57CBB4FE">
            <w:pPr>
              <w:pStyle w:val="2"/>
              <w:ind w:left="0" w:leftChars="0" w:firstLine="0" w:firstLineChars="0"/>
              <w:rPr>
                <w:rFonts w:ascii="Times New Roman" w:hAnsi="Times New Roman" w:eastAsia="宋体" w:cs="Times New Roman"/>
                <w:color w:val="auto"/>
                <w:sz w:val="21"/>
                <w:szCs w:val="21"/>
                <w:highlight w:val="none"/>
              </w:rPr>
            </w:pPr>
          </w:p>
        </w:tc>
        <w:tc>
          <w:tcPr>
            <w:tcW w:w="2014" w:type="dxa"/>
            <w:vMerge w:val="continue"/>
            <w:noWrap w:val="0"/>
            <w:vAlign w:val="center"/>
          </w:tcPr>
          <w:p w14:paraId="289E4B68">
            <w:pPr>
              <w:pStyle w:val="2"/>
              <w:ind w:left="0" w:leftChars="0" w:firstLine="0" w:firstLineChars="0"/>
              <w:rPr>
                <w:rFonts w:ascii="Times New Roman" w:hAnsi="Times New Roman" w:eastAsia="宋体" w:cs="Times New Roman"/>
                <w:color w:val="auto"/>
                <w:sz w:val="21"/>
                <w:szCs w:val="21"/>
                <w:highlight w:val="none"/>
              </w:rPr>
            </w:pPr>
          </w:p>
        </w:tc>
        <w:tc>
          <w:tcPr>
            <w:tcW w:w="3259" w:type="dxa"/>
            <w:noWrap w:val="0"/>
            <w:vAlign w:val="center"/>
          </w:tcPr>
          <w:p w14:paraId="3D0776D0">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3FC2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restart"/>
            <w:noWrap w:val="0"/>
            <w:vAlign w:val="center"/>
          </w:tcPr>
          <w:p w14:paraId="69464E1F">
            <w:pPr>
              <w:ind w:firstLine="420"/>
              <w:rPr>
                <w:color w:val="auto"/>
                <w:sz w:val="21"/>
                <w:szCs w:val="21"/>
                <w:highlight w:val="none"/>
              </w:rPr>
            </w:pPr>
            <w:r>
              <w:rPr>
                <w:color w:val="auto"/>
                <w:sz w:val="21"/>
                <w:szCs w:val="21"/>
                <w:highlight w:val="none"/>
              </w:rPr>
              <w:t>会标屏</w:t>
            </w:r>
          </w:p>
        </w:tc>
        <w:tc>
          <w:tcPr>
            <w:tcW w:w="2443" w:type="dxa"/>
            <w:vMerge w:val="restart"/>
            <w:noWrap w:val="0"/>
            <w:vAlign w:val="center"/>
          </w:tcPr>
          <w:p w14:paraId="7EADE7C4">
            <w:pPr>
              <w:ind w:firstLine="0" w:firstLineChars="0"/>
              <w:jc w:val="center"/>
              <w:rPr>
                <w:color w:val="auto"/>
                <w:sz w:val="21"/>
                <w:szCs w:val="21"/>
                <w:highlight w:val="none"/>
              </w:rPr>
            </w:pPr>
            <w:r>
              <w:rPr>
                <w:color w:val="auto"/>
                <w:sz w:val="21"/>
                <w:szCs w:val="21"/>
                <w:highlight w:val="none"/>
              </w:rPr>
              <w:t>301报告厅舞台前侧</w:t>
            </w:r>
          </w:p>
        </w:tc>
        <w:tc>
          <w:tcPr>
            <w:tcW w:w="1957" w:type="dxa"/>
            <w:vMerge w:val="restart"/>
            <w:noWrap w:val="0"/>
            <w:vAlign w:val="center"/>
          </w:tcPr>
          <w:p w14:paraId="753CC943">
            <w:pPr>
              <w:ind w:firstLine="420"/>
              <w:rPr>
                <w:color w:val="auto"/>
                <w:sz w:val="21"/>
                <w:szCs w:val="21"/>
                <w:highlight w:val="none"/>
              </w:rPr>
            </w:pPr>
            <w:r>
              <w:rPr>
                <w:color w:val="auto"/>
                <w:sz w:val="21"/>
                <w:szCs w:val="21"/>
                <w:highlight w:val="none"/>
              </w:rPr>
              <w:t>AC-11-13</w:t>
            </w:r>
          </w:p>
        </w:tc>
        <w:tc>
          <w:tcPr>
            <w:tcW w:w="1594" w:type="dxa"/>
            <w:vMerge w:val="restart"/>
            <w:noWrap w:val="0"/>
            <w:vAlign w:val="center"/>
          </w:tcPr>
          <w:p w14:paraId="6F08CB71">
            <w:pPr>
              <w:ind w:firstLine="0" w:firstLineChars="0"/>
              <w:jc w:val="center"/>
              <w:rPr>
                <w:color w:val="auto"/>
                <w:sz w:val="21"/>
                <w:szCs w:val="21"/>
                <w:highlight w:val="none"/>
              </w:rPr>
            </w:pPr>
            <w:r>
              <w:rPr>
                <w:color w:val="auto"/>
                <w:sz w:val="21"/>
                <w:szCs w:val="21"/>
                <w:highlight w:val="none"/>
              </w:rPr>
              <w:t>TJ-97-100</w:t>
            </w:r>
          </w:p>
        </w:tc>
        <w:tc>
          <w:tcPr>
            <w:tcW w:w="2149" w:type="dxa"/>
            <w:vMerge w:val="restart"/>
            <w:noWrap w:val="0"/>
            <w:vAlign w:val="center"/>
          </w:tcPr>
          <w:p w14:paraId="448F444F">
            <w:pPr>
              <w:ind w:firstLine="0" w:firstLineChars="0"/>
              <w:jc w:val="center"/>
              <w:rPr>
                <w:color w:val="auto"/>
                <w:sz w:val="21"/>
                <w:szCs w:val="21"/>
                <w:highlight w:val="none"/>
              </w:rPr>
            </w:pPr>
            <w:r>
              <w:rPr>
                <w:color w:val="auto"/>
                <w:sz w:val="21"/>
                <w:szCs w:val="21"/>
                <w:highlight w:val="none"/>
              </w:rPr>
              <w:t>6类RJ45模块</w:t>
            </w:r>
          </w:p>
        </w:tc>
        <w:tc>
          <w:tcPr>
            <w:tcW w:w="2014" w:type="dxa"/>
            <w:vMerge w:val="restart"/>
            <w:noWrap w:val="0"/>
            <w:vAlign w:val="center"/>
          </w:tcPr>
          <w:p w14:paraId="28CE991E">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4C7668D8">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4B9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7850045D">
            <w:pPr>
              <w:ind w:firstLine="480"/>
              <w:jc w:val="center"/>
              <w:rPr>
                <w:color w:val="auto"/>
                <w:highlight w:val="none"/>
              </w:rPr>
            </w:pPr>
          </w:p>
        </w:tc>
        <w:tc>
          <w:tcPr>
            <w:tcW w:w="2443" w:type="dxa"/>
            <w:vMerge w:val="continue"/>
            <w:noWrap w:val="0"/>
            <w:vAlign w:val="center"/>
          </w:tcPr>
          <w:p w14:paraId="5AD2BE9D">
            <w:pPr>
              <w:ind w:firstLine="480"/>
              <w:jc w:val="center"/>
              <w:rPr>
                <w:color w:val="auto"/>
                <w:highlight w:val="none"/>
              </w:rPr>
            </w:pPr>
          </w:p>
        </w:tc>
        <w:tc>
          <w:tcPr>
            <w:tcW w:w="1957" w:type="dxa"/>
            <w:vMerge w:val="continue"/>
            <w:noWrap w:val="0"/>
            <w:vAlign w:val="center"/>
          </w:tcPr>
          <w:p w14:paraId="2AA0E5B2">
            <w:pPr>
              <w:ind w:firstLine="420"/>
              <w:jc w:val="center"/>
              <w:rPr>
                <w:color w:val="auto"/>
                <w:sz w:val="21"/>
                <w:szCs w:val="21"/>
                <w:highlight w:val="none"/>
              </w:rPr>
            </w:pPr>
          </w:p>
        </w:tc>
        <w:tc>
          <w:tcPr>
            <w:tcW w:w="1594" w:type="dxa"/>
            <w:vMerge w:val="continue"/>
            <w:noWrap w:val="0"/>
            <w:vAlign w:val="center"/>
          </w:tcPr>
          <w:p w14:paraId="2073E227">
            <w:pPr>
              <w:ind w:firstLine="420"/>
              <w:jc w:val="center"/>
              <w:rPr>
                <w:color w:val="auto"/>
                <w:sz w:val="21"/>
                <w:szCs w:val="21"/>
                <w:highlight w:val="none"/>
              </w:rPr>
            </w:pPr>
          </w:p>
        </w:tc>
        <w:tc>
          <w:tcPr>
            <w:tcW w:w="2149" w:type="dxa"/>
            <w:vMerge w:val="continue"/>
            <w:noWrap w:val="0"/>
            <w:vAlign w:val="center"/>
          </w:tcPr>
          <w:p w14:paraId="34503DFB">
            <w:pPr>
              <w:ind w:firstLine="420"/>
              <w:jc w:val="center"/>
              <w:rPr>
                <w:color w:val="auto"/>
                <w:sz w:val="21"/>
                <w:szCs w:val="21"/>
                <w:highlight w:val="none"/>
              </w:rPr>
            </w:pPr>
          </w:p>
        </w:tc>
        <w:tc>
          <w:tcPr>
            <w:tcW w:w="2014" w:type="dxa"/>
            <w:vMerge w:val="continue"/>
            <w:noWrap w:val="0"/>
            <w:vAlign w:val="center"/>
          </w:tcPr>
          <w:p w14:paraId="2ACD955E">
            <w:pPr>
              <w:ind w:firstLine="420"/>
              <w:jc w:val="center"/>
              <w:rPr>
                <w:color w:val="auto"/>
                <w:sz w:val="21"/>
                <w:szCs w:val="21"/>
                <w:highlight w:val="none"/>
              </w:rPr>
            </w:pPr>
          </w:p>
        </w:tc>
        <w:tc>
          <w:tcPr>
            <w:tcW w:w="3259" w:type="dxa"/>
            <w:noWrap w:val="0"/>
            <w:vAlign w:val="center"/>
          </w:tcPr>
          <w:p w14:paraId="04A01357">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24F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restart"/>
            <w:noWrap w:val="0"/>
            <w:vAlign w:val="center"/>
          </w:tcPr>
          <w:p w14:paraId="1BDEF6D6">
            <w:pPr>
              <w:ind w:firstLine="0" w:firstLineChars="0"/>
              <w:jc w:val="center"/>
              <w:rPr>
                <w:color w:val="auto"/>
                <w:sz w:val="21"/>
                <w:szCs w:val="21"/>
                <w:highlight w:val="none"/>
              </w:rPr>
            </w:pPr>
            <w:r>
              <w:rPr>
                <w:color w:val="auto"/>
                <w:sz w:val="21"/>
                <w:szCs w:val="21"/>
                <w:highlight w:val="none"/>
              </w:rPr>
              <w:t>55寸拼接屏</w:t>
            </w:r>
          </w:p>
        </w:tc>
        <w:tc>
          <w:tcPr>
            <w:tcW w:w="2443" w:type="dxa"/>
            <w:vMerge w:val="restart"/>
            <w:noWrap w:val="0"/>
            <w:vAlign w:val="center"/>
          </w:tcPr>
          <w:p w14:paraId="7B88469A">
            <w:pPr>
              <w:ind w:firstLine="0" w:firstLineChars="0"/>
              <w:jc w:val="center"/>
              <w:rPr>
                <w:color w:val="auto"/>
                <w:sz w:val="21"/>
                <w:szCs w:val="21"/>
                <w:highlight w:val="none"/>
              </w:rPr>
            </w:pPr>
            <w:r>
              <w:rPr>
                <w:color w:val="auto"/>
                <w:sz w:val="21"/>
                <w:szCs w:val="21"/>
                <w:highlight w:val="none"/>
              </w:rPr>
              <w:t>301设备间</w:t>
            </w:r>
          </w:p>
        </w:tc>
        <w:tc>
          <w:tcPr>
            <w:tcW w:w="1957" w:type="dxa"/>
            <w:vMerge w:val="restart"/>
            <w:noWrap w:val="0"/>
            <w:vAlign w:val="center"/>
          </w:tcPr>
          <w:p w14:paraId="4A4C1A80">
            <w:pPr>
              <w:ind w:firstLine="420"/>
              <w:rPr>
                <w:color w:val="auto"/>
                <w:sz w:val="21"/>
                <w:szCs w:val="21"/>
                <w:highlight w:val="none"/>
              </w:rPr>
            </w:pPr>
            <w:r>
              <w:rPr>
                <w:color w:val="auto"/>
                <w:sz w:val="21"/>
                <w:szCs w:val="21"/>
                <w:highlight w:val="none"/>
              </w:rPr>
              <w:t>AC-14</w:t>
            </w:r>
          </w:p>
        </w:tc>
        <w:tc>
          <w:tcPr>
            <w:tcW w:w="1594" w:type="dxa"/>
            <w:noWrap w:val="0"/>
            <w:vAlign w:val="center"/>
          </w:tcPr>
          <w:p w14:paraId="2DE29B33">
            <w:pPr>
              <w:ind w:firstLine="420"/>
              <w:rPr>
                <w:color w:val="auto"/>
                <w:sz w:val="21"/>
                <w:szCs w:val="21"/>
                <w:highlight w:val="none"/>
              </w:rPr>
            </w:pPr>
            <w:r>
              <w:rPr>
                <w:color w:val="auto"/>
                <w:sz w:val="21"/>
                <w:szCs w:val="21"/>
                <w:highlight w:val="none"/>
              </w:rPr>
              <w:t>TG-1</w:t>
            </w:r>
          </w:p>
        </w:tc>
        <w:tc>
          <w:tcPr>
            <w:tcW w:w="2149" w:type="dxa"/>
            <w:noWrap w:val="0"/>
            <w:vAlign w:val="center"/>
          </w:tcPr>
          <w:p w14:paraId="7AB6B4CE">
            <w:pPr>
              <w:ind w:firstLine="0" w:firstLineChars="0"/>
              <w:jc w:val="center"/>
              <w:rPr>
                <w:color w:val="auto"/>
                <w:sz w:val="21"/>
                <w:szCs w:val="21"/>
                <w:highlight w:val="none"/>
              </w:rPr>
            </w:pPr>
            <w:r>
              <w:rPr>
                <w:color w:val="auto"/>
                <w:sz w:val="21"/>
                <w:szCs w:val="21"/>
                <w:highlight w:val="none"/>
              </w:rPr>
              <w:t>6类RJ45模块</w:t>
            </w:r>
          </w:p>
        </w:tc>
        <w:tc>
          <w:tcPr>
            <w:tcW w:w="2014" w:type="dxa"/>
            <w:noWrap w:val="0"/>
            <w:vAlign w:val="center"/>
          </w:tcPr>
          <w:p w14:paraId="785CDBCA">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261C5862">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6B12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119A3ABC">
            <w:pPr>
              <w:ind w:firstLine="0" w:firstLineChars="0"/>
              <w:jc w:val="center"/>
              <w:rPr>
                <w:color w:val="auto"/>
                <w:highlight w:val="none"/>
              </w:rPr>
            </w:pPr>
          </w:p>
        </w:tc>
        <w:tc>
          <w:tcPr>
            <w:tcW w:w="2443" w:type="dxa"/>
            <w:vMerge w:val="continue"/>
            <w:noWrap w:val="0"/>
            <w:vAlign w:val="center"/>
          </w:tcPr>
          <w:p w14:paraId="1BD88CD4">
            <w:pPr>
              <w:ind w:firstLine="0" w:firstLineChars="0"/>
              <w:jc w:val="center"/>
              <w:rPr>
                <w:color w:val="auto"/>
                <w:highlight w:val="none"/>
              </w:rPr>
            </w:pPr>
          </w:p>
        </w:tc>
        <w:tc>
          <w:tcPr>
            <w:tcW w:w="1957" w:type="dxa"/>
            <w:vMerge w:val="continue"/>
            <w:noWrap w:val="0"/>
            <w:vAlign w:val="center"/>
          </w:tcPr>
          <w:p w14:paraId="000AE4B1">
            <w:pPr>
              <w:ind w:firstLine="0" w:firstLineChars="0"/>
              <w:jc w:val="center"/>
              <w:rPr>
                <w:color w:val="auto"/>
                <w:sz w:val="21"/>
                <w:szCs w:val="21"/>
                <w:highlight w:val="none"/>
              </w:rPr>
            </w:pPr>
          </w:p>
        </w:tc>
        <w:tc>
          <w:tcPr>
            <w:tcW w:w="1594" w:type="dxa"/>
            <w:noWrap w:val="0"/>
            <w:vAlign w:val="center"/>
          </w:tcPr>
          <w:p w14:paraId="79465504">
            <w:pPr>
              <w:ind w:firstLine="420"/>
              <w:rPr>
                <w:color w:val="auto"/>
                <w:sz w:val="21"/>
                <w:szCs w:val="21"/>
                <w:highlight w:val="none"/>
              </w:rPr>
            </w:pPr>
            <w:r>
              <w:rPr>
                <w:color w:val="auto"/>
                <w:sz w:val="21"/>
                <w:szCs w:val="21"/>
                <w:highlight w:val="none"/>
              </w:rPr>
              <w:t>HD-1</w:t>
            </w:r>
          </w:p>
        </w:tc>
        <w:tc>
          <w:tcPr>
            <w:tcW w:w="2149" w:type="dxa"/>
            <w:noWrap w:val="0"/>
            <w:vAlign w:val="center"/>
          </w:tcPr>
          <w:p w14:paraId="582E0ADE">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3393F4D3">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4634C254">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039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59" w:type="dxa"/>
            <w:vMerge w:val="restart"/>
            <w:noWrap w:val="0"/>
            <w:vAlign w:val="center"/>
          </w:tcPr>
          <w:p w14:paraId="76F26A36">
            <w:pPr>
              <w:ind w:firstLine="0" w:firstLineChars="0"/>
              <w:jc w:val="center"/>
              <w:rPr>
                <w:color w:val="auto"/>
                <w:sz w:val="21"/>
                <w:szCs w:val="21"/>
                <w:highlight w:val="none"/>
              </w:rPr>
            </w:pPr>
            <w:r>
              <w:rPr>
                <w:color w:val="auto"/>
                <w:sz w:val="21"/>
                <w:szCs w:val="21"/>
                <w:highlight w:val="none"/>
              </w:rPr>
              <w:t>返看65寸液晶显示器</w:t>
            </w:r>
          </w:p>
        </w:tc>
        <w:tc>
          <w:tcPr>
            <w:tcW w:w="2443" w:type="dxa"/>
            <w:vMerge w:val="restart"/>
            <w:noWrap w:val="0"/>
            <w:vAlign w:val="center"/>
          </w:tcPr>
          <w:p w14:paraId="2C299AC5">
            <w:pPr>
              <w:ind w:firstLine="0" w:firstLineChars="0"/>
              <w:jc w:val="center"/>
              <w:rPr>
                <w:color w:val="auto"/>
                <w:sz w:val="21"/>
                <w:szCs w:val="21"/>
                <w:highlight w:val="none"/>
              </w:rPr>
            </w:pPr>
            <w:r>
              <w:rPr>
                <w:color w:val="auto"/>
                <w:sz w:val="21"/>
                <w:szCs w:val="21"/>
                <w:highlight w:val="none"/>
              </w:rPr>
              <w:t>301报告厅舞台前侧</w:t>
            </w:r>
          </w:p>
        </w:tc>
        <w:tc>
          <w:tcPr>
            <w:tcW w:w="1957" w:type="dxa"/>
            <w:vMerge w:val="restart"/>
            <w:noWrap w:val="0"/>
            <w:vAlign w:val="center"/>
          </w:tcPr>
          <w:p w14:paraId="1A983834">
            <w:pPr>
              <w:ind w:firstLine="420"/>
              <w:rPr>
                <w:color w:val="auto"/>
                <w:sz w:val="21"/>
                <w:szCs w:val="21"/>
                <w:highlight w:val="none"/>
              </w:rPr>
            </w:pPr>
            <w:r>
              <w:rPr>
                <w:color w:val="auto"/>
                <w:sz w:val="21"/>
                <w:szCs w:val="21"/>
                <w:highlight w:val="none"/>
              </w:rPr>
              <w:t>AC-15-16</w:t>
            </w:r>
          </w:p>
        </w:tc>
        <w:tc>
          <w:tcPr>
            <w:tcW w:w="1594" w:type="dxa"/>
            <w:noWrap w:val="0"/>
            <w:vAlign w:val="center"/>
          </w:tcPr>
          <w:p w14:paraId="494B68C6">
            <w:pPr>
              <w:ind w:firstLine="420"/>
              <w:rPr>
                <w:color w:val="auto"/>
                <w:sz w:val="21"/>
                <w:szCs w:val="21"/>
                <w:highlight w:val="none"/>
              </w:rPr>
            </w:pPr>
            <w:r>
              <w:rPr>
                <w:color w:val="auto"/>
                <w:sz w:val="21"/>
                <w:szCs w:val="21"/>
                <w:highlight w:val="none"/>
              </w:rPr>
              <w:t>TF-1</w:t>
            </w:r>
          </w:p>
        </w:tc>
        <w:tc>
          <w:tcPr>
            <w:tcW w:w="2149" w:type="dxa"/>
            <w:noWrap w:val="0"/>
            <w:vAlign w:val="center"/>
          </w:tcPr>
          <w:p w14:paraId="319A9C12">
            <w:pPr>
              <w:ind w:firstLine="0" w:firstLineChars="0"/>
              <w:jc w:val="center"/>
              <w:rPr>
                <w:color w:val="auto"/>
                <w:sz w:val="21"/>
                <w:szCs w:val="21"/>
                <w:highlight w:val="none"/>
              </w:rPr>
            </w:pPr>
            <w:r>
              <w:rPr>
                <w:color w:val="auto"/>
                <w:sz w:val="21"/>
                <w:szCs w:val="21"/>
                <w:highlight w:val="none"/>
              </w:rPr>
              <w:t>6类RJ45模块</w:t>
            </w:r>
          </w:p>
        </w:tc>
        <w:tc>
          <w:tcPr>
            <w:tcW w:w="2014" w:type="dxa"/>
            <w:noWrap w:val="0"/>
            <w:vAlign w:val="center"/>
          </w:tcPr>
          <w:p w14:paraId="02CF591F">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1FFE69EA">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2874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59" w:type="dxa"/>
            <w:vMerge w:val="continue"/>
            <w:noWrap w:val="0"/>
            <w:vAlign w:val="center"/>
          </w:tcPr>
          <w:p w14:paraId="6E551907">
            <w:pPr>
              <w:ind w:firstLine="480"/>
              <w:jc w:val="center"/>
              <w:rPr>
                <w:color w:val="auto"/>
                <w:highlight w:val="none"/>
              </w:rPr>
            </w:pPr>
          </w:p>
        </w:tc>
        <w:tc>
          <w:tcPr>
            <w:tcW w:w="2443" w:type="dxa"/>
            <w:vMerge w:val="continue"/>
            <w:noWrap w:val="0"/>
            <w:vAlign w:val="center"/>
          </w:tcPr>
          <w:p w14:paraId="3C5E2EF0">
            <w:pPr>
              <w:ind w:firstLine="480"/>
              <w:jc w:val="center"/>
              <w:rPr>
                <w:color w:val="auto"/>
                <w:highlight w:val="none"/>
              </w:rPr>
            </w:pPr>
          </w:p>
        </w:tc>
        <w:tc>
          <w:tcPr>
            <w:tcW w:w="1957" w:type="dxa"/>
            <w:vMerge w:val="continue"/>
            <w:noWrap w:val="0"/>
            <w:vAlign w:val="center"/>
          </w:tcPr>
          <w:p w14:paraId="39FF19CE">
            <w:pPr>
              <w:ind w:firstLine="420"/>
              <w:jc w:val="center"/>
              <w:rPr>
                <w:color w:val="auto"/>
                <w:sz w:val="21"/>
                <w:szCs w:val="21"/>
                <w:highlight w:val="none"/>
              </w:rPr>
            </w:pPr>
          </w:p>
        </w:tc>
        <w:tc>
          <w:tcPr>
            <w:tcW w:w="1594" w:type="dxa"/>
            <w:noWrap w:val="0"/>
            <w:vAlign w:val="center"/>
          </w:tcPr>
          <w:p w14:paraId="722F9F44">
            <w:pPr>
              <w:ind w:firstLine="420"/>
              <w:rPr>
                <w:color w:val="auto"/>
                <w:sz w:val="21"/>
                <w:szCs w:val="21"/>
                <w:highlight w:val="none"/>
              </w:rPr>
            </w:pPr>
            <w:r>
              <w:rPr>
                <w:color w:val="auto"/>
                <w:sz w:val="21"/>
                <w:szCs w:val="21"/>
                <w:highlight w:val="none"/>
              </w:rPr>
              <w:t>HD-2</w:t>
            </w:r>
          </w:p>
        </w:tc>
        <w:tc>
          <w:tcPr>
            <w:tcW w:w="2149" w:type="dxa"/>
            <w:noWrap w:val="0"/>
            <w:vAlign w:val="center"/>
          </w:tcPr>
          <w:p w14:paraId="3F4E88B1">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1A8DD324">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026CEBE7">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7643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59" w:type="dxa"/>
            <w:vMerge w:val="restart"/>
            <w:noWrap w:val="0"/>
            <w:vAlign w:val="center"/>
          </w:tcPr>
          <w:p w14:paraId="03199371">
            <w:pPr>
              <w:ind w:firstLine="0" w:firstLineChars="0"/>
              <w:jc w:val="center"/>
              <w:rPr>
                <w:color w:val="auto"/>
                <w:sz w:val="21"/>
                <w:szCs w:val="21"/>
                <w:highlight w:val="none"/>
              </w:rPr>
            </w:pPr>
            <w:r>
              <w:rPr>
                <w:color w:val="auto"/>
                <w:sz w:val="21"/>
                <w:szCs w:val="21"/>
                <w:highlight w:val="none"/>
              </w:rPr>
              <w:t>LED显示屏</w:t>
            </w:r>
          </w:p>
        </w:tc>
        <w:tc>
          <w:tcPr>
            <w:tcW w:w="2443" w:type="dxa"/>
            <w:vMerge w:val="restart"/>
            <w:noWrap w:val="0"/>
            <w:vAlign w:val="center"/>
          </w:tcPr>
          <w:p w14:paraId="7BC91B81">
            <w:pPr>
              <w:ind w:firstLine="0" w:firstLineChars="0"/>
              <w:jc w:val="center"/>
              <w:rPr>
                <w:color w:val="auto"/>
                <w:sz w:val="21"/>
                <w:szCs w:val="21"/>
                <w:highlight w:val="none"/>
              </w:rPr>
            </w:pPr>
            <w:r>
              <w:rPr>
                <w:color w:val="auto"/>
                <w:sz w:val="21"/>
                <w:szCs w:val="21"/>
                <w:highlight w:val="none"/>
              </w:rPr>
              <w:t>309报告厅舞台后侧</w:t>
            </w:r>
          </w:p>
        </w:tc>
        <w:tc>
          <w:tcPr>
            <w:tcW w:w="1957" w:type="dxa"/>
            <w:vMerge w:val="restart"/>
            <w:noWrap w:val="0"/>
            <w:vAlign w:val="center"/>
          </w:tcPr>
          <w:p w14:paraId="00F00F80">
            <w:pPr>
              <w:ind w:firstLine="420"/>
              <w:rPr>
                <w:color w:val="auto"/>
                <w:sz w:val="21"/>
                <w:szCs w:val="21"/>
                <w:highlight w:val="none"/>
              </w:rPr>
            </w:pPr>
            <w:r>
              <w:rPr>
                <w:color w:val="auto"/>
                <w:sz w:val="21"/>
                <w:szCs w:val="21"/>
                <w:highlight w:val="none"/>
              </w:rPr>
              <w:t>AC-17-18</w:t>
            </w:r>
          </w:p>
        </w:tc>
        <w:tc>
          <w:tcPr>
            <w:tcW w:w="1594" w:type="dxa"/>
            <w:vMerge w:val="restart"/>
            <w:noWrap w:val="0"/>
            <w:vAlign w:val="center"/>
          </w:tcPr>
          <w:p w14:paraId="4025060D">
            <w:pPr>
              <w:ind w:firstLine="0" w:firstLineChars="0"/>
              <w:jc w:val="center"/>
              <w:rPr>
                <w:color w:val="auto"/>
                <w:sz w:val="21"/>
                <w:szCs w:val="21"/>
                <w:highlight w:val="none"/>
              </w:rPr>
            </w:pPr>
            <w:r>
              <w:rPr>
                <w:color w:val="auto"/>
                <w:sz w:val="21"/>
                <w:szCs w:val="21"/>
                <w:highlight w:val="none"/>
              </w:rPr>
              <w:t>TJ-101-116</w:t>
            </w:r>
          </w:p>
        </w:tc>
        <w:tc>
          <w:tcPr>
            <w:tcW w:w="2149" w:type="dxa"/>
            <w:vMerge w:val="restart"/>
            <w:noWrap w:val="0"/>
            <w:vAlign w:val="center"/>
          </w:tcPr>
          <w:p w14:paraId="00E30D85">
            <w:pPr>
              <w:ind w:firstLine="0" w:firstLineChars="0"/>
              <w:jc w:val="center"/>
              <w:rPr>
                <w:color w:val="auto"/>
                <w:sz w:val="21"/>
                <w:szCs w:val="21"/>
                <w:highlight w:val="none"/>
              </w:rPr>
            </w:pPr>
            <w:r>
              <w:rPr>
                <w:color w:val="auto"/>
                <w:sz w:val="21"/>
                <w:szCs w:val="21"/>
                <w:highlight w:val="none"/>
              </w:rPr>
              <w:t>6类RJ45模块</w:t>
            </w:r>
          </w:p>
        </w:tc>
        <w:tc>
          <w:tcPr>
            <w:tcW w:w="2014" w:type="dxa"/>
            <w:vMerge w:val="restart"/>
            <w:noWrap w:val="0"/>
            <w:vAlign w:val="center"/>
          </w:tcPr>
          <w:p w14:paraId="7F6ECED1">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76112D87">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04A9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59" w:type="dxa"/>
            <w:vMerge w:val="continue"/>
            <w:noWrap w:val="0"/>
            <w:vAlign w:val="center"/>
          </w:tcPr>
          <w:p w14:paraId="1758DA8A">
            <w:pPr>
              <w:pStyle w:val="2"/>
              <w:ind w:left="0" w:leftChars="0" w:firstLine="0" w:firstLineChars="0"/>
              <w:rPr>
                <w:rFonts w:ascii="Times New Roman" w:hAnsi="Times New Roman" w:eastAsia="宋体" w:cs="Times New Roman"/>
                <w:color w:val="auto"/>
                <w:highlight w:val="none"/>
              </w:rPr>
            </w:pPr>
          </w:p>
        </w:tc>
        <w:tc>
          <w:tcPr>
            <w:tcW w:w="2443" w:type="dxa"/>
            <w:vMerge w:val="continue"/>
            <w:noWrap w:val="0"/>
            <w:vAlign w:val="center"/>
          </w:tcPr>
          <w:p w14:paraId="72B3F862">
            <w:pPr>
              <w:pStyle w:val="2"/>
              <w:ind w:left="0" w:leftChars="0" w:firstLine="0" w:firstLineChars="0"/>
              <w:rPr>
                <w:rFonts w:ascii="Times New Roman" w:hAnsi="Times New Roman" w:eastAsia="宋体" w:cs="Times New Roman"/>
                <w:color w:val="auto"/>
                <w:highlight w:val="none"/>
              </w:rPr>
            </w:pPr>
          </w:p>
        </w:tc>
        <w:tc>
          <w:tcPr>
            <w:tcW w:w="1957" w:type="dxa"/>
            <w:vMerge w:val="continue"/>
            <w:noWrap w:val="0"/>
            <w:vAlign w:val="center"/>
          </w:tcPr>
          <w:p w14:paraId="39A9024E">
            <w:pPr>
              <w:pStyle w:val="2"/>
              <w:ind w:left="0" w:leftChars="0" w:firstLine="0" w:firstLineChars="0"/>
              <w:rPr>
                <w:rFonts w:ascii="Times New Roman" w:hAnsi="Times New Roman" w:eastAsia="宋体" w:cs="Times New Roman"/>
                <w:color w:val="auto"/>
                <w:sz w:val="21"/>
                <w:szCs w:val="21"/>
                <w:highlight w:val="none"/>
              </w:rPr>
            </w:pPr>
          </w:p>
        </w:tc>
        <w:tc>
          <w:tcPr>
            <w:tcW w:w="1594" w:type="dxa"/>
            <w:vMerge w:val="continue"/>
            <w:noWrap w:val="0"/>
            <w:vAlign w:val="center"/>
          </w:tcPr>
          <w:p w14:paraId="5B744A48">
            <w:pPr>
              <w:pStyle w:val="2"/>
              <w:ind w:left="0" w:leftChars="0" w:firstLine="0" w:firstLineChars="0"/>
              <w:rPr>
                <w:rFonts w:ascii="Times New Roman" w:hAnsi="Times New Roman" w:eastAsia="宋体" w:cs="Times New Roman"/>
                <w:color w:val="auto"/>
                <w:sz w:val="21"/>
                <w:szCs w:val="21"/>
                <w:highlight w:val="none"/>
              </w:rPr>
            </w:pPr>
          </w:p>
        </w:tc>
        <w:tc>
          <w:tcPr>
            <w:tcW w:w="2149" w:type="dxa"/>
            <w:vMerge w:val="continue"/>
            <w:noWrap w:val="0"/>
            <w:vAlign w:val="center"/>
          </w:tcPr>
          <w:p w14:paraId="2984C7AA">
            <w:pPr>
              <w:pStyle w:val="2"/>
              <w:ind w:left="0" w:leftChars="0" w:firstLine="0" w:firstLineChars="0"/>
              <w:rPr>
                <w:rFonts w:ascii="Times New Roman" w:hAnsi="Times New Roman" w:eastAsia="宋体" w:cs="Times New Roman"/>
                <w:color w:val="auto"/>
                <w:sz w:val="21"/>
                <w:szCs w:val="21"/>
                <w:highlight w:val="none"/>
              </w:rPr>
            </w:pPr>
          </w:p>
        </w:tc>
        <w:tc>
          <w:tcPr>
            <w:tcW w:w="2014" w:type="dxa"/>
            <w:vMerge w:val="continue"/>
            <w:noWrap w:val="0"/>
            <w:vAlign w:val="center"/>
          </w:tcPr>
          <w:p w14:paraId="6CC8DE43">
            <w:pPr>
              <w:pStyle w:val="2"/>
              <w:ind w:left="0" w:leftChars="0" w:firstLine="0" w:firstLineChars="0"/>
              <w:rPr>
                <w:rFonts w:ascii="Times New Roman" w:hAnsi="Times New Roman" w:eastAsia="宋体" w:cs="Times New Roman"/>
                <w:color w:val="auto"/>
                <w:sz w:val="21"/>
                <w:szCs w:val="21"/>
                <w:highlight w:val="none"/>
              </w:rPr>
            </w:pPr>
          </w:p>
        </w:tc>
        <w:tc>
          <w:tcPr>
            <w:tcW w:w="3259" w:type="dxa"/>
            <w:noWrap w:val="0"/>
            <w:vAlign w:val="center"/>
          </w:tcPr>
          <w:p w14:paraId="5428420E">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7EF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59" w:type="dxa"/>
            <w:vMerge w:val="restart"/>
            <w:noWrap w:val="0"/>
            <w:vAlign w:val="center"/>
          </w:tcPr>
          <w:p w14:paraId="2E5E7FC7">
            <w:pPr>
              <w:ind w:firstLine="0" w:firstLineChars="0"/>
              <w:jc w:val="center"/>
              <w:rPr>
                <w:color w:val="auto"/>
                <w:sz w:val="21"/>
                <w:szCs w:val="21"/>
                <w:highlight w:val="none"/>
              </w:rPr>
            </w:pPr>
            <w:r>
              <w:rPr>
                <w:color w:val="auto"/>
                <w:sz w:val="21"/>
                <w:szCs w:val="21"/>
                <w:highlight w:val="none"/>
              </w:rPr>
              <w:t>65寸液晶高清显示器</w:t>
            </w:r>
          </w:p>
        </w:tc>
        <w:tc>
          <w:tcPr>
            <w:tcW w:w="2443" w:type="dxa"/>
            <w:vMerge w:val="restart"/>
            <w:noWrap w:val="0"/>
            <w:vAlign w:val="center"/>
          </w:tcPr>
          <w:p w14:paraId="7F84091B">
            <w:pPr>
              <w:ind w:firstLine="0" w:firstLineChars="0"/>
              <w:jc w:val="center"/>
              <w:rPr>
                <w:color w:val="auto"/>
                <w:sz w:val="21"/>
                <w:szCs w:val="21"/>
                <w:highlight w:val="none"/>
              </w:rPr>
            </w:pPr>
            <w:r>
              <w:rPr>
                <w:color w:val="auto"/>
                <w:sz w:val="21"/>
                <w:szCs w:val="21"/>
                <w:highlight w:val="none"/>
              </w:rPr>
              <w:t>309报告厅舞台两侧</w:t>
            </w:r>
          </w:p>
        </w:tc>
        <w:tc>
          <w:tcPr>
            <w:tcW w:w="1957" w:type="dxa"/>
            <w:vMerge w:val="restart"/>
            <w:noWrap w:val="0"/>
            <w:vAlign w:val="center"/>
          </w:tcPr>
          <w:p w14:paraId="13DABFFA">
            <w:pPr>
              <w:ind w:firstLine="420"/>
              <w:rPr>
                <w:color w:val="auto"/>
                <w:sz w:val="21"/>
                <w:szCs w:val="21"/>
                <w:highlight w:val="none"/>
              </w:rPr>
            </w:pPr>
            <w:r>
              <w:rPr>
                <w:color w:val="auto"/>
                <w:sz w:val="21"/>
                <w:szCs w:val="21"/>
                <w:highlight w:val="none"/>
              </w:rPr>
              <w:t>AC-18-19</w:t>
            </w:r>
          </w:p>
        </w:tc>
        <w:tc>
          <w:tcPr>
            <w:tcW w:w="1594" w:type="dxa"/>
            <w:noWrap w:val="0"/>
            <w:vAlign w:val="center"/>
          </w:tcPr>
          <w:p w14:paraId="0ADCD1DB">
            <w:pPr>
              <w:ind w:firstLine="420"/>
              <w:rPr>
                <w:color w:val="auto"/>
                <w:sz w:val="21"/>
                <w:szCs w:val="21"/>
                <w:highlight w:val="none"/>
              </w:rPr>
            </w:pPr>
            <w:r>
              <w:rPr>
                <w:color w:val="auto"/>
                <w:sz w:val="21"/>
                <w:szCs w:val="21"/>
                <w:highlight w:val="none"/>
              </w:rPr>
              <w:t>TH-1</w:t>
            </w:r>
          </w:p>
        </w:tc>
        <w:tc>
          <w:tcPr>
            <w:tcW w:w="2149" w:type="dxa"/>
            <w:noWrap w:val="0"/>
            <w:vAlign w:val="center"/>
          </w:tcPr>
          <w:p w14:paraId="65000F45">
            <w:pPr>
              <w:ind w:firstLine="0" w:firstLineChars="0"/>
              <w:jc w:val="center"/>
              <w:rPr>
                <w:color w:val="auto"/>
                <w:sz w:val="21"/>
                <w:szCs w:val="21"/>
                <w:highlight w:val="none"/>
              </w:rPr>
            </w:pPr>
            <w:r>
              <w:rPr>
                <w:color w:val="auto"/>
                <w:sz w:val="21"/>
                <w:szCs w:val="21"/>
                <w:highlight w:val="none"/>
              </w:rPr>
              <w:t>6类RJ45模块</w:t>
            </w:r>
          </w:p>
        </w:tc>
        <w:tc>
          <w:tcPr>
            <w:tcW w:w="2014" w:type="dxa"/>
            <w:noWrap w:val="0"/>
            <w:vAlign w:val="center"/>
          </w:tcPr>
          <w:p w14:paraId="2873BD5F">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675D0516">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强电\配电柜</w:t>
            </w:r>
          </w:p>
        </w:tc>
      </w:tr>
      <w:tr w14:paraId="2C8F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59" w:type="dxa"/>
            <w:vMerge w:val="continue"/>
            <w:noWrap w:val="0"/>
            <w:vAlign w:val="center"/>
          </w:tcPr>
          <w:p w14:paraId="211AF2D3">
            <w:pPr>
              <w:pStyle w:val="2"/>
              <w:ind w:left="0" w:leftChars="0" w:firstLine="0" w:firstLineChars="0"/>
              <w:rPr>
                <w:rFonts w:ascii="Times New Roman" w:hAnsi="Times New Roman" w:eastAsia="宋体" w:cs="Times New Roman"/>
                <w:color w:val="auto"/>
                <w:highlight w:val="none"/>
              </w:rPr>
            </w:pPr>
          </w:p>
        </w:tc>
        <w:tc>
          <w:tcPr>
            <w:tcW w:w="2443" w:type="dxa"/>
            <w:vMerge w:val="continue"/>
            <w:noWrap w:val="0"/>
            <w:vAlign w:val="center"/>
          </w:tcPr>
          <w:p w14:paraId="26DE8787">
            <w:pPr>
              <w:pStyle w:val="2"/>
              <w:ind w:left="0" w:leftChars="0" w:firstLine="0" w:firstLineChars="0"/>
              <w:rPr>
                <w:rFonts w:ascii="Times New Roman" w:hAnsi="Times New Roman" w:eastAsia="宋体" w:cs="Times New Roman"/>
                <w:color w:val="auto"/>
                <w:highlight w:val="none"/>
              </w:rPr>
            </w:pPr>
          </w:p>
        </w:tc>
        <w:tc>
          <w:tcPr>
            <w:tcW w:w="1957" w:type="dxa"/>
            <w:vMerge w:val="continue"/>
            <w:noWrap w:val="0"/>
            <w:vAlign w:val="center"/>
          </w:tcPr>
          <w:p w14:paraId="47725337">
            <w:pPr>
              <w:pStyle w:val="2"/>
              <w:ind w:left="0" w:leftChars="0" w:firstLine="0" w:firstLineChars="0"/>
              <w:rPr>
                <w:rFonts w:ascii="Times New Roman" w:hAnsi="Times New Roman" w:eastAsia="宋体" w:cs="Times New Roman"/>
                <w:color w:val="auto"/>
                <w:sz w:val="21"/>
                <w:szCs w:val="21"/>
                <w:highlight w:val="none"/>
              </w:rPr>
            </w:pPr>
          </w:p>
        </w:tc>
        <w:tc>
          <w:tcPr>
            <w:tcW w:w="1594" w:type="dxa"/>
            <w:noWrap w:val="0"/>
            <w:vAlign w:val="center"/>
          </w:tcPr>
          <w:p w14:paraId="698E4983">
            <w:pPr>
              <w:ind w:firstLine="420"/>
              <w:rPr>
                <w:color w:val="auto"/>
                <w:sz w:val="21"/>
                <w:szCs w:val="21"/>
                <w:highlight w:val="none"/>
              </w:rPr>
            </w:pPr>
            <w:r>
              <w:rPr>
                <w:color w:val="auto"/>
                <w:sz w:val="21"/>
                <w:szCs w:val="21"/>
                <w:highlight w:val="none"/>
              </w:rPr>
              <w:t>HD-3</w:t>
            </w:r>
          </w:p>
        </w:tc>
        <w:tc>
          <w:tcPr>
            <w:tcW w:w="2149" w:type="dxa"/>
            <w:noWrap w:val="0"/>
            <w:vAlign w:val="center"/>
          </w:tcPr>
          <w:p w14:paraId="6716C952">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1CED68EC">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14408200">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弱电柜\LED视频拼接处理器</w:t>
            </w:r>
          </w:p>
        </w:tc>
      </w:tr>
      <w:tr w14:paraId="109F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259" w:type="dxa"/>
            <w:vMerge w:val="restart"/>
            <w:noWrap w:val="0"/>
            <w:vAlign w:val="center"/>
          </w:tcPr>
          <w:p w14:paraId="2ECCDB21">
            <w:pPr>
              <w:ind w:firstLine="0" w:firstLineChars="0"/>
              <w:jc w:val="center"/>
              <w:rPr>
                <w:color w:val="auto"/>
                <w:sz w:val="21"/>
                <w:szCs w:val="21"/>
                <w:highlight w:val="none"/>
              </w:rPr>
            </w:pPr>
            <w:r>
              <w:rPr>
                <w:color w:val="auto"/>
                <w:sz w:val="21"/>
                <w:szCs w:val="21"/>
                <w:highlight w:val="none"/>
              </w:rPr>
              <w:t>无线投屏协作系统</w:t>
            </w:r>
          </w:p>
        </w:tc>
        <w:tc>
          <w:tcPr>
            <w:tcW w:w="2443" w:type="dxa"/>
            <w:vMerge w:val="restart"/>
            <w:noWrap w:val="0"/>
            <w:vAlign w:val="center"/>
          </w:tcPr>
          <w:p w14:paraId="0FF43229">
            <w:pPr>
              <w:ind w:firstLine="0" w:firstLineChars="0"/>
              <w:jc w:val="center"/>
              <w:rPr>
                <w:color w:val="auto"/>
                <w:sz w:val="21"/>
                <w:szCs w:val="21"/>
                <w:highlight w:val="none"/>
              </w:rPr>
            </w:pPr>
            <w:r>
              <w:rPr>
                <w:color w:val="auto"/>
                <w:sz w:val="21"/>
                <w:szCs w:val="21"/>
                <w:highlight w:val="none"/>
              </w:rPr>
              <w:t>301报告厅、309报告厅、310会议室、313以及314会议室</w:t>
            </w:r>
          </w:p>
        </w:tc>
        <w:tc>
          <w:tcPr>
            <w:tcW w:w="1957" w:type="dxa"/>
            <w:vMerge w:val="restart"/>
            <w:noWrap w:val="0"/>
            <w:vAlign w:val="center"/>
          </w:tcPr>
          <w:p w14:paraId="7AB349C4">
            <w:pPr>
              <w:ind w:firstLine="420"/>
              <w:jc w:val="center"/>
              <w:rPr>
                <w:color w:val="auto"/>
                <w:sz w:val="21"/>
                <w:szCs w:val="21"/>
                <w:highlight w:val="none"/>
              </w:rPr>
            </w:pPr>
          </w:p>
        </w:tc>
        <w:tc>
          <w:tcPr>
            <w:tcW w:w="1594" w:type="dxa"/>
            <w:noWrap w:val="0"/>
            <w:vAlign w:val="center"/>
          </w:tcPr>
          <w:p w14:paraId="5B6B7165">
            <w:pPr>
              <w:ind w:firstLine="420"/>
              <w:rPr>
                <w:color w:val="auto"/>
                <w:sz w:val="21"/>
                <w:szCs w:val="21"/>
                <w:highlight w:val="none"/>
              </w:rPr>
            </w:pPr>
            <w:r>
              <w:rPr>
                <w:color w:val="auto"/>
                <w:sz w:val="21"/>
                <w:szCs w:val="21"/>
                <w:highlight w:val="none"/>
              </w:rPr>
              <w:t>HD-4</w:t>
            </w:r>
          </w:p>
        </w:tc>
        <w:tc>
          <w:tcPr>
            <w:tcW w:w="2149" w:type="dxa"/>
            <w:noWrap w:val="0"/>
            <w:vAlign w:val="center"/>
          </w:tcPr>
          <w:p w14:paraId="56D31ADF">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7B9A025B">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72DC3C9E">
            <w:pPr>
              <w:ind w:firstLine="0" w:firstLineChars="0"/>
              <w:jc w:val="center"/>
              <w:rPr>
                <w:color w:val="auto"/>
                <w:sz w:val="21"/>
                <w:szCs w:val="21"/>
                <w:highlight w:val="none"/>
              </w:rPr>
            </w:pPr>
            <w:r>
              <w:rPr>
                <w:color w:val="auto"/>
                <w:sz w:val="21"/>
                <w:szCs w:val="21"/>
                <w:highlight w:val="none"/>
              </w:rPr>
              <w:t>弱电柜\301报告厅LED视频拼接处理器</w:t>
            </w:r>
          </w:p>
        </w:tc>
      </w:tr>
      <w:tr w14:paraId="41D1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9" w:type="dxa"/>
            <w:vMerge w:val="continue"/>
            <w:noWrap w:val="0"/>
            <w:vAlign w:val="center"/>
          </w:tcPr>
          <w:p w14:paraId="4E847616">
            <w:pPr>
              <w:ind w:firstLine="480"/>
              <w:jc w:val="center"/>
              <w:rPr>
                <w:color w:val="auto"/>
                <w:highlight w:val="none"/>
              </w:rPr>
            </w:pPr>
          </w:p>
        </w:tc>
        <w:tc>
          <w:tcPr>
            <w:tcW w:w="2443" w:type="dxa"/>
            <w:vMerge w:val="continue"/>
            <w:noWrap w:val="0"/>
            <w:vAlign w:val="center"/>
          </w:tcPr>
          <w:p w14:paraId="373EDC70">
            <w:pPr>
              <w:ind w:firstLine="480"/>
              <w:jc w:val="center"/>
              <w:rPr>
                <w:color w:val="auto"/>
                <w:highlight w:val="none"/>
              </w:rPr>
            </w:pPr>
          </w:p>
        </w:tc>
        <w:tc>
          <w:tcPr>
            <w:tcW w:w="1957" w:type="dxa"/>
            <w:vMerge w:val="continue"/>
            <w:noWrap w:val="0"/>
            <w:vAlign w:val="center"/>
          </w:tcPr>
          <w:p w14:paraId="4A92B06A">
            <w:pPr>
              <w:ind w:firstLine="420"/>
              <w:jc w:val="center"/>
              <w:rPr>
                <w:color w:val="auto"/>
                <w:sz w:val="21"/>
                <w:szCs w:val="21"/>
                <w:highlight w:val="none"/>
              </w:rPr>
            </w:pPr>
          </w:p>
        </w:tc>
        <w:tc>
          <w:tcPr>
            <w:tcW w:w="1594" w:type="dxa"/>
            <w:noWrap w:val="0"/>
            <w:vAlign w:val="center"/>
          </w:tcPr>
          <w:p w14:paraId="5F4E4052">
            <w:pPr>
              <w:ind w:firstLine="420"/>
              <w:rPr>
                <w:color w:val="auto"/>
                <w:sz w:val="21"/>
                <w:szCs w:val="21"/>
                <w:highlight w:val="none"/>
              </w:rPr>
            </w:pPr>
            <w:r>
              <w:rPr>
                <w:color w:val="auto"/>
                <w:sz w:val="21"/>
                <w:szCs w:val="21"/>
                <w:highlight w:val="none"/>
              </w:rPr>
              <w:t>HD-5</w:t>
            </w:r>
          </w:p>
        </w:tc>
        <w:tc>
          <w:tcPr>
            <w:tcW w:w="2149" w:type="dxa"/>
            <w:noWrap w:val="0"/>
            <w:vAlign w:val="center"/>
          </w:tcPr>
          <w:p w14:paraId="6DA658E9">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0E6A8772">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18EFC8AF">
            <w:pPr>
              <w:ind w:firstLine="0" w:firstLineChars="0"/>
              <w:jc w:val="center"/>
              <w:rPr>
                <w:color w:val="auto"/>
                <w:sz w:val="21"/>
                <w:szCs w:val="21"/>
                <w:highlight w:val="none"/>
              </w:rPr>
            </w:pPr>
            <w:r>
              <w:rPr>
                <w:color w:val="auto"/>
                <w:sz w:val="21"/>
                <w:szCs w:val="21"/>
                <w:highlight w:val="none"/>
              </w:rPr>
              <w:t>弱电柜\309报告厅LED视频拼接处理器</w:t>
            </w:r>
          </w:p>
        </w:tc>
      </w:tr>
      <w:tr w14:paraId="5C7E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59" w:type="dxa"/>
            <w:vMerge w:val="continue"/>
            <w:noWrap w:val="0"/>
            <w:vAlign w:val="center"/>
          </w:tcPr>
          <w:p w14:paraId="42772DAA">
            <w:pPr>
              <w:ind w:firstLine="480"/>
              <w:jc w:val="center"/>
              <w:rPr>
                <w:color w:val="auto"/>
                <w:highlight w:val="none"/>
              </w:rPr>
            </w:pPr>
          </w:p>
        </w:tc>
        <w:tc>
          <w:tcPr>
            <w:tcW w:w="2443" w:type="dxa"/>
            <w:vMerge w:val="continue"/>
            <w:noWrap w:val="0"/>
            <w:vAlign w:val="center"/>
          </w:tcPr>
          <w:p w14:paraId="55851522">
            <w:pPr>
              <w:ind w:firstLine="480"/>
              <w:jc w:val="center"/>
              <w:rPr>
                <w:color w:val="auto"/>
                <w:highlight w:val="none"/>
              </w:rPr>
            </w:pPr>
          </w:p>
        </w:tc>
        <w:tc>
          <w:tcPr>
            <w:tcW w:w="1957" w:type="dxa"/>
            <w:vMerge w:val="continue"/>
            <w:noWrap w:val="0"/>
            <w:vAlign w:val="center"/>
          </w:tcPr>
          <w:p w14:paraId="1B3A4813">
            <w:pPr>
              <w:ind w:firstLine="420"/>
              <w:jc w:val="center"/>
              <w:rPr>
                <w:color w:val="auto"/>
                <w:sz w:val="21"/>
                <w:szCs w:val="21"/>
                <w:highlight w:val="none"/>
              </w:rPr>
            </w:pPr>
          </w:p>
        </w:tc>
        <w:tc>
          <w:tcPr>
            <w:tcW w:w="1594" w:type="dxa"/>
            <w:noWrap w:val="0"/>
            <w:vAlign w:val="center"/>
          </w:tcPr>
          <w:p w14:paraId="429C2945">
            <w:pPr>
              <w:ind w:firstLine="420"/>
              <w:rPr>
                <w:color w:val="auto"/>
                <w:sz w:val="21"/>
                <w:szCs w:val="21"/>
                <w:highlight w:val="none"/>
              </w:rPr>
            </w:pPr>
            <w:r>
              <w:rPr>
                <w:color w:val="auto"/>
                <w:sz w:val="21"/>
                <w:szCs w:val="21"/>
                <w:highlight w:val="none"/>
              </w:rPr>
              <w:t>HD-6</w:t>
            </w:r>
          </w:p>
        </w:tc>
        <w:tc>
          <w:tcPr>
            <w:tcW w:w="2149" w:type="dxa"/>
            <w:noWrap w:val="0"/>
            <w:vAlign w:val="center"/>
          </w:tcPr>
          <w:p w14:paraId="411867BB">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0016D47F">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5A26942E">
            <w:pPr>
              <w:ind w:firstLine="0" w:firstLineChars="0"/>
              <w:jc w:val="center"/>
              <w:rPr>
                <w:color w:val="auto"/>
                <w:sz w:val="21"/>
                <w:szCs w:val="21"/>
                <w:highlight w:val="none"/>
              </w:rPr>
            </w:pPr>
            <w:r>
              <w:rPr>
                <w:color w:val="auto"/>
                <w:sz w:val="21"/>
                <w:szCs w:val="21"/>
                <w:highlight w:val="none"/>
              </w:rPr>
              <w:t>310会议室</w:t>
            </w:r>
            <w:r>
              <w:rPr>
                <w:rFonts w:hint="eastAsia"/>
                <w:color w:val="auto"/>
                <w:sz w:val="21"/>
                <w:szCs w:val="21"/>
                <w:highlight w:val="none"/>
              </w:rPr>
              <w:t>拼接矩阵</w:t>
            </w:r>
          </w:p>
        </w:tc>
      </w:tr>
      <w:tr w14:paraId="7445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59" w:type="dxa"/>
            <w:vMerge w:val="continue"/>
            <w:noWrap w:val="0"/>
            <w:vAlign w:val="center"/>
          </w:tcPr>
          <w:p w14:paraId="061920A7">
            <w:pPr>
              <w:ind w:firstLine="480"/>
              <w:jc w:val="center"/>
              <w:rPr>
                <w:color w:val="auto"/>
                <w:highlight w:val="none"/>
              </w:rPr>
            </w:pPr>
          </w:p>
        </w:tc>
        <w:tc>
          <w:tcPr>
            <w:tcW w:w="2443" w:type="dxa"/>
            <w:vMerge w:val="continue"/>
            <w:noWrap w:val="0"/>
            <w:vAlign w:val="center"/>
          </w:tcPr>
          <w:p w14:paraId="4866A619">
            <w:pPr>
              <w:ind w:firstLine="480"/>
              <w:jc w:val="center"/>
              <w:rPr>
                <w:color w:val="auto"/>
                <w:highlight w:val="none"/>
              </w:rPr>
            </w:pPr>
          </w:p>
        </w:tc>
        <w:tc>
          <w:tcPr>
            <w:tcW w:w="1957" w:type="dxa"/>
            <w:vMerge w:val="continue"/>
            <w:noWrap w:val="0"/>
            <w:vAlign w:val="center"/>
          </w:tcPr>
          <w:p w14:paraId="6944D062">
            <w:pPr>
              <w:ind w:firstLine="420"/>
              <w:jc w:val="center"/>
              <w:rPr>
                <w:color w:val="auto"/>
                <w:sz w:val="21"/>
                <w:szCs w:val="21"/>
                <w:highlight w:val="none"/>
              </w:rPr>
            </w:pPr>
          </w:p>
        </w:tc>
        <w:tc>
          <w:tcPr>
            <w:tcW w:w="1594" w:type="dxa"/>
            <w:noWrap w:val="0"/>
            <w:vAlign w:val="center"/>
          </w:tcPr>
          <w:p w14:paraId="488468EA">
            <w:pPr>
              <w:ind w:firstLine="420"/>
              <w:rPr>
                <w:color w:val="auto"/>
                <w:sz w:val="21"/>
                <w:szCs w:val="21"/>
                <w:highlight w:val="none"/>
              </w:rPr>
            </w:pPr>
            <w:r>
              <w:rPr>
                <w:color w:val="auto"/>
                <w:sz w:val="21"/>
                <w:szCs w:val="21"/>
                <w:highlight w:val="none"/>
              </w:rPr>
              <w:t>HD-7</w:t>
            </w:r>
          </w:p>
        </w:tc>
        <w:tc>
          <w:tcPr>
            <w:tcW w:w="2149" w:type="dxa"/>
            <w:noWrap w:val="0"/>
            <w:vAlign w:val="center"/>
          </w:tcPr>
          <w:p w14:paraId="0E424FBC">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3B177396">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484CB911">
            <w:pPr>
              <w:ind w:firstLine="0" w:firstLineChars="0"/>
              <w:jc w:val="center"/>
              <w:rPr>
                <w:color w:val="auto"/>
                <w:sz w:val="21"/>
                <w:szCs w:val="21"/>
                <w:highlight w:val="none"/>
              </w:rPr>
            </w:pPr>
            <w:r>
              <w:rPr>
                <w:color w:val="auto"/>
                <w:sz w:val="21"/>
                <w:szCs w:val="21"/>
                <w:highlight w:val="none"/>
              </w:rPr>
              <w:t>313会议室</w:t>
            </w:r>
            <w:r>
              <w:rPr>
                <w:rFonts w:hint="eastAsia"/>
                <w:color w:val="auto"/>
                <w:sz w:val="21"/>
                <w:szCs w:val="21"/>
                <w:highlight w:val="none"/>
              </w:rPr>
              <w:t>拼接矩阵</w:t>
            </w:r>
          </w:p>
        </w:tc>
      </w:tr>
      <w:tr w14:paraId="30B7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59" w:type="dxa"/>
            <w:vMerge w:val="continue"/>
            <w:noWrap w:val="0"/>
            <w:vAlign w:val="center"/>
          </w:tcPr>
          <w:p w14:paraId="58811BF4">
            <w:pPr>
              <w:ind w:firstLine="480"/>
              <w:jc w:val="center"/>
              <w:rPr>
                <w:color w:val="auto"/>
                <w:highlight w:val="none"/>
              </w:rPr>
            </w:pPr>
          </w:p>
        </w:tc>
        <w:tc>
          <w:tcPr>
            <w:tcW w:w="2443" w:type="dxa"/>
            <w:vMerge w:val="continue"/>
            <w:noWrap w:val="0"/>
            <w:vAlign w:val="center"/>
          </w:tcPr>
          <w:p w14:paraId="1B1BB56D">
            <w:pPr>
              <w:ind w:firstLine="480"/>
              <w:jc w:val="center"/>
              <w:rPr>
                <w:color w:val="auto"/>
                <w:highlight w:val="none"/>
              </w:rPr>
            </w:pPr>
          </w:p>
        </w:tc>
        <w:tc>
          <w:tcPr>
            <w:tcW w:w="1957" w:type="dxa"/>
            <w:vMerge w:val="continue"/>
            <w:noWrap w:val="0"/>
            <w:vAlign w:val="center"/>
          </w:tcPr>
          <w:p w14:paraId="4442A76A">
            <w:pPr>
              <w:ind w:firstLine="420"/>
              <w:jc w:val="center"/>
              <w:rPr>
                <w:color w:val="auto"/>
                <w:sz w:val="21"/>
                <w:szCs w:val="21"/>
                <w:highlight w:val="none"/>
              </w:rPr>
            </w:pPr>
          </w:p>
        </w:tc>
        <w:tc>
          <w:tcPr>
            <w:tcW w:w="1594" w:type="dxa"/>
            <w:noWrap w:val="0"/>
            <w:vAlign w:val="center"/>
          </w:tcPr>
          <w:p w14:paraId="2E5BDBC7">
            <w:pPr>
              <w:ind w:firstLine="420"/>
              <w:rPr>
                <w:color w:val="auto"/>
                <w:sz w:val="21"/>
                <w:szCs w:val="21"/>
                <w:highlight w:val="none"/>
              </w:rPr>
            </w:pPr>
            <w:r>
              <w:rPr>
                <w:color w:val="auto"/>
                <w:sz w:val="21"/>
                <w:szCs w:val="21"/>
                <w:highlight w:val="none"/>
              </w:rPr>
              <w:t>HD-8</w:t>
            </w:r>
          </w:p>
        </w:tc>
        <w:tc>
          <w:tcPr>
            <w:tcW w:w="2149" w:type="dxa"/>
            <w:noWrap w:val="0"/>
            <w:vAlign w:val="center"/>
          </w:tcPr>
          <w:p w14:paraId="699A0EA9">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79D0B317">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049D9C97">
            <w:pPr>
              <w:ind w:firstLine="0" w:firstLineChars="0"/>
              <w:jc w:val="center"/>
              <w:rPr>
                <w:color w:val="auto"/>
                <w:sz w:val="21"/>
                <w:szCs w:val="21"/>
                <w:highlight w:val="none"/>
              </w:rPr>
            </w:pPr>
            <w:r>
              <w:rPr>
                <w:color w:val="auto"/>
                <w:sz w:val="21"/>
                <w:szCs w:val="21"/>
                <w:highlight w:val="none"/>
              </w:rPr>
              <w:t>314会议室</w:t>
            </w:r>
            <w:r>
              <w:rPr>
                <w:rFonts w:hint="eastAsia"/>
                <w:color w:val="auto"/>
                <w:sz w:val="21"/>
                <w:szCs w:val="21"/>
                <w:highlight w:val="none"/>
              </w:rPr>
              <w:t>拼接矩阵</w:t>
            </w:r>
          </w:p>
        </w:tc>
      </w:tr>
      <w:tr w14:paraId="706E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47A7556C">
            <w:pPr>
              <w:ind w:firstLine="0" w:firstLineChars="0"/>
              <w:jc w:val="center"/>
              <w:rPr>
                <w:color w:val="auto"/>
                <w:sz w:val="21"/>
                <w:szCs w:val="21"/>
                <w:highlight w:val="none"/>
              </w:rPr>
            </w:pPr>
            <w:r>
              <w:rPr>
                <w:color w:val="auto"/>
                <w:sz w:val="21"/>
                <w:szCs w:val="21"/>
                <w:highlight w:val="none"/>
              </w:rPr>
              <w:t>阵列主扩音箱（全频+低音）左</w:t>
            </w:r>
          </w:p>
        </w:tc>
        <w:tc>
          <w:tcPr>
            <w:tcW w:w="2443" w:type="dxa"/>
            <w:noWrap w:val="0"/>
            <w:vAlign w:val="center"/>
          </w:tcPr>
          <w:p w14:paraId="48EE8708">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38A8900E">
            <w:pPr>
              <w:ind w:firstLine="420"/>
              <w:jc w:val="center"/>
              <w:rPr>
                <w:color w:val="auto"/>
                <w:sz w:val="21"/>
                <w:szCs w:val="21"/>
                <w:highlight w:val="none"/>
              </w:rPr>
            </w:pPr>
          </w:p>
        </w:tc>
        <w:tc>
          <w:tcPr>
            <w:tcW w:w="1594" w:type="dxa"/>
            <w:noWrap w:val="0"/>
            <w:vAlign w:val="center"/>
          </w:tcPr>
          <w:p w14:paraId="0F44D8AE">
            <w:pPr>
              <w:ind w:firstLine="0" w:firstLineChars="0"/>
              <w:jc w:val="center"/>
              <w:rPr>
                <w:color w:val="auto"/>
                <w:sz w:val="21"/>
                <w:szCs w:val="21"/>
                <w:highlight w:val="none"/>
              </w:rPr>
            </w:pPr>
            <w:r>
              <w:rPr>
                <w:color w:val="auto"/>
                <w:sz w:val="21"/>
                <w:szCs w:val="21"/>
                <w:highlight w:val="none"/>
              </w:rPr>
              <w:t>AD-1-5</w:t>
            </w:r>
          </w:p>
        </w:tc>
        <w:tc>
          <w:tcPr>
            <w:tcW w:w="2149" w:type="dxa"/>
            <w:noWrap w:val="0"/>
            <w:vAlign w:val="center"/>
          </w:tcPr>
          <w:p w14:paraId="25024514">
            <w:pPr>
              <w:ind w:firstLine="0" w:firstLineChars="0"/>
              <w:jc w:val="center"/>
              <w:rPr>
                <w:color w:val="auto"/>
                <w:sz w:val="21"/>
                <w:szCs w:val="21"/>
                <w:highlight w:val="none"/>
              </w:rPr>
            </w:pPr>
            <w:r>
              <w:rPr>
                <w:color w:val="auto"/>
                <w:sz w:val="21"/>
                <w:szCs w:val="21"/>
                <w:highlight w:val="none"/>
              </w:rPr>
              <w:t>音响线</w:t>
            </w:r>
          </w:p>
        </w:tc>
        <w:tc>
          <w:tcPr>
            <w:tcW w:w="2014" w:type="dxa"/>
            <w:noWrap w:val="0"/>
            <w:vAlign w:val="center"/>
          </w:tcPr>
          <w:p w14:paraId="273F686E">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69EED98E">
            <w:pPr>
              <w:ind w:firstLine="0" w:firstLineChars="0"/>
              <w:jc w:val="center"/>
              <w:rPr>
                <w:color w:val="auto"/>
                <w:sz w:val="21"/>
                <w:szCs w:val="21"/>
                <w:highlight w:val="none"/>
              </w:rPr>
            </w:pPr>
            <w:r>
              <w:rPr>
                <w:color w:val="auto"/>
                <w:sz w:val="21"/>
                <w:szCs w:val="21"/>
                <w:highlight w:val="none"/>
              </w:rPr>
              <w:t>弱电柜\301报告厅功放</w:t>
            </w:r>
          </w:p>
        </w:tc>
      </w:tr>
      <w:tr w14:paraId="7AA8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59" w:type="dxa"/>
            <w:noWrap w:val="0"/>
            <w:vAlign w:val="center"/>
          </w:tcPr>
          <w:p w14:paraId="7D67A8D4">
            <w:pPr>
              <w:ind w:firstLine="0" w:firstLineChars="0"/>
              <w:jc w:val="center"/>
              <w:rPr>
                <w:color w:val="auto"/>
                <w:sz w:val="21"/>
                <w:szCs w:val="21"/>
                <w:highlight w:val="none"/>
              </w:rPr>
            </w:pPr>
            <w:r>
              <w:rPr>
                <w:color w:val="auto"/>
                <w:sz w:val="21"/>
                <w:szCs w:val="21"/>
                <w:highlight w:val="none"/>
              </w:rPr>
              <w:t>阵列主扩音箱（全频+低音）右</w:t>
            </w:r>
          </w:p>
        </w:tc>
        <w:tc>
          <w:tcPr>
            <w:tcW w:w="2443" w:type="dxa"/>
            <w:noWrap w:val="0"/>
            <w:vAlign w:val="center"/>
          </w:tcPr>
          <w:p w14:paraId="5492851B">
            <w:pPr>
              <w:ind w:firstLine="0" w:firstLineChars="0"/>
              <w:jc w:val="center"/>
              <w:rPr>
                <w:color w:val="auto"/>
                <w:sz w:val="21"/>
                <w:szCs w:val="21"/>
                <w:highlight w:val="none"/>
              </w:rPr>
            </w:pPr>
            <w:r>
              <w:rPr>
                <w:color w:val="auto"/>
                <w:sz w:val="21"/>
                <w:szCs w:val="21"/>
                <w:highlight w:val="none"/>
              </w:rPr>
              <w:t>301报告厅舞台右侧</w:t>
            </w:r>
          </w:p>
        </w:tc>
        <w:tc>
          <w:tcPr>
            <w:tcW w:w="1957" w:type="dxa"/>
            <w:noWrap w:val="0"/>
            <w:vAlign w:val="center"/>
          </w:tcPr>
          <w:p w14:paraId="3CC58EF6">
            <w:pPr>
              <w:ind w:firstLine="420"/>
              <w:jc w:val="center"/>
              <w:rPr>
                <w:color w:val="auto"/>
                <w:sz w:val="21"/>
                <w:szCs w:val="21"/>
                <w:highlight w:val="none"/>
              </w:rPr>
            </w:pPr>
          </w:p>
        </w:tc>
        <w:tc>
          <w:tcPr>
            <w:tcW w:w="1594" w:type="dxa"/>
            <w:noWrap w:val="0"/>
            <w:vAlign w:val="center"/>
          </w:tcPr>
          <w:p w14:paraId="4688BC0F">
            <w:pPr>
              <w:ind w:firstLine="0" w:firstLineChars="0"/>
              <w:jc w:val="center"/>
              <w:rPr>
                <w:color w:val="auto"/>
                <w:sz w:val="21"/>
                <w:szCs w:val="21"/>
                <w:highlight w:val="none"/>
              </w:rPr>
            </w:pPr>
            <w:r>
              <w:rPr>
                <w:color w:val="auto"/>
                <w:sz w:val="21"/>
                <w:szCs w:val="21"/>
                <w:highlight w:val="none"/>
              </w:rPr>
              <w:t>AD-6-10</w:t>
            </w:r>
          </w:p>
        </w:tc>
        <w:tc>
          <w:tcPr>
            <w:tcW w:w="2149" w:type="dxa"/>
            <w:noWrap w:val="0"/>
            <w:vAlign w:val="center"/>
          </w:tcPr>
          <w:p w14:paraId="3D9E440A">
            <w:pPr>
              <w:ind w:firstLine="0" w:firstLineChars="0"/>
              <w:jc w:val="center"/>
              <w:rPr>
                <w:color w:val="auto"/>
                <w:sz w:val="21"/>
                <w:szCs w:val="21"/>
                <w:highlight w:val="none"/>
              </w:rPr>
            </w:pPr>
            <w:r>
              <w:rPr>
                <w:color w:val="auto"/>
                <w:sz w:val="21"/>
                <w:szCs w:val="21"/>
                <w:highlight w:val="none"/>
              </w:rPr>
              <w:t>音响线</w:t>
            </w:r>
          </w:p>
        </w:tc>
        <w:tc>
          <w:tcPr>
            <w:tcW w:w="2014" w:type="dxa"/>
            <w:noWrap w:val="0"/>
            <w:vAlign w:val="center"/>
          </w:tcPr>
          <w:p w14:paraId="58650EE4">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3930AE62">
            <w:pPr>
              <w:ind w:firstLine="0" w:firstLineChars="0"/>
              <w:jc w:val="center"/>
              <w:rPr>
                <w:color w:val="auto"/>
                <w:sz w:val="21"/>
                <w:szCs w:val="21"/>
                <w:highlight w:val="none"/>
              </w:rPr>
            </w:pPr>
            <w:r>
              <w:rPr>
                <w:color w:val="auto"/>
                <w:sz w:val="21"/>
                <w:szCs w:val="21"/>
                <w:highlight w:val="none"/>
              </w:rPr>
              <w:t>弱电柜\301报告厅功放</w:t>
            </w:r>
          </w:p>
        </w:tc>
      </w:tr>
      <w:tr w14:paraId="7D30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1C274015">
            <w:pPr>
              <w:ind w:firstLine="0" w:firstLineChars="0"/>
              <w:jc w:val="center"/>
              <w:rPr>
                <w:color w:val="auto"/>
                <w:sz w:val="21"/>
                <w:szCs w:val="21"/>
                <w:highlight w:val="none"/>
              </w:rPr>
            </w:pPr>
            <w:r>
              <w:rPr>
                <w:color w:val="auto"/>
                <w:sz w:val="21"/>
                <w:szCs w:val="21"/>
                <w:highlight w:val="none"/>
              </w:rPr>
              <w:t>补声音箱左</w:t>
            </w:r>
          </w:p>
        </w:tc>
        <w:tc>
          <w:tcPr>
            <w:tcW w:w="2443" w:type="dxa"/>
            <w:noWrap w:val="0"/>
            <w:vAlign w:val="center"/>
          </w:tcPr>
          <w:p w14:paraId="502AFF61">
            <w:pPr>
              <w:ind w:firstLine="0" w:firstLineChars="0"/>
              <w:jc w:val="center"/>
              <w:rPr>
                <w:color w:val="auto"/>
                <w:sz w:val="21"/>
                <w:szCs w:val="21"/>
                <w:highlight w:val="none"/>
              </w:rPr>
            </w:pPr>
            <w:r>
              <w:rPr>
                <w:color w:val="auto"/>
                <w:sz w:val="21"/>
                <w:szCs w:val="21"/>
                <w:highlight w:val="none"/>
              </w:rPr>
              <w:t>301报告厅左侧中后</w:t>
            </w:r>
          </w:p>
        </w:tc>
        <w:tc>
          <w:tcPr>
            <w:tcW w:w="1957" w:type="dxa"/>
            <w:noWrap w:val="0"/>
            <w:vAlign w:val="center"/>
          </w:tcPr>
          <w:p w14:paraId="4F612B64">
            <w:pPr>
              <w:ind w:firstLine="420"/>
              <w:jc w:val="center"/>
              <w:rPr>
                <w:color w:val="auto"/>
                <w:sz w:val="21"/>
                <w:szCs w:val="21"/>
                <w:highlight w:val="none"/>
              </w:rPr>
            </w:pPr>
          </w:p>
        </w:tc>
        <w:tc>
          <w:tcPr>
            <w:tcW w:w="1594" w:type="dxa"/>
            <w:noWrap w:val="0"/>
            <w:vAlign w:val="center"/>
          </w:tcPr>
          <w:p w14:paraId="1686B5FF">
            <w:pPr>
              <w:ind w:firstLine="0" w:firstLineChars="0"/>
              <w:jc w:val="center"/>
              <w:rPr>
                <w:color w:val="auto"/>
                <w:sz w:val="21"/>
                <w:szCs w:val="21"/>
                <w:highlight w:val="none"/>
              </w:rPr>
            </w:pPr>
            <w:r>
              <w:rPr>
                <w:color w:val="auto"/>
                <w:sz w:val="21"/>
                <w:szCs w:val="21"/>
                <w:highlight w:val="none"/>
              </w:rPr>
              <w:t>AD-11</w:t>
            </w:r>
          </w:p>
        </w:tc>
        <w:tc>
          <w:tcPr>
            <w:tcW w:w="2149" w:type="dxa"/>
            <w:noWrap w:val="0"/>
            <w:vAlign w:val="center"/>
          </w:tcPr>
          <w:p w14:paraId="18889854">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5F4F955C">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153694F9">
            <w:pPr>
              <w:ind w:firstLine="0" w:firstLineChars="0"/>
              <w:jc w:val="center"/>
              <w:rPr>
                <w:color w:val="auto"/>
                <w:sz w:val="21"/>
                <w:szCs w:val="21"/>
                <w:highlight w:val="none"/>
              </w:rPr>
            </w:pPr>
            <w:r>
              <w:rPr>
                <w:color w:val="auto"/>
                <w:sz w:val="21"/>
                <w:szCs w:val="21"/>
                <w:highlight w:val="none"/>
              </w:rPr>
              <w:t>弱电柜\301报告厅功放</w:t>
            </w:r>
          </w:p>
        </w:tc>
      </w:tr>
      <w:tr w14:paraId="6F5B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283C4486">
            <w:pPr>
              <w:ind w:firstLine="0" w:firstLineChars="0"/>
              <w:jc w:val="center"/>
              <w:rPr>
                <w:color w:val="auto"/>
                <w:sz w:val="21"/>
                <w:szCs w:val="21"/>
                <w:highlight w:val="none"/>
              </w:rPr>
            </w:pPr>
            <w:r>
              <w:rPr>
                <w:color w:val="auto"/>
                <w:sz w:val="21"/>
                <w:szCs w:val="21"/>
                <w:highlight w:val="none"/>
              </w:rPr>
              <w:t>补声音箱右</w:t>
            </w:r>
          </w:p>
        </w:tc>
        <w:tc>
          <w:tcPr>
            <w:tcW w:w="2443" w:type="dxa"/>
            <w:noWrap w:val="0"/>
            <w:vAlign w:val="center"/>
          </w:tcPr>
          <w:p w14:paraId="259B5FA7">
            <w:pPr>
              <w:ind w:firstLine="0" w:firstLineChars="0"/>
              <w:jc w:val="center"/>
              <w:rPr>
                <w:color w:val="auto"/>
                <w:sz w:val="21"/>
                <w:szCs w:val="21"/>
                <w:highlight w:val="none"/>
              </w:rPr>
            </w:pPr>
            <w:r>
              <w:rPr>
                <w:color w:val="auto"/>
                <w:sz w:val="21"/>
                <w:szCs w:val="21"/>
                <w:highlight w:val="none"/>
              </w:rPr>
              <w:t>301报告厅右侧中后</w:t>
            </w:r>
          </w:p>
        </w:tc>
        <w:tc>
          <w:tcPr>
            <w:tcW w:w="1957" w:type="dxa"/>
            <w:noWrap w:val="0"/>
            <w:vAlign w:val="center"/>
          </w:tcPr>
          <w:p w14:paraId="1BE51DD1">
            <w:pPr>
              <w:ind w:firstLine="420"/>
              <w:jc w:val="center"/>
              <w:rPr>
                <w:color w:val="auto"/>
                <w:sz w:val="21"/>
                <w:szCs w:val="21"/>
                <w:highlight w:val="none"/>
              </w:rPr>
            </w:pPr>
          </w:p>
        </w:tc>
        <w:tc>
          <w:tcPr>
            <w:tcW w:w="1594" w:type="dxa"/>
            <w:noWrap w:val="0"/>
            <w:vAlign w:val="center"/>
          </w:tcPr>
          <w:p w14:paraId="4EBFA6FD">
            <w:pPr>
              <w:ind w:firstLine="0" w:firstLineChars="0"/>
              <w:jc w:val="center"/>
              <w:rPr>
                <w:color w:val="auto"/>
                <w:sz w:val="21"/>
                <w:szCs w:val="21"/>
                <w:highlight w:val="none"/>
              </w:rPr>
            </w:pPr>
            <w:r>
              <w:rPr>
                <w:color w:val="auto"/>
                <w:sz w:val="21"/>
                <w:szCs w:val="21"/>
                <w:highlight w:val="none"/>
              </w:rPr>
              <w:t>AD-12</w:t>
            </w:r>
          </w:p>
        </w:tc>
        <w:tc>
          <w:tcPr>
            <w:tcW w:w="2149" w:type="dxa"/>
            <w:noWrap w:val="0"/>
            <w:vAlign w:val="center"/>
          </w:tcPr>
          <w:p w14:paraId="3E480B60">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7FDFD169">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07D656B5">
            <w:pPr>
              <w:ind w:firstLine="0" w:firstLineChars="0"/>
              <w:jc w:val="center"/>
              <w:rPr>
                <w:color w:val="auto"/>
                <w:sz w:val="21"/>
                <w:szCs w:val="21"/>
                <w:highlight w:val="none"/>
              </w:rPr>
            </w:pPr>
            <w:r>
              <w:rPr>
                <w:color w:val="auto"/>
                <w:sz w:val="21"/>
                <w:szCs w:val="21"/>
                <w:highlight w:val="none"/>
              </w:rPr>
              <w:t>弱电柜\301报告厅功放</w:t>
            </w:r>
          </w:p>
        </w:tc>
      </w:tr>
      <w:tr w14:paraId="43B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3F489CE6">
            <w:pPr>
              <w:ind w:firstLine="0" w:firstLineChars="0"/>
              <w:jc w:val="center"/>
              <w:rPr>
                <w:color w:val="auto"/>
                <w:sz w:val="21"/>
                <w:szCs w:val="21"/>
                <w:highlight w:val="none"/>
              </w:rPr>
            </w:pPr>
            <w:r>
              <w:rPr>
                <w:color w:val="auto"/>
                <w:sz w:val="21"/>
                <w:szCs w:val="21"/>
                <w:highlight w:val="none"/>
              </w:rPr>
              <w:t>返听音箱左</w:t>
            </w:r>
          </w:p>
        </w:tc>
        <w:tc>
          <w:tcPr>
            <w:tcW w:w="2443" w:type="dxa"/>
            <w:noWrap w:val="0"/>
            <w:vAlign w:val="center"/>
          </w:tcPr>
          <w:p w14:paraId="6146087D">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37CD5C02">
            <w:pPr>
              <w:ind w:firstLine="420"/>
              <w:jc w:val="center"/>
              <w:rPr>
                <w:color w:val="auto"/>
                <w:sz w:val="21"/>
                <w:szCs w:val="21"/>
                <w:highlight w:val="none"/>
              </w:rPr>
            </w:pPr>
          </w:p>
        </w:tc>
        <w:tc>
          <w:tcPr>
            <w:tcW w:w="1594" w:type="dxa"/>
            <w:noWrap w:val="0"/>
            <w:vAlign w:val="center"/>
          </w:tcPr>
          <w:p w14:paraId="5EBF1E8B">
            <w:pPr>
              <w:ind w:firstLine="0" w:firstLineChars="0"/>
              <w:jc w:val="center"/>
              <w:rPr>
                <w:color w:val="auto"/>
                <w:sz w:val="21"/>
                <w:szCs w:val="21"/>
                <w:highlight w:val="none"/>
              </w:rPr>
            </w:pPr>
            <w:r>
              <w:rPr>
                <w:color w:val="auto"/>
                <w:sz w:val="21"/>
                <w:szCs w:val="21"/>
                <w:highlight w:val="none"/>
              </w:rPr>
              <w:t>AD-13</w:t>
            </w:r>
          </w:p>
        </w:tc>
        <w:tc>
          <w:tcPr>
            <w:tcW w:w="2149" w:type="dxa"/>
            <w:noWrap w:val="0"/>
            <w:vAlign w:val="center"/>
          </w:tcPr>
          <w:p w14:paraId="23380CA4">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21F6340B">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0F1C7616">
            <w:pPr>
              <w:ind w:firstLine="0" w:firstLineChars="0"/>
              <w:jc w:val="center"/>
              <w:rPr>
                <w:color w:val="auto"/>
                <w:sz w:val="21"/>
                <w:szCs w:val="21"/>
                <w:highlight w:val="none"/>
              </w:rPr>
            </w:pPr>
            <w:r>
              <w:rPr>
                <w:color w:val="auto"/>
                <w:sz w:val="21"/>
                <w:szCs w:val="21"/>
                <w:highlight w:val="none"/>
              </w:rPr>
              <w:t>301报告厅返听音箱地插左</w:t>
            </w:r>
          </w:p>
        </w:tc>
      </w:tr>
      <w:tr w14:paraId="199F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24A79924">
            <w:pPr>
              <w:ind w:firstLine="0" w:firstLineChars="0"/>
              <w:jc w:val="center"/>
              <w:rPr>
                <w:color w:val="auto"/>
                <w:sz w:val="21"/>
                <w:szCs w:val="21"/>
                <w:highlight w:val="none"/>
              </w:rPr>
            </w:pPr>
            <w:r>
              <w:rPr>
                <w:color w:val="auto"/>
                <w:sz w:val="21"/>
                <w:szCs w:val="21"/>
                <w:highlight w:val="none"/>
              </w:rPr>
              <w:t>返听音箱右</w:t>
            </w:r>
          </w:p>
        </w:tc>
        <w:tc>
          <w:tcPr>
            <w:tcW w:w="2443" w:type="dxa"/>
            <w:noWrap w:val="0"/>
            <w:vAlign w:val="center"/>
          </w:tcPr>
          <w:p w14:paraId="27C65F26">
            <w:pPr>
              <w:ind w:firstLine="0" w:firstLineChars="0"/>
              <w:jc w:val="center"/>
              <w:rPr>
                <w:color w:val="auto"/>
                <w:sz w:val="21"/>
                <w:szCs w:val="21"/>
                <w:highlight w:val="none"/>
              </w:rPr>
            </w:pPr>
            <w:r>
              <w:rPr>
                <w:color w:val="auto"/>
                <w:sz w:val="21"/>
                <w:szCs w:val="21"/>
                <w:highlight w:val="none"/>
              </w:rPr>
              <w:t>301报告厅舞台右侧</w:t>
            </w:r>
          </w:p>
        </w:tc>
        <w:tc>
          <w:tcPr>
            <w:tcW w:w="1957" w:type="dxa"/>
            <w:noWrap w:val="0"/>
            <w:vAlign w:val="center"/>
          </w:tcPr>
          <w:p w14:paraId="756DEC11">
            <w:pPr>
              <w:ind w:firstLine="420"/>
              <w:jc w:val="center"/>
              <w:rPr>
                <w:color w:val="auto"/>
                <w:sz w:val="21"/>
                <w:szCs w:val="21"/>
                <w:highlight w:val="none"/>
              </w:rPr>
            </w:pPr>
          </w:p>
        </w:tc>
        <w:tc>
          <w:tcPr>
            <w:tcW w:w="1594" w:type="dxa"/>
            <w:noWrap w:val="0"/>
            <w:vAlign w:val="center"/>
          </w:tcPr>
          <w:p w14:paraId="2221090C">
            <w:pPr>
              <w:ind w:firstLine="0" w:firstLineChars="0"/>
              <w:jc w:val="center"/>
              <w:rPr>
                <w:color w:val="auto"/>
                <w:sz w:val="21"/>
                <w:szCs w:val="21"/>
                <w:highlight w:val="none"/>
              </w:rPr>
            </w:pPr>
            <w:r>
              <w:rPr>
                <w:color w:val="auto"/>
                <w:sz w:val="21"/>
                <w:szCs w:val="21"/>
                <w:highlight w:val="none"/>
              </w:rPr>
              <w:t>AD-14</w:t>
            </w:r>
          </w:p>
        </w:tc>
        <w:tc>
          <w:tcPr>
            <w:tcW w:w="2149" w:type="dxa"/>
            <w:noWrap w:val="0"/>
            <w:vAlign w:val="center"/>
          </w:tcPr>
          <w:p w14:paraId="5283B8E6">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7FDEBA1A">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7F149C5E">
            <w:pPr>
              <w:ind w:firstLine="0" w:firstLineChars="0"/>
              <w:jc w:val="center"/>
              <w:rPr>
                <w:color w:val="auto"/>
                <w:sz w:val="21"/>
                <w:szCs w:val="21"/>
                <w:highlight w:val="none"/>
              </w:rPr>
            </w:pPr>
            <w:r>
              <w:rPr>
                <w:color w:val="auto"/>
                <w:sz w:val="21"/>
                <w:szCs w:val="21"/>
                <w:highlight w:val="none"/>
              </w:rPr>
              <w:t>301报告厅返听音箱地插右</w:t>
            </w:r>
          </w:p>
        </w:tc>
      </w:tr>
      <w:tr w14:paraId="7FD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56ED29EA">
            <w:pPr>
              <w:ind w:firstLine="0" w:firstLineChars="0"/>
              <w:jc w:val="center"/>
              <w:rPr>
                <w:color w:val="auto"/>
                <w:sz w:val="21"/>
                <w:szCs w:val="21"/>
                <w:highlight w:val="none"/>
              </w:rPr>
            </w:pPr>
            <w:r>
              <w:rPr>
                <w:color w:val="auto"/>
                <w:sz w:val="21"/>
                <w:szCs w:val="21"/>
                <w:highlight w:val="none"/>
              </w:rPr>
              <w:t>台唇音箱左</w:t>
            </w:r>
          </w:p>
        </w:tc>
        <w:tc>
          <w:tcPr>
            <w:tcW w:w="2443" w:type="dxa"/>
            <w:noWrap w:val="0"/>
            <w:vAlign w:val="center"/>
          </w:tcPr>
          <w:p w14:paraId="3A8D5FA4">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261EF619">
            <w:pPr>
              <w:ind w:firstLine="420"/>
              <w:jc w:val="center"/>
              <w:rPr>
                <w:color w:val="auto"/>
                <w:sz w:val="21"/>
                <w:szCs w:val="21"/>
                <w:highlight w:val="none"/>
              </w:rPr>
            </w:pPr>
          </w:p>
        </w:tc>
        <w:tc>
          <w:tcPr>
            <w:tcW w:w="1594" w:type="dxa"/>
            <w:noWrap w:val="0"/>
            <w:vAlign w:val="center"/>
          </w:tcPr>
          <w:p w14:paraId="2DEEAB41">
            <w:pPr>
              <w:ind w:firstLine="0" w:firstLineChars="0"/>
              <w:jc w:val="center"/>
              <w:rPr>
                <w:color w:val="auto"/>
                <w:sz w:val="21"/>
                <w:szCs w:val="21"/>
                <w:highlight w:val="none"/>
              </w:rPr>
            </w:pPr>
            <w:r>
              <w:rPr>
                <w:color w:val="auto"/>
                <w:sz w:val="21"/>
                <w:szCs w:val="21"/>
                <w:highlight w:val="none"/>
              </w:rPr>
              <w:t>AD-15</w:t>
            </w:r>
          </w:p>
        </w:tc>
        <w:tc>
          <w:tcPr>
            <w:tcW w:w="2149" w:type="dxa"/>
            <w:noWrap w:val="0"/>
            <w:vAlign w:val="center"/>
          </w:tcPr>
          <w:p w14:paraId="616196BF">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392CB93C">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533FFF03">
            <w:pPr>
              <w:ind w:firstLine="0" w:firstLineChars="0"/>
              <w:jc w:val="center"/>
              <w:rPr>
                <w:color w:val="auto"/>
                <w:sz w:val="21"/>
                <w:szCs w:val="21"/>
                <w:highlight w:val="none"/>
              </w:rPr>
            </w:pPr>
            <w:r>
              <w:rPr>
                <w:color w:val="auto"/>
                <w:sz w:val="21"/>
                <w:szCs w:val="21"/>
                <w:highlight w:val="none"/>
              </w:rPr>
              <w:t>301报告厅台唇音箱地插左</w:t>
            </w:r>
          </w:p>
        </w:tc>
      </w:tr>
      <w:tr w14:paraId="674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1C9D696F">
            <w:pPr>
              <w:ind w:firstLine="0" w:firstLineChars="0"/>
              <w:jc w:val="center"/>
              <w:rPr>
                <w:color w:val="auto"/>
                <w:sz w:val="21"/>
                <w:szCs w:val="21"/>
                <w:highlight w:val="none"/>
              </w:rPr>
            </w:pPr>
            <w:r>
              <w:rPr>
                <w:color w:val="auto"/>
                <w:sz w:val="21"/>
                <w:szCs w:val="21"/>
                <w:highlight w:val="none"/>
              </w:rPr>
              <w:t>台唇音箱右</w:t>
            </w:r>
          </w:p>
        </w:tc>
        <w:tc>
          <w:tcPr>
            <w:tcW w:w="2443" w:type="dxa"/>
            <w:noWrap w:val="0"/>
            <w:vAlign w:val="center"/>
          </w:tcPr>
          <w:p w14:paraId="099B6B15">
            <w:pPr>
              <w:ind w:firstLine="0" w:firstLineChars="0"/>
              <w:jc w:val="center"/>
              <w:rPr>
                <w:color w:val="auto"/>
                <w:sz w:val="21"/>
                <w:szCs w:val="21"/>
                <w:highlight w:val="none"/>
              </w:rPr>
            </w:pPr>
            <w:r>
              <w:rPr>
                <w:color w:val="auto"/>
                <w:sz w:val="21"/>
                <w:szCs w:val="21"/>
                <w:highlight w:val="none"/>
              </w:rPr>
              <w:t>301报告厅舞台右侧</w:t>
            </w:r>
          </w:p>
        </w:tc>
        <w:tc>
          <w:tcPr>
            <w:tcW w:w="1957" w:type="dxa"/>
            <w:noWrap w:val="0"/>
            <w:vAlign w:val="center"/>
          </w:tcPr>
          <w:p w14:paraId="4521C269">
            <w:pPr>
              <w:ind w:firstLine="420"/>
              <w:jc w:val="center"/>
              <w:rPr>
                <w:color w:val="auto"/>
                <w:sz w:val="21"/>
                <w:szCs w:val="21"/>
                <w:highlight w:val="none"/>
              </w:rPr>
            </w:pPr>
          </w:p>
        </w:tc>
        <w:tc>
          <w:tcPr>
            <w:tcW w:w="1594" w:type="dxa"/>
            <w:noWrap w:val="0"/>
            <w:vAlign w:val="center"/>
          </w:tcPr>
          <w:p w14:paraId="642DC45D">
            <w:pPr>
              <w:ind w:firstLine="0" w:firstLineChars="0"/>
              <w:jc w:val="center"/>
              <w:rPr>
                <w:color w:val="auto"/>
                <w:sz w:val="21"/>
                <w:szCs w:val="21"/>
                <w:highlight w:val="none"/>
              </w:rPr>
            </w:pPr>
            <w:r>
              <w:rPr>
                <w:color w:val="auto"/>
                <w:sz w:val="21"/>
                <w:szCs w:val="21"/>
                <w:highlight w:val="none"/>
              </w:rPr>
              <w:t>AD-16</w:t>
            </w:r>
          </w:p>
        </w:tc>
        <w:tc>
          <w:tcPr>
            <w:tcW w:w="2149" w:type="dxa"/>
            <w:noWrap w:val="0"/>
            <w:vAlign w:val="center"/>
          </w:tcPr>
          <w:p w14:paraId="6FF6E372">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7D29F9DD">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1201EEA3">
            <w:pPr>
              <w:ind w:firstLine="0" w:firstLineChars="0"/>
              <w:jc w:val="center"/>
              <w:rPr>
                <w:color w:val="auto"/>
                <w:sz w:val="21"/>
                <w:szCs w:val="21"/>
                <w:highlight w:val="none"/>
              </w:rPr>
            </w:pPr>
            <w:r>
              <w:rPr>
                <w:color w:val="auto"/>
                <w:sz w:val="21"/>
                <w:szCs w:val="21"/>
                <w:highlight w:val="none"/>
              </w:rPr>
              <w:t>301报告厅台唇音箱地插右</w:t>
            </w:r>
          </w:p>
        </w:tc>
      </w:tr>
      <w:tr w14:paraId="7BC5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178145B9">
            <w:pPr>
              <w:ind w:firstLine="0" w:firstLineChars="0"/>
              <w:jc w:val="center"/>
              <w:rPr>
                <w:color w:val="auto"/>
                <w:sz w:val="21"/>
                <w:szCs w:val="21"/>
                <w:highlight w:val="none"/>
              </w:rPr>
            </w:pPr>
            <w:r>
              <w:rPr>
                <w:color w:val="auto"/>
                <w:sz w:val="21"/>
                <w:szCs w:val="21"/>
                <w:highlight w:val="none"/>
              </w:rPr>
              <w:t>手拉手桌面话筒</w:t>
            </w:r>
          </w:p>
        </w:tc>
        <w:tc>
          <w:tcPr>
            <w:tcW w:w="2443" w:type="dxa"/>
            <w:noWrap w:val="0"/>
            <w:vAlign w:val="center"/>
          </w:tcPr>
          <w:p w14:paraId="5CC4397B">
            <w:pPr>
              <w:ind w:firstLine="0" w:firstLineChars="0"/>
              <w:jc w:val="center"/>
              <w:rPr>
                <w:color w:val="auto"/>
                <w:sz w:val="21"/>
                <w:szCs w:val="21"/>
                <w:highlight w:val="none"/>
              </w:rPr>
            </w:pPr>
            <w:r>
              <w:rPr>
                <w:color w:val="auto"/>
                <w:sz w:val="21"/>
                <w:szCs w:val="21"/>
                <w:highlight w:val="none"/>
              </w:rPr>
              <w:t>301报告厅舞台</w:t>
            </w:r>
          </w:p>
        </w:tc>
        <w:tc>
          <w:tcPr>
            <w:tcW w:w="1957" w:type="dxa"/>
            <w:noWrap w:val="0"/>
            <w:vAlign w:val="center"/>
          </w:tcPr>
          <w:p w14:paraId="7106029F">
            <w:pPr>
              <w:ind w:firstLine="420"/>
              <w:jc w:val="center"/>
              <w:rPr>
                <w:color w:val="auto"/>
                <w:sz w:val="21"/>
                <w:szCs w:val="21"/>
                <w:highlight w:val="none"/>
              </w:rPr>
            </w:pPr>
          </w:p>
        </w:tc>
        <w:tc>
          <w:tcPr>
            <w:tcW w:w="1594" w:type="dxa"/>
            <w:noWrap w:val="0"/>
            <w:vAlign w:val="center"/>
          </w:tcPr>
          <w:p w14:paraId="48F190BC">
            <w:pPr>
              <w:ind w:firstLine="0" w:firstLineChars="0"/>
              <w:jc w:val="center"/>
              <w:rPr>
                <w:color w:val="auto"/>
                <w:sz w:val="21"/>
                <w:szCs w:val="21"/>
                <w:highlight w:val="none"/>
              </w:rPr>
            </w:pPr>
            <w:r>
              <w:rPr>
                <w:color w:val="auto"/>
                <w:sz w:val="21"/>
                <w:szCs w:val="21"/>
                <w:highlight w:val="none"/>
              </w:rPr>
              <w:t>AM-1</w:t>
            </w:r>
          </w:p>
        </w:tc>
        <w:tc>
          <w:tcPr>
            <w:tcW w:w="2149" w:type="dxa"/>
            <w:noWrap w:val="0"/>
            <w:vAlign w:val="center"/>
          </w:tcPr>
          <w:p w14:paraId="04B31332">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218E0F17">
            <w:pPr>
              <w:ind w:firstLine="0" w:firstLineChars="0"/>
              <w:jc w:val="center"/>
              <w:rPr>
                <w:color w:val="auto"/>
                <w:sz w:val="21"/>
                <w:szCs w:val="21"/>
                <w:highlight w:val="none"/>
              </w:rPr>
            </w:pPr>
            <w:r>
              <w:rPr>
                <w:color w:val="auto"/>
                <w:sz w:val="21"/>
                <w:szCs w:val="21"/>
                <w:highlight w:val="none"/>
              </w:rPr>
              <w:t>会议话筒线</w:t>
            </w:r>
          </w:p>
        </w:tc>
        <w:tc>
          <w:tcPr>
            <w:tcW w:w="3259" w:type="dxa"/>
            <w:noWrap w:val="0"/>
            <w:vAlign w:val="center"/>
          </w:tcPr>
          <w:p w14:paraId="21CE520E">
            <w:pPr>
              <w:ind w:firstLine="420"/>
              <w:rPr>
                <w:color w:val="auto"/>
                <w:sz w:val="21"/>
                <w:szCs w:val="21"/>
                <w:highlight w:val="none"/>
              </w:rPr>
            </w:pPr>
            <w:r>
              <w:rPr>
                <w:color w:val="auto"/>
                <w:sz w:val="21"/>
                <w:szCs w:val="21"/>
                <w:highlight w:val="none"/>
              </w:rPr>
              <w:t>301报告厅舞台地插</w:t>
            </w:r>
          </w:p>
        </w:tc>
      </w:tr>
      <w:tr w14:paraId="311B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5F5CD294">
            <w:pPr>
              <w:ind w:firstLine="0" w:firstLineChars="0"/>
              <w:jc w:val="center"/>
              <w:rPr>
                <w:color w:val="auto"/>
                <w:sz w:val="21"/>
                <w:szCs w:val="21"/>
                <w:highlight w:val="none"/>
              </w:rPr>
            </w:pPr>
            <w:r>
              <w:rPr>
                <w:color w:val="auto"/>
                <w:sz w:val="21"/>
                <w:szCs w:val="21"/>
                <w:highlight w:val="none"/>
              </w:rPr>
              <w:t>汇报席话筒</w:t>
            </w:r>
          </w:p>
        </w:tc>
        <w:tc>
          <w:tcPr>
            <w:tcW w:w="2443" w:type="dxa"/>
            <w:noWrap w:val="0"/>
            <w:vAlign w:val="center"/>
          </w:tcPr>
          <w:p w14:paraId="7AE214CA">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657EC6A1">
            <w:pPr>
              <w:ind w:firstLine="420"/>
              <w:jc w:val="center"/>
              <w:rPr>
                <w:color w:val="auto"/>
                <w:sz w:val="21"/>
                <w:szCs w:val="21"/>
                <w:highlight w:val="none"/>
              </w:rPr>
            </w:pPr>
          </w:p>
        </w:tc>
        <w:tc>
          <w:tcPr>
            <w:tcW w:w="1594" w:type="dxa"/>
            <w:noWrap w:val="0"/>
            <w:vAlign w:val="center"/>
          </w:tcPr>
          <w:p w14:paraId="0AD4C871">
            <w:pPr>
              <w:ind w:firstLine="0" w:firstLineChars="0"/>
              <w:jc w:val="center"/>
              <w:rPr>
                <w:color w:val="auto"/>
                <w:sz w:val="21"/>
                <w:szCs w:val="21"/>
                <w:highlight w:val="none"/>
              </w:rPr>
            </w:pPr>
            <w:r>
              <w:rPr>
                <w:color w:val="auto"/>
                <w:sz w:val="21"/>
                <w:szCs w:val="21"/>
                <w:highlight w:val="none"/>
              </w:rPr>
              <w:t>AM-2</w:t>
            </w:r>
          </w:p>
        </w:tc>
        <w:tc>
          <w:tcPr>
            <w:tcW w:w="2149" w:type="dxa"/>
            <w:noWrap w:val="0"/>
            <w:vAlign w:val="center"/>
          </w:tcPr>
          <w:p w14:paraId="0894368E">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78E76AF3">
            <w:pPr>
              <w:ind w:firstLine="0" w:firstLineChars="0"/>
              <w:jc w:val="center"/>
              <w:rPr>
                <w:color w:val="auto"/>
                <w:sz w:val="21"/>
                <w:szCs w:val="21"/>
                <w:highlight w:val="none"/>
              </w:rPr>
            </w:pPr>
            <w:r>
              <w:rPr>
                <w:color w:val="auto"/>
                <w:sz w:val="21"/>
                <w:szCs w:val="21"/>
                <w:highlight w:val="none"/>
              </w:rPr>
              <w:t>卡农线</w:t>
            </w:r>
          </w:p>
        </w:tc>
        <w:tc>
          <w:tcPr>
            <w:tcW w:w="3259" w:type="dxa"/>
            <w:noWrap w:val="0"/>
            <w:vAlign w:val="center"/>
          </w:tcPr>
          <w:p w14:paraId="2B13A381">
            <w:pPr>
              <w:ind w:firstLine="420"/>
              <w:rPr>
                <w:color w:val="auto"/>
                <w:sz w:val="21"/>
                <w:szCs w:val="21"/>
                <w:highlight w:val="none"/>
              </w:rPr>
            </w:pPr>
            <w:r>
              <w:rPr>
                <w:color w:val="auto"/>
                <w:sz w:val="21"/>
                <w:szCs w:val="21"/>
                <w:highlight w:val="none"/>
              </w:rPr>
              <w:t>301报告厅舞台地插</w:t>
            </w:r>
          </w:p>
        </w:tc>
      </w:tr>
      <w:tr w14:paraId="3ABD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1079558F">
            <w:pPr>
              <w:ind w:firstLine="0" w:firstLineChars="0"/>
              <w:jc w:val="center"/>
              <w:rPr>
                <w:color w:val="auto"/>
                <w:sz w:val="21"/>
                <w:szCs w:val="21"/>
                <w:highlight w:val="none"/>
              </w:rPr>
            </w:pPr>
            <w:r>
              <w:rPr>
                <w:color w:val="auto"/>
                <w:sz w:val="21"/>
                <w:szCs w:val="21"/>
                <w:highlight w:val="none"/>
              </w:rPr>
              <w:t>返听音箱地插左</w:t>
            </w:r>
          </w:p>
        </w:tc>
        <w:tc>
          <w:tcPr>
            <w:tcW w:w="2443" w:type="dxa"/>
            <w:noWrap w:val="0"/>
            <w:vAlign w:val="center"/>
          </w:tcPr>
          <w:p w14:paraId="0533EC95">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609D5D47">
            <w:pPr>
              <w:ind w:firstLine="420"/>
              <w:jc w:val="center"/>
              <w:rPr>
                <w:color w:val="auto"/>
                <w:sz w:val="21"/>
                <w:szCs w:val="21"/>
                <w:highlight w:val="none"/>
              </w:rPr>
            </w:pPr>
          </w:p>
        </w:tc>
        <w:tc>
          <w:tcPr>
            <w:tcW w:w="1594" w:type="dxa"/>
            <w:noWrap w:val="0"/>
            <w:vAlign w:val="center"/>
          </w:tcPr>
          <w:p w14:paraId="18FA1BA6">
            <w:pPr>
              <w:ind w:firstLine="0" w:firstLineChars="0"/>
              <w:jc w:val="center"/>
              <w:rPr>
                <w:color w:val="auto"/>
                <w:sz w:val="21"/>
                <w:szCs w:val="21"/>
                <w:highlight w:val="none"/>
              </w:rPr>
            </w:pPr>
            <w:r>
              <w:rPr>
                <w:color w:val="auto"/>
                <w:sz w:val="21"/>
                <w:szCs w:val="21"/>
                <w:highlight w:val="none"/>
              </w:rPr>
              <w:t>AM-3</w:t>
            </w:r>
          </w:p>
        </w:tc>
        <w:tc>
          <w:tcPr>
            <w:tcW w:w="2149" w:type="dxa"/>
            <w:noWrap w:val="0"/>
            <w:vAlign w:val="center"/>
          </w:tcPr>
          <w:p w14:paraId="66162551">
            <w:pPr>
              <w:ind w:firstLine="0" w:firstLineChars="0"/>
              <w:jc w:val="center"/>
              <w:rPr>
                <w:color w:val="auto"/>
                <w:sz w:val="21"/>
                <w:szCs w:val="21"/>
                <w:highlight w:val="none"/>
              </w:rPr>
            </w:pPr>
            <w:r>
              <w:rPr>
                <w:color w:val="auto"/>
                <w:sz w:val="21"/>
                <w:szCs w:val="21"/>
                <w:highlight w:val="none"/>
              </w:rPr>
              <w:t>专业音箱接口</w:t>
            </w:r>
          </w:p>
        </w:tc>
        <w:tc>
          <w:tcPr>
            <w:tcW w:w="2014" w:type="dxa"/>
            <w:noWrap w:val="0"/>
            <w:vAlign w:val="center"/>
          </w:tcPr>
          <w:p w14:paraId="005C6803">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7FAB4193">
            <w:pPr>
              <w:ind w:firstLine="0" w:firstLineChars="0"/>
              <w:jc w:val="center"/>
              <w:rPr>
                <w:color w:val="auto"/>
                <w:sz w:val="21"/>
                <w:szCs w:val="21"/>
                <w:highlight w:val="none"/>
              </w:rPr>
            </w:pPr>
            <w:r>
              <w:rPr>
                <w:color w:val="auto"/>
                <w:sz w:val="21"/>
                <w:szCs w:val="21"/>
                <w:highlight w:val="none"/>
              </w:rPr>
              <w:t>弱电柜\301报告厅功放</w:t>
            </w:r>
          </w:p>
        </w:tc>
      </w:tr>
      <w:tr w14:paraId="7C34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5E323663">
            <w:pPr>
              <w:ind w:firstLine="0" w:firstLineChars="0"/>
              <w:jc w:val="center"/>
              <w:rPr>
                <w:color w:val="auto"/>
                <w:sz w:val="21"/>
                <w:szCs w:val="21"/>
                <w:highlight w:val="none"/>
              </w:rPr>
            </w:pPr>
            <w:r>
              <w:rPr>
                <w:color w:val="auto"/>
                <w:sz w:val="21"/>
                <w:szCs w:val="21"/>
                <w:highlight w:val="none"/>
              </w:rPr>
              <w:t>返听音箱地插右</w:t>
            </w:r>
          </w:p>
        </w:tc>
        <w:tc>
          <w:tcPr>
            <w:tcW w:w="2443" w:type="dxa"/>
            <w:noWrap w:val="0"/>
            <w:vAlign w:val="center"/>
          </w:tcPr>
          <w:p w14:paraId="1F06398F">
            <w:pPr>
              <w:ind w:firstLine="0" w:firstLineChars="0"/>
              <w:jc w:val="center"/>
              <w:rPr>
                <w:color w:val="auto"/>
                <w:sz w:val="21"/>
                <w:szCs w:val="21"/>
                <w:highlight w:val="none"/>
              </w:rPr>
            </w:pPr>
            <w:r>
              <w:rPr>
                <w:color w:val="auto"/>
                <w:sz w:val="21"/>
                <w:szCs w:val="21"/>
                <w:highlight w:val="none"/>
              </w:rPr>
              <w:t>301报告厅舞台右侧</w:t>
            </w:r>
          </w:p>
        </w:tc>
        <w:tc>
          <w:tcPr>
            <w:tcW w:w="1957" w:type="dxa"/>
            <w:noWrap w:val="0"/>
            <w:vAlign w:val="center"/>
          </w:tcPr>
          <w:p w14:paraId="508F6FB3">
            <w:pPr>
              <w:ind w:firstLine="420"/>
              <w:jc w:val="center"/>
              <w:rPr>
                <w:color w:val="auto"/>
                <w:sz w:val="21"/>
                <w:szCs w:val="21"/>
                <w:highlight w:val="none"/>
              </w:rPr>
            </w:pPr>
          </w:p>
        </w:tc>
        <w:tc>
          <w:tcPr>
            <w:tcW w:w="1594" w:type="dxa"/>
            <w:noWrap w:val="0"/>
            <w:vAlign w:val="center"/>
          </w:tcPr>
          <w:p w14:paraId="6BBE09AD">
            <w:pPr>
              <w:ind w:firstLine="0" w:firstLineChars="0"/>
              <w:jc w:val="center"/>
              <w:rPr>
                <w:color w:val="auto"/>
                <w:sz w:val="21"/>
                <w:szCs w:val="21"/>
                <w:highlight w:val="none"/>
              </w:rPr>
            </w:pPr>
            <w:r>
              <w:rPr>
                <w:color w:val="auto"/>
                <w:sz w:val="21"/>
                <w:szCs w:val="21"/>
                <w:highlight w:val="none"/>
              </w:rPr>
              <w:t>AM-4</w:t>
            </w:r>
          </w:p>
        </w:tc>
        <w:tc>
          <w:tcPr>
            <w:tcW w:w="2149" w:type="dxa"/>
            <w:noWrap w:val="0"/>
            <w:vAlign w:val="center"/>
          </w:tcPr>
          <w:p w14:paraId="43E6BF6B">
            <w:pPr>
              <w:ind w:firstLine="0" w:firstLineChars="0"/>
              <w:jc w:val="center"/>
              <w:rPr>
                <w:color w:val="auto"/>
                <w:sz w:val="21"/>
                <w:szCs w:val="21"/>
                <w:highlight w:val="none"/>
              </w:rPr>
            </w:pPr>
            <w:r>
              <w:rPr>
                <w:color w:val="auto"/>
                <w:sz w:val="21"/>
                <w:szCs w:val="21"/>
                <w:highlight w:val="none"/>
              </w:rPr>
              <w:t>专业音箱接口</w:t>
            </w:r>
          </w:p>
        </w:tc>
        <w:tc>
          <w:tcPr>
            <w:tcW w:w="2014" w:type="dxa"/>
            <w:noWrap w:val="0"/>
            <w:vAlign w:val="center"/>
          </w:tcPr>
          <w:p w14:paraId="5E464A66">
            <w:pPr>
              <w:ind w:firstLine="0" w:firstLineChars="0"/>
              <w:jc w:val="center"/>
              <w:rPr>
                <w:color w:val="auto"/>
                <w:sz w:val="21"/>
                <w:szCs w:val="21"/>
                <w:highlight w:val="none"/>
              </w:rPr>
            </w:pPr>
            <w:r>
              <w:rPr>
                <w:color w:val="auto"/>
                <w:sz w:val="21"/>
                <w:szCs w:val="21"/>
                <w:highlight w:val="none"/>
              </w:rPr>
              <w:t>EVJV2*2.5</w:t>
            </w:r>
          </w:p>
        </w:tc>
        <w:tc>
          <w:tcPr>
            <w:tcW w:w="3259" w:type="dxa"/>
            <w:noWrap w:val="0"/>
            <w:vAlign w:val="center"/>
          </w:tcPr>
          <w:p w14:paraId="2F10B517">
            <w:pPr>
              <w:ind w:firstLine="0" w:firstLineChars="0"/>
              <w:jc w:val="center"/>
              <w:rPr>
                <w:color w:val="auto"/>
                <w:sz w:val="21"/>
                <w:szCs w:val="21"/>
                <w:highlight w:val="none"/>
              </w:rPr>
            </w:pPr>
            <w:r>
              <w:rPr>
                <w:color w:val="auto"/>
                <w:sz w:val="21"/>
                <w:szCs w:val="21"/>
                <w:highlight w:val="none"/>
              </w:rPr>
              <w:t>弱电柜\301报告厅功放</w:t>
            </w:r>
          </w:p>
        </w:tc>
      </w:tr>
      <w:tr w14:paraId="1D4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611AC684">
            <w:pPr>
              <w:ind w:firstLine="0" w:firstLineChars="0"/>
              <w:jc w:val="center"/>
              <w:rPr>
                <w:color w:val="auto"/>
                <w:sz w:val="21"/>
                <w:szCs w:val="21"/>
                <w:highlight w:val="none"/>
              </w:rPr>
            </w:pPr>
            <w:r>
              <w:rPr>
                <w:color w:val="auto"/>
                <w:sz w:val="21"/>
                <w:szCs w:val="21"/>
                <w:highlight w:val="none"/>
              </w:rPr>
              <w:t>台唇音箱地插左</w:t>
            </w:r>
          </w:p>
        </w:tc>
        <w:tc>
          <w:tcPr>
            <w:tcW w:w="2443" w:type="dxa"/>
            <w:noWrap w:val="0"/>
            <w:vAlign w:val="center"/>
          </w:tcPr>
          <w:p w14:paraId="52EE7AEF">
            <w:pPr>
              <w:ind w:firstLine="0" w:firstLineChars="0"/>
              <w:jc w:val="center"/>
              <w:rPr>
                <w:color w:val="auto"/>
                <w:sz w:val="21"/>
                <w:szCs w:val="21"/>
                <w:highlight w:val="none"/>
              </w:rPr>
            </w:pPr>
            <w:r>
              <w:rPr>
                <w:color w:val="auto"/>
                <w:sz w:val="21"/>
                <w:szCs w:val="21"/>
                <w:highlight w:val="none"/>
              </w:rPr>
              <w:t>301报告厅舞台左侧</w:t>
            </w:r>
          </w:p>
        </w:tc>
        <w:tc>
          <w:tcPr>
            <w:tcW w:w="1957" w:type="dxa"/>
            <w:noWrap w:val="0"/>
            <w:vAlign w:val="center"/>
          </w:tcPr>
          <w:p w14:paraId="1018D2DD">
            <w:pPr>
              <w:ind w:firstLine="420"/>
              <w:jc w:val="center"/>
              <w:rPr>
                <w:color w:val="auto"/>
                <w:sz w:val="21"/>
                <w:szCs w:val="21"/>
                <w:highlight w:val="none"/>
              </w:rPr>
            </w:pPr>
          </w:p>
        </w:tc>
        <w:tc>
          <w:tcPr>
            <w:tcW w:w="1594" w:type="dxa"/>
            <w:noWrap w:val="0"/>
            <w:vAlign w:val="center"/>
          </w:tcPr>
          <w:p w14:paraId="086E5DAD">
            <w:pPr>
              <w:ind w:firstLine="0" w:firstLineChars="0"/>
              <w:jc w:val="center"/>
              <w:rPr>
                <w:color w:val="auto"/>
                <w:sz w:val="21"/>
                <w:szCs w:val="21"/>
                <w:highlight w:val="none"/>
              </w:rPr>
            </w:pPr>
            <w:r>
              <w:rPr>
                <w:color w:val="auto"/>
                <w:sz w:val="21"/>
                <w:szCs w:val="21"/>
                <w:highlight w:val="none"/>
              </w:rPr>
              <w:t>AM-5</w:t>
            </w:r>
          </w:p>
        </w:tc>
        <w:tc>
          <w:tcPr>
            <w:tcW w:w="2149" w:type="dxa"/>
            <w:noWrap w:val="0"/>
            <w:vAlign w:val="center"/>
          </w:tcPr>
          <w:p w14:paraId="34949F87">
            <w:pPr>
              <w:ind w:firstLine="0" w:firstLineChars="0"/>
              <w:jc w:val="center"/>
              <w:rPr>
                <w:color w:val="auto"/>
                <w:highlight w:val="none"/>
              </w:rPr>
            </w:pPr>
            <w:r>
              <w:rPr>
                <w:color w:val="auto"/>
                <w:highlight w:val="none"/>
              </w:rPr>
              <w:t>专业音箱接口</w:t>
            </w:r>
          </w:p>
        </w:tc>
        <w:tc>
          <w:tcPr>
            <w:tcW w:w="2014" w:type="dxa"/>
            <w:noWrap w:val="0"/>
            <w:vAlign w:val="center"/>
          </w:tcPr>
          <w:p w14:paraId="507DBAA5">
            <w:pPr>
              <w:ind w:firstLine="0" w:firstLineChars="0"/>
              <w:jc w:val="center"/>
              <w:rPr>
                <w:color w:val="auto"/>
                <w:highlight w:val="none"/>
              </w:rPr>
            </w:pPr>
            <w:r>
              <w:rPr>
                <w:color w:val="auto"/>
                <w:sz w:val="21"/>
                <w:szCs w:val="21"/>
                <w:highlight w:val="none"/>
              </w:rPr>
              <w:t>EVJV2*2.5</w:t>
            </w:r>
          </w:p>
        </w:tc>
        <w:tc>
          <w:tcPr>
            <w:tcW w:w="3259" w:type="dxa"/>
            <w:noWrap w:val="0"/>
            <w:vAlign w:val="center"/>
          </w:tcPr>
          <w:p w14:paraId="5FBBFFB2">
            <w:pPr>
              <w:ind w:firstLine="0" w:firstLineChars="0"/>
              <w:jc w:val="center"/>
              <w:rPr>
                <w:color w:val="auto"/>
                <w:highlight w:val="none"/>
              </w:rPr>
            </w:pPr>
            <w:r>
              <w:rPr>
                <w:color w:val="auto"/>
                <w:sz w:val="21"/>
                <w:szCs w:val="21"/>
                <w:highlight w:val="none"/>
              </w:rPr>
              <w:t>弱电柜\301报告厅功放</w:t>
            </w:r>
          </w:p>
        </w:tc>
      </w:tr>
      <w:tr w14:paraId="2287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noWrap w:val="0"/>
            <w:vAlign w:val="center"/>
          </w:tcPr>
          <w:p w14:paraId="690AE6D2">
            <w:pPr>
              <w:ind w:firstLine="0" w:firstLineChars="0"/>
              <w:jc w:val="center"/>
              <w:rPr>
                <w:color w:val="auto"/>
                <w:sz w:val="21"/>
                <w:szCs w:val="21"/>
                <w:highlight w:val="none"/>
              </w:rPr>
            </w:pPr>
            <w:r>
              <w:rPr>
                <w:color w:val="auto"/>
                <w:sz w:val="21"/>
                <w:szCs w:val="21"/>
                <w:highlight w:val="none"/>
              </w:rPr>
              <w:t>台唇音箱地插右</w:t>
            </w:r>
          </w:p>
        </w:tc>
        <w:tc>
          <w:tcPr>
            <w:tcW w:w="2443" w:type="dxa"/>
            <w:noWrap w:val="0"/>
            <w:vAlign w:val="center"/>
          </w:tcPr>
          <w:p w14:paraId="0953AF03">
            <w:pPr>
              <w:ind w:firstLine="0" w:firstLineChars="0"/>
              <w:jc w:val="center"/>
              <w:rPr>
                <w:color w:val="auto"/>
                <w:sz w:val="21"/>
                <w:szCs w:val="21"/>
                <w:highlight w:val="none"/>
              </w:rPr>
            </w:pPr>
            <w:r>
              <w:rPr>
                <w:color w:val="auto"/>
                <w:sz w:val="21"/>
                <w:szCs w:val="21"/>
                <w:highlight w:val="none"/>
              </w:rPr>
              <w:t>301报告厅舞台右侧</w:t>
            </w:r>
          </w:p>
        </w:tc>
        <w:tc>
          <w:tcPr>
            <w:tcW w:w="1957" w:type="dxa"/>
            <w:noWrap w:val="0"/>
            <w:vAlign w:val="center"/>
          </w:tcPr>
          <w:p w14:paraId="4DB3F97B">
            <w:pPr>
              <w:ind w:firstLine="420"/>
              <w:jc w:val="center"/>
              <w:rPr>
                <w:color w:val="auto"/>
                <w:sz w:val="21"/>
                <w:szCs w:val="21"/>
                <w:highlight w:val="none"/>
              </w:rPr>
            </w:pPr>
          </w:p>
        </w:tc>
        <w:tc>
          <w:tcPr>
            <w:tcW w:w="1594" w:type="dxa"/>
            <w:noWrap w:val="0"/>
            <w:vAlign w:val="center"/>
          </w:tcPr>
          <w:p w14:paraId="6E8AC555">
            <w:pPr>
              <w:ind w:firstLine="0" w:firstLineChars="0"/>
              <w:jc w:val="center"/>
              <w:rPr>
                <w:color w:val="auto"/>
                <w:sz w:val="21"/>
                <w:szCs w:val="21"/>
                <w:highlight w:val="none"/>
              </w:rPr>
            </w:pPr>
            <w:r>
              <w:rPr>
                <w:color w:val="auto"/>
                <w:sz w:val="21"/>
                <w:szCs w:val="21"/>
                <w:highlight w:val="none"/>
              </w:rPr>
              <w:t>AM-6</w:t>
            </w:r>
          </w:p>
        </w:tc>
        <w:tc>
          <w:tcPr>
            <w:tcW w:w="2149" w:type="dxa"/>
            <w:noWrap w:val="0"/>
            <w:vAlign w:val="center"/>
          </w:tcPr>
          <w:p w14:paraId="6CE3CF39">
            <w:pPr>
              <w:ind w:firstLine="0" w:firstLineChars="0"/>
              <w:jc w:val="center"/>
              <w:rPr>
                <w:color w:val="auto"/>
                <w:highlight w:val="none"/>
              </w:rPr>
            </w:pPr>
            <w:r>
              <w:rPr>
                <w:color w:val="auto"/>
                <w:highlight w:val="none"/>
              </w:rPr>
              <w:t>专业音箱接口</w:t>
            </w:r>
          </w:p>
        </w:tc>
        <w:tc>
          <w:tcPr>
            <w:tcW w:w="2014" w:type="dxa"/>
            <w:noWrap w:val="0"/>
            <w:vAlign w:val="center"/>
          </w:tcPr>
          <w:p w14:paraId="6FC4B4F4">
            <w:pPr>
              <w:ind w:firstLine="0" w:firstLineChars="0"/>
              <w:jc w:val="center"/>
              <w:rPr>
                <w:color w:val="auto"/>
                <w:highlight w:val="none"/>
              </w:rPr>
            </w:pPr>
            <w:r>
              <w:rPr>
                <w:color w:val="auto"/>
                <w:sz w:val="21"/>
                <w:szCs w:val="21"/>
                <w:highlight w:val="none"/>
              </w:rPr>
              <w:t>EVJV2*2.5</w:t>
            </w:r>
          </w:p>
        </w:tc>
        <w:tc>
          <w:tcPr>
            <w:tcW w:w="3259" w:type="dxa"/>
            <w:noWrap w:val="0"/>
            <w:vAlign w:val="center"/>
          </w:tcPr>
          <w:p w14:paraId="7A02FF2C">
            <w:pPr>
              <w:ind w:firstLine="0" w:firstLineChars="0"/>
              <w:jc w:val="center"/>
              <w:rPr>
                <w:color w:val="auto"/>
                <w:highlight w:val="none"/>
              </w:rPr>
            </w:pPr>
            <w:r>
              <w:rPr>
                <w:color w:val="auto"/>
                <w:sz w:val="21"/>
                <w:szCs w:val="21"/>
                <w:highlight w:val="none"/>
              </w:rPr>
              <w:t>弱电柜\301报告厅功放</w:t>
            </w:r>
          </w:p>
        </w:tc>
      </w:tr>
      <w:tr w14:paraId="441F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vMerge w:val="restart"/>
            <w:noWrap w:val="0"/>
            <w:vAlign w:val="center"/>
          </w:tcPr>
          <w:p w14:paraId="6A65235D">
            <w:pPr>
              <w:ind w:firstLine="0" w:firstLineChars="0"/>
              <w:jc w:val="center"/>
              <w:rPr>
                <w:color w:val="auto"/>
                <w:sz w:val="21"/>
                <w:szCs w:val="21"/>
                <w:highlight w:val="none"/>
              </w:rPr>
            </w:pPr>
            <w:r>
              <w:rPr>
                <w:color w:val="auto"/>
                <w:sz w:val="21"/>
                <w:szCs w:val="21"/>
                <w:highlight w:val="none"/>
              </w:rPr>
              <w:t>手拉手桌面话筒地插</w:t>
            </w:r>
          </w:p>
        </w:tc>
        <w:tc>
          <w:tcPr>
            <w:tcW w:w="2443" w:type="dxa"/>
            <w:vMerge w:val="restart"/>
            <w:noWrap w:val="0"/>
            <w:vAlign w:val="center"/>
          </w:tcPr>
          <w:p w14:paraId="53BD1F2D">
            <w:pPr>
              <w:ind w:firstLine="0" w:firstLineChars="0"/>
              <w:jc w:val="center"/>
              <w:rPr>
                <w:color w:val="auto"/>
                <w:sz w:val="21"/>
                <w:szCs w:val="21"/>
                <w:highlight w:val="none"/>
              </w:rPr>
            </w:pPr>
            <w:r>
              <w:rPr>
                <w:color w:val="auto"/>
                <w:sz w:val="21"/>
                <w:szCs w:val="21"/>
                <w:highlight w:val="none"/>
              </w:rPr>
              <w:t>301报告厅舞台中间地面、309报告厅舞台中间地面、310会议桌下</w:t>
            </w:r>
          </w:p>
        </w:tc>
        <w:tc>
          <w:tcPr>
            <w:tcW w:w="1957" w:type="dxa"/>
            <w:vMerge w:val="restart"/>
            <w:noWrap w:val="0"/>
            <w:vAlign w:val="center"/>
          </w:tcPr>
          <w:p w14:paraId="57F7286B">
            <w:pPr>
              <w:ind w:firstLine="420"/>
              <w:jc w:val="center"/>
              <w:rPr>
                <w:color w:val="auto"/>
                <w:sz w:val="21"/>
                <w:szCs w:val="21"/>
                <w:highlight w:val="none"/>
              </w:rPr>
            </w:pPr>
          </w:p>
        </w:tc>
        <w:tc>
          <w:tcPr>
            <w:tcW w:w="1594" w:type="dxa"/>
            <w:noWrap w:val="0"/>
            <w:vAlign w:val="center"/>
          </w:tcPr>
          <w:p w14:paraId="66BE445C">
            <w:pPr>
              <w:ind w:firstLine="0" w:firstLineChars="0"/>
              <w:jc w:val="center"/>
              <w:rPr>
                <w:color w:val="auto"/>
                <w:sz w:val="21"/>
                <w:szCs w:val="21"/>
                <w:highlight w:val="none"/>
              </w:rPr>
            </w:pPr>
            <w:r>
              <w:rPr>
                <w:color w:val="auto"/>
                <w:sz w:val="21"/>
                <w:szCs w:val="21"/>
                <w:highlight w:val="none"/>
              </w:rPr>
              <w:t>AM-3</w:t>
            </w:r>
          </w:p>
        </w:tc>
        <w:tc>
          <w:tcPr>
            <w:tcW w:w="2149" w:type="dxa"/>
            <w:noWrap w:val="0"/>
            <w:vAlign w:val="center"/>
          </w:tcPr>
          <w:p w14:paraId="7CF45C88">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3DC29C2C">
            <w:pPr>
              <w:ind w:firstLine="0" w:firstLineChars="0"/>
              <w:jc w:val="center"/>
              <w:rPr>
                <w:color w:val="auto"/>
                <w:sz w:val="21"/>
                <w:szCs w:val="21"/>
                <w:highlight w:val="none"/>
              </w:rPr>
            </w:pPr>
            <w:r>
              <w:rPr>
                <w:color w:val="auto"/>
                <w:sz w:val="21"/>
                <w:szCs w:val="21"/>
                <w:highlight w:val="none"/>
              </w:rPr>
              <w:t>会议话筒线</w:t>
            </w:r>
          </w:p>
        </w:tc>
        <w:tc>
          <w:tcPr>
            <w:tcW w:w="3259" w:type="dxa"/>
            <w:noWrap w:val="0"/>
            <w:vAlign w:val="center"/>
          </w:tcPr>
          <w:p w14:paraId="2543A270">
            <w:pPr>
              <w:ind w:firstLine="0" w:firstLineChars="0"/>
              <w:jc w:val="center"/>
              <w:rPr>
                <w:color w:val="auto"/>
                <w:sz w:val="21"/>
                <w:szCs w:val="21"/>
                <w:highlight w:val="none"/>
              </w:rPr>
            </w:pPr>
            <w:r>
              <w:rPr>
                <w:color w:val="auto"/>
                <w:sz w:val="21"/>
                <w:szCs w:val="21"/>
                <w:highlight w:val="none"/>
              </w:rPr>
              <w:t>弱电柜\301会议系统控制主机</w:t>
            </w:r>
          </w:p>
        </w:tc>
      </w:tr>
      <w:tr w14:paraId="59C1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59" w:type="dxa"/>
            <w:vMerge w:val="continue"/>
            <w:noWrap w:val="0"/>
            <w:vAlign w:val="center"/>
          </w:tcPr>
          <w:p w14:paraId="2C5DE849">
            <w:pPr>
              <w:ind w:firstLine="420"/>
              <w:jc w:val="center"/>
              <w:rPr>
                <w:color w:val="auto"/>
                <w:sz w:val="21"/>
                <w:szCs w:val="21"/>
                <w:highlight w:val="none"/>
              </w:rPr>
            </w:pPr>
          </w:p>
        </w:tc>
        <w:tc>
          <w:tcPr>
            <w:tcW w:w="2443" w:type="dxa"/>
            <w:vMerge w:val="continue"/>
            <w:noWrap w:val="0"/>
            <w:vAlign w:val="center"/>
          </w:tcPr>
          <w:p w14:paraId="53085B3F">
            <w:pPr>
              <w:ind w:firstLine="420"/>
              <w:jc w:val="center"/>
              <w:rPr>
                <w:color w:val="auto"/>
                <w:sz w:val="21"/>
                <w:szCs w:val="21"/>
                <w:highlight w:val="none"/>
              </w:rPr>
            </w:pPr>
          </w:p>
        </w:tc>
        <w:tc>
          <w:tcPr>
            <w:tcW w:w="1957" w:type="dxa"/>
            <w:vMerge w:val="continue"/>
            <w:noWrap w:val="0"/>
            <w:vAlign w:val="center"/>
          </w:tcPr>
          <w:p w14:paraId="0853CA41">
            <w:pPr>
              <w:ind w:firstLine="420"/>
              <w:jc w:val="center"/>
              <w:rPr>
                <w:color w:val="auto"/>
                <w:sz w:val="21"/>
                <w:szCs w:val="21"/>
                <w:highlight w:val="none"/>
              </w:rPr>
            </w:pPr>
          </w:p>
        </w:tc>
        <w:tc>
          <w:tcPr>
            <w:tcW w:w="1594" w:type="dxa"/>
            <w:noWrap w:val="0"/>
            <w:vAlign w:val="center"/>
          </w:tcPr>
          <w:p w14:paraId="263F5042">
            <w:pPr>
              <w:ind w:firstLine="0" w:firstLineChars="0"/>
              <w:jc w:val="center"/>
              <w:rPr>
                <w:color w:val="auto"/>
                <w:sz w:val="21"/>
                <w:szCs w:val="21"/>
                <w:highlight w:val="none"/>
              </w:rPr>
            </w:pPr>
            <w:r>
              <w:rPr>
                <w:color w:val="auto"/>
                <w:sz w:val="21"/>
                <w:szCs w:val="21"/>
                <w:highlight w:val="none"/>
              </w:rPr>
              <w:t>AM-4</w:t>
            </w:r>
          </w:p>
        </w:tc>
        <w:tc>
          <w:tcPr>
            <w:tcW w:w="2149" w:type="dxa"/>
            <w:noWrap w:val="0"/>
            <w:vAlign w:val="center"/>
          </w:tcPr>
          <w:p w14:paraId="4A73E8BE">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31E749FF">
            <w:pPr>
              <w:ind w:firstLine="0" w:firstLineChars="0"/>
              <w:jc w:val="center"/>
              <w:rPr>
                <w:color w:val="auto"/>
                <w:sz w:val="21"/>
                <w:szCs w:val="21"/>
                <w:highlight w:val="none"/>
              </w:rPr>
            </w:pPr>
            <w:r>
              <w:rPr>
                <w:color w:val="auto"/>
                <w:sz w:val="21"/>
                <w:szCs w:val="21"/>
                <w:highlight w:val="none"/>
              </w:rPr>
              <w:t>会议话筒线</w:t>
            </w:r>
          </w:p>
        </w:tc>
        <w:tc>
          <w:tcPr>
            <w:tcW w:w="3259" w:type="dxa"/>
            <w:noWrap w:val="0"/>
            <w:vAlign w:val="center"/>
          </w:tcPr>
          <w:p w14:paraId="5050F332">
            <w:pPr>
              <w:ind w:firstLine="0" w:firstLineChars="0"/>
              <w:jc w:val="center"/>
              <w:rPr>
                <w:color w:val="auto"/>
                <w:sz w:val="21"/>
                <w:szCs w:val="21"/>
                <w:highlight w:val="none"/>
              </w:rPr>
            </w:pPr>
            <w:r>
              <w:rPr>
                <w:color w:val="auto"/>
                <w:sz w:val="21"/>
                <w:szCs w:val="21"/>
                <w:highlight w:val="none"/>
              </w:rPr>
              <w:t>弱电柜\309会议系统控制主机</w:t>
            </w:r>
          </w:p>
        </w:tc>
      </w:tr>
      <w:tr w14:paraId="2183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59" w:type="dxa"/>
            <w:vMerge w:val="continue"/>
            <w:noWrap w:val="0"/>
            <w:vAlign w:val="center"/>
          </w:tcPr>
          <w:p w14:paraId="578204C6">
            <w:pPr>
              <w:ind w:firstLine="0" w:firstLineChars="0"/>
              <w:jc w:val="center"/>
              <w:rPr>
                <w:color w:val="auto"/>
                <w:sz w:val="21"/>
                <w:szCs w:val="21"/>
                <w:highlight w:val="none"/>
              </w:rPr>
            </w:pPr>
          </w:p>
        </w:tc>
        <w:tc>
          <w:tcPr>
            <w:tcW w:w="2443" w:type="dxa"/>
            <w:vMerge w:val="continue"/>
            <w:noWrap w:val="0"/>
            <w:vAlign w:val="center"/>
          </w:tcPr>
          <w:p w14:paraId="0B77BA6C">
            <w:pPr>
              <w:ind w:firstLine="0" w:firstLineChars="0"/>
              <w:jc w:val="center"/>
              <w:rPr>
                <w:color w:val="auto"/>
                <w:sz w:val="21"/>
                <w:szCs w:val="21"/>
                <w:highlight w:val="none"/>
              </w:rPr>
            </w:pPr>
          </w:p>
        </w:tc>
        <w:tc>
          <w:tcPr>
            <w:tcW w:w="1957" w:type="dxa"/>
            <w:vMerge w:val="continue"/>
            <w:noWrap w:val="0"/>
            <w:vAlign w:val="center"/>
          </w:tcPr>
          <w:p w14:paraId="75098E18">
            <w:pPr>
              <w:ind w:firstLine="0" w:firstLineChars="0"/>
              <w:jc w:val="center"/>
              <w:rPr>
                <w:color w:val="auto"/>
                <w:sz w:val="21"/>
                <w:szCs w:val="21"/>
                <w:highlight w:val="none"/>
              </w:rPr>
            </w:pPr>
          </w:p>
        </w:tc>
        <w:tc>
          <w:tcPr>
            <w:tcW w:w="1594" w:type="dxa"/>
            <w:noWrap w:val="0"/>
            <w:vAlign w:val="center"/>
          </w:tcPr>
          <w:p w14:paraId="4EDE4A1E">
            <w:pPr>
              <w:ind w:firstLine="0" w:firstLineChars="0"/>
              <w:jc w:val="center"/>
              <w:rPr>
                <w:color w:val="auto"/>
                <w:sz w:val="21"/>
                <w:szCs w:val="21"/>
                <w:highlight w:val="none"/>
              </w:rPr>
            </w:pPr>
            <w:r>
              <w:rPr>
                <w:color w:val="auto"/>
                <w:sz w:val="21"/>
                <w:szCs w:val="21"/>
                <w:highlight w:val="none"/>
              </w:rPr>
              <w:t>AM-5</w:t>
            </w:r>
          </w:p>
        </w:tc>
        <w:tc>
          <w:tcPr>
            <w:tcW w:w="2149" w:type="dxa"/>
            <w:noWrap w:val="0"/>
            <w:vAlign w:val="center"/>
          </w:tcPr>
          <w:p w14:paraId="20652F20">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482FF331">
            <w:pPr>
              <w:ind w:firstLine="0" w:firstLineChars="0"/>
              <w:jc w:val="center"/>
              <w:rPr>
                <w:color w:val="auto"/>
                <w:sz w:val="21"/>
                <w:szCs w:val="21"/>
                <w:highlight w:val="none"/>
              </w:rPr>
            </w:pPr>
            <w:r>
              <w:rPr>
                <w:color w:val="auto"/>
                <w:sz w:val="21"/>
                <w:szCs w:val="21"/>
                <w:highlight w:val="none"/>
              </w:rPr>
              <w:t>会议话筒线</w:t>
            </w:r>
          </w:p>
        </w:tc>
        <w:tc>
          <w:tcPr>
            <w:tcW w:w="3259" w:type="dxa"/>
            <w:noWrap w:val="0"/>
            <w:vAlign w:val="center"/>
          </w:tcPr>
          <w:p w14:paraId="5430C755">
            <w:pPr>
              <w:ind w:firstLine="0" w:firstLineChars="0"/>
              <w:jc w:val="center"/>
              <w:rPr>
                <w:color w:val="auto"/>
                <w:sz w:val="21"/>
                <w:szCs w:val="21"/>
                <w:highlight w:val="none"/>
              </w:rPr>
            </w:pPr>
            <w:r>
              <w:rPr>
                <w:color w:val="auto"/>
                <w:sz w:val="21"/>
                <w:szCs w:val="21"/>
                <w:highlight w:val="none"/>
              </w:rPr>
              <w:t>弱电柜\310会议系统控制主机</w:t>
            </w:r>
          </w:p>
        </w:tc>
      </w:tr>
      <w:tr w14:paraId="4E59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59" w:type="dxa"/>
            <w:vMerge w:val="restart"/>
            <w:noWrap w:val="0"/>
            <w:vAlign w:val="center"/>
          </w:tcPr>
          <w:p w14:paraId="02AC6C64">
            <w:pPr>
              <w:ind w:firstLine="0" w:firstLineChars="0"/>
              <w:jc w:val="center"/>
              <w:rPr>
                <w:color w:val="auto"/>
                <w:sz w:val="21"/>
                <w:szCs w:val="21"/>
                <w:highlight w:val="none"/>
              </w:rPr>
            </w:pPr>
            <w:r>
              <w:rPr>
                <w:color w:val="auto"/>
                <w:sz w:val="21"/>
                <w:szCs w:val="21"/>
                <w:highlight w:val="none"/>
              </w:rPr>
              <w:t>汇报席地插</w:t>
            </w:r>
          </w:p>
        </w:tc>
        <w:tc>
          <w:tcPr>
            <w:tcW w:w="2443" w:type="dxa"/>
            <w:vMerge w:val="restart"/>
            <w:noWrap w:val="0"/>
            <w:vAlign w:val="center"/>
          </w:tcPr>
          <w:p w14:paraId="115D67F9">
            <w:pPr>
              <w:ind w:firstLine="0" w:firstLineChars="0"/>
              <w:jc w:val="center"/>
              <w:rPr>
                <w:color w:val="auto"/>
                <w:sz w:val="21"/>
                <w:szCs w:val="21"/>
                <w:highlight w:val="none"/>
              </w:rPr>
            </w:pPr>
            <w:r>
              <w:rPr>
                <w:color w:val="auto"/>
                <w:sz w:val="21"/>
                <w:szCs w:val="21"/>
                <w:highlight w:val="none"/>
              </w:rPr>
              <w:t>301报告厅舞台左侧、309报告厅舞台左侧</w:t>
            </w:r>
          </w:p>
        </w:tc>
        <w:tc>
          <w:tcPr>
            <w:tcW w:w="1957" w:type="dxa"/>
            <w:vMerge w:val="restart"/>
            <w:noWrap w:val="0"/>
            <w:vAlign w:val="center"/>
          </w:tcPr>
          <w:p w14:paraId="67A4169F">
            <w:pPr>
              <w:ind w:firstLine="0" w:firstLineChars="0"/>
              <w:jc w:val="center"/>
              <w:rPr>
                <w:color w:val="auto"/>
                <w:sz w:val="21"/>
                <w:szCs w:val="21"/>
                <w:highlight w:val="none"/>
              </w:rPr>
            </w:pPr>
            <w:r>
              <w:rPr>
                <w:color w:val="auto"/>
                <w:sz w:val="21"/>
                <w:szCs w:val="21"/>
                <w:highlight w:val="none"/>
              </w:rPr>
              <w:t>AC-19</w:t>
            </w:r>
          </w:p>
        </w:tc>
        <w:tc>
          <w:tcPr>
            <w:tcW w:w="1594" w:type="dxa"/>
            <w:noWrap w:val="0"/>
            <w:vAlign w:val="center"/>
          </w:tcPr>
          <w:p w14:paraId="13174123">
            <w:pPr>
              <w:ind w:firstLine="0" w:firstLineChars="0"/>
              <w:jc w:val="center"/>
              <w:rPr>
                <w:color w:val="auto"/>
                <w:sz w:val="21"/>
                <w:szCs w:val="21"/>
                <w:highlight w:val="none"/>
              </w:rPr>
            </w:pPr>
            <w:r>
              <w:rPr>
                <w:color w:val="auto"/>
                <w:sz w:val="21"/>
                <w:szCs w:val="21"/>
                <w:highlight w:val="none"/>
              </w:rPr>
              <w:t>AM-6</w:t>
            </w:r>
          </w:p>
        </w:tc>
        <w:tc>
          <w:tcPr>
            <w:tcW w:w="2149" w:type="dxa"/>
            <w:noWrap w:val="0"/>
            <w:vAlign w:val="center"/>
          </w:tcPr>
          <w:p w14:paraId="409D5AB4">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3EEEF3D4">
            <w:pPr>
              <w:ind w:firstLine="0" w:firstLineChars="0"/>
              <w:jc w:val="center"/>
              <w:rPr>
                <w:color w:val="auto"/>
                <w:sz w:val="21"/>
                <w:szCs w:val="21"/>
                <w:highlight w:val="none"/>
              </w:rPr>
            </w:pPr>
            <w:r>
              <w:rPr>
                <w:color w:val="auto"/>
                <w:sz w:val="21"/>
                <w:szCs w:val="21"/>
                <w:highlight w:val="none"/>
              </w:rPr>
              <w:t>卡农线</w:t>
            </w:r>
          </w:p>
        </w:tc>
        <w:tc>
          <w:tcPr>
            <w:tcW w:w="3259" w:type="dxa"/>
            <w:noWrap w:val="0"/>
            <w:vAlign w:val="center"/>
          </w:tcPr>
          <w:p w14:paraId="19093405">
            <w:pPr>
              <w:ind w:firstLine="0" w:firstLineChars="0"/>
              <w:jc w:val="center"/>
              <w:rPr>
                <w:color w:val="auto"/>
                <w:sz w:val="21"/>
                <w:szCs w:val="21"/>
                <w:highlight w:val="none"/>
              </w:rPr>
            </w:pPr>
            <w:r>
              <w:rPr>
                <w:color w:val="auto"/>
                <w:sz w:val="21"/>
                <w:szCs w:val="21"/>
                <w:highlight w:val="none"/>
              </w:rPr>
              <w:t>弱电柜\301数字调音台</w:t>
            </w:r>
          </w:p>
        </w:tc>
      </w:tr>
      <w:tr w14:paraId="0E09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59" w:type="dxa"/>
            <w:vMerge w:val="continue"/>
            <w:noWrap w:val="0"/>
            <w:vAlign w:val="center"/>
          </w:tcPr>
          <w:p w14:paraId="524D0412">
            <w:pPr>
              <w:ind w:firstLine="480"/>
              <w:jc w:val="center"/>
              <w:rPr>
                <w:color w:val="auto"/>
                <w:highlight w:val="none"/>
              </w:rPr>
            </w:pPr>
          </w:p>
        </w:tc>
        <w:tc>
          <w:tcPr>
            <w:tcW w:w="2443" w:type="dxa"/>
            <w:vMerge w:val="continue"/>
            <w:noWrap w:val="0"/>
            <w:vAlign w:val="center"/>
          </w:tcPr>
          <w:p w14:paraId="552F3928">
            <w:pPr>
              <w:ind w:firstLine="480"/>
              <w:jc w:val="center"/>
              <w:rPr>
                <w:color w:val="auto"/>
                <w:highlight w:val="none"/>
              </w:rPr>
            </w:pPr>
          </w:p>
        </w:tc>
        <w:tc>
          <w:tcPr>
            <w:tcW w:w="1957" w:type="dxa"/>
            <w:vMerge w:val="continue"/>
            <w:noWrap w:val="0"/>
            <w:vAlign w:val="center"/>
          </w:tcPr>
          <w:p w14:paraId="5DA8B359">
            <w:pPr>
              <w:ind w:firstLine="420"/>
              <w:jc w:val="center"/>
              <w:rPr>
                <w:color w:val="auto"/>
                <w:sz w:val="21"/>
                <w:szCs w:val="21"/>
                <w:highlight w:val="none"/>
              </w:rPr>
            </w:pPr>
          </w:p>
        </w:tc>
        <w:tc>
          <w:tcPr>
            <w:tcW w:w="1594" w:type="dxa"/>
            <w:noWrap w:val="0"/>
            <w:vAlign w:val="center"/>
          </w:tcPr>
          <w:p w14:paraId="496ECEF9">
            <w:pPr>
              <w:ind w:firstLine="0" w:firstLineChars="0"/>
              <w:jc w:val="center"/>
              <w:rPr>
                <w:color w:val="auto"/>
                <w:sz w:val="21"/>
                <w:szCs w:val="21"/>
                <w:highlight w:val="none"/>
              </w:rPr>
            </w:pPr>
            <w:r>
              <w:rPr>
                <w:color w:val="auto"/>
                <w:sz w:val="21"/>
                <w:szCs w:val="21"/>
                <w:highlight w:val="none"/>
              </w:rPr>
              <w:t>AM-6</w:t>
            </w:r>
          </w:p>
        </w:tc>
        <w:tc>
          <w:tcPr>
            <w:tcW w:w="2149" w:type="dxa"/>
            <w:noWrap w:val="0"/>
            <w:vAlign w:val="center"/>
          </w:tcPr>
          <w:p w14:paraId="67B981C3">
            <w:pPr>
              <w:ind w:firstLine="0" w:firstLineChars="0"/>
              <w:jc w:val="center"/>
              <w:rPr>
                <w:color w:val="auto"/>
                <w:sz w:val="21"/>
                <w:szCs w:val="21"/>
                <w:highlight w:val="none"/>
              </w:rPr>
            </w:pPr>
            <w:r>
              <w:rPr>
                <w:color w:val="auto"/>
                <w:sz w:val="21"/>
                <w:szCs w:val="21"/>
                <w:highlight w:val="none"/>
              </w:rPr>
              <w:t>直接</w:t>
            </w:r>
          </w:p>
        </w:tc>
        <w:tc>
          <w:tcPr>
            <w:tcW w:w="2014" w:type="dxa"/>
            <w:noWrap w:val="0"/>
            <w:vAlign w:val="center"/>
          </w:tcPr>
          <w:p w14:paraId="16A71CC3">
            <w:pPr>
              <w:ind w:firstLine="0" w:firstLineChars="0"/>
              <w:jc w:val="center"/>
              <w:rPr>
                <w:color w:val="auto"/>
                <w:sz w:val="21"/>
                <w:szCs w:val="21"/>
                <w:highlight w:val="none"/>
              </w:rPr>
            </w:pPr>
            <w:r>
              <w:rPr>
                <w:color w:val="auto"/>
                <w:sz w:val="21"/>
                <w:szCs w:val="21"/>
                <w:highlight w:val="none"/>
              </w:rPr>
              <w:t>卡农线</w:t>
            </w:r>
          </w:p>
        </w:tc>
        <w:tc>
          <w:tcPr>
            <w:tcW w:w="3259" w:type="dxa"/>
            <w:noWrap w:val="0"/>
            <w:vAlign w:val="center"/>
          </w:tcPr>
          <w:p w14:paraId="6CC37477">
            <w:pPr>
              <w:ind w:firstLine="0" w:firstLineChars="0"/>
              <w:jc w:val="center"/>
              <w:rPr>
                <w:color w:val="auto"/>
                <w:sz w:val="21"/>
                <w:szCs w:val="21"/>
                <w:highlight w:val="none"/>
              </w:rPr>
            </w:pPr>
            <w:r>
              <w:rPr>
                <w:color w:val="auto"/>
                <w:sz w:val="21"/>
                <w:szCs w:val="21"/>
                <w:highlight w:val="none"/>
              </w:rPr>
              <w:t>弱电柜\309数字调音台</w:t>
            </w:r>
          </w:p>
        </w:tc>
      </w:tr>
      <w:tr w14:paraId="370F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59" w:type="dxa"/>
            <w:vMerge w:val="continue"/>
            <w:noWrap w:val="0"/>
            <w:vAlign w:val="center"/>
          </w:tcPr>
          <w:p w14:paraId="0E323486">
            <w:pPr>
              <w:ind w:firstLine="480"/>
              <w:jc w:val="center"/>
              <w:rPr>
                <w:color w:val="auto"/>
                <w:highlight w:val="none"/>
              </w:rPr>
            </w:pPr>
          </w:p>
        </w:tc>
        <w:tc>
          <w:tcPr>
            <w:tcW w:w="2443" w:type="dxa"/>
            <w:vMerge w:val="continue"/>
            <w:noWrap w:val="0"/>
            <w:vAlign w:val="center"/>
          </w:tcPr>
          <w:p w14:paraId="647E544A">
            <w:pPr>
              <w:ind w:firstLine="480"/>
              <w:jc w:val="center"/>
              <w:rPr>
                <w:color w:val="auto"/>
                <w:highlight w:val="none"/>
              </w:rPr>
            </w:pPr>
          </w:p>
        </w:tc>
        <w:tc>
          <w:tcPr>
            <w:tcW w:w="1957" w:type="dxa"/>
            <w:vMerge w:val="continue"/>
            <w:noWrap w:val="0"/>
            <w:vAlign w:val="center"/>
          </w:tcPr>
          <w:p w14:paraId="0488BF2B">
            <w:pPr>
              <w:ind w:firstLine="420"/>
              <w:jc w:val="center"/>
              <w:rPr>
                <w:color w:val="auto"/>
                <w:sz w:val="21"/>
                <w:szCs w:val="21"/>
                <w:highlight w:val="none"/>
              </w:rPr>
            </w:pPr>
          </w:p>
        </w:tc>
        <w:tc>
          <w:tcPr>
            <w:tcW w:w="1594" w:type="dxa"/>
            <w:noWrap w:val="0"/>
            <w:vAlign w:val="center"/>
          </w:tcPr>
          <w:p w14:paraId="32E2C1F5">
            <w:pPr>
              <w:ind w:firstLine="0" w:firstLineChars="0"/>
              <w:jc w:val="center"/>
              <w:rPr>
                <w:color w:val="auto"/>
                <w:sz w:val="21"/>
                <w:szCs w:val="21"/>
                <w:highlight w:val="none"/>
              </w:rPr>
            </w:pPr>
            <w:r>
              <w:rPr>
                <w:color w:val="auto"/>
                <w:sz w:val="21"/>
                <w:szCs w:val="21"/>
                <w:highlight w:val="none"/>
              </w:rPr>
              <w:t>HD-8</w:t>
            </w:r>
          </w:p>
        </w:tc>
        <w:tc>
          <w:tcPr>
            <w:tcW w:w="2149" w:type="dxa"/>
            <w:noWrap w:val="0"/>
            <w:vAlign w:val="center"/>
          </w:tcPr>
          <w:p w14:paraId="31E71D4E">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49CA1EA8">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324AAFA4">
            <w:pPr>
              <w:ind w:firstLine="0" w:firstLineChars="0"/>
              <w:jc w:val="center"/>
              <w:rPr>
                <w:color w:val="auto"/>
                <w:sz w:val="21"/>
                <w:szCs w:val="21"/>
                <w:highlight w:val="none"/>
              </w:rPr>
            </w:pPr>
            <w:r>
              <w:rPr>
                <w:color w:val="auto"/>
                <w:sz w:val="21"/>
                <w:szCs w:val="21"/>
                <w:highlight w:val="none"/>
              </w:rPr>
              <w:t>弱电柜\LED视频拼接处理器</w:t>
            </w:r>
          </w:p>
        </w:tc>
      </w:tr>
      <w:tr w14:paraId="7541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259" w:type="dxa"/>
            <w:vMerge w:val="continue"/>
            <w:noWrap w:val="0"/>
            <w:vAlign w:val="center"/>
          </w:tcPr>
          <w:p w14:paraId="4BA27010">
            <w:pPr>
              <w:ind w:firstLine="480"/>
              <w:jc w:val="center"/>
              <w:rPr>
                <w:color w:val="auto"/>
                <w:highlight w:val="none"/>
              </w:rPr>
            </w:pPr>
          </w:p>
        </w:tc>
        <w:tc>
          <w:tcPr>
            <w:tcW w:w="2443" w:type="dxa"/>
            <w:vMerge w:val="continue"/>
            <w:noWrap w:val="0"/>
            <w:vAlign w:val="center"/>
          </w:tcPr>
          <w:p w14:paraId="386EE7DD">
            <w:pPr>
              <w:ind w:firstLine="480"/>
              <w:jc w:val="center"/>
              <w:rPr>
                <w:color w:val="auto"/>
                <w:highlight w:val="none"/>
              </w:rPr>
            </w:pPr>
          </w:p>
        </w:tc>
        <w:tc>
          <w:tcPr>
            <w:tcW w:w="1957" w:type="dxa"/>
            <w:vMerge w:val="continue"/>
            <w:noWrap w:val="0"/>
            <w:vAlign w:val="center"/>
          </w:tcPr>
          <w:p w14:paraId="4914B14F">
            <w:pPr>
              <w:ind w:firstLine="420"/>
              <w:jc w:val="center"/>
              <w:rPr>
                <w:color w:val="auto"/>
                <w:sz w:val="21"/>
                <w:szCs w:val="21"/>
                <w:highlight w:val="none"/>
              </w:rPr>
            </w:pPr>
          </w:p>
        </w:tc>
        <w:tc>
          <w:tcPr>
            <w:tcW w:w="1594" w:type="dxa"/>
            <w:noWrap w:val="0"/>
            <w:vAlign w:val="center"/>
          </w:tcPr>
          <w:p w14:paraId="38760363">
            <w:pPr>
              <w:ind w:firstLine="0" w:firstLineChars="0"/>
              <w:jc w:val="center"/>
              <w:rPr>
                <w:color w:val="auto"/>
                <w:sz w:val="21"/>
                <w:szCs w:val="21"/>
                <w:highlight w:val="none"/>
              </w:rPr>
            </w:pPr>
            <w:r>
              <w:rPr>
                <w:color w:val="auto"/>
                <w:sz w:val="21"/>
                <w:szCs w:val="21"/>
                <w:highlight w:val="none"/>
              </w:rPr>
              <w:t>HD-9</w:t>
            </w:r>
          </w:p>
        </w:tc>
        <w:tc>
          <w:tcPr>
            <w:tcW w:w="2149" w:type="dxa"/>
            <w:noWrap w:val="0"/>
            <w:vAlign w:val="center"/>
          </w:tcPr>
          <w:p w14:paraId="4CD790A5">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76A707E3">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5EBC38A2">
            <w:pPr>
              <w:ind w:firstLine="0" w:firstLineChars="0"/>
              <w:jc w:val="center"/>
              <w:rPr>
                <w:color w:val="auto"/>
                <w:sz w:val="21"/>
                <w:szCs w:val="21"/>
                <w:highlight w:val="none"/>
              </w:rPr>
            </w:pPr>
            <w:r>
              <w:rPr>
                <w:color w:val="auto"/>
                <w:sz w:val="21"/>
                <w:szCs w:val="21"/>
                <w:highlight w:val="none"/>
              </w:rPr>
              <w:t>弱电柜\LED视频拼接处理器</w:t>
            </w:r>
          </w:p>
        </w:tc>
      </w:tr>
      <w:tr w14:paraId="53F4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vMerge w:val="restart"/>
            <w:noWrap w:val="0"/>
            <w:vAlign w:val="center"/>
          </w:tcPr>
          <w:p w14:paraId="2C62CC16">
            <w:pPr>
              <w:ind w:firstLine="0" w:firstLineChars="0"/>
              <w:jc w:val="center"/>
              <w:rPr>
                <w:color w:val="auto"/>
                <w:highlight w:val="none"/>
              </w:rPr>
            </w:pPr>
            <w:r>
              <w:rPr>
                <w:color w:val="auto"/>
                <w:sz w:val="21"/>
                <w:szCs w:val="21"/>
                <w:highlight w:val="none"/>
              </w:rPr>
              <w:t>信息发布终端（会议发布）</w:t>
            </w:r>
          </w:p>
        </w:tc>
        <w:tc>
          <w:tcPr>
            <w:tcW w:w="2443" w:type="dxa"/>
            <w:vMerge w:val="restart"/>
            <w:noWrap w:val="0"/>
            <w:vAlign w:val="center"/>
          </w:tcPr>
          <w:p w14:paraId="070FC865">
            <w:pPr>
              <w:ind w:firstLine="0" w:firstLineChars="0"/>
              <w:jc w:val="center"/>
              <w:rPr>
                <w:color w:val="auto"/>
                <w:highlight w:val="none"/>
              </w:rPr>
            </w:pPr>
            <w:r>
              <w:rPr>
                <w:color w:val="auto"/>
                <w:sz w:val="21"/>
                <w:szCs w:val="21"/>
                <w:highlight w:val="none"/>
              </w:rPr>
              <w:t>301报告厅、309报告厅、310会议室、313以及314会议室门口处</w:t>
            </w:r>
          </w:p>
        </w:tc>
        <w:tc>
          <w:tcPr>
            <w:tcW w:w="1957" w:type="dxa"/>
            <w:vMerge w:val="restart"/>
            <w:noWrap w:val="0"/>
            <w:vAlign w:val="center"/>
          </w:tcPr>
          <w:p w14:paraId="36B2AF5D">
            <w:pPr>
              <w:ind w:firstLine="0" w:firstLineChars="0"/>
              <w:jc w:val="center"/>
              <w:rPr>
                <w:color w:val="auto"/>
                <w:highlight w:val="none"/>
              </w:rPr>
            </w:pPr>
            <w:r>
              <w:rPr>
                <w:color w:val="auto"/>
                <w:sz w:val="21"/>
                <w:szCs w:val="21"/>
                <w:highlight w:val="none"/>
              </w:rPr>
              <w:t>AC-20-25</w:t>
            </w:r>
          </w:p>
        </w:tc>
        <w:tc>
          <w:tcPr>
            <w:tcW w:w="1594" w:type="dxa"/>
            <w:noWrap w:val="0"/>
            <w:vAlign w:val="center"/>
          </w:tcPr>
          <w:p w14:paraId="11F0DB7A">
            <w:pPr>
              <w:ind w:firstLine="0" w:firstLineChars="0"/>
              <w:jc w:val="center"/>
              <w:rPr>
                <w:color w:val="auto"/>
                <w:highlight w:val="none"/>
              </w:rPr>
            </w:pPr>
            <w:r>
              <w:rPr>
                <w:color w:val="auto"/>
                <w:sz w:val="21"/>
                <w:szCs w:val="21"/>
                <w:highlight w:val="none"/>
              </w:rPr>
              <w:t>TJ-116</w:t>
            </w:r>
          </w:p>
        </w:tc>
        <w:tc>
          <w:tcPr>
            <w:tcW w:w="2149" w:type="dxa"/>
            <w:noWrap w:val="0"/>
            <w:vAlign w:val="center"/>
          </w:tcPr>
          <w:p w14:paraId="4B82912C">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5C7DF4A2">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126D96E7">
            <w:pPr>
              <w:ind w:firstLine="0" w:firstLineChars="0"/>
              <w:jc w:val="center"/>
              <w:rPr>
                <w:color w:val="auto"/>
                <w:highlight w:val="none"/>
              </w:rPr>
            </w:pPr>
            <w:r>
              <w:rPr>
                <w:color w:val="auto"/>
                <w:sz w:val="21"/>
                <w:szCs w:val="21"/>
                <w:highlight w:val="none"/>
              </w:rPr>
              <w:t>弱电柜\301报告厅网络交换机</w:t>
            </w:r>
          </w:p>
        </w:tc>
      </w:tr>
      <w:tr w14:paraId="1806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259" w:type="dxa"/>
            <w:vMerge w:val="continue"/>
            <w:noWrap w:val="0"/>
            <w:vAlign w:val="center"/>
          </w:tcPr>
          <w:p w14:paraId="588FE572">
            <w:pPr>
              <w:ind w:firstLine="480"/>
              <w:jc w:val="center"/>
              <w:rPr>
                <w:color w:val="auto"/>
                <w:highlight w:val="none"/>
              </w:rPr>
            </w:pPr>
          </w:p>
        </w:tc>
        <w:tc>
          <w:tcPr>
            <w:tcW w:w="2443" w:type="dxa"/>
            <w:vMerge w:val="continue"/>
            <w:noWrap w:val="0"/>
            <w:vAlign w:val="center"/>
          </w:tcPr>
          <w:p w14:paraId="16A64F59">
            <w:pPr>
              <w:ind w:firstLine="480"/>
              <w:jc w:val="center"/>
              <w:rPr>
                <w:color w:val="auto"/>
                <w:highlight w:val="none"/>
              </w:rPr>
            </w:pPr>
          </w:p>
        </w:tc>
        <w:tc>
          <w:tcPr>
            <w:tcW w:w="1957" w:type="dxa"/>
            <w:vMerge w:val="continue"/>
            <w:noWrap w:val="0"/>
            <w:vAlign w:val="center"/>
          </w:tcPr>
          <w:p w14:paraId="46A7D7F4">
            <w:pPr>
              <w:ind w:firstLine="480"/>
              <w:jc w:val="center"/>
              <w:rPr>
                <w:color w:val="auto"/>
                <w:highlight w:val="none"/>
              </w:rPr>
            </w:pPr>
          </w:p>
        </w:tc>
        <w:tc>
          <w:tcPr>
            <w:tcW w:w="1594" w:type="dxa"/>
            <w:noWrap w:val="0"/>
            <w:vAlign w:val="center"/>
          </w:tcPr>
          <w:p w14:paraId="78B0ADFF">
            <w:pPr>
              <w:ind w:firstLine="0" w:firstLineChars="0"/>
              <w:jc w:val="center"/>
              <w:rPr>
                <w:color w:val="auto"/>
                <w:highlight w:val="none"/>
              </w:rPr>
            </w:pPr>
            <w:r>
              <w:rPr>
                <w:color w:val="auto"/>
                <w:sz w:val="21"/>
                <w:szCs w:val="21"/>
                <w:highlight w:val="none"/>
              </w:rPr>
              <w:t>TJ-117</w:t>
            </w:r>
          </w:p>
        </w:tc>
        <w:tc>
          <w:tcPr>
            <w:tcW w:w="2149" w:type="dxa"/>
            <w:noWrap w:val="0"/>
            <w:vAlign w:val="center"/>
          </w:tcPr>
          <w:p w14:paraId="0F872FE5">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03EEF960">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7393389D">
            <w:pPr>
              <w:ind w:firstLine="0" w:firstLineChars="0"/>
              <w:jc w:val="center"/>
              <w:rPr>
                <w:color w:val="auto"/>
                <w:highlight w:val="none"/>
              </w:rPr>
            </w:pPr>
            <w:r>
              <w:rPr>
                <w:color w:val="auto"/>
                <w:sz w:val="21"/>
                <w:szCs w:val="21"/>
                <w:highlight w:val="none"/>
              </w:rPr>
              <w:t>弱电柜\301报告厅网络交换机</w:t>
            </w:r>
          </w:p>
        </w:tc>
      </w:tr>
      <w:tr w14:paraId="14E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259" w:type="dxa"/>
            <w:vMerge w:val="continue"/>
            <w:noWrap w:val="0"/>
            <w:vAlign w:val="center"/>
          </w:tcPr>
          <w:p w14:paraId="28E790AC">
            <w:pPr>
              <w:ind w:firstLine="480"/>
              <w:jc w:val="center"/>
              <w:rPr>
                <w:color w:val="auto"/>
                <w:highlight w:val="none"/>
              </w:rPr>
            </w:pPr>
          </w:p>
        </w:tc>
        <w:tc>
          <w:tcPr>
            <w:tcW w:w="2443" w:type="dxa"/>
            <w:vMerge w:val="continue"/>
            <w:noWrap w:val="0"/>
            <w:vAlign w:val="center"/>
          </w:tcPr>
          <w:p w14:paraId="6EAA58C3">
            <w:pPr>
              <w:ind w:firstLine="480"/>
              <w:jc w:val="center"/>
              <w:rPr>
                <w:color w:val="auto"/>
                <w:highlight w:val="none"/>
              </w:rPr>
            </w:pPr>
          </w:p>
        </w:tc>
        <w:tc>
          <w:tcPr>
            <w:tcW w:w="1957" w:type="dxa"/>
            <w:vMerge w:val="continue"/>
            <w:noWrap w:val="0"/>
            <w:vAlign w:val="center"/>
          </w:tcPr>
          <w:p w14:paraId="24DC7E11">
            <w:pPr>
              <w:ind w:firstLine="480"/>
              <w:jc w:val="center"/>
              <w:rPr>
                <w:color w:val="auto"/>
                <w:highlight w:val="none"/>
              </w:rPr>
            </w:pPr>
          </w:p>
        </w:tc>
        <w:tc>
          <w:tcPr>
            <w:tcW w:w="1594" w:type="dxa"/>
            <w:noWrap w:val="0"/>
            <w:vAlign w:val="center"/>
          </w:tcPr>
          <w:p w14:paraId="15849185">
            <w:pPr>
              <w:ind w:firstLine="0" w:firstLineChars="0"/>
              <w:jc w:val="center"/>
              <w:rPr>
                <w:color w:val="auto"/>
                <w:highlight w:val="none"/>
              </w:rPr>
            </w:pPr>
            <w:r>
              <w:rPr>
                <w:color w:val="auto"/>
                <w:sz w:val="21"/>
                <w:szCs w:val="21"/>
                <w:highlight w:val="none"/>
              </w:rPr>
              <w:t>TJ-118</w:t>
            </w:r>
          </w:p>
        </w:tc>
        <w:tc>
          <w:tcPr>
            <w:tcW w:w="2149" w:type="dxa"/>
            <w:noWrap w:val="0"/>
            <w:vAlign w:val="center"/>
          </w:tcPr>
          <w:p w14:paraId="3268BA55">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1EEDF67B">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03D12FD0">
            <w:pPr>
              <w:ind w:firstLine="0" w:firstLineChars="0"/>
              <w:jc w:val="center"/>
              <w:rPr>
                <w:color w:val="auto"/>
                <w:highlight w:val="none"/>
              </w:rPr>
            </w:pPr>
            <w:r>
              <w:rPr>
                <w:color w:val="auto"/>
                <w:sz w:val="21"/>
                <w:szCs w:val="21"/>
                <w:highlight w:val="none"/>
              </w:rPr>
              <w:t>弱电柜\309报告厅网络交换机</w:t>
            </w:r>
          </w:p>
        </w:tc>
      </w:tr>
      <w:tr w14:paraId="7491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259" w:type="dxa"/>
            <w:vMerge w:val="continue"/>
            <w:noWrap w:val="0"/>
            <w:vAlign w:val="center"/>
          </w:tcPr>
          <w:p w14:paraId="3D6B884F">
            <w:pPr>
              <w:ind w:firstLine="480"/>
              <w:jc w:val="center"/>
              <w:rPr>
                <w:color w:val="auto"/>
                <w:highlight w:val="none"/>
              </w:rPr>
            </w:pPr>
          </w:p>
        </w:tc>
        <w:tc>
          <w:tcPr>
            <w:tcW w:w="2443" w:type="dxa"/>
            <w:vMerge w:val="continue"/>
            <w:noWrap w:val="0"/>
            <w:vAlign w:val="center"/>
          </w:tcPr>
          <w:p w14:paraId="42FD8C81">
            <w:pPr>
              <w:ind w:firstLine="480"/>
              <w:jc w:val="center"/>
              <w:rPr>
                <w:color w:val="auto"/>
                <w:highlight w:val="none"/>
              </w:rPr>
            </w:pPr>
          </w:p>
        </w:tc>
        <w:tc>
          <w:tcPr>
            <w:tcW w:w="1957" w:type="dxa"/>
            <w:vMerge w:val="continue"/>
            <w:noWrap w:val="0"/>
            <w:vAlign w:val="center"/>
          </w:tcPr>
          <w:p w14:paraId="76807ABB">
            <w:pPr>
              <w:ind w:firstLine="480"/>
              <w:jc w:val="center"/>
              <w:rPr>
                <w:color w:val="auto"/>
                <w:highlight w:val="none"/>
              </w:rPr>
            </w:pPr>
          </w:p>
        </w:tc>
        <w:tc>
          <w:tcPr>
            <w:tcW w:w="1594" w:type="dxa"/>
            <w:noWrap w:val="0"/>
            <w:vAlign w:val="center"/>
          </w:tcPr>
          <w:p w14:paraId="71AD25D0">
            <w:pPr>
              <w:ind w:firstLine="0" w:firstLineChars="0"/>
              <w:jc w:val="center"/>
              <w:rPr>
                <w:color w:val="auto"/>
                <w:highlight w:val="none"/>
              </w:rPr>
            </w:pPr>
            <w:r>
              <w:rPr>
                <w:color w:val="auto"/>
                <w:sz w:val="21"/>
                <w:szCs w:val="21"/>
                <w:highlight w:val="none"/>
              </w:rPr>
              <w:t>TJ-119</w:t>
            </w:r>
          </w:p>
        </w:tc>
        <w:tc>
          <w:tcPr>
            <w:tcW w:w="2149" w:type="dxa"/>
            <w:noWrap w:val="0"/>
            <w:vAlign w:val="center"/>
          </w:tcPr>
          <w:p w14:paraId="2317B813">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14811AC5">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1003097A">
            <w:pPr>
              <w:ind w:firstLine="0" w:firstLineChars="0"/>
              <w:jc w:val="center"/>
              <w:rPr>
                <w:color w:val="auto"/>
                <w:highlight w:val="none"/>
              </w:rPr>
            </w:pPr>
            <w:r>
              <w:rPr>
                <w:color w:val="auto"/>
                <w:sz w:val="21"/>
                <w:szCs w:val="21"/>
                <w:highlight w:val="none"/>
              </w:rPr>
              <w:t>弱电柜\310报告厅网络交换机</w:t>
            </w:r>
          </w:p>
        </w:tc>
      </w:tr>
      <w:tr w14:paraId="784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259" w:type="dxa"/>
            <w:vMerge w:val="continue"/>
            <w:noWrap w:val="0"/>
            <w:vAlign w:val="center"/>
          </w:tcPr>
          <w:p w14:paraId="2F6C6893">
            <w:pPr>
              <w:ind w:firstLine="480"/>
              <w:jc w:val="center"/>
              <w:rPr>
                <w:color w:val="auto"/>
                <w:highlight w:val="none"/>
              </w:rPr>
            </w:pPr>
          </w:p>
        </w:tc>
        <w:tc>
          <w:tcPr>
            <w:tcW w:w="2443" w:type="dxa"/>
            <w:vMerge w:val="continue"/>
            <w:noWrap w:val="0"/>
            <w:vAlign w:val="center"/>
          </w:tcPr>
          <w:p w14:paraId="04C33B0F">
            <w:pPr>
              <w:ind w:firstLine="480"/>
              <w:jc w:val="center"/>
              <w:rPr>
                <w:color w:val="auto"/>
                <w:highlight w:val="none"/>
              </w:rPr>
            </w:pPr>
          </w:p>
        </w:tc>
        <w:tc>
          <w:tcPr>
            <w:tcW w:w="1957" w:type="dxa"/>
            <w:vMerge w:val="continue"/>
            <w:noWrap w:val="0"/>
            <w:vAlign w:val="center"/>
          </w:tcPr>
          <w:p w14:paraId="6047A89A">
            <w:pPr>
              <w:ind w:firstLine="480"/>
              <w:jc w:val="center"/>
              <w:rPr>
                <w:color w:val="auto"/>
                <w:highlight w:val="none"/>
              </w:rPr>
            </w:pPr>
          </w:p>
        </w:tc>
        <w:tc>
          <w:tcPr>
            <w:tcW w:w="1594" w:type="dxa"/>
            <w:noWrap w:val="0"/>
            <w:vAlign w:val="center"/>
          </w:tcPr>
          <w:p w14:paraId="7DCBC3F9">
            <w:pPr>
              <w:ind w:firstLine="0" w:firstLineChars="0"/>
              <w:jc w:val="center"/>
              <w:rPr>
                <w:color w:val="auto"/>
                <w:highlight w:val="none"/>
              </w:rPr>
            </w:pPr>
            <w:r>
              <w:rPr>
                <w:color w:val="auto"/>
                <w:sz w:val="21"/>
                <w:szCs w:val="21"/>
                <w:highlight w:val="none"/>
              </w:rPr>
              <w:t>TJ-120</w:t>
            </w:r>
          </w:p>
        </w:tc>
        <w:tc>
          <w:tcPr>
            <w:tcW w:w="2149" w:type="dxa"/>
            <w:noWrap w:val="0"/>
            <w:vAlign w:val="center"/>
          </w:tcPr>
          <w:p w14:paraId="3F3A8A77">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708B38B5">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42559A03">
            <w:pPr>
              <w:ind w:firstLine="0" w:firstLineChars="0"/>
              <w:jc w:val="center"/>
              <w:rPr>
                <w:color w:val="auto"/>
                <w:highlight w:val="none"/>
              </w:rPr>
            </w:pPr>
            <w:r>
              <w:rPr>
                <w:color w:val="auto"/>
                <w:sz w:val="21"/>
                <w:szCs w:val="21"/>
                <w:highlight w:val="none"/>
              </w:rPr>
              <w:t>弱电柜\313报告厅网络交换机</w:t>
            </w:r>
          </w:p>
        </w:tc>
      </w:tr>
      <w:tr w14:paraId="3AF0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259" w:type="dxa"/>
            <w:vMerge w:val="continue"/>
            <w:noWrap w:val="0"/>
            <w:vAlign w:val="center"/>
          </w:tcPr>
          <w:p w14:paraId="27EA32E2">
            <w:pPr>
              <w:ind w:firstLine="480"/>
              <w:jc w:val="center"/>
              <w:rPr>
                <w:color w:val="auto"/>
                <w:highlight w:val="none"/>
              </w:rPr>
            </w:pPr>
          </w:p>
        </w:tc>
        <w:tc>
          <w:tcPr>
            <w:tcW w:w="2443" w:type="dxa"/>
            <w:vMerge w:val="continue"/>
            <w:noWrap w:val="0"/>
            <w:vAlign w:val="center"/>
          </w:tcPr>
          <w:p w14:paraId="0AC47E5A">
            <w:pPr>
              <w:ind w:firstLine="480"/>
              <w:jc w:val="center"/>
              <w:rPr>
                <w:color w:val="auto"/>
                <w:highlight w:val="none"/>
              </w:rPr>
            </w:pPr>
          </w:p>
        </w:tc>
        <w:tc>
          <w:tcPr>
            <w:tcW w:w="1957" w:type="dxa"/>
            <w:vMerge w:val="continue"/>
            <w:noWrap w:val="0"/>
            <w:vAlign w:val="center"/>
          </w:tcPr>
          <w:p w14:paraId="63DAE1A8">
            <w:pPr>
              <w:ind w:firstLine="480"/>
              <w:jc w:val="center"/>
              <w:rPr>
                <w:color w:val="auto"/>
                <w:highlight w:val="none"/>
              </w:rPr>
            </w:pPr>
          </w:p>
        </w:tc>
        <w:tc>
          <w:tcPr>
            <w:tcW w:w="1594" w:type="dxa"/>
            <w:noWrap w:val="0"/>
            <w:vAlign w:val="center"/>
          </w:tcPr>
          <w:p w14:paraId="4589721F">
            <w:pPr>
              <w:ind w:firstLine="0" w:firstLineChars="0"/>
              <w:jc w:val="center"/>
              <w:rPr>
                <w:color w:val="auto"/>
                <w:highlight w:val="none"/>
              </w:rPr>
            </w:pPr>
            <w:r>
              <w:rPr>
                <w:color w:val="auto"/>
                <w:sz w:val="21"/>
                <w:szCs w:val="21"/>
                <w:highlight w:val="none"/>
              </w:rPr>
              <w:t>TJ-121</w:t>
            </w:r>
          </w:p>
        </w:tc>
        <w:tc>
          <w:tcPr>
            <w:tcW w:w="2149" w:type="dxa"/>
            <w:noWrap w:val="0"/>
            <w:vAlign w:val="center"/>
          </w:tcPr>
          <w:p w14:paraId="4DACDAC6">
            <w:pPr>
              <w:ind w:firstLine="0" w:firstLineChars="0"/>
              <w:jc w:val="center"/>
              <w:rPr>
                <w:color w:val="auto"/>
                <w:highlight w:val="none"/>
              </w:rPr>
            </w:pPr>
            <w:r>
              <w:rPr>
                <w:color w:val="auto"/>
                <w:sz w:val="21"/>
                <w:szCs w:val="21"/>
                <w:highlight w:val="none"/>
              </w:rPr>
              <w:t>6类RJ45模块</w:t>
            </w:r>
          </w:p>
        </w:tc>
        <w:tc>
          <w:tcPr>
            <w:tcW w:w="2014" w:type="dxa"/>
            <w:noWrap w:val="0"/>
            <w:vAlign w:val="center"/>
          </w:tcPr>
          <w:p w14:paraId="7F98078B">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177DD5A1">
            <w:pPr>
              <w:ind w:firstLine="0" w:firstLineChars="0"/>
              <w:jc w:val="center"/>
              <w:rPr>
                <w:color w:val="auto"/>
                <w:highlight w:val="none"/>
              </w:rPr>
            </w:pPr>
            <w:r>
              <w:rPr>
                <w:color w:val="auto"/>
                <w:sz w:val="21"/>
                <w:szCs w:val="21"/>
                <w:highlight w:val="none"/>
              </w:rPr>
              <w:t>弱电柜\314报告厅网络交换机</w:t>
            </w:r>
          </w:p>
        </w:tc>
      </w:tr>
      <w:tr w14:paraId="0ED4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259" w:type="dxa"/>
            <w:vMerge w:val="restart"/>
            <w:noWrap w:val="0"/>
            <w:vAlign w:val="center"/>
          </w:tcPr>
          <w:p w14:paraId="1273C721">
            <w:pPr>
              <w:ind w:firstLine="0" w:firstLineChars="0"/>
              <w:jc w:val="center"/>
              <w:rPr>
                <w:color w:val="auto"/>
                <w:sz w:val="21"/>
                <w:szCs w:val="21"/>
                <w:highlight w:val="none"/>
              </w:rPr>
            </w:pPr>
            <w:r>
              <w:rPr>
                <w:rFonts w:hint="eastAsia"/>
                <w:color w:val="auto"/>
                <w:sz w:val="21"/>
                <w:szCs w:val="21"/>
                <w:highlight w:val="none"/>
                <w:lang w:val="en-US" w:eastAsia="zh-CN"/>
              </w:rPr>
              <w:t>4K高清</w:t>
            </w:r>
            <w:r>
              <w:rPr>
                <w:color w:val="auto"/>
                <w:sz w:val="21"/>
                <w:szCs w:val="21"/>
                <w:highlight w:val="none"/>
              </w:rPr>
              <w:t>摄像机</w:t>
            </w:r>
          </w:p>
        </w:tc>
        <w:tc>
          <w:tcPr>
            <w:tcW w:w="2443" w:type="dxa"/>
            <w:vMerge w:val="restart"/>
            <w:noWrap w:val="0"/>
            <w:vAlign w:val="center"/>
          </w:tcPr>
          <w:p w14:paraId="649B27EA">
            <w:pPr>
              <w:ind w:firstLine="0" w:firstLineChars="0"/>
              <w:jc w:val="center"/>
              <w:rPr>
                <w:color w:val="auto"/>
                <w:sz w:val="21"/>
                <w:szCs w:val="21"/>
                <w:highlight w:val="none"/>
              </w:rPr>
            </w:pPr>
            <w:r>
              <w:rPr>
                <w:color w:val="auto"/>
                <w:sz w:val="21"/>
                <w:szCs w:val="21"/>
                <w:highlight w:val="none"/>
              </w:rPr>
              <w:t>301报告厅、309报告厅、310会议室、313以及314会议室后侧</w:t>
            </w:r>
          </w:p>
        </w:tc>
        <w:tc>
          <w:tcPr>
            <w:tcW w:w="1957" w:type="dxa"/>
            <w:vMerge w:val="restart"/>
            <w:noWrap w:val="0"/>
            <w:vAlign w:val="center"/>
          </w:tcPr>
          <w:p w14:paraId="57E4B461">
            <w:pPr>
              <w:ind w:firstLine="420"/>
              <w:jc w:val="center"/>
              <w:rPr>
                <w:color w:val="auto"/>
                <w:sz w:val="21"/>
                <w:szCs w:val="21"/>
                <w:highlight w:val="none"/>
              </w:rPr>
            </w:pPr>
          </w:p>
        </w:tc>
        <w:tc>
          <w:tcPr>
            <w:tcW w:w="1594" w:type="dxa"/>
            <w:noWrap w:val="0"/>
            <w:vAlign w:val="center"/>
          </w:tcPr>
          <w:p w14:paraId="4556EE6A">
            <w:pPr>
              <w:ind w:firstLine="0" w:firstLineChars="0"/>
              <w:jc w:val="center"/>
              <w:rPr>
                <w:color w:val="auto"/>
                <w:sz w:val="21"/>
                <w:szCs w:val="21"/>
                <w:highlight w:val="none"/>
              </w:rPr>
            </w:pPr>
            <w:r>
              <w:rPr>
                <w:color w:val="auto"/>
                <w:sz w:val="21"/>
                <w:szCs w:val="21"/>
                <w:highlight w:val="none"/>
              </w:rPr>
              <w:t>DC12V-1-5</w:t>
            </w:r>
          </w:p>
        </w:tc>
        <w:tc>
          <w:tcPr>
            <w:tcW w:w="2149" w:type="dxa"/>
            <w:noWrap w:val="0"/>
            <w:vAlign w:val="center"/>
          </w:tcPr>
          <w:p w14:paraId="2B7314AE">
            <w:pPr>
              <w:ind w:firstLine="420"/>
              <w:jc w:val="center"/>
              <w:rPr>
                <w:color w:val="auto"/>
                <w:sz w:val="21"/>
                <w:szCs w:val="21"/>
                <w:highlight w:val="none"/>
              </w:rPr>
            </w:pPr>
            <w:r>
              <w:rPr>
                <w:color w:val="auto"/>
                <w:sz w:val="21"/>
                <w:szCs w:val="21"/>
                <w:highlight w:val="none"/>
              </w:rPr>
              <w:t>直接</w:t>
            </w:r>
          </w:p>
        </w:tc>
        <w:tc>
          <w:tcPr>
            <w:tcW w:w="2014" w:type="dxa"/>
            <w:noWrap w:val="0"/>
            <w:vAlign w:val="center"/>
          </w:tcPr>
          <w:p w14:paraId="07DC152F">
            <w:pPr>
              <w:ind w:firstLine="420"/>
              <w:jc w:val="center"/>
              <w:rPr>
                <w:color w:val="auto"/>
                <w:sz w:val="21"/>
                <w:szCs w:val="21"/>
                <w:highlight w:val="none"/>
              </w:rPr>
            </w:pPr>
            <w:r>
              <w:rPr>
                <w:color w:val="auto"/>
                <w:sz w:val="21"/>
                <w:szCs w:val="21"/>
                <w:highlight w:val="none"/>
              </w:rPr>
              <w:t>RVV2×1.0</w:t>
            </w:r>
          </w:p>
        </w:tc>
        <w:tc>
          <w:tcPr>
            <w:tcW w:w="3259" w:type="dxa"/>
            <w:noWrap w:val="0"/>
            <w:vAlign w:val="center"/>
          </w:tcPr>
          <w:p w14:paraId="34090668">
            <w:pPr>
              <w:ind w:firstLine="0" w:firstLineChars="0"/>
              <w:jc w:val="center"/>
              <w:rPr>
                <w:color w:val="auto"/>
                <w:sz w:val="21"/>
                <w:szCs w:val="21"/>
                <w:highlight w:val="none"/>
              </w:rPr>
            </w:pPr>
            <w:r>
              <w:rPr>
                <w:color w:val="auto"/>
                <w:sz w:val="21"/>
                <w:szCs w:val="21"/>
                <w:highlight w:val="none"/>
              </w:rPr>
              <w:t>会议室强电柜\开关电源</w:t>
            </w:r>
          </w:p>
        </w:tc>
      </w:tr>
      <w:tr w14:paraId="6EB7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259" w:type="dxa"/>
            <w:vMerge w:val="continue"/>
            <w:noWrap w:val="0"/>
            <w:vAlign w:val="center"/>
          </w:tcPr>
          <w:p w14:paraId="73AF7C21">
            <w:pPr>
              <w:ind w:firstLine="420"/>
              <w:jc w:val="center"/>
              <w:rPr>
                <w:color w:val="auto"/>
                <w:sz w:val="21"/>
                <w:szCs w:val="21"/>
                <w:highlight w:val="none"/>
              </w:rPr>
            </w:pPr>
          </w:p>
        </w:tc>
        <w:tc>
          <w:tcPr>
            <w:tcW w:w="2443" w:type="dxa"/>
            <w:vMerge w:val="continue"/>
            <w:noWrap w:val="0"/>
            <w:vAlign w:val="center"/>
          </w:tcPr>
          <w:p w14:paraId="672B6471">
            <w:pPr>
              <w:ind w:firstLine="420"/>
              <w:jc w:val="center"/>
              <w:rPr>
                <w:color w:val="auto"/>
                <w:sz w:val="21"/>
                <w:szCs w:val="21"/>
                <w:highlight w:val="none"/>
              </w:rPr>
            </w:pPr>
          </w:p>
        </w:tc>
        <w:tc>
          <w:tcPr>
            <w:tcW w:w="1957" w:type="dxa"/>
            <w:vMerge w:val="continue"/>
            <w:noWrap w:val="0"/>
            <w:vAlign w:val="center"/>
          </w:tcPr>
          <w:p w14:paraId="402ABF1B">
            <w:pPr>
              <w:ind w:firstLine="420"/>
              <w:jc w:val="center"/>
              <w:rPr>
                <w:color w:val="auto"/>
                <w:sz w:val="21"/>
                <w:szCs w:val="21"/>
                <w:highlight w:val="none"/>
              </w:rPr>
            </w:pPr>
          </w:p>
        </w:tc>
        <w:tc>
          <w:tcPr>
            <w:tcW w:w="1594" w:type="dxa"/>
            <w:noWrap w:val="0"/>
            <w:vAlign w:val="center"/>
          </w:tcPr>
          <w:p w14:paraId="1D8FD37C">
            <w:pPr>
              <w:ind w:firstLine="0" w:firstLineChars="0"/>
              <w:jc w:val="center"/>
              <w:rPr>
                <w:color w:val="auto"/>
                <w:sz w:val="21"/>
                <w:szCs w:val="21"/>
                <w:highlight w:val="none"/>
              </w:rPr>
            </w:pPr>
            <w:r>
              <w:rPr>
                <w:color w:val="auto"/>
                <w:sz w:val="21"/>
                <w:szCs w:val="21"/>
                <w:highlight w:val="none"/>
              </w:rPr>
              <w:t>NJ-1-5</w:t>
            </w:r>
          </w:p>
        </w:tc>
        <w:tc>
          <w:tcPr>
            <w:tcW w:w="2149" w:type="dxa"/>
            <w:noWrap w:val="0"/>
            <w:vAlign w:val="center"/>
          </w:tcPr>
          <w:p w14:paraId="73000EAE">
            <w:pPr>
              <w:ind w:firstLine="420"/>
              <w:jc w:val="center"/>
              <w:rPr>
                <w:color w:val="auto"/>
                <w:sz w:val="21"/>
                <w:szCs w:val="21"/>
                <w:highlight w:val="none"/>
              </w:rPr>
            </w:pPr>
            <w:r>
              <w:rPr>
                <w:color w:val="auto"/>
                <w:sz w:val="21"/>
                <w:szCs w:val="21"/>
                <w:highlight w:val="none"/>
              </w:rPr>
              <w:t>6类RJ45</w:t>
            </w:r>
          </w:p>
        </w:tc>
        <w:tc>
          <w:tcPr>
            <w:tcW w:w="2014" w:type="dxa"/>
            <w:noWrap w:val="0"/>
            <w:vAlign w:val="center"/>
          </w:tcPr>
          <w:p w14:paraId="5F13E488">
            <w:pPr>
              <w:ind w:firstLine="420"/>
              <w:jc w:val="center"/>
              <w:rPr>
                <w:color w:val="auto"/>
                <w:sz w:val="21"/>
                <w:szCs w:val="21"/>
                <w:highlight w:val="none"/>
              </w:rPr>
            </w:pPr>
            <w:r>
              <w:rPr>
                <w:color w:val="auto"/>
                <w:sz w:val="21"/>
                <w:szCs w:val="21"/>
                <w:highlight w:val="none"/>
              </w:rPr>
              <w:t>CAT6</w:t>
            </w:r>
          </w:p>
        </w:tc>
        <w:tc>
          <w:tcPr>
            <w:tcW w:w="3259" w:type="dxa"/>
            <w:noWrap w:val="0"/>
            <w:vAlign w:val="center"/>
          </w:tcPr>
          <w:p w14:paraId="5971FDA0">
            <w:pPr>
              <w:ind w:firstLine="0" w:firstLineChars="0"/>
              <w:jc w:val="center"/>
              <w:rPr>
                <w:color w:val="auto"/>
                <w:sz w:val="21"/>
                <w:szCs w:val="21"/>
                <w:highlight w:val="none"/>
              </w:rPr>
            </w:pPr>
            <w:r>
              <w:rPr>
                <w:color w:val="auto"/>
                <w:sz w:val="21"/>
                <w:szCs w:val="21"/>
                <w:highlight w:val="none"/>
              </w:rPr>
              <w:t>会议室校园网交换机</w:t>
            </w:r>
          </w:p>
        </w:tc>
      </w:tr>
      <w:tr w14:paraId="1A41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259" w:type="dxa"/>
            <w:vMerge w:val="restart"/>
            <w:noWrap w:val="0"/>
            <w:vAlign w:val="center"/>
          </w:tcPr>
          <w:p w14:paraId="4030E394">
            <w:pPr>
              <w:ind w:firstLine="0" w:firstLineChars="0"/>
              <w:jc w:val="center"/>
              <w:rPr>
                <w:color w:val="auto"/>
                <w:sz w:val="21"/>
                <w:szCs w:val="21"/>
                <w:highlight w:val="none"/>
              </w:rPr>
            </w:pPr>
            <w:r>
              <w:rPr>
                <w:rFonts w:hint="eastAsia"/>
                <w:color w:val="auto"/>
                <w:sz w:val="21"/>
                <w:szCs w:val="21"/>
                <w:highlight w:val="none"/>
                <w:lang w:val="en-US" w:eastAsia="zh-CN"/>
              </w:rPr>
              <w:t>4K高清</w:t>
            </w:r>
            <w:r>
              <w:rPr>
                <w:color w:val="auto"/>
                <w:sz w:val="21"/>
                <w:szCs w:val="21"/>
                <w:highlight w:val="none"/>
              </w:rPr>
              <w:t>摄像机</w:t>
            </w:r>
          </w:p>
        </w:tc>
        <w:tc>
          <w:tcPr>
            <w:tcW w:w="2443" w:type="dxa"/>
            <w:vMerge w:val="restart"/>
            <w:noWrap w:val="0"/>
            <w:vAlign w:val="center"/>
          </w:tcPr>
          <w:p w14:paraId="4CC153C3">
            <w:pPr>
              <w:ind w:firstLine="0" w:firstLineChars="0"/>
              <w:jc w:val="center"/>
              <w:rPr>
                <w:color w:val="auto"/>
                <w:sz w:val="21"/>
                <w:szCs w:val="21"/>
                <w:highlight w:val="none"/>
              </w:rPr>
            </w:pPr>
            <w:r>
              <w:rPr>
                <w:color w:val="auto"/>
                <w:sz w:val="21"/>
                <w:szCs w:val="21"/>
                <w:highlight w:val="none"/>
              </w:rPr>
              <w:t>301报告厅、309报告厅、310会议室、313以及314会议室前侧</w:t>
            </w:r>
          </w:p>
        </w:tc>
        <w:tc>
          <w:tcPr>
            <w:tcW w:w="1957" w:type="dxa"/>
            <w:vMerge w:val="restart"/>
            <w:noWrap w:val="0"/>
            <w:vAlign w:val="center"/>
          </w:tcPr>
          <w:p w14:paraId="4AC77BF5">
            <w:pPr>
              <w:ind w:firstLine="420"/>
              <w:jc w:val="center"/>
              <w:rPr>
                <w:color w:val="auto"/>
                <w:sz w:val="21"/>
                <w:szCs w:val="21"/>
                <w:highlight w:val="none"/>
              </w:rPr>
            </w:pPr>
          </w:p>
        </w:tc>
        <w:tc>
          <w:tcPr>
            <w:tcW w:w="1594" w:type="dxa"/>
            <w:noWrap w:val="0"/>
            <w:vAlign w:val="center"/>
          </w:tcPr>
          <w:p w14:paraId="0D931FAB">
            <w:pPr>
              <w:ind w:firstLine="0" w:firstLineChars="0"/>
              <w:jc w:val="center"/>
              <w:rPr>
                <w:color w:val="auto"/>
                <w:sz w:val="21"/>
                <w:szCs w:val="21"/>
                <w:highlight w:val="none"/>
              </w:rPr>
            </w:pPr>
            <w:r>
              <w:rPr>
                <w:color w:val="auto"/>
                <w:sz w:val="21"/>
                <w:szCs w:val="21"/>
                <w:highlight w:val="none"/>
              </w:rPr>
              <w:t>DC12V-6-18</w:t>
            </w:r>
          </w:p>
        </w:tc>
        <w:tc>
          <w:tcPr>
            <w:tcW w:w="2149" w:type="dxa"/>
            <w:noWrap w:val="0"/>
            <w:vAlign w:val="center"/>
          </w:tcPr>
          <w:p w14:paraId="58FD7169">
            <w:pPr>
              <w:ind w:firstLine="420"/>
              <w:jc w:val="center"/>
              <w:rPr>
                <w:color w:val="auto"/>
                <w:sz w:val="21"/>
                <w:szCs w:val="21"/>
                <w:highlight w:val="none"/>
              </w:rPr>
            </w:pPr>
            <w:r>
              <w:rPr>
                <w:color w:val="auto"/>
                <w:sz w:val="21"/>
                <w:szCs w:val="21"/>
                <w:highlight w:val="none"/>
              </w:rPr>
              <w:t>直接</w:t>
            </w:r>
          </w:p>
        </w:tc>
        <w:tc>
          <w:tcPr>
            <w:tcW w:w="2014" w:type="dxa"/>
            <w:noWrap w:val="0"/>
            <w:vAlign w:val="center"/>
          </w:tcPr>
          <w:p w14:paraId="2A84F932">
            <w:pPr>
              <w:ind w:firstLine="420"/>
              <w:jc w:val="center"/>
              <w:rPr>
                <w:color w:val="auto"/>
                <w:sz w:val="21"/>
                <w:szCs w:val="21"/>
                <w:highlight w:val="none"/>
              </w:rPr>
            </w:pPr>
            <w:r>
              <w:rPr>
                <w:color w:val="auto"/>
                <w:sz w:val="21"/>
                <w:szCs w:val="21"/>
                <w:highlight w:val="none"/>
              </w:rPr>
              <w:t>RVV2×1.0</w:t>
            </w:r>
          </w:p>
        </w:tc>
        <w:tc>
          <w:tcPr>
            <w:tcW w:w="3259" w:type="dxa"/>
            <w:noWrap w:val="0"/>
            <w:vAlign w:val="center"/>
          </w:tcPr>
          <w:p w14:paraId="302970CD">
            <w:pPr>
              <w:ind w:firstLine="0" w:firstLineChars="0"/>
              <w:jc w:val="center"/>
              <w:rPr>
                <w:color w:val="auto"/>
                <w:sz w:val="21"/>
                <w:szCs w:val="21"/>
                <w:highlight w:val="none"/>
              </w:rPr>
            </w:pPr>
            <w:r>
              <w:rPr>
                <w:color w:val="auto"/>
                <w:sz w:val="21"/>
                <w:szCs w:val="21"/>
                <w:highlight w:val="none"/>
              </w:rPr>
              <w:t>会议室强电柜\开关电源</w:t>
            </w:r>
          </w:p>
        </w:tc>
      </w:tr>
      <w:tr w14:paraId="430B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259" w:type="dxa"/>
            <w:vMerge w:val="continue"/>
            <w:noWrap w:val="0"/>
            <w:vAlign w:val="center"/>
          </w:tcPr>
          <w:p w14:paraId="31B7CF90">
            <w:pPr>
              <w:ind w:firstLine="420"/>
              <w:jc w:val="center"/>
              <w:rPr>
                <w:color w:val="auto"/>
                <w:sz w:val="21"/>
                <w:szCs w:val="21"/>
                <w:highlight w:val="none"/>
              </w:rPr>
            </w:pPr>
          </w:p>
        </w:tc>
        <w:tc>
          <w:tcPr>
            <w:tcW w:w="2443" w:type="dxa"/>
            <w:vMerge w:val="continue"/>
            <w:noWrap w:val="0"/>
            <w:vAlign w:val="center"/>
          </w:tcPr>
          <w:p w14:paraId="2B31D05E">
            <w:pPr>
              <w:ind w:firstLine="420"/>
              <w:jc w:val="center"/>
              <w:rPr>
                <w:color w:val="auto"/>
                <w:sz w:val="21"/>
                <w:szCs w:val="21"/>
                <w:highlight w:val="none"/>
              </w:rPr>
            </w:pPr>
          </w:p>
        </w:tc>
        <w:tc>
          <w:tcPr>
            <w:tcW w:w="1957" w:type="dxa"/>
            <w:vMerge w:val="continue"/>
            <w:noWrap w:val="0"/>
            <w:vAlign w:val="center"/>
          </w:tcPr>
          <w:p w14:paraId="67BFB8E7">
            <w:pPr>
              <w:ind w:firstLine="420"/>
              <w:jc w:val="center"/>
              <w:rPr>
                <w:color w:val="auto"/>
                <w:sz w:val="21"/>
                <w:szCs w:val="21"/>
                <w:highlight w:val="none"/>
              </w:rPr>
            </w:pPr>
          </w:p>
        </w:tc>
        <w:tc>
          <w:tcPr>
            <w:tcW w:w="1594" w:type="dxa"/>
            <w:noWrap w:val="0"/>
            <w:vAlign w:val="center"/>
          </w:tcPr>
          <w:p w14:paraId="30B97F74">
            <w:pPr>
              <w:ind w:firstLine="0" w:firstLineChars="0"/>
              <w:jc w:val="center"/>
              <w:rPr>
                <w:color w:val="auto"/>
                <w:sz w:val="21"/>
                <w:szCs w:val="21"/>
                <w:highlight w:val="none"/>
              </w:rPr>
            </w:pPr>
            <w:r>
              <w:rPr>
                <w:color w:val="auto"/>
                <w:sz w:val="21"/>
                <w:szCs w:val="21"/>
                <w:highlight w:val="none"/>
              </w:rPr>
              <w:t>NJ-6-18</w:t>
            </w:r>
          </w:p>
        </w:tc>
        <w:tc>
          <w:tcPr>
            <w:tcW w:w="2149" w:type="dxa"/>
            <w:noWrap w:val="0"/>
            <w:vAlign w:val="center"/>
          </w:tcPr>
          <w:p w14:paraId="3E6B2877">
            <w:pPr>
              <w:ind w:firstLine="420"/>
              <w:jc w:val="center"/>
              <w:rPr>
                <w:color w:val="auto"/>
                <w:sz w:val="21"/>
                <w:szCs w:val="21"/>
                <w:highlight w:val="none"/>
              </w:rPr>
            </w:pPr>
            <w:r>
              <w:rPr>
                <w:color w:val="auto"/>
                <w:sz w:val="21"/>
                <w:szCs w:val="21"/>
                <w:highlight w:val="none"/>
              </w:rPr>
              <w:t>6类RJ45</w:t>
            </w:r>
          </w:p>
        </w:tc>
        <w:tc>
          <w:tcPr>
            <w:tcW w:w="2014" w:type="dxa"/>
            <w:noWrap w:val="0"/>
            <w:vAlign w:val="center"/>
          </w:tcPr>
          <w:p w14:paraId="720C8513">
            <w:pPr>
              <w:ind w:firstLine="420"/>
              <w:jc w:val="center"/>
              <w:rPr>
                <w:color w:val="auto"/>
                <w:sz w:val="21"/>
                <w:szCs w:val="21"/>
                <w:highlight w:val="none"/>
              </w:rPr>
            </w:pPr>
            <w:r>
              <w:rPr>
                <w:color w:val="auto"/>
                <w:sz w:val="21"/>
                <w:szCs w:val="21"/>
                <w:highlight w:val="none"/>
              </w:rPr>
              <w:t>CAT6</w:t>
            </w:r>
          </w:p>
        </w:tc>
        <w:tc>
          <w:tcPr>
            <w:tcW w:w="3259" w:type="dxa"/>
            <w:noWrap w:val="0"/>
            <w:vAlign w:val="center"/>
          </w:tcPr>
          <w:p w14:paraId="5A24A280">
            <w:pPr>
              <w:ind w:firstLine="0" w:firstLineChars="0"/>
              <w:jc w:val="center"/>
              <w:rPr>
                <w:color w:val="auto"/>
                <w:sz w:val="21"/>
                <w:szCs w:val="21"/>
                <w:highlight w:val="none"/>
              </w:rPr>
            </w:pPr>
            <w:r>
              <w:rPr>
                <w:color w:val="auto"/>
                <w:sz w:val="21"/>
                <w:szCs w:val="21"/>
                <w:highlight w:val="none"/>
              </w:rPr>
              <w:t>会议室校园网交换机</w:t>
            </w:r>
          </w:p>
        </w:tc>
      </w:tr>
      <w:tr w14:paraId="3F4A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59" w:type="dxa"/>
            <w:vMerge w:val="restart"/>
            <w:noWrap w:val="0"/>
            <w:vAlign w:val="center"/>
          </w:tcPr>
          <w:p w14:paraId="2ACC9C09">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嵌入式LED电动翻转面板会议灯</w:t>
            </w:r>
          </w:p>
        </w:tc>
        <w:tc>
          <w:tcPr>
            <w:tcW w:w="2443" w:type="dxa"/>
            <w:vMerge w:val="restart"/>
            <w:noWrap w:val="0"/>
            <w:vAlign w:val="center"/>
          </w:tcPr>
          <w:p w14:paraId="73604C6F">
            <w:pPr>
              <w:ind w:firstLine="0" w:firstLineChars="0"/>
              <w:jc w:val="center"/>
              <w:rPr>
                <w:color w:val="auto"/>
                <w:sz w:val="21"/>
                <w:szCs w:val="21"/>
                <w:highlight w:val="none"/>
              </w:rPr>
            </w:pPr>
            <w:r>
              <w:rPr>
                <w:color w:val="auto"/>
                <w:sz w:val="21"/>
                <w:szCs w:val="21"/>
                <w:highlight w:val="none"/>
              </w:rPr>
              <w:t>301和309报告厅舞台顶光</w:t>
            </w:r>
          </w:p>
        </w:tc>
        <w:tc>
          <w:tcPr>
            <w:tcW w:w="1957" w:type="dxa"/>
            <w:vMerge w:val="restart"/>
            <w:noWrap w:val="0"/>
            <w:vAlign w:val="center"/>
          </w:tcPr>
          <w:p w14:paraId="4A43C6E4">
            <w:pPr>
              <w:ind w:firstLine="420"/>
              <w:jc w:val="center"/>
              <w:rPr>
                <w:color w:val="auto"/>
                <w:sz w:val="21"/>
                <w:szCs w:val="21"/>
                <w:highlight w:val="none"/>
              </w:rPr>
            </w:pPr>
          </w:p>
        </w:tc>
        <w:tc>
          <w:tcPr>
            <w:tcW w:w="1594" w:type="dxa"/>
            <w:noWrap w:val="0"/>
            <w:vAlign w:val="center"/>
          </w:tcPr>
          <w:p w14:paraId="4B648B8C">
            <w:pPr>
              <w:ind w:firstLine="0" w:firstLineChars="0"/>
              <w:jc w:val="center"/>
              <w:rPr>
                <w:color w:val="auto"/>
                <w:sz w:val="21"/>
                <w:szCs w:val="21"/>
                <w:highlight w:val="none"/>
              </w:rPr>
            </w:pPr>
            <w:r>
              <w:rPr>
                <w:color w:val="auto"/>
                <w:sz w:val="21"/>
                <w:szCs w:val="21"/>
                <w:highlight w:val="none"/>
              </w:rPr>
              <w:t>DAC-1</w:t>
            </w:r>
          </w:p>
        </w:tc>
        <w:tc>
          <w:tcPr>
            <w:tcW w:w="2149" w:type="dxa"/>
            <w:noWrap w:val="0"/>
            <w:vAlign w:val="center"/>
          </w:tcPr>
          <w:p w14:paraId="71F0DD45">
            <w:pPr>
              <w:ind w:firstLine="0" w:firstLineChars="0"/>
              <w:jc w:val="center"/>
              <w:rPr>
                <w:color w:val="auto"/>
                <w:sz w:val="21"/>
                <w:szCs w:val="21"/>
                <w:highlight w:val="none"/>
              </w:rPr>
            </w:pPr>
            <w:r>
              <w:rPr>
                <w:color w:val="auto"/>
                <w:sz w:val="21"/>
                <w:szCs w:val="21"/>
                <w:highlight w:val="none"/>
              </w:rPr>
              <w:t>灯间并联连接</w:t>
            </w:r>
          </w:p>
        </w:tc>
        <w:tc>
          <w:tcPr>
            <w:tcW w:w="2014" w:type="dxa"/>
            <w:noWrap w:val="0"/>
            <w:vAlign w:val="center"/>
          </w:tcPr>
          <w:p w14:paraId="5E376307">
            <w:pPr>
              <w:ind w:firstLine="0" w:firstLineChars="0"/>
              <w:jc w:val="center"/>
              <w:rPr>
                <w:color w:val="auto"/>
                <w:sz w:val="21"/>
                <w:szCs w:val="21"/>
                <w:highlight w:val="none"/>
              </w:rPr>
            </w:pPr>
            <w:r>
              <w:rPr>
                <w:color w:val="auto"/>
                <w:sz w:val="21"/>
                <w:szCs w:val="21"/>
                <w:highlight w:val="none"/>
              </w:rPr>
              <w:t>RVV3*3</w:t>
            </w:r>
          </w:p>
        </w:tc>
        <w:tc>
          <w:tcPr>
            <w:tcW w:w="3259" w:type="dxa"/>
            <w:noWrap w:val="0"/>
            <w:vAlign w:val="center"/>
          </w:tcPr>
          <w:p w14:paraId="07E723D8">
            <w:pPr>
              <w:ind w:firstLine="0" w:firstLineChars="0"/>
              <w:rPr>
                <w:color w:val="auto"/>
                <w:sz w:val="21"/>
                <w:szCs w:val="21"/>
                <w:highlight w:val="none"/>
              </w:rPr>
            </w:pPr>
            <w:r>
              <w:rPr>
                <w:color w:val="auto"/>
                <w:sz w:val="21"/>
                <w:szCs w:val="21"/>
                <w:highlight w:val="none"/>
              </w:rPr>
              <w:t>301报告厅强电柜\电源直通箱</w:t>
            </w:r>
          </w:p>
        </w:tc>
      </w:tr>
      <w:tr w14:paraId="4EC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574E0529">
            <w:pPr>
              <w:ind w:firstLine="420"/>
              <w:jc w:val="center"/>
              <w:rPr>
                <w:color w:val="auto"/>
                <w:sz w:val="21"/>
                <w:szCs w:val="21"/>
                <w:highlight w:val="none"/>
              </w:rPr>
            </w:pPr>
          </w:p>
        </w:tc>
        <w:tc>
          <w:tcPr>
            <w:tcW w:w="2443" w:type="dxa"/>
            <w:vMerge w:val="continue"/>
            <w:noWrap w:val="0"/>
            <w:vAlign w:val="center"/>
          </w:tcPr>
          <w:p w14:paraId="64E2EE46">
            <w:pPr>
              <w:ind w:firstLine="420"/>
              <w:jc w:val="center"/>
              <w:rPr>
                <w:color w:val="auto"/>
                <w:sz w:val="21"/>
                <w:szCs w:val="21"/>
                <w:highlight w:val="none"/>
              </w:rPr>
            </w:pPr>
          </w:p>
        </w:tc>
        <w:tc>
          <w:tcPr>
            <w:tcW w:w="1957" w:type="dxa"/>
            <w:vMerge w:val="continue"/>
            <w:noWrap w:val="0"/>
            <w:vAlign w:val="center"/>
          </w:tcPr>
          <w:p w14:paraId="1ACCEC57">
            <w:pPr>
              <w:ind w:firstLine="420"/>
              <w:jc w:val="center"/>
              <w:rPr>
                <w:color w:val="auto"/>
                <w:sz w:val="21"/>
                <w:szCs w:val="21"/>
                <w:highlight w:val="none"/>
              </w:rPr>
            </w:pPr>
          </w:p>
        </w:tc>
        <w:tc>
          <w:tcPr>
            <w:tcW w:w="1594" w:type="dxa"/>
            <w:noWrap w:val="0"/>
            <w:vAlign w:val="center"/>
          </w:tcPr>
          <w:p w14:paraId="750F73B5">
            <w:pPr>
              <w:ind w:firstLine="0" w:firstLineChars="0"/>
              <w:jc w:val="center"/>
              <w:rPr>
                <w:color w:val="auto"/>
                <w:sz w:val="21"/>
                <w:szCs w:val="21"/>
                <w:highlight w:val="none"/>
              </w:rPr>
            </w:pPr>
            <w:r>
              <w:rPr>
                <w:color w:val="auto"/>
                <w:sz w:val="21"/>
                <w:szCs w:val="21"/>
                <w:highlight w:val="none"/>
              </w:rPr>
              <w:t>DMX-1</w:t>
            </w:r>
          </w:p>
        </w:tc>
        <w:tc>
          <w:tcPr>
            <w:tcW w:w="2149" w:type="dxa"/>
            <w:noWrap w:val="0"/>
            <w:vAlign w:val="center"/>
          </w:tcPr>
          <w:p w14:paraId="0818A0EA">
            <w:pPr>
              <w:ind w:firstLine="0" w:firstLineChars="0"/>
              <w:jc w:val="center"/>
              <w:rPr>
                <w:color w:val="auto"/>
                <w:sz w:val="21"/>
                <w:szCs w:val="21"/>
                <w:highlight w:val="none"/>
              </w:rPr>
            </w:pPr>
            <w:r>
              <w:rPr>
                <w:color w:val="auto"/>
                <w:sz w:val="21"/>
                <w:szCs w:val="21"/>
                <w:highlight w:val="none"/>
              </w:rPr>
              <w:t>灯间串联连接</w:t>
            </w:r>
          </w:p>
        </w:tc>
        <w:tc>
          <w:tcPr>
            <w:tcW w:w="2014" w:type="dxa"/>
            <w:noWrap w:val="0"/>
            <w:vAlign w:val="center"/>
          </w:tcPr>
          <w:p w14:paraId="66D5D0E8">
            <w:pPr>
              <w:ind w:firstLine="0" w:firstLineChars="0"/>
              <w:jc w:val="center"/>
              <w:rPr>
                <w:color w:val="auto"/>
                <w:sz w:val="21"/>
                <w:szCs w:val="21"/>
                <w:highlight w:val="none"/>
              </w:rPr>
            </w:pPr>
            <w:r>
              <w:rPr>
                <w:color w:val="auto"/>
                <w:sz w:val="21"/>
                <w:szCs w:val="21"/>
                <w:highlight w:val="none"/>
              </w:rPr>
              <w:t>RVVP2*0.5</w:t>
            </w:r>
          </w:p>
        </w:tc>
        <w:tc>
          <w:tcPr>
            <w:tcW w:w="3259" w:type="dxa"/>
            <w:noWrap w:val="0"/>
            <w:vAlign w:val="center"/>
          </w:tcPr>
          <w:p w14:paraId="612892F4">
            <w:pPr>
              <w:ind w:firstLine="0" w:firstLineChars="0"/>
              <w:rPr>
                <w:color w:val="auto"/>
                <w:sz w:val="21"/>
                <w:szCs w:val="21"/>
                <w:highlight w:val="none"/>
              </w:rPr>
            </w:pPr>
            <w:r>
              <w:rPr>
                <w:color w:val="auto"/>
                <w:sz w:val="21"/>
                <w:szCs w:val="21"/>
                <w:highlight w:val="none"/>
              </w:rPr>
              <w:t>301报告厅弱电柜\信号放大器</w:t>
            </w:r>
          </w:p>
        </w:tc>
      </w:tr>
      <w:tr w14:paraId="6383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4816E618">
            <w:pPr>
              <w:ind w:firstLine="420"/>
              <w:jc w:val="center"/>
              <w:rPr>
                <w:color w:val="auto"/>
                <w:sz w:val="21"/>
                <w:szCs w:val="21"/>
                <w:highlight w:val="none"/>
              </w:rPr>
            </w:pPr>
          </w:p>
        </w:tc>
        <w:tc>
          <w:tcPr>
            <w:tcW w:w="2443" w:type="dxa"/>
            <w:vMerge w:val="continue"/>
            <w:noWrap w:val="0"/>
            <w:vAlign w:val="center"/>
          </w:tcPr>
          <w:p w14:paraId="56008F40">
            <w:pPr>
              <w:ind w:firstLine="420"/>
              <w:jc w:val="center"/>
              <w:rPr>
                <w:color w:val="auto"/>
                <w:sz w:val="21"/>
                <w:szCs w:val="21"/>
                <w:highlight w:val="none"/>
              </w:rPr>
            </w:pPr>
          </w:p>
        </w:tc>
        <w:tc>
          <w:tcPr>
            <w:tcW w:w="1957" w:type="dxa"/>
            <w:vMerge w:val="continue"/>
            <w:noWrap w:val="0"/>
            <w:vAlign w:val="center"/>
          </w:tcPr>
          <w:p w14:paraId="7EF2F3C0">
            <w:pPr>
              <w:ind w:firstLine="420"/>
              <w:jc w:val="center"/>
              <w:rPr>
                <w:color w:val="auto"/>
                <w:sz w:val="21"/>
                <w:szCs w:val="21"/>
                <w:highlight w:val="none"/>
              </w:rPr>
            </w:pPr>
          </w:p>
        </w:tc>
        <w:tc>
          <w:tcPr>
            <w:tcW w:w="1594" w:type="dxa"/>
            <w:noWrap w:val="0"/>
            <w:vAlign w:val="center"/>
          </w:tcPr>
          <w:p w14:paraId="77C8A099">
            <w:pPr>
              <w:ind w:firstLine="420"/>
              <w:rPr>
                <w:color w:val="auto"/>
                <w:sz w:val="21"/>
                <w:szCs w:val="21"/>
                <w:highlight w:val="none"/>
              </w:rPr>
            </w:pPr>
            <w:r>
              <w:rPr>
                <w:color w:val="auto"/>
                <w:sz w:val="21"/>
                <w:szCs w:val="21"/>
                <w:highlight w:val="none"/>
              </w:rPr>
              <w:t>DAC-2</w:t>
            </w:r>
          </w:p>
        </w:tc>
        <w:tc>
          <w:tcPr>
            <w:tcW w:w="2149" w:type="dxa"/>
            <w:noWrap w:val="0"/>
            <w:vAlign w:val="center"/>
          </w:tcPr>
          <w:p w14:paraId="238C146B">
            <w:pPr>
              <w:ind w:firstLine="0" w:firstLineChars="0"/>
              <w:jc w:val="center"/>
              <w:rPr>
                <w:color w:val="auto"/>
                <w:sz w:val="21"/>
                <w:szCs w:val="21"/>
                <w:highlight w:val="none"/>
              </w:rPr>
            </w:pPr>
            <w:r>
              <w:rPr>
                <w:color w:val="auto"/>
                <w:sz w:val="21"/>
                <w:szCs w:val="21"/>
                <w:highlight w:val="none"/>
              </w:rPr>
              <w:t>灯间并联连接</w:t>
            </w:r>
          </w:p>
        </w:tc>
        <w:tc>
          <w:tcPr>
            <w:tcW w:w="2014" w:type="dxa"/>
            <w:noWrap w:val="0"/>
            <w:vAlign w:val="center"/>
          </w:tcPr>
          <w:p w14:paraId="4ECD3D97">
            <w:pPr>
              <w:ind w:firstLine="0" w:firstLineChars="0"/>
              <w:jc w:val="center"/>
              <w:rPr>
                <w:color w:val="auto"/>
                <w:sz w:val="21"/>
                <w:szCs w:val="21"/>
                <w:highlight w:val="none"/>
              </w:rPr>
            </w:pPr>
            <w:r>
              <w:rPr>
                <w:color w:val="auto"/>
                <w:sz w:val="21"/>
                <w:szCs w:val="21"/>
                <w:highlight w:val="none"/>
              </w:rPr>
              <w:t>RVV3*3</w:t>
            </w:r>
          </w:p>
        </w:tc>
        <w:tc>
          <w:tcPr>
            <w:tcW w:w="3259" w:type="dxa"/>
            <w:noWrap w:val="0"/>
            <w:vAlign w:val="center"/>
          </w:tcPr>
          <w:p w14:paraId="012E0A5F">
            <w:pPr>
              <w:ind w:firstLine="0" w:firstLineChars="0"/>
              <w:rPr>
                <w:color w:val="auto"/>
                <w:sz w:val="21"/>
                <w:szCs w:val="21"/>
                <w:highlight w:val="none"/>
              </w:rPr>
            </w:pPr>
            <w:r>
              <w:rPr>
                <w:color w:val="auto"/>
                <w:sz w:val="21"/>
                <w:szCs w:val="21"/>
                <w:highlight w:val="none"/>
              </w:rPr>
              <w:t>309报告厅强电柜\电源直通箱</w:t>
            </w:r>
          </w:p>
        </w:tc>
      </w:tr>
      <w:tr w14:paraId="5494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735A48D6">
            <w:pPr>
              <w:ind w:firstLine="420"/>
              <w:jc w:val="center"/>
              <w:rPr>
                <w:color w:val="auto"/>
                <w:sz w:val="21"/>
                <w:szCs w:val="21"/>
                <w:highlight w:val="none"/>
              </w:rPr>
            </w:pPr>
          </w:p>
        </w:tc>
        <w:tc>
          <w:tcPr>
            <w:tcW w:w="2443" w:type="dxa"/>
            <w:vMerge w:val="continue"/>
            <w:noWrap w:val="0"/>
            <w:vAlign w:val="center"/>
          </w:tcPr>
          <w:p w14:paraId="0BA3CF32">
            <w:pPr>
              <w:ind w:firstLine="420"/>
              <w:jc w:val="center"/>
              <w:rPr>
                <w:color w:val="auto"/>
                <w:sz w:val="21"/>
                <w:szCs w:val="21"/>
                <w:highlight w:val="none"/>
              </w:rPr>
            </w:pPr>
          </w:p>
        </w:tc>
        <w:tc>
          <w:tcPr>
            <w:tcW w:w="1957" w:type="dxa"/>
            <w:vMerge w:val="continue"/>
            <w:noWrap w:val="0"/>
            <w:vAlign w:val="center"/>
          </w:tcPr>
          <w:p w14:paraId="0D26B020">
            <w:pPr>
              <w:ind w:firstLine="420"/>
              <w:jc w:val="center"/>
              <w:rPr>
                <w:color w:val="auto"/>
                <w:sz w:val="21"/>
                <w:szCs w:val="21"/>
                <w:highlight w:val="none"/>
              </w:rPr>
            </w:pPr>
          </w:p>
        </w:tc>
        <w:tc>
          <w:tcPr>
            <w:tcW w:w="1594" w:type="dxa"/>
            <w:noWrap w:val="0"/>
            <w:vAlign w:val="center"/>
          </w:tcPr>
          <w:p w14:paraId="194FD4EB">
            <w:pPr>
              <w:ind w:firstLine="420"/>
              <w:rPr>
                <w:color w:val="auto"/>
                <w:sz w:val="21"/>
                <w:szCs w:val="21"/>
                <w:highlight w:val="none"/>
              </w:rPr>
            </w:pPr>
            <w:r>
              <w:rPr>
                <w:color w:val="auto"/>
                <w:sz w:val="21"/>
                <w:szCs w:val="21"/>
                <w:highlight w:val="none"/>
              </w:rPr>
              <w:t>DMX-2</w:t>
            </w:r>
          </w:p>
        </w:tc>
        <w:tc>
          <w:tcPr>
            <w:tcW w:w="2149" w:type="dxa"/>
            <w:noWrap w:val="0"/>
            <w:vAlign w:val="center"/>
          </w:tcPr>
          <w:p w14:paraId="7F696F86">
            <w:pPr>
              <w:ind w:firstLine="0" w:firstLineChars="0"/>
              <w:jc w:val="center"/>
              <w:rPr>
                <w:color w:val="auto"/>
                <w:sz w:val="21"/>
                <w:szCs w:val="21"/>
                <w:highlight w:val="none"/>
              </w:rPr>
            </w:pPr>
            <w:r>
              <w:rPr>
                <w:color w:val="auto"/>
                <w:sz w:val="21"/>
                <w:szCs w:val="21"/>
                <w:highlight w:val="none"/>
              </w:rPr>
              <w:t>灯间串联连接</w:t>
            </w:r>
          </w:p>
        </w:tc>
        <w:tc>
          <w:tcPr>
            <w:tcW w:w="2014" w:type="dxa"/>
            <w:noWrap w:val="0"/>
            <w:vAlign w:val="center"/>
          </w:tcPr>
          <w:p w14:paraId="788B0C47">
            <w:pPr>
              <w:ind w:firstLine="0" w:firstLineChars="0"/>
              <w:jc w:val="center"/>
              <w:rPr>
                <w:color w:val="auto"/>
                <w:sz w:val="21"/>
                <w:szCs w:val="21"/>
                <w:highlight w:val="none"/>
              </w:rPr>
            </w:pPr>
            <w:r>
              <w:rPr>
                <w:color w:val="auto"/>
                <w:sz w:val="21"/>
                <w:szCs w:val="21"/>
                <w:highlight w:val="none"/>
              </w:rPr>
              <w:t>RVVP2*0.5</w:t>
            </w:r>
          </w:p>
        </w:tc>
        <w:tc>
          <w:tcPr>
            <w:tcW w:w="3259" w:type="dxa"/>
            <w:noWrap w:val="0"/>
            <w:vAlign w:val="center"/>
          </w:tcPr>
          <w:p w14:paraId="11673852">
            <w:pPr>
              <w:ind w:firstLine="0" w:firstLineChars="0"/>
              <w:rPr>
                <w:color w:val="auto"/>
                <w:sz w:val="21"/>
                <w:szCs w:val="21"/>
                <w:highlight w:val="none"/>
              </w:rPr>
            </w:pPr>
            <w:r>
              <w:rPr>
                <w:color w:val="auto"/>
                <w:sz w:val="21"/>
                <w:szCs w:val="21"/>
                <w:highlight w:val="none"/>
              </w:rPr>
              <w:t>309报告厅弱电柜\信号放大器</w:t>
            </w:r>
          </w:p>
        </w:tc>
      </w:tr>
      <w:tr w14:paraId="34B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259" w:type="dxa"/>
            <w:vMerge w:val="restart"/>
            <w:noWrap w:val="0"/>
            <w:vAlign w:val="center"/>
          </w:tcPr>
          <w:p w14:paraId="5204AC59">
            <w:pPr>
              <w:ind w:firstLine="0" w:firstLineChars="0"/>
              <w:jc w:val="center"/>
              <w:rPr>
                <w:color w:val="auto"/>
                <w:sz w:val="21"/>
                <w:szCs w:val="21"/>
                <w:highlight w:val="none"/>
              </w:rPr>
            </w:pPr>
            <w:r>
              <w:rPr>
                <w:color w:val="auto"/>
                <w:sz w:val="21"/>
                <w:szCs w:val="21"/>
                <w:highlight w:val="none"/>
              </w:rPr>
              <w:t>嵌入式LED面板会议灯</w:t>
            </w:r>
          </w:p>
        </w:tc>
        <w:tc>
          <w:tcPr>
            <w:tcW w:w="2443" w:type="dxa"/>
            <w:vMerge w:val="restart"/>
            <w:noWrap w:val="0"/>
            <w:vAlign w:val="center"/>
          </w:tcPr>
          <w:p w14:paraId="4C64E221">
            <w:pPr>
              <w:ind w:firstLine="0" w:firstLineChars="0"/>
              <w:jc w:val="center"/>
              <w:rPr>
                <w:color w:val="auto"/>
                <w:sz w:val="21"/>
                <w:szCs w:val="21"/>
                <w:highlight w:val="none"/>
              </w:rPr>
            </w:pPr>
            <w:r>
              <w:rPr>
                <w:color w:val="auto"/>
                <w:sz w:val="21"/>
                <w:szCs w:val="21"/>
                <w:highlight w:val="none"/>
              </w:rPr>
              <w:t>301和309报告厅舞台面光</w:t>
            </w:r>
          </w:p>
        </w:tc>
        <w:tc>
          <w:tcPr>
            <w:tcW w:w="1957" w:type="dxa"/>
            <w:vMerge w:val="restart"/>
            <w:noWrap w:val="0"/>
            <w:vAlign w:val="center"/>
          </w:tcPr>
          <w:p w14:paraId="47DB8421">
            <w:pPr>
              <w:ind w:firstLine="420"/>
              <w:jc w:val="center"/>
              <w:rPr>
                <w:color w:val="auto"/>
                <w:sz w:val="21"/>
                <w:szCs w:val="21"/>
                <w:highlight w:val="none"/>
              </w:rPr>
            </w:pPr>
          </w:p>
        </w:tc>
        <w:tc>
          <w:tcPr>
            <w:tcW w:w="1594" w:type="dxa"/>
            <w:noWrap w:val="0"/>
            <w:vAlign w:val="center"/>
          </w:tcPr>
          <w:p w14:paraId="61C76A0C">
            <w:pPr>
              <w:ind w:firstLine="420"/>
              <w:rPr>
                <w:color w:val="auto"/>
                <w:sz w:val="21"/>
                <w:szCs w:val="21"/>
                <w:highlight w:val="none"/>
              </w:rPr>
            </w:pPr>
            <w:r>
              <w:rPr>
                <w:color w:val="auto"/>
                <w:sz w:val="21"/>
                <w:szCs w:val="21"/>
                <w:highlight w:val="none"/>
              </w:rPr>
              <w:t>DAC-1</w:t>
            </w:r>
          </w:p>
        </w:tc>
        <w:tc>
          <w:tcPr>
            <w:tcW w:w="2149" w:type="dxa"/>
            <w:noWrap w:val="0"/>
            <w:vAlign w:val="center"/>
          </w:tcPr>
          <w:p w14:paraId="48A61D5F">
            <w:pPr>
              <w:ind w:firstLine="0" w:firstLineChars="0"/>
              <w:jc w:val="center"/>
              <w:rPr>
                <w:color w:val="auto"/>
                <w:sz w:val="21"/>
                <w:szCs w:val="21"/>
                <w:highlight w:val="none"/>
              </w:rPr>
            </w:pPr>
            <w:r>
              <w:rPr>
                <w:color w:val="auto"/>
                <w:sz w:val="21"/>
                <w:szCs w:val="21"/>
                <w:highlight w:val="none"/>
              </w:rPr>
              <w:t>灯间并联连接</w:t>
            </w:r>
          </w:p>
        </w:tc>
        <w:tc>
          <w:tcPr>
            <w:tcW w:w="2014" w:type="dxa"/>
            <w:noWrap w:val="0"/>
            <w:vAlign w:val="center"/>
          </w:tcPr>
          <w:p w14:paraId="70683E08">
            <w:pPr>
              <w:ind w:firstLine="0" w:firstLineChars="0"/>
              <w:jc w:val="center"/>
              <w:rPr>
                <w:color w:val="auto"/>
                <w:sz w:val="21"/>
                <w:szCs w:val="21"/>
                <w:highlight w:val="none"/>
              </w:rPr>
            </w:pPr>
            <w:r>
              <w:rPr>
                <w:color w:val="auto"/>
                <w:sz w:val="21"/>
                <w:szCs w:val="21"/>
                <w:highlight w:val="none"/>
              </w:rPr>
              <w:t>RVV3*3</w:t>
            </w:r>
          </w:p>
        </w:tc>
        <w:tc>
          <w:tcPr>
            <w:tcW w:w="3259" w:type="dxa"/>
            <w:noWrap w:val="0"/>
            <w:vAlign w:val="center"/>
          </w:tcPr>
          <w:p w14:paraId="523D49C9">
            <w:pPr>
              <w:ind w:firstLine="0" w:firstLineChars="0"/>
              <w:rPr>
                <w:color w:val="auto"/>
                <w:sz w:val="21"/>
                <w:szCs w:val="21"/>
                <w:highlight w:val="none"/>
              </w:rPr>
            </w:pPr>
            <w:r>
              <w:rPr>
                <w:color w:val="auto"/>
                <w:sz w:val="21"/>
                <w:szCs w:val="21"/>
                <w:highlight w:val="none"/>
              </w:rPr>
              <w:t>301报告厅强电柜\电源直通箱</w:t>
            </w:r>
          </w:p>
        </w:tc>
      </w:tr>
      <w:tr w14:paraId="6EE9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259" w:type="dxa"/>
            <w:vMerge w:val="continue"/>
            <w:noWrap w:val="0"/>
            <w:vAlign w:val="center"/>
          </w:tcPr>
          <w:p w14:paraId="49645E2D">
            <w:pPr>
              <w:ind w:firstLine="420"/>
              <w:jc w:val="center"/>
              <w:rPr>
                <w:color w:val="auto"/>
                <w:sz w:val="21"/>
                <w:szCs w:val="21"/>
                <w:highlight w:val="none"/>
              </w:rPr>
            </w:pPr>
          </w:p>
        </w:tc>
        <w:tc>
          <w:tcPr>
            <w:tcW w:w="2443" w:type="dxa"/>
            <w:vMerge w:val="continue"/>
            <w:noWrap w:val="0"/>
            <w:vAlign w:val="center"/>
          </w:tcPr>
          <w:p w14:paraId="7989027A">
            <w:pPr>
              <w:ind w:firstLine="420"/>
              <w:jc w:val="center"/>
              <w:rPr>
                <w:color w:val="auto"/>
                <w:sz w:val="21"/>
                <w:szCs w:val="21"/>
                <w:highlight w:val="none"/>
              </w:rPr>
            </w:pPr>
          </w:p>
        </w:tc>
        <w:tc>
          <w:tcPr>
            <w:tcW w:w="1957" w:type="dxa"/>
            <w:vMerge w:val="continue"/>
            <w:noWrap w:val="0"/>
            <w:vAlign w:val="center"/>
          </w:tcPr>
          <w:p w14:paraId="2143F242">
            <w:pPr>
              <w:ind w:firstLine="420"/>
              <w:jc w:val="center"/>
              <w:rPr>
                <w:color w:val="auto"/>
                <w:sz w:val="21"/>
                <w:szCs w:val="21"/>
                <w:highlight w:val="none"/>
              </w:rPr>
            </w:pPr>
          </w:p>
        </w:tc>
        <w:tc>
          <w:tcPr>
            <w:tcW w:w="1594" w:type="dxa"/>
            <w:noWrap w:val="0"/>
            <w:vAlign w:val="center"/>
          </w:tcPr>
          <w:p w14:paraId="2C8B4455">
            <w:pPr>
              <w:ind w:firstLine="420"/>
              <w:rPr>
                <w:color w:val="auto"/>
                <w:sz w:val="21"/>
                <w:szCs w:val="21"/>
                <w:highlight w:val="none"/>
              </w:rPr>
            </w:pPr>
            <w:r>
              <w:rPr>
                <w:color w:val="auto"/>
                <w:sz w:val="21"/>
                <w:szCs w:val="21"/>
                <w:highlight w:val="none"/>
              </w:rPr>
              <w:t>DMX-1</w:t>
            </w:r>
          </w:p>
        </w:tc>
        <w:tc>
          <w:tcPr>
            <w:tcW w:w="2149" w:type="dxa"/>
            <w:noWrap w:val="0"/>
            <w:vAlign w:val="center"/>
          </w:tcPr>
          <w:p w14:paraId="4A9C263B">
            <w:pPr>
              <w:ind w:firstLine="0" w:firstLineChars="0"/>
              <w:jc w:val="center"/>
              <w:rPr>
                <w:color w:val="auto"/>
                <w:sz w:val="21"/>
                <w:szCs w:val="21"/>
                <w:highlight w:val="none"/>
              </w:rPr>
            </w:pPr>
            <w:r>
              <w:rPr>
                <w:color w:val="auto"/>
                <w:sz w:val="21"/>
                <w:szCs w:val="21"/>
                <w:highlight w:val="none"/>
              </w:rPr>
              <w:t>灯间串联连接</w:t>
            </w:r>
          </w:p>
        </w:tc>
        <w:tc>
          <w:tcPr>
            <w:tcW w:w="2014" w:type="dxa"/>
            <w:noWrap w:val="0"/>
            <w:vAlign w:val="center"/>
          </w:tcPr>
          <w:p w14:paraId="5BE4A75E">
            <w:pPr>
              <w:ind w:firstLine="0" w:firstLineChars="0"/>
              <w:jc w:val="center"/>
              <w:rPr>
                <w:color w:val="auto"/>
                <w:sz w:val="21"/>
                <w:szCs w:val="21"/>
                <w:highlight w:val="none"/>
              </w:rPr>
            </w:pPr>
            <w:r>
              <w:rPr>
                <w:color w:val="auto"/>
                <w:sz w:val="21"/>
                <w:szCs w:val="21"/>
                <w:highlight w:val="none"/>
              </w:rPr>
              <w:t>RVVP2*0.5</w:t>
            </w:r>
          </w:p>
        </w:tc>
        <w:tc>
          <w:tcPr>
            <w:tcW w:w="3259" w:type="dxa"/>
            <w:noWrap w:val="0"/>
            <w:vAlign w:val="center"/>
          </w:tcPr>
          <w:p w14:paraId="57431DDF">
            <w:pPr>
              <w:ind w:firstLine="0" w:firstLineChars="0"/>
              <w:rPr>
                <w:color w:val="auto"/>
                <w:sz w:val="21"/>
                <w:szCs w:val="21"/>
                <w:highlight w:val="none"/>
              </w:rPr>
            </w:pPr>
            <w:r>
              <w:rPr>
                <w:color w:val="auto"/>
                <w:sz w:val="21"/>
                <w:szCs w:val="21"/>
                <w:highlight w:val="none"/>
              </w:rPr>
              <w:t>301报告厅弱电柜\信号放大器</w:t>
            </w:r>
          </w:p>
        </w:tc>
      </w:tr>
      <w:tr w14:paraId="3E0C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259" w:type="dxa"/>
            <w:vMerge w:val="continue"/>
            <w:noWrap w:val="0"/>
            <w:vAlign w:val="center"/>
          </w:tcPr>
          <w:p w14:paraId="3F09B2E0">
            <w:pPr>
              <w:ind w:firstLine="420"/>
              <w:jc w:val="center"/>
              <w:rPr>
                <w:color w:val="auto"/>
                <w:sz w:val="21"/>
                <w:szCs w:val="21"/>
                <w:highlight w:val="none"/>
              </w:rPr>
            </w:pPr>
          </w:p>
        </w:tc>
        <w:tc>
          <w:tcPr>
            <w:tcW w:w="2443" w:type="dxa"/>
            <w:vMerge w:val="continue"/>
            <w:noWrap w:val="0"/>
            <w:vAlign w:val="center"/>
          </w:tcPr>
          <w:p w14:paraId="60E8FFC6">
            <w:pPr>
              <w:ind w:firstLine="420"/>
              <w:jc w:val="center"/>
              <w:rPr>
                <w:color w:val="auto"/>
                <w:sz w:val="21"/>
                <w:szCs w:val="21"/>
                <w:highlight w:val="none"/>
              </w:rPr>
            </w:pPr>
          </w:p>
        </w:tc>
        <w:tc>
          <w:tcPr>
            <w:tcW w:w="1957" w:type="dxa"/>
            <w:vMerge w:val="continue"/>
            <w:noWrap w:val="0"/>
            <w:vAlign w:val="center"/>
          </w:tcPr>
          <w:p w14:paraId="568F9FCB">
            <w:pPr>
              <w:ind w:firstLine="420"/>
              <w:jc w:val="center"/>
              <w:rPr>
                <w:color w:val="auto"/>
                <w:sz w:val="21"/>
                <w:szCs w:val="21"/>
                <w:highlight w:val="none"/>
              </w:rPr>
            </w:pPr>
          </w:p>
        </w:tc>
        <w:tc>
          <w:tcPr>
            <w:tcW w:w="1594" w:type="dxa"/>
            <w:noWrap w:val="0"/>
            <w:vAlign w:val="center"/>
          </w:tcPr>
          <w:p w14:paraId="6267B64A">
            <w:pPr>
              <w:ind w:firstLine="420"/>
              <w:rPr>
                <w:color w:val="auto"/>
                <w:sz w:val="21"/>
                <w:szCs w:val="21"/>
                <w:highlight w:val="none"/>
              </w:rPr>
            </w:pPr>
            <w:r>
              <w:rPr>
                <w:color w:val="auto"/>
                <w:sz w:val="21"/>
                <w:szCs w:val="21"/>
                <w:highlight w:val="none"/>
              </w:rPr>
              <w:t>DAC-2</w:t>
            </w:r>
          </w:p>
        </w:tc>
        <w:tc>
          <w:tcPr>
            <w:tcW w:w="2149" w:type="dxa"/>
            <w:noWrap w:val="0"/>
            <w:vAlign w:val="center"/>
          </w:tcPr>
          <w:p w14:paraId="1B5D5A75">
            <w:pPr>
              <w:ind w:firstLine="0" w:firstLineChars="0"/>
              <w:jc w:val="center"/>
              <w:rPr>
                <w:color w:val="auto"/>
                <w:sz w:val="21"/>
                <w:szCs w:val="21"/>
                <w:highlight w:val="none"/>
              </w:rPr>
            </w:pPr>
            <w:r>
              <w:rPr>
                <w:color w:val="auto"/>
                <w:sz w:val="21"/>
                <w:szCs w:val="21"/>
                <w:highlight w:val="none"/>
              </w:rPr>
              <w:t>灯间并联连接</w:t>
            </w:r>
          </w:p>
        </w:tc>
        <w:tc>
          <w:tcPr>
            <w:tcW w:w="2014" w:type="dxa"/>
            <w:noWrap w:val="0"/>
            <w:vAlign w:val="center"/>
          </w:tcPr>
          <w:p w14:paraId="3625AF45">
            <w:pPr>
              <w:ind w:firstLine="0" w:firstLineChars="0"/>
              <w:jc w:val="center"/>
              <w:rPr>
                <w:color w:val="auto"/>
                <w:sz w:val="21"/>
                <w:szCs w:val="21"/>
                <w:highlight w:val="none"/>
              </w:rPr>
            </w:pPr>
            <w:r>
              <w:rPr>
                <w:color w:val="auto"/>
                <w:sz w:val="21"/>
                <w:szCs w:val="21"/>
                <w:highlight w:val="none"/>
              </w:rPr>
              <w:t>RVV3*3</w:t>
            </w:r>
          </w:p>
        </w:tc>
        <w:tc>
          <w:tcPr>
            <w:tcW w:w="3259" w:type="dxa"/>
            <w:noWrap w:val="0"/>
            <w:vAlign w:val="center"/>
          </w:tcPr>
          <w:p w14:paraId="76ECB015">
            <w:pPr>
              <w:ind w:firstLine="0" w:firstLineChars="0"/>
              <w:rPr>
                <w:color w:val="auto"/>
                <w:sz w:val="21"/>
                <w:szCs w:val="21"/>
                <w:highlight w:val="none"/>
              </w:rPr>
            </w:pPr>
            <w:r>
              <w:rPr>
                <w:color w:val="auto"/>
                <w:sz w:val="21"/>
                <w:szCs w:val="21"/>
                <w:highlight w:val="none"/>
              </w:rPr>
              <w:t>309报告厅强电柜\电源直通箱</w:t>
            </w:r>
          </w:p>
        </w:tc>
      </w:tr>
      <w:tr w14:paraId="7B60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259" w:type="dxa"/>
            <w:vMerge w:val="continue"/>
            <w:noWrap w:val="0"/>
            <w:vAlign w:val="center"/>
          </w:tcPr>
          <w:p w14:paraId="60D59A64">
            <w:pPr>
              <w:ind w:firstLine="420"/>
              <w:jc w:val="center"/>
              <w:rPr>
                <w:color w:val="auto"/>
                <w:sz w:val="21"/>
                <w:szCs w:val="21"/>
                <w:highlight w:val="none"/>
              </w:rPr>
            </w:pPr>
          </w:p>
        </w:tc>
        <w:tc>
          <w:tcPr>
            <w:tcW w:w="2443" w:type="dxa"/>
            <w:vMerge w:val="continue"/>
            <w:noWrap w:val="0"/>
            <w:vAlign w:val="center"/>
          </w:tcPr>
          <w:p w14:paraId="7E8FF4A5">
            <w:pPr>
              <w:ind w:firstLine="420"/>
              <w:jc w:val="center"/>
              <w:rPr>
                <w:color w:val="auto"/>
                <w:sz w:val="21"/>
                <w:szCs w:val="21"/>
                <w:highlight w:val="none"/>
              </w:rPr>
            </w:pPr>
          </w:p>
        </w:tc>
        <w:tc>
          <w:tcPr>
            <w:tcW w:w="1957" w:type="dxa"/>
            <w:vMerge w:val="continue"/>
            <w:noWrap w:val="0"/>
            <w:vAlign w:val="center"/>
          </w:tcPr>
          <w:p w14:paraId="35ACE3A5">
            <w:pPr>
              <w:ind w:firstLine="420"/>
              <w:jc w:val="center"/>
              <w:rPr>
                <w:color w:val="auto"/>
                <w:sz w:val="21"/>
                <w:szCs w:val="21"/>
                <w:highlight w:val="none"/>
              </w:rPr>
            </w:pPr>
          </w:p>
        </w:tc>
        <w:tc>
          <w:tcPr>
            <w:tcW w:w="1594" w:type="dxa"/>
            <w:noWrap w:val="0"/>
            <w:vAlign w:val="center"/>
          </w:tcPr>
          <w:p w14:paraId="3AEC44FF">
            <w:pPr>
              <w:ind w:firstLine="420"/>
              <w:rPr>
                <w:color w:val="auto"/>
                <w:sz w:val="21"/>
                <w:szCs w:val="21"/>
                <w:highlight w:val="none"/>
              </w:rPr>
            </w:pPr>
            <w:r>
              <w:rPr>
                <w:color w:val="auto"/>
                <w:sz w:val="21"/>
                <w:szCs w:val="21"/>
                <w:highlight w:val="none"/>
              </w:rPr>
              <w:t>DMX-2</w:t>
            </w:r>
          </w:p>
        </w:tc>
        <w:tc>
          <w:tcPr>
            <w:tcW w:w="2149" w:type="dxa"/>
            <w:noWrap w:val="0"/>
            <w:vAlign w:val="center"/>
          </w:tcPr>
          <w:p w14:paraId="0AB07CD4">
            <w:pPr>
              <w:ind w:firstLine="0" w:firstLineChars="0"/>
              <w:jc w:val="center"/>
              <w:rPr>
                <w:color w:val="auto"/>
                <w:sz w:val="21"/>
                <w:szCs w:val="21"/>
                <w:highlight w:val="none"/>
              </w:rPr>
            </w:pPr>
            <w:r>
              <w:rPr>
                <w:color w:val="auto"/>
                <w:sz w:val="21"/>
                <w:szCs w:val="21"/>
                <w:highlight w:val="none"/>
              </w:rPr>
              <w:t>灯间串联连接</w:t>
            </w:r>
          </w:p>
        </w:tc>
        <w:tc>
          <w:tcPr>
            <w:tcW w:w="2014" w:type="dxa"/>
            <w:noWrap w:val="0"/>
            <w:vAlign w:val="center"/>
          </w:tcPr>
          <w:p w14:paraId="3C2FBD3A">
            <w:pPr>
              <w:ind w:firstLine="0" w:firstLineChars="0"/>
              <w:jc w:val="center"/>
              <w:rPr>
                <w:color w:val="auto"/>
                <w:sz w:val="21"/>
                <w:szCs w:val="21"/>
                <w:highlight w:val="none"/>
              </w:rPr>
            </w:pPr>
            <w:r>
              <w:rPr>
                <w:color w:val="auto"/>
                <w:sz w:val="21"/>
                <w:szCs w:val="21"/>
                <w:highlight w:val="none"/>
              </w:rPr>
              <w:t>RVVP2*0.5</w:t>
            </w:r>
          </w:p>
        </w:tc>
        <w:tc>
          <w:tcPr>
            <w:tcW w:w="3259" w:type="dxa"/>
            <w:noWrap w:val="0"/>
            <w:vAlign w:val="center"/>
          </w:tcPr>
          <w:p w14:paraId="56688892">
            <w:pPr>
              <w:ind w:firstLine="0" w:firstLineChars="0"/>
              <w:rPr>
                <w:color w:val="auto"/>
                <w:sz w:val="21"/>
                <w:szCs w:val="21"/>
                <w:highlight w:val="none"/>
              </w:rPr>
            </w:pPr>
            <w:r>
              <w:rPr>
                <w:color w:val="auto"/>
                <w:sz w:val="21"/>
                <w:szCs w:val="21"/>
                <w:highlight w:val="none"/>
              </w:rPr>
              <w:t>309报告厅弱电柜\信号放大器</w:t>
            </w:r>
          </w:p>
        </w:tc>
      </w:tr>
      <w:tr w14:paraId="5709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259" w:type="dxa"/>
            <w:vMerge w:val="restart"/>
            <w:noWrap w:val="0"/>
            <w:vAlign w:val="center"/>
          </w:tcPr>
          <w:p w14:paraId="3135FA6E">
            <w:pPr>
              <w:ind w:firstLine="0" w:firstLineChars="0"/>
              <w:jc w:val="center"/>
              <w:rPr>
                <w:color w:val="auto"/>
                <w:sz w:val="21"/>
                <w:szCs w:val="21"/>
                <w:highlight w:val="none"/>
              </w:rPr>
            </w:pPr>
            <w:r>
              <w:rPr>
                <w:color w:val="auto"/>
                <w:sz w:val="21"/>
                <w:szCs w:val="21"/>
                <w:highlight w:val="none"/>
              </w:rPr>
              <w:t>多媒体智能IOT平台</w:t>
            </w:r>
          </w:p>
        </w:tc>
        <w:tc>
          <w:tcPr>
            <w:tcW w:w="2443" w:type="dxa"/>
            <w:vMerge w:val="restart"/>
            <w:noWrap w:val="0"/>
            <w:vAlign w:val="center"/>
          </w:tcPr>
          <w:p w14:paraId="2C739A7C">
            <w:pPr>
              <w:ind w:firstLine="0" w:firstLineChars="0"/>
              <w:jc w:val="center"/>
              <w:rPr>
                <w:color w:val="auto"/>
                <w:sz w:val="21"/>
                <w:szCs w:val="21"/>
                <w:highlight w:val="none"/>
              </w:rPr>
            </w:pPr>
            <w:r>
              <w:rPr>
                <w:color w:val="auto"/>
                <w:sz w:val="21"/>
                <w:szCs w:val="21"/>
                <w:highlight w:val="none"/>
              </w:rPr>
              <w:t>301报告厅、309报告厅、310会议室、313以及314会议室</w:t>
            </w:r>
          </w:p>
        </w:tc>
        <w:tc>
          <w:tcPr>
            <w:tcW w:w="1957" w:type="dxa"/>
            <w:vMerge w:val="restart"/>
            <w:noWrap w:val="0"/>
            <w:vAlign w:val="center"/>
          </w:tcPr>
          <w:p w14:paraId="455587D8">
            <w:pPr>
              <w:ind w:firstLine="480"/>
              <w:jc w:val="center"/>
              <w:rPr>
                <w:color w:val="auto"/>
                <w:highlight w:val="none"/>
              </w:rPr>
            </w:pPr>
          </w:p>
        </w:tc>
        <w:tc>
          <w:tcPr>
            <w:tcW w:w="1594" w:type="dxa"/>
            <w:noWrap w:val="0"/>
            <w:vAlign w:val="center"/>
          </w:tcPr>
          <w:p w14:paraId="6406717E">
            <w:pPr>
              <w:ind w:firstLine="0" w:firstLineChars="0"/>
              <w:jc w:val="center"/>
              <w:rPr>
                <w:color w:val="auto"/>
                <w:highlight w:val="none"/>
              </w:rPr>
            </w:pPr>
            <w:r>
              <w:rPr>
                <w:color w:val="auto"/>
                <w:sz w:val="21"/>
                <w:szCs w:val="21"/>
                <w:highlight w:val="none"/>
              </w:rPr>
              <w:t>TJ-122</w:t>
            </w:r>
          </w:p>
        </w:tc>
        <w:tc>
          <w:tcPr>
            <w:tcW w:w="2149" w:type="dxa"/>
            <w:noWrap w:val="0"/>
            <w:vAlign w:val="center"/>
          </w:tcPr>
          <w:p w14:paraId="5938E970">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1D9E29B5">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22401BFD">
            <w:pPr>
              <w:ind w:firstLine="0" w:firstLineChars="0"/>
              <w:jc w:val="center"/>
              <w:rPr>
                <w:color w:val="auto"/>
                <w:highlight w:val="none"/>
              </w:rPr>
            </w:pPr>
            <w:r>
              <w:rPr>
                <w:color w:val="auto"/>
                <w:sz w:val="21"/>
                <w:szCs w:val="21"/>
                <w:highlight w:val="none"/>
              </w:rPr>
              <w:t>弱电柜\301报告厅网络交换机</w:t>
            </w:r>
          </w:p>
        </w:tc>
      </w:tr>
      <w:tr w14:paraId="583B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259" w:type="dxa"/>
            <w:vMerge w:val="continue"/>
            <w:noWrap w:val="0"/>
            <w:vAlign w:val="center"/>
          </w:tcPr>
          <w:p w14:paraId="00A9BF0D">
            <w:pPr>
              <w:ind w:firstLine="480"/>
              <w:jc w:val="center"/>
              <w:rPr>
                <w:color w:val="auto"/>
                <w:highlight w:val="none"/>
              </w:rPr>
            </w:pPr>
          </w:p>
        </w:tc>
        <w:tc>
          <w:tcPr>
            <w:tcW w:w="2443" w:type="dxa"/>
            <w:vMerge w:val="continue"/>
            <w:noWrap w:val="0"/>
            <w:vAlign w:val="center"/>
          </w:tcPr>
          <w:p w14:paraId="07FE5ED2">
            <w:pPr>
              <w:ind w:firstLine="480"/>
              <w:jc w:val="center"/>
              <w:rPr>
                <w:color w:val="auto"/>
                <w:highlight w:val="none"/>
              </w:rPr>
            </w:pPr>
          </w:p>
        </w:tc>
        <w:tc>
          <w:tcPr>
            <w:tcW w:w="1957" w:type="dxa"/>
            <w:vMerge w:val="continue"/>
            <w:noWrap w:val="0"/>
            <w:vAlign w:val="center"/>
          </w:tcPr>
          <w:p w14:paraId="2CF68AD4">
            <w:pPr>
              <w:ind w:firstLine="480"/>
              <w:jc w:val="center"/>
              <w:rPr>
                <w:color w:val="auto"/>
                <w:highlight w:val="none"/>
              </w:rPr>
            </w:pPr>
          </w:p>
        </w:tc>
        <w:tc>
          <w:tcPr>
            <w:tcW w:w="1594" w:type="dxa"/>
            <w:noWrap w:val="0"/>
            <w:vAlign w:val="center"/>
          </w:tcPr>
          <w:p w14:paraId="52E610C7">
            <w:pPr>
              <w:ind w:firstLine="0" w:firstLineChars="0"/>
              <w:jc w:val="center"/>
              <w:rPr>
                <w:color w:val="auto"/>
                <w:highlight w:val="none"/>
              </w:rPr>
            </w:pPr>
            <w:r>
              <w:rPr>
                <w:color w:val="auto"/>
                <w:sz w:val="21"/>
                <w:szCs w:val="21"/>
                <w:highlight w:val="none"/>
              </w:rPr>
              <w:t>TJ-123</w:t>
            </w:r>
          </w:p>
        </w:tc>
        <w:tc>
          <w:tcPr>
            <w:tcW w:w="2149" w:type="dxa"/>
            <w:noWrap w:val="0"/>
            <w:vAlign w:val="center"/>
          </w:tcPr>
          <w:p w14:paraId="077515FF">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528744A1">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6F689A5A">
            <w:pPr>
              <w:ind w:firstLine="0" w:firstLineChars="0"/>
              <w:jc w:val="center"/>
              <w:rPr>
                <w:color w:val="auto"/>
                <w:highlight w:val="none"/>
              </w:rPr>
            </w:pPr>
            <w:r>
              <w:rPr>
                <w:color w:val="auto"/>
                <w:sz w:val="21"/>
                <w:szCs w:val="21"/>
                <w:highlight w:val="none"/>
              </w:rPr>
              <w:t>弱电柜\309报告厅网络交换机</w:t>
            </w:r>
          </w:p>
        </w:tc>
      </w:tr>
      <w:tr w14:paraId="6DB5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259" w:type="dxa"/>
            <w:vMerge w:val="continue"/>
            <w:noWrap w:val="0"/>
            <w:vAlign w:val="center"/>
          </w:tcPr>
          <w:p w14:paraId="04C7D592">
            <w:pPr>
              <w:ind w:firstLine="480"/>
              <w:jc w:val="center"/>
              <w:rPr>
                <w:color w:val="auto"/>
                <w:highlight w:val="none"/>
              </w:rPr>
            </w:pPr>
          </w:p>
        </w:tc>
        <w:tc>
          <w:tcPr>
            <w:tcW w:w="2443" w:type="dxa"/>
            <w:vMerge w:val="continue"/>
            <w:noWrap w:val="0"/>
            <w:vAlign w:val="center"/>
          </w:tcPr>
          <w:p w14:paraId="191943CE">
            <w:pPr>
              <w:ind w:firstLine="480"/>
              <w:jc w:val="center"/>
              <w:rPr>
                <w:color w:val="auto"/>
                <w:highlight w:val="none"/>
              </w:rPr>
            </w:pPr>
          </w:p>
        </w:tc>
        <w:tc>
          <w:tcPr>
            <w:tcW w:w="1957" w:type="dxa"/>
            <w:vMerge w:val="continue"/>
            <w:noWrap w:val="0"/>
            <w:vAlign w:val="center"/>
          </w:tcPr>
          <w:p w14:paraId="4BEB2045">
            <w:pPr>
              <w:ind w:firstLine="480"/>
              <w:jc w:val="center"/>
              <w:rPr>
                <w:color w:val="auto"/>
                <w:highlight w:val="none"/>
              </w:rPr>
            </w:pPr>
          </w:p>
        </w:tc>
        <w:tc>
          <w:tcPr>
            <w:tcW w:w="1594" w:type="dxa"/>
            <w:noWrap w:val="0"/>
            <w:vAlign w:val="center"/>
          </w:tcPr>
          <w:p w14:paraId="0FDE93CD">
            <w:pPr>
              <w:ind w:firstLine="0" w:firstLineChars="0"/>
              <w:jc w:val="center"/>
              <w:rPr>
                <w:color w:val="auto"/>
                <w:highlight w:val="none"/>
              </w:rPr>
            </w:pPr>
            <w:r>
              <w:rPr>
                <w:color w:val="auto"/>
                <w:sz w:val="21"/>
                <w:szCs w:val="21"/>
                <w:highlight w:val="none"/>
              </w:rPr>
              <w:t>TJ-124</w:t>
            </w:r>
          </w:p>
        </w:tc>
        <w:tc>
          <w:tcPr>
            <w:tcW w:w="2149" w:type="dxa"/>
            <w:noWrap w:val="0"/>
            <w:vAlign w:val="center"/>
          </w:tcPr>
          <w:p w14:paraId="0ECCA97B">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4EF20FAC">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04729447">
            <w:pPr>
              <w:ind w:firstLine="0" w:firstLineChars="0"/>
              <w:jc w:val="center"/>
              <w:rPr>
                <w:color w:val="auto"/>
                <w:highlight w:val="none"/>
              </w:rPr>
            </w:pPr>
            <w:r>
              <w:rPr>
                <w:color w:val="auto"/>
                <w:sz w:val="21"/>
                <w:szCs w:val="21"/>
                <w:highlight w:val="none"/>
              </w:rPr>
              <w:t>弱电柜\310会议室网络交换机</w:t>
            </w:r>
          </w:p>
        </w:tc>
      </w:tr>
      <w:tr w14:paraId="0DD5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259" w:type="dxa"/>
            <w:vMerge w:val="continue"/>
            <w:noWrap w:val="0"/>
            <w:vAlign w:val="center"/>
          </w:tcPr>
          <w:p w14:paraId="5DE6F4E7">
            <w:pPr>
              <w:ind w:firstLine="480"/>
              <w:jc w:val="center"/>
              <w:rPr>
                <w:color w:val="auto"/>
                <w:highlight w:val="none"/>
              </w:rPr>
            </w:pPr>
          </w:p>
        </w:tc>
        <w:tc>
          <w:tcPr>
            <w:tcW w:w="2443" w:type="dxa"/>
            <w:vMerge w:val="continue"/>
            <w:noWrap w:val="0"/>
            <w:vAlign w:val="center"/>
          </w:tcPr>
          <w:p w14:paraId="36AAF297">
            <w:pPr>
              <w:ind w:firstLine="480"/>
              <w:jc w:val="center"/>
              <w:rPr>
                <w:color w:val="auto"/>
                <w:highlight w:val="none"/>
              </w:rPr>
            </w:pPr>
          </w:p>
        </w:tc>
        <w:tc>
          <w:tcPr>
            <w:tcW w:w="1957" w:type="dxa"/>
            <w:vMerge w:val="continue"/>
            <w:noWrap w:val="0"/>
            <w:vAlign w:val="center"/>
          </w:tcPr>
          <w:p w14:paraId="7185870F">
            <w:pPr>
              <w:ind w:firstLine="480"/>
              <w:jc w:val="center"/>
              <w:rPr>
                <w:color w:val="auto"/>
                <w:highlight w:val="none"/>
              </w:rPr>
            </w:pPr>
          </w:p>
        </w:tc>
        <w:tc>
          <w:tcPr>
            <w:tcW w:w="1594" w:type="dxa"/>
            <w:noWrap w:val="0"/>
            <w:vAlign w:val="center"/>
          </w:tcPr>
          <w:p w14:paraId="3E59D106">
            <w:pPr>
              <w:ind w:firstLine="0" w:firstLineChars="0"/>
              <w:jc w:val="center"/>
              <w:rPr>
                <w:color w:val="auto"/>
                <w:highlight w:val="none"/>
              </w:rPr>
            </w:pPr>
            <w:r>
              <w:rPr>
                <w:color w:val="auto"/>
                <w:sz w:val="21"/>
                <w:szCs w:val="21"/>
                <w:highlight w:val="none"/>
              </w:rPr>
              <w:t>TJ-125</w:t>
            </w:r>
          </w:p>
        </w:tc>
        <w:tc>
          <w:tcPr>
            <w:tcW w:w="2149" w:type="dxa"/>
            <w:noWrap w:val="0"/>
            <w:vAlign w:val="center"/>
          </w:tcPr>
          <w:p w14:paraId="2A7FBA28">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03F66159">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74C32047">
            <w:pPr>
              <w:ind w:firstLine="0" w:firstLineChars="0"/>
              <w:jc w:val="center"/>
              <w:rPr>
                <w:color w:val="auto"/>
                <w:highlight w:val="none"/>
              </w:rPr>
            </w:pPr>
            <w:r>
              <w:rPr>
                <w:color w:val="auto"/>
                <w:sz w:val="21"/>
                <w:szCs w:val="21"/>
                <w:highlight w:val="none"/>
              </w:rPr>
              <w:t>弱电柜\313会议室网络交换机</w:t>
            </w:r>
          </w:p>
        </w:tc>
      </w:tr>
      <w:tr w14:paraId="5BBC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59" w:type="dxa"/>
            <w:vMerge w:val="continue"/>
            <w:noWrap w:val="0"/>
            <w:vAlign w:val="center"/>
          </w:tcPr>
          <w:p w14:paraId="77BEE9F4">
            <w:pPr>
              <w:ind w:firstLine="480"/>
              <w:jc w:val="center"/>
              <w:rPr>
                <w:color w:val="auto"/>
                <w:highlight w:val="none"/>
              </w:rPr>
            </w:pPr>
          </w:p>
        </w:tc>
        <w:tc>
          <w:tcPr>
            <w:tcW w:w="2443" w:type="dxa"/>
            <w:vMerge w:val="continue"/>
            <w:noWrap w:val="0"/>
            <w:vAlign w:val="center"/>
          </w:tcPr>
          <w:p w14:paraId="71513E23">
            <w:pPr>
              <w:ind w:firstLine="480"/>
              <w:jc w:val="center"/>
              <w:rPr>
                <w:color w:val="auto"/>
                <w:highlight w:val="none"/>
              </w:rPr>
            </w:pPr>
          </w:p>
        </w:tc>
        <w:tc>
          <w:tcPr>
            <w:tcW w:w="1957" w:type="dxa"/>
            <w:vMerge w:val="continue"/>
            <w:noWrap w:val="0"/>
            <w:vAlign w:val="center"/>
          </w:tcPr>
          <w:p w14:paraId="78135E02">
            <w:pPr>
              <w:ind w:firstLine="480"/>
              <w:jc w:val="center"/>
              <w:rPr>
                <w:color w:val="auto"/>
                <w:highlight w:val="none"/>
              </w:rPr>
            </w:pPr>
          </w:p>
        </w:tc>
        <w:tc>
          <w:tcPr>
            <w:tcW w:w="1594" w:type="dxa"/>
            <w:noWrap w:val="0"/>
            <w:vAlign w:val="center"/>
          </w:tcPr>
          <w:p w14:paraId="21111D2D">
            <w:pPr>
              <w:ind w:firstLine="0" w:firstLineChars="0"/>
              <w:jc w:val="center"/>
              <w:rPr>
                <w:color w:val="auto"/>
                <w:highlight w:val="none"/>
              </w:rPr>
            </w:pPr>
            <w:r>
              <w:rPr>
                <w:color w:val="auto"/>
                <w:sz w:val="21"/>
                <w:szCs w:val="21"/>
                <w:highlight w:val="none"/>
              </w:rPr>
              <w:t>TJ-126</w:t>
            </w:r>
          </w:p>
        </w:tc>
        <w:tc>
          <w:tcPr>
            <w:tcW w:w="2149" w:type="dxa"/>
            <w:noWrap w:val="0"/>
            <w:vAlign w:val="center"/>
          </w:tcPr>
          <w:p w14:paraId="4EC6417A">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48E509D8">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366CE94F">
            <w:pPr>
              <w:ind w:firstLine="0" w:firstLineChars="0"/>
              <w:jc w:val="center"/>
              <w:rPr>
                <w:color w:val="auto"/>
                <w:highlight w:val="none"/>
              </w:rPr>
            </w:pPr>
            <w:r>
              <w:rPr>
                <w:color w:val="auto"/>
                <w:sz w:val="21"/>
                <w:szCs w:val="21"/>
                <w:highlight w:val="none"/>
              </w:rPr>
              <w:t>弱电柜\314会议室网络交换机</w:t>
            </w:r>
          </w:p>
        </w:tc>
      </w:tr>
      <w:tr w14:paraId="6F0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47FABFCC">
            <w:pPr>
              <w:ind w:firstLine="0" w:firstLineChars="0"/>
              <w:jc w:val="center"/>
              <w:rPr>
                <w:color w:val="auto"/>
                <w:highlight w:val="none"/>
              </w:rPr>
            </w:pPr>
          </w:p>
        </w:tc>
        <w:tc>
          <w:tcPr>
            <w:tcW w:w="2443" w:type="dxa"/>
            <w:vMerge w:val="continue"/>
            <w:noWrap w:val="0"/>
            <w:vAlign w:val="center"/>
          </w:tcPr>
          <w:p w14:paraId="14BC8932">
            <w:pPr>
              <w:ind w:firstLine="0" w:firstLineChars="0"/>
              <w:jc w:val="center"/>
              <w:rPr>
                <w:color w:val="auto"/>
                <w:highlight w:val="none"/>
              </w:rPr>
            </w:pPr>
          </w:p>
        </w:tc>
        <w:tc>
          <w:tcPr>
            <w:tcW w:w="1957" w:type="dxa"/>
            <w:vMerge w:val="continue"/>
            <w:noWrap w:val="0"/>
            <w:vAlign w:val="center"/>
          </w:tcPr>
          <w:p w14:paraId="15D176AD">
            <w:pPr>
              <w:ind w:firstLine="0" w:firstLineChars="0"/>
              <w:jc w:val="center"/>
              <w:rPr>
                <w:color w:val="auto"/>
                <w:highlight w:val="none"/>
              </w:rPr>
            </w:pPr>
          </w:p>
        </w:tc>
        <w:tc>
          <w:tcPr>
            <w:tcW w:w="1594" w:type="dxa"/>
            <w:noWrap w:val="0"/>
            <w:vAlign w:val="center"/>
          </w:tcPr>
          <w:p w14:paraId="5F89A22F">
            <w:pPr>
              <w:ind w:firstLine="0" w:firstLineChars="0"/>
              <w:jc w:val="center"/>
              <w:rPr>
                <w:color w:val="auto"/>
                <w:sz w:val="21"/>
                <w:szCs w:val="21"/>
                <w:highlight w:val="none"/>
              </w:rPr>
            </w:pPr>
            <w:r>
              <w:rPr>
                <w:color w:val="auto"/>
                <w:sz w:val="21"/>
                <w:szCs w:val="21"/>
                <w:highlight w:val="none"/>
              </w:rPr>
              <w:t>HD-10</w:t>
            </w:r>
          </w:p>
        </w:tc>
        <w:tc>
          <w:tcPr>
            <w:tcW w:w="2149" w:type="dxa"/>
            <w:noWrap w:val="0"/>
            <w:vAlign w:val="center"/>
          </w:tcPr>
          <w:p w14:paraId="789630C0">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5B4D51DD">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63508A33">
            <w:pPr>
              <w:ind w:firstLine="0" w:firstLineChars="0"/>
              <w:jc w:val="center"/>
              <w:rPr>
                <w:color w:val="auto"/>
                <w:sz w:val="21"/>
                <w:szCs w:val="21"/>
                <w:highlight w:val="none"/>
              </w:rPr>
            </w:pPr>
            <w:r>
              <w:rPr>
                <w:color w:val="auto"/>
                <w:sz w:val="21"/>
                <w:szCs w:val="21"/>
                <w:highlight w:val="none"/>
              </w:rPr>
              <w:t>弱电柜\301报告厅LED视频拼接处理器</w:t>
            </w:r>
          </w:p>
        </w:tc>
      </w:tr>
      <w:tr w14:paraId="1472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59" w:type="dxa"/>
            <w:vMerge w:val="continue"/>
            <w:noWrap w:val="0"/>
            <w:vAlign w:val="center"/>
          </w:tcPr>
          <w:p w14:paraId="05277BC8">
            <w:pPr>
              <w:ind w:firstLine="0" w:firstLineChars="0"/>
              <w:jc w:val="center"/>
              <w:rPr>
                <w:color w:val="auto"/>
                <w:highlight w:val="none"/>
              </w:rPr>
            </w:pPr>
          </w:p>
        </w:tc>
        <w:tc>
          <w:tcPr>
            <w:tcW w:w="2443" w:type="dxa"/>
            <w:vMerge w:val="continue"/>
            <w:noWrap w:val="0"/>
            <w:vAlign w:val="center"/>
          </w:tcPr>
          <w:p w14:paraId="3528C28E">
            <w:pPr>
              <w:ind w:firstLine="0" w:firstLineChars="0"/>
              <w:jc w:val="center"/>
              <w:rPr>
                <w:color w:val="auto"/>
                <w:highlight w:val="none"/>
              </w:rPr>
            </w:pPr>
          </w:p>
        </w:tc>
        <w:tc>
          <w:tcPr>
            <w:tcW w:w="1957" w:type="dxa"/>
            <w:vMerge w:val="continue"/>
            <w:noWrap w:val="0"/>
            <w:vAlign w:val="center"/>
          </w:tcPr>
          <w:p w14:paraId="257B5527">
            <w:pPr>
              <w:ind w:firstLine="0" w:firstLineChars="0"/>
              <w:jc w:val="center"/>
              <w:rPr>
                <w:color w:val="auto"/>
                <w:highlight w:val="none"/>
              </w:rPr>
            </w:pPr>
          </w:p>
        </w:tc>
        <w:tc>
          <w:tcPr>
            <w:tcW w:w="1594" w:type="dxa"/>
            <w:noWrap w:val="0"/>
            <w:vAlign w:val="center"/>
          </w:tcPr>
          <w:p w14:paraId="1A41E0C4">
            <w:pPr>
              <w:ind w:firstLine="0" w:firstLineChars="0"/>
              <w:jc w:val="center"/>
              <w:rPr>
                <w:color w:val="auto"/>
                <w:sz w:val="21"/>
                <w:szCs w:val="21"/>
                <w:highlight w:val="none"/>
              </w:rPr>
            </w:pPr>
            <w:r>
              <w:rPr>
                <w:color w:val="auto"/>
                <w:sz w:val="21"/>
                <w:szCs w:val="21"/>
                <w:highlight w:val="none"/>
              </w:rPr>
              <w:t>HD-11</w:t>
            </w:r>
          </w:p>
        </w:tc>
        <w:tc>
          <w:tcPr>
            <w:tcW w:w="2149" w:type="dxa"/>
            <w:noWrap w:val="0"/>
            <w:vAlign w:val="center"/>
          </w:tcPr>
          <w:p w14:paraId="62321112">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7DECF488">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79371B52">
            <w:pPr>
              <w:ind w:firstLine="0" w:firstLineChars="0"/>
              <w:jc w:val="center"/>
              <w:rPr>
                <w:color w:val="auto"/>
                <w:sz w:val="21"/>
                <w:szCs w:val="21"/>
                <w:highlight w:val="none"/>
              </w:rPr>
            </w:pPr>
            <w:r>
              <w:rPr>
                <w:color w:val="auto"/>
                <w:sz w:val="21"/>
                <w:szCs w:val="21"/>
                <w:highlight w:val="none"/>
              </w:rPr>
              <w:t>弱电柜\309报告厅LED视频拼接处理器</w:t>
            </w:r>
          </w:p>
        </w:tc>
      </w:tr>
      <w:tr w14:paraId="463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59" w:type="dxa"/>
            <w:vMerge w:val="continue"/>
            <w:noWrap w:val="0"/>
            <w:vAlign w:val="center"/>
          </w:tcPr>
          <w:p w14:paraId="1D2DBA1B">
            <w:pPr>
              <w:ind w:firstLine="0" w:firstLineChars="0"/>
              <w:jc w:val="center"/>
              <w:rPr>
                <w:color w:val="auto"/>
                <w:sz w:val="21"/>
                <w:szCs w:val="21"/>
                <w:highlight w:val="none"/>
              </w:rPr>
            </w:pPr>
          </w:p>
        </w:tc>
        <w:tc>
          <w:tcPr>
            <w:tcW w:w="2443" w:type="dxa"/>
            <w:vMerge w:val="continue"/>
            <w:noWrap w:val="0"/>
            <w:vAlign w:val="center"/>
          </w:tcPr>
          <w:p w14:paraId="397980CD">
            <w:pPr>
              <w:ind w:firstLine="0" w:firstLineChars="0"/>
              <w:jc w:val="center"/>
              <w:rPr>
                <w:color w:val="auto"/>
                <w:sz w:val="21"/>
                <w:szCs w:val="21"/>
                <w:highlight w:val="none"/>
              </w:rPr>
            </w:pPr>
          </w:p>
        </w:tc>
        <w:tc>
          <w:tcPr>
            <w:tcW w:w="1957" w:type="dxa"/>
            <w:vMerge w:val="continue"/>
            <w:noWrap w:val="0"/>
            <w:vAlign w:val="center"/>
          </w:tcPr>
          <w:p w14:paraId="52E91FED">
            <w:pPr>
              <w:ind w:firstLine="0" w:firstLineChars="0"/>
              <w:jc w:val="center"/>
              <w:rPr>
                <w:color w:val="auto"/>
                <w:sz w:val="21"/>
                <w:szCs w:val="21"/>
                <w:highlight w:val="none"/>
              </w:rPr>
            </w:pPr>
          </w:p>
        </w:tc>
        <w:tc>
          <w:tcPr>
            <w:tcW w:w="1594" w:type="dxa"/>
            <w:noWrap w:val="0"/>
            <w:vAlign w:val="center"/>
          </w:tcPr>
          <w:p w14:paraId="0069A198">
            <w:pPr>
              <w:ind w:firstLine="0" w:firstLineChars="0"/>
              <w:jc w:val="center"/>
              <w:rPr>
                <w:color w:val="auto"/>
                <w:sz w:val="21"/>
                <w:szCs w:val="21"/>
                <w:highlight w:val="none"/>
              </w:rPr>
            </w:pPr>
            <w:r>
              <w:rPr>
                <w:color w:val="auto"/>
                <w:sz w:val="21"/>
                <w:szCs w:val="21"/>
                <w:highlight w:val="none"/>
              </w:rPr>
              <w:t>HD-12</w:t>
            </w:r>
          </w:p>
        </w:tc>
        <w:tc>
          <w:tcPr>
            <w:tcW w:w="2149" w:type="dxa"/>
            <w:noWrap w:val="0"/>
            <w:vAlign w:val="center"/>
          </w:tcPr>
          <w:p w14:paraId="14E9D564">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3DA71044">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659572EE">
            <w:pPr>
              <w:ind w:firstLine="0" w:firstLineChars="0"/>
              <w:jc w:val="center"/>
              <w:rPr>
                <w:color w:val="auto"/>
                <w:sz w:val="21"/>
                <w:szCs w:val="21"/>
                <w:highlight w:val="none"/>
              </w:rPr>
            </w:pPr>
            <w:r>
              <w:rPr>
                <w:color w:val="auto"/>
                <w:sz w:val="21"/>
                <w:szCs w:val="21"/>
                <w:highlight w:val="none"/>
              </w:rPr>
              <w:t>弱电柜\短焦激光投影</w:t>
            </w:r>
          </w:p>
        </w:tc>
      </w:tr>
      <w:tr w14:paraId="48E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59" w:type="dxa"/>
            <w:vMerge w:val="continue"/>
            <w:noWrap w:val="0"/>
            <w:vAlign w:val="center"/>
          </w:tcPr>
          <w:p w14:paraId="611C3121">
            <w:pPr>
              <w:ind w:firstLine="0" w:firstLineChars="0"/>
              <w:jc w:val="center"/>
              <w:rPr>
                <w:color w:val="auto"/>
                <w:sz w:val="21"/>
                <w:szCs w:val="21"/>
                <w:highlight w:val="none"/>
              </w:rPr>
            </w:pPr>
          </w:p>
        </w:tc>
        <w:tc>
          <w:tcPr>
            <w:tcW w:w="2443" w:type="dxa"/>
            <w:vMerge w:val="continue"/>
            <w:noWrap w:val="0"/>
            <w:vAlign w:val="center"/>
          </w:tcPr>
          <w:p w14:paraId="06537153">
            <w:pPr>
              <w:ind w:firstLine="0" w:firstLineChars="0"/>
              <w:jc w:val="center"/>
              <w:rPr>
                <w:color w:val="auto"/>
                <w:sz w:val="21"/>
                <w:szCs w:val="21"/>
                <w:highlight w:val="none"/>
              </w:rPr>
            </w:pPr>
          </w:p>
        </w:tc>
        <w:tc>
          <w:tcPr>
            <w:tcW w:w="1957" w:type="dxa"/>
            <w:vMerge w:val="continue"/>
            <w:noWrap w:val="0"/>
            <w:vAlign w:val="center"/>
          </w:tcPr>
          <w:p w14:paraId="0AF2683E">
            <w:pPr>
              <w:ind w:firstLine="0" w:firstLineChars="0"/>
              <w:jc w:val="center"/>
              <w:rPr>
                <w:color w:val="auto"/>
                <w:sz w:val="21"/>
                <w:szCs w:val="21"/>
                <w:highlight w:val="none"/>
              </w:rPr>
            </w:pPr>
          </w:p>
        </w:tc>
        <w:tc>
          <w:tcPr>
            <w:tcW w:w="1594" w:type="dxa"/>
            <w:noWrap w:val="0"/>
            <w:vAlign w:val="center"/>
          </w:tcPr>
          <w:p w14:paraId="373ECD83">
            <w:pPr>
              <w:ind w:firstLine="0" w:firstLineChars="0"/>
              <w:jc w:val="center"/>
              <w:rPr>
                <w:color w:val="auto"/>
                <w:sz w:val="21"/>
                <w:szCs w:val="21"/>
                <w:highlight w:val="none"/>
              </w:rPr>
            </w:pPr>
            <w:r>
              <w:rPr>
                <w:color w:val="auto"/>
                <w:sz w:val="21"/>
                <w:szCs w:val="21"/>
                <w:highlight w:val="none"/>
              </w:rPr>
              <w:t>HD-13</w:t>
            </w:r>
          </w:p>
        </w:tc>
        <w:tc>
          <w:tcPr>
            <w:tcW w:w="2149" w:type="dxa"/>
            <w:noWrap w:val="0"/>
            <w:vAlign w:val="center"/>
          </w:tcPr>
          <w:p w14:paraId="5376ADB9">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53EAA1EE">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7D105C26">
            <w:pPr>
              <w:ind w:firstLine="0" w:firstLineChars="0"/>
              <w:jc w:val="center"/>
              <w:rPr>
                <w:color w:val="auto"/>
                <w:sz w:val="21"/>
                <w:szCs w:val="21"/>
                <w:highlight w:val="none"/>
              </w:rPr>
            </w:pPr>
            <w:r>
              <w:rPr>
                <w:color w:val="auto"/>
                <w:sz w:val="21"/>
                <w:szCs w:val="21"/>
                <w:highlight w:val="none"/>
              </w:rPr>
              <w:t>弱电柜\短焦激光投影</w:t>
            </w:r>
          </w:p>
        </w:tc>
      </w:tr>
      <w:tr w14:paraId="547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59" w:type="dxa"/>
            <w:vMerge w:val="continue"/>
            <w:noWrap w:val="0"/>
            <w:vAlign w:val="center"/>
          </w:tcPr>
          <w:p w14:paraId="1035EA4D">
            <w:pPr>
              <w:ind w:firstLine="0" w:firstLineChars="0"/>
              <w:jc w:val="center"/>
              <w:rPr>
                <w:color w:val="auto"/>
                <w:sz w:val="21"/>
                <w:szCs w:val="21"/>
                <w:highlight w:val="none"/>
              </w:rPr>
            </w:pPr>
          </w:p>
        </w:tc>
        <w:tc>
          <w:tcPr>
            <w:tcW w:w="2443" w:type="dxa"/>
            <w:vMerge w:val="continue"/>
            <w:noWrap w:val="0"/>
            <w:vAlign w:val="center"/>
          </w:tcPr>
          <w:p w14:paraId="137147D4">
            <w:pPr>
              <w:ind w:firstLine="0" w:firstLineChars="0"/>
              <w:jc w:val="center"/>
              <w:rPr>
                <w:color w:val="auto"/>
                <w:sz w:val="21"/>
                <w:szCs w:val="21"/>
                <w:highlight w:val="none"/>
              </w:rPr>
            </w:pPr>
          </w:p>
        </w:tc>
        <w:tc>
          <w:tcPr>
            <w:tcW w:w="1957" w:type="dxa"/>
            <w:vMerge w:val="continue"/>
            <w:noWrap w:val="0"/>
            <w:vAlign w:val="center"/>
          </w:tcPr>
          <w:p w14:paraId="78E835A0">
            <w:pPr>
              <w:ind w:firstLine="0" w:firstLineChars="0"/>
              <w:jc w:val="center"/>
              <w:rPr>
                <w:color w:val="auto"/>
                <w:sz w:val="21"/>
                <w:szCs w:val="21"/>
                <w:highlight w:val="none"/>
              </w:rPr>
            </w:pPr>
          </w:p>
        </w:tc>
        <w:tc>
          <w:tcPr>
            <w:tcW w:w="1594" w:type="dxa"/>
            <w:noWrap w:val="0"/>
            <w:vAlign w:val="center"/>
          </w:tcPr>
          <w:p w14:paraId="50CDDD2E">
            <w:pPr>
              <w:ind w:firstLine="0" w:firstLineChars="0"/>
              <w:jc w:val="center"/>
              <w:rPr>
                <w:color w:val="auto"/>
                <w:sz w:val="21"/>
                <w:szCs w:val="21"/>
                <w:highlight w:val="none"/>
              </w:rPr>
            </w:pPr>
            <w:r>
              <w:rPr>
                <w:color w:val="auto"/>
                <w:sz w:val="21"/>
                <w:szCs w:val="21"/>
                <w:highlight w:val="none"/>
              </w:rPr>
              <w:t>HD-14</w:t>
            </w:r>
          </w:p>
        </w:tc>
        <w:tc>
          <w:tcPr>
            <w:tcW w:w="2149" w:type="dxa"/>
            <w:noWrap w:val="0"/>
            <w:vAlign w:val="center"/>
          </w:tcPr>
          <w:p w14:paraId="128F2F2C">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1C951E26">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268A498B">
            <w:pPr>
              <w:ind w:firstLine="0" w:firstLineChars="0"/>
              <w:jc w:val="center"/>
              <w:rPr>
                <w:color w:val="auto"/>
                <w:sz w:val="21"/>
                <w:szCs w:val="21"/>
                <w:highlight w:val="none"/>
              </w:rPr>
            </w:pPr>
            <w:r>
              <w:rPr>
                <w:color w:val="auto"/>
                <w:sz w:val="21"/>
                <w:szCs w:val="21"/>
                <w:highlight w:val="none"/>
              </w:rPr>
              <w:t>弱电柜\短焦激光投影</w:t>
            </w:r>
          </w:p>
        </w:tc>
      </w:tr>
      <w:tr w14:paraId="31C6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59" w:type="dxa"/>
            <w:vMerge w:val="restart"/>
            <w:noWrap w:val="0"/>
            <w:vAlign w:val="center"/>
          </w:tcPr>
          <w:p w14:paraId="6F07EDF0">
            <w:pPr>
              <w:ind w:firstLine="0" w:firstLineChars="0"/>
              <w:jc w:val="center"/>
              <w:rPr>
                <w:color w:val="auto"/>
                <w:sz w:val="21"/>
                <w:szCs w:val="21"/>
                <w:highlight w:val="none"/>
              </w:rPr>
            </w:pPr>
            <w:r>
              <w:rPr>
                <w:color w:val="auto"/>
                <w:sz w:val="21"/>
                <w:szCs w:val="21"/>
                <w:highlight w:val="none"/>
              </w:rPr>
              <w:t>有线控制终端</w:t>
            </w:r>
          </w:p>
        </w:tc>
        <w:tc>
          <w:tcPr>
            <w:tcW w:w="2443" w:type="dxa"/>
            <w:vMerge w:val="restart"/>
            <w:noWrap w:val="0"/>
            <w:vAlign w:val="center"/>
          </w:tcPr>
          <w:p w14:paraId="67023433">
            <w:pPr>
              <w:ind w:firstLine="0" w:firstLineChars="0"/>
              <w:jc w:val="center"/>
              <w:rPr>
                <w:color w:val="auto"/>
                <w:sz w:val="21"/>
                <w:szCs w:val="21"/>
                <w:highlight w:val="none"/>
              </w:rPr>
            </w:pPr>
            <w:r>
              <w:rPr>
                <w:color w:val="auto"/>
                <w:sz w:val="21"/>
                <w:szCs w:val="21"/>
                <w:highlight w:val="none"/>
              </w:rPr>
              <w:t>301报告厅、309报告厅、310会议室、313以及314会议室</w:t>
            </w:r>
          </w:p>
        </w:tc>
        <w:tc>
          <w:tcPr>
            <w:tcW w:w="1957" w:type="dxa"/>
            <w:vMerge w:val="restart"/>
            <w:noWrap w:val="0"/>
            <w:vAlign w:val="center"/>
          </w:tcPr>
          <w:p w14:paraId="6C4F6A1A">
            <w:pPr>
              <w:ind w:firstLine="480"/>
              <w:jc w:val="center"/>
              <w:rPr>
                <w:color w:val="auto"/>
                <w:highlight w:val="none"/>
              </w:rPr>
            </w:pPr>
          </w:p>
        </w:tc>
        <w:tc>
          <w:tcPr>
            <w:tcW w:w="1594" w:type="dxa"/>
            <w:noWrap w:val="0"/>
            <w:vAlign w:val="center"/>
          </w:tcPr>
          <w:p w14:paraId="62E25178">
            <w:pPr>
              <w:ind w:firstLine="0" w:firstLineChars="0"/>
              <w:jc w:val="center"/>
              <w:rPr>
                <w:color w:val="auto"/>
                <w:highlight w:val="none"/>
              </w:rPr>
            </w:pPr>
            <w:r>
              <w:rPr>
                <w:color w:val="auto"/>
                <w:sz w:val="21"/>
                <w:szCs w:val="21"/>
                <w:highlight w:val="none"/>
              </w:rPr>
              <w:t>DC12V-19-23</w:t>
            </w:r>
          </w:p>
        </w:tc>
        <w:tc>
          <w:tcPr>
            <w:tcW w:w="2149" w:type="dxa"/>
            <w:noWrap w:val="0"/>
            <w:vAlign w:val="center"/>
          </w:tcPr>
          <w:p w14:paraId="3889228A">
            <w:pPr>
              <w:ind w:firstLine="0" w:firstLineChars="0"/>
              <w:jc w:val="center"/>
              <w:rPr>
                <w:color w:val="auto"/>
                <w:highlight w:val="none"/>
              </w:rPr>
            </w:pPr>
            <w:r>
              <w:rPr>
                <w:color w:val="auto"/>
                <w:sz w:val="21"/>
                <w:szCs w:val="21"/>
                <w:highlight w:val="none"/>
              </w:rPr>
              <w:t>直接</w:t>
            </w:r>
          </w:p>
        </w:tc>
        <w:tc>
          <w:tcPr>
            <w:tcW w:w="2014" w:type="dxa"/>
            <w:noWrap w:val="0"/>
            <w:vAlign w:val="center"/>
          </w:tcPr>
          <w:p w14:paraId="5386DF7B">
            <w:pPr>
              <w:ind w:firstLine="0" w:firstLineChars="0"/>
              <w:jc w:val="center"/>
              <w:rPr>
                <w:color w:val="auto"/>
                <w:highlight w:val="none"/>
              </w:rPr>
            </w:pPr>
            <w:r>
              <w:rPr>
                <w:color w:val="auto"/>
                <w:sz w:val="21"/>
                <w:szCs w:val="21"/>
                <w:highlight w:val="none"/>
              </w:rPr>
              <w:t>RVV2×1.0</w:t>
            </w:r>
          </w:p>
        </w:tc>
        <w:tc>
          <w:tcPr>
            <w:tcW w:w="3259" w:type="dxa"/>
            <w:noWrap w:val="0"/>
            <w:vAlign w:val="center"/>
          </w:tcPr>
          <w:p w14:paraId="183D9553">
            <w:pPr>
              <w:ind w:firstLine="0" w:firstLineChars="0"/>
              <w:jc w:val="center"/>
              <w:rPr>
                <w:color w:val="auto"/>
                <w:highlight w:val="none"/>
              </w:rPr>
            </w:pPr>
            <w:r>
              <w:rPr>
                <w:color w:val="auto"/>
                <w:sz w:val="21"/>
                <w:szCs w:val="21"/>
                <w:highlight w:val="none"/>
              </w:rPr>
              <w:t>会议室强电柜\开关电源</w:t>
            </w:r>
          </w:p>
        </w:tc>
      </w:tr>
      <w:tr w14:paraId="14C2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3259" w:type="dxa"/>
            <w:vMerge w:val="continue"/>
            <w:noWrap w:val="0"/>
            <w:vAlign w:val="center"/>
          </w:tcPr>
          <w:p w14:paraId="57147A82">
            <w:pPr>
              <w:ind w:firstLine="480"/>
              <w:jc w:val="center"/>
              <w:rPr>
                <w:color w:val="auto"/>
                <w:highlight w:val="none"/>
              </w:rPr>
            </w:pPr>
          </w:p>
        </w:tc>
        <w:tc>
          <w:tcPr>
            <w:tcW w:w="2443" w:type="dxa"/>
            <w:vMerge w:val="continue"/>
            <w:noWrap w:val="0"/>
            <w:vAlign w:val="center"/>
          </w:tcPr>
          <w:p w14:paraId="2E4FC7CB">
            <w:pPr>
              <w:ind w:firstLine="480"/>
              <w:jc w:val="center"/>
              <w:rPr>
                <w:color w:val="auto"/>
                <w:highlight w:val="none"/>
              </w:rPr>
            </w:pPr>
          </w:p>
        </w:tc>
        <w:tc>
          <w:tcPr>
            <w:tcW w:w="1957" w:type="dxa"/>
            <w:vMerge w:val="continue"/>
            <w:noWrap w:val="0"/>
            <w:vAlign w:val="center"/>
          </w:tcPr>
          <w:p w14:paraId="36FD340E">
            <w:pPr>
              <w:ind w:firstLine="480"/>
              <w:jc w:val="center"/>
              <w:rPr>
                <w:color w:val="auto"/>
                <w:highlight w:val="none"/>
              </w:rPr>
            </w:pPr>
          </w:p>
        </w:tc>
        <w:tc>
          <w:tcPr>
            <w:tcW w:w="1594" w:type="dxa"/>
            <w:noWrap w:val="0"/>
            <w:vAlign w:val="center"/>
          </w:tcPr>
          <w:p w14:paraId="0E8BAD26">
            <w:pPr>
              <w:ind w:firstLine="0" w:firstLineChars="0"/>
              <w:jc w:val="center"/>
              <w:rPr>
                <w:color w:val="auto"/>
                <w:highlight w:val="none"/>
              </w:rPr>
            </w:pPr>
            <w:r>
              <w:rPr>
                <w:color w:val="auto"/>
                <w:sz w:val="21"/>
                <w:szCs w:val="21"/>
                <w:highlight w:val="none"/>
              </w:rPr>
              <w:t>TJ-126-130</w:t>
            </w:r>
          </w:p>
        </w:tc>
        <w:tc>
          <w:tcPr>
            <w:tcW w:w="2149" w:type="dxa"/>
            <w:noWrap w:val="0"/>
            <w:vAlign w:val="center"/>
          </w:tcPr>
          <w:p w14:paraId="781F656B">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09D6DDB8">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556DD5C2">
            <w:pPr>
              <w:ind w:firstLine="0" w:firstLineChars="0"/>
              <w:jc w:val="center"/>
              <w:rPr>
                <w:color w:val="auto"/>
                <w:highlight w:val="none"/>
              </w:rPr>
            </w:pPr>
            <w:r>
              <w:rPr>
                <w:color w:val="auto"/>
                <w:sz w:val="21"/>
                <w:szCs w:val="21"/>
                <w:highlight w:val="none"/>
              </w:rPr>
              <w:t>弱电柜\会议室网络交换机</w:t>
            </w:r>
          </w:p>
        </w:tc>
      </w:tr>
      <w:tr w14:paraId="4C8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59" w:type="dxa"/>
            <w:noWrap w:val="0"/>
            <w:vAlign w:val="center"/>
          </w:tcPr>
          <w:p w14:paraId="7F44CCB0">
            <w:pPr>
              <w:ind w:firstLine="0" w:firstLineChars="0"/>
              <w:jc w:val="center"/>
              <w:rPr>
                <w:rFonts w:hint="eastAsia"/>
                <w:color w:val="auto"/>
                <w:sz w:val="21"/>
                <w:szCs w:val="21"/>
                <w:highlight w:val="none"/>
              </w:rPr>
            </w:pPr>
            <w:r>
              <w:rPr>
                <w:color w:val="auto"/>
                <w:sz w:val="21"/>
                <w:szCs w:val="21"/>
                <w:highlight w:val="none"/>
              </w:rPr>
              <w:t>线性阵列声柱</w:t>
            </w:r>
          </w:p>
        </w:tc>
        <w:tc>
          <w:tcPr>
            <w:tcW w:w="2443" w:type="dxa"/>
            <w:noWrap w:val="0"/>
            <w:vAlign w:val="center"/>
          </w:tcPr>
          <w:p w14:paraId="05A9A71D">
            <w:pPr>
              <w:ind w:firstLine="0" w:firstLineChars="0"/>
              <w:jc w:val="center"/>
              <w:rPr>
                <w:color w:val="auto"/>
                <w:sz w:val="21"/>
                <w:szCs w:val="21"/>
                <w:highlight w:val="none"/>
              </w:rPr>
            </w:pPr>
            <w:r>
              <w:rPr>
                <w:color w:val="auto"/>
                <w:sz w:val="21"/>
                <w:szCs w:val="21"/>
                <w:highlight w:val="none"/>
              </w:rPr>
              <w:t>309报告厅四个角落</w:t>
            </w:r>
          </w:p>
        </w:tc>
        <w:tc>
          <w:tcPr>
            <w:tcW w:w="1957" w:type="dxa"/>
            <w:noWrap w:val="0"/>
            <w:vAlign w:val="center"/>
          </w:tcPr>
          <w:p w14:paraId="4845549F">
            <w:pPr>
              <w:ind w:firstLine="480"/>
              <w:jc w:val="center"/>
              <w:rPr>
                <w:color w:val="auto"/>
                <w:highlight w:val="none"/>
              </w:rPr>
            </w:pPr>
          </w:p>
        </w:tc>
        <w:tc>
          <w:tcPr>
            <w:tcW w:w="1594" w:type="dxa"/>
            <w:noWrap w:val="0"/>
            <w:vAlign w:val="center"/>
          </w:tcPr>
          <w:p w14:paraId="3A03AC11">
            <w:pPr>
              <w:ind w:firstLine="0" w:firstLineChars="0"/>
              <w:jc w:val="center"/>
              <w:rPr>
                <w:color w:val="auto"/>
                <w:highlight w:val="none"/>
              </w:rPr>
            </w:pPr>
            <w:r>
              <w:rPr>
                <w:color w:val="auto"/>
                <w:sz w:val="21"/>
                <w:szCs w:val="21"/>
                <w:highlight w:val="none"/>
              </w:rPr>
              <w:t>AD-17-20</w:t>
            </w:r>
          </w:p>
        </w:tc>
        <w:tc>
          <w:tcPr>
            <w:tcW w:w="2149" w:type="dxa"/>
            <w:noWrap w:val="0"/>
            <w:vAlign w:val="center"/>
          </w:tcPr>
          <w:p w14:paraId="365B28CF">
            <w:pPr>
              <w:ind w:firstLine="0" w:firstLineChars="0"/>
              <w:jc w:val="center"/>
              <w:rPr>
                <w:color w:val="auto"/>
                <w:highlight w:val="none"/>
              </w:rPr>
            </w:pPr>
            <w:r>
              <w:rPr>
                <w:color w:val="auto"/>
                <w:sz w:val="21"/>
                <w:szCs w:val="21"/>
                <w:highlight w:val="none"/>
              </w:rPr>
              <w:t>音响线</w:t>
            </w:r>
          </w:p>
        </w:tc>
        <w:tc>
          <w:tcPr>
            <w:tcW w:w="2014" w:type="dxa"/>
            <w:noWrap w:val="0"/>
            <w:vAlign w:val="center"/>
          </w:tcPr>
          <w:p w14:paraId="5782A943">
            <w:pPr>
              <w:ind w:firstLine="0" w:firstLineChars="0"/>
              <w:jc w:val="center"/>
              <w:rPr>
                <w:color w:val="auto"/>
                <w:highlight w:val="none"/>
              </w:rPr>
            </w:pPr>
            <w:r>
              <w:rPr>
                <w:color w:val="auto"/>
                <w:sz w:val="21"/>
                <w:szCs w:val="21"/>
                <w:highlight w:val="none"/>
              </w:rPr>
              <w:t>EVJV2*1.5</w:t>
            </w:r>
          </w:p>
        </w:tc>
        <w:tc>
          <w:tcPr>
            <w:tcW w:w="3259" w:type="dxa"/>
            <w:noWrap w:val="0"/>
            <w:vAlign w:val="center"/>
          </w:tcPr>
          <w:p w14:paraId="1AE5151E">
            <w:pPr>
              <w:ind w:firstLine="0" w:firstLineChars="0"/>
              <w:jc w:val="center"/>
              <w:rPr>
                <w:color w:val="auto"/>
                <w:highlight w:val="none"/>
              </w:rPr>
            </w:pPr>
            <w:r>
              <w:rPr>
                <w:color w:val="auto"/>
                <w:sz w:val="21"/>
                <w:szCs w:val="21"/>
                <w:highlight w:val="none"/>
              </w:rPr>
              <w:t>弱电柜\309报告厅功放</w:t>
            </w:r>
          </w:p>
        </w:tc>
      </w:tr>
      <w:tr w14:paraId="028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59" w:type="dxa"/>
            <w:noWrap w:val="0"/>
            <w:vAlign w:val="center"/>
          </w:tcPr>
          <w:p w14:paraId="006A4D70">
            <w:pPr>
              <w:pStyle w:val="2"/>
              <w:ind w:left="0" w:leftChars="0"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返听线性阵列声柱</w:t>
            </w:r>
          </w:p>
        </w:tc>
        <w:tc>
          <w:tcPr>
            <w:tcW w:w="2443" w:type="dxa"/>
            <w:noWrap w:val="0"/>
            <w:vAlign w:val="center"/>
          </w:tcPr>
          <w:p w14:paraId="2A371A43">
            <w:pPr>
              <w:ind w:firstLine="0" w:firstLineChars="0"/>
              <w:jc w:val="center"/>
              <w:rPr>
                <w:color w:val="auto"/>
                <w:sz w:val="21"/>
                <w:szCs w:val="21"/>
                <w:highlight w:val="none"/>
              </w:rPr>
            </w:pPr>
            <w:r>
              <w:rPr>
                <w:color w:val="auto"/>
                <w:sz w:val="21"/>
                <w:szCs w:val="21"/>
                <w:highlight w:val="none"/>
              </w:rPr>
              <w:t>309报告厅舞台两侧</w:t>
            </w:r>
          </w:p>
        </w:tc>
        <w:tc>
          <w:tcPr>
            <w:tcW w:w="1957" w:type="dxa"/>
            <w:noWrap w:val="0"/>
            <w:vAlign w:val="center"/>
          </w:tcPr>
          <w:p w14:paraId="27D9FC5D">
            <w:pPr>
              <w:ind w:firstLine="480"/>
              <w:jc w:val="center"/>
              <w:rPr>
                <w:color w:val="auto"/>
                <w:highlight w:val="none"/>
              </w:rPr>
            </w:pPr>
          </w:p>
        </w:tc>
        <w:tc>
          <w:tcPr>
            <w:tcW w:w="1594" w:type="dxa"/>
            <w:noWrap w:val="0"/>
            <w:vAlign w:val="center"/>
          </w:tcPr>
          <w:p w14:paraId="44C9662C">
            <w:pPr>
              <w:ind w:firstLine="0" w:firstLineChars="0"/>
              <w:jc w:val="center"/>
              <w:rPr>
                <w:color w:val="auto"/>
                <w:sz w:val="21"/>
                <w:szCs w:val="21"/>
                <w:highlight w:val="none"/>
              </w:rPr>
            </w:pPr>
            <w:r>
              <w:rPr>
                <w:color w:val="auto"/>
                <w:sz w:val="21"/>
                <w:szCs w:val="21"/>
                <w:highlight w:val="none"/>
              </w:rPr>
              <w:t>AD-21-22</w:t>
            </w:r>
          </w:p>
        </w:tc>
        <w:tc>
          <w:tcPr>
            <w:tcW w:w="2149" w:type="dxa"/>
            <w:noWrap w:val="0"/>
            <w:vAlign w:val="center"/>
          </w:tcPr>
          <w:p w14:paraId="68B99EA4">
            <w:pPr>
              <w:ind w:firstLine="0" w:firstLineChars="0"/>
              <w:jc w:val="center"/>
              <w:rPr>
                <w:color w:val="auto"/>
                <w:sz w:val="21"/>
                <w:szCs w:val="21"/>
                <w:highlight w:val="none"/>
              </w:rPr>
            </w:pPr>
            <w:r>
              <w:rPr>
                <w:color w:val="auto"/>
                <w:sz w:val="21"/>
                <w:szCs w:val="21"/>
                <w:highlight w:val="none"/>
              </w:rPr>
              <w:t>音响线</w:t>
            </w:r>
          </w:p>
        </w:tc>
        <w:tc>
          <w:tcPr>
            <w:tcW w:w="2014" w:type="dxa"/>
            <w:noWrap w:val="0"/>
            <w:vAlign w:val="center"/>
          </w:tcPr>
          <w:p w14:paraId="78F490BF">
            <w:pPr>
              <w:ind w:firstLine="0" w:firstLineChars="0"/>
              <w:jc w:val="center"/>
              <w:rPr>
                <w:color w:val="auto"/>
                <w:sz w:val="21"/>
                <w:szCs w:val="21"/>
                <w:highlight w:val="none"/>
              </w:rPr>
            </w:pPr>
            <w:r>
              <w:rPr>
                <w:color w:val="auto"/>
                <w:sz w:val="21"/>
                <w:szCs w:val="21"/>
                <w:highlight w:val="none"/>
              </w:rPr>
              <w:t>EVJV2*1.5</w:t>
            </w:r>
          </w:p>
        </w:tc>
        <w:tc>
          <w:tcPr>
            <w:tcW w:w="3259" w:type="dxa"/>
            <w:noWrap w:val="0"/>
            <w:vAlign w:val="center"/>
          </w:tcPr>
          <w:p w14:paraId="217735F1">
            <w:pPr>
              <w:ind w:firstLine="0" w:firstLineChars="0"/>
              <w:jc w:val="center"/>
              <w:rPr>
                <w:color w:val="auto"/>
                <w:sz w:val="21"/>
                <w:szCs w:val="21"/>
                <w:highlight w:val="none"/>
              </w:rPr>
            </w:pPr>
            <w:r>
              <w:rPr>
                <w:color w:val="auto"/>
                <w:sz w:val="21"/>
                <w:szCs w:val="21"/>
                <w:highlight w:val="none"/>
              </w:rPr>
              <w:t>弱电柜\309报告厅功放</w:t>
            </w:r>
          </w:p>
        </w:tc>
      </w:tr>
      <w:tr w14:paraId="781E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59" w:type="dxa"/>
            <w:noWrap w:val="0"/>
            <w:vAlign w:val="center"/>
          </w:tcPr>
          <w:p w14:paraId="24B51CF0">
            <w:pPr>
              <w:ind w:firstLine="0" w:firstLineChars="0"/>
              <w:jc w:val="center"/>
              <w:rPr>
                <w:color w:val="auto"/>
                <w:sz w:val="21"/>
                <w:szCs w:val="21"/>
                <w:highlight w:val="none"/>
              </w:rPr>
            </w:pPr>
            <w:r>
              <w:rPr>
                <w:color w:val="auto"/>
                <w:sz w:val="21"/>
                <w:szCs w:val="21"/>
                <w:highlight w:val="none"/>
              </w:rPr>
              <w:t>线性阵列声柱</w:t>
            </w:r>
          </w:p>
        </w:tc>
        <w:tc>
          <w:tcPr>
            <w:tcW w:w="2443" w:type="dxa"/>
            <w:noWrap w:val="0"/>
            <w:vAlign w:val="center"/>
          </w:tcPr>
          <w:p w14:paraId="07B24053">
            <w:pPr>
              <w:ind w:firstLine="0" w:firstLineChars="0"/>
              <w:jc w:val="center"/>
              <w:rPr>
                <w:color w:val="auto"/>
                <w:sz w:val="21"/>
                <w:szCs w:val="21"/>
                <w:highlight w:val="none"/>
              </w:rPr>
            </w:pPr>
            <w:r>
              <w:rPr>
                <w:color w:val="auto"/>
                <w:sz w:val="21"/>
                <w:szCs w:val="21"/>
                <w:highlight w:val="none"/>
              </w:rPr>
              <w:t>310会议室四个角落</w:t>
            </w:r>
          </w:p>
        </w:tc>
        <w:tc>
          <w:tcPr>
            <w:tcW w:w="1957" w:type="dxa"/>
            <w:noWrap w:val="0"/>
            <w:vAlign w:val="center"/>
          </w:tcPr>
          <w:p w14:paraId="130C8FAD">
            <w:pPr>
              <w:ind w:firstLine="480"/>
              <w:jc w:val="center"/>
              <w:rPr>
                <w:color w:val="auto"/>
                <w:highlight w:val="none"/>
              </w:rPr>
            </w:pPr>
          </w:p>
        </w:tc>
        <w:tc>
          <w:tcPr>
            <w:tcW w:w="1594" w:type="dxa"/>
            <w:noWrap w:val="0"/>
            <w:vAlign w:val="center"/>
          </w:tcPr>
          <w:p w14:paraId="0C615D10">
            <w:pPr>
              <w:ind w:firstLine="0" w:firstLineChars="0"/>
              <w:jc w:val="center"/>
              <w:rPr>
                <w:color w:val="auto"/>
                <w:highlight w:val="none"/>
              </w:rPr>
            </w:pPr>
            <w:r>
              <w:rPr>
                <w:color w:val="auto"/>
                <w:sz w:val="21"/>
                <w:szCs w:val="21"/>
                <w:highlight w:val="none"/>
              </w:rPr>
              <w:t>AD-23-26</w:t>
            </w:r>
          </w:p>
        </w:tc>
        <w:tc>
          <w:tcPr>
            <w:tcW w:w="2149" w:type="dxa"/>
            <w:noWrap w:val="0"/>
            <w:vAlign w:val="center"/>
          </w:tcPr>
          <w:p w14:paraId="6323D922">
            <w:pPr>
              <w:ind w:firstLine="0" w:firstLineChars="0"/>
              <w:jc w:val="center"/>
              <w:rPr>
                <w:color w:val="auto"/>
                <w:highlight w:val="none"/>
              </w:rPr>
            </w:pPr>
            <w:r>
              <w:rPr>
                <w:color w:val="auto"/>
                <w:sz w:val="21"/>
                <w:szCs w:val="21"/>
                <w:highlight w:val="none"/>
              </w:rPr>
              <w:t>音响线</w:t>
            </w:r>
          </w:p>
        </w:tc>
        <w:tc>
          <w:tcPr>
            <w:tcW w:w="2014" w:type="dxa"/>
            <w:noWrap w:val="0"/>
            <w:vAlign w:val="center"/>
          </w:tcPr>
          <w:p w14:paraId="2B69FC21">
            <w:pPr>
              <w:ind w:firstLine="0" w:firstLineChars="0"/>
              <w:jc w:val="center"/>
              <w:rPr>
                <w:color w:val="auto"/>
                <w:highlight w:val="none"/>
              </w:rPr>
            </w:pPr>
            <w:r>
              <w:rPr>
                <w:color w:val="auto"/>
                <w:sz w:val="21"/>
                <w:szCs w:val="21"/>
                <w:highlight w:val="none"/>
              </w:rPr>
              <w:t>EVJV2*1.5</w:t>
            </w:r>
          </w:p>
        </w:tc>
        <w:tc>
          <w:tcPr>
            <w:tcW w:w="3259" w:type="dxa"/>
            <w:noWrap w:val="0"/>
            <w:vAlign w:val="center"/>
          </w:tcPr>
          <w:p w14:paraId="19912B65">
            <w:pPr>
              <w:ind w:firstLine="0" w:firstLineChars="0"/>
              <w:jc w:val="center"/>
              <w:rPr>
                <w:color w:val="auto"/>
                <w:highlight w:val="none"/>
              </w:rPr>
            </w:pPr>
            <w:r>
              <w:rPr>
                <w:color w:val="auto"/>
                <w:sz w:val="21"/>
                <w:szCs w:val="21"/>
                <w:highlight w:val="none"/>
              </w:rPr>
              <w:t>弱电柜\310报告厅功放</w:t>
            </w:r>
          </w:p>
        </w:tc>
      </w:tr>
      <w:tr w14:paraId="0730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59" w:type="dxa"/>
            <w:noWrap w:val="0"/>
            <w:vAlign w:val="center"/>
          </w:tcPr>
          <w:p w14:paraId="5DF51120">
            <w:pPr>
              <w:ind w:firstLine="0" w:firstLineChars="0"/>
              <w:jc w:val="center"/>
              <w:rPr>
                <w:color w:val="auto"/>
                <w:sz w:val="21"/>
                <w:szCs w:val="21"/>
                <w:highlight w:val="none"/>
              </w:rPr>
            </w:pPr>
            <w:r>
              <w:rPr>
                <w:color w:val="auto"/>
                <w:sz w:val="21"/>
                <w:szCs w:val="21"/>
                <w:highlight w:val="none"/>
              </w:rPr>
              <w:t>线性阵列声柱</w:t>
            </w:r>
          </w:p>
        </w:tc>
        <w:tc>
          <w:tcPr>
            <w:tcW w:w="2443" w:type="dxa"/>
            <w:noWrap w:val="0"/>
            <w:vAlign w:val="center"/>
          </w:tcPr>
          <w:p w14:paraId="69CA5038">
            <w:pPr>
              <w:ind w:firstLine="0" w:firstLineChars="0"/>
              <w:jc w:val="center"/>
              <w:rPr>
                <w:color w:val="auto"/>
                <w:sz w:val="21"/>
                <w:szCs w:val="21"/>
                <w:highlight w:val="none"/>
              </w:rPr>
            </w:pPr>
            <w:r>
              <w:rPr>
                <w:color w:val="auto"/>
                <w:sz w:val="21"/>
                <w:szCs w:val="21"/>
                <w:highlight w:val="none"/>
              </w:rPr>
              <w:t>313会议室四个角落</w:t>
            </w:r>
          </w:p>
        </w:tc>
        <w:tc>
          <w:tcPr>
            <w:tcW w:w="1957" w:type="dxa"/>
            <w:noWrap w:val="0"/>
            <w:vAlign w:val="center"/>
          </w:tcPr>
          <w:p w14:paraId="6C50CAD6">
            <w:pPr>
              <w:ind w:firstLine="480"/>
              <w:jc w:val="center"/>
              <w:rPr>
                <w:color w:val="auto"/>
                <w:highlight w:val="none"/>
              </w:rPr>
            </w:pPr>
          </w:p>
        </w:tc>
        <w:tc>
          <w:tcPr>
            <w:tcW w:w="1594" w:type="dxa"/>
            <w:noWrap w:val="0"/>
            <w:vAlign w:val="center"/>
          </w:tcPr>
          <w:p w14:paraId="4D5DF4EB">
            <w:pPr>
              <w:ind w:firstLine="0" w:firstLineChars="0"/>
              <w:jc w:val="center"/>
              <w:rPr>
                <w:color w:val="auto"/>
                <w:highlight w:val="none"/>
              </w:rPr>
            </w:pPr>
            <w:r>
              <w:rPr>
                <w:color w:val="auto"/>
                <w:sz w:val="21"/>
                <w:szCs w:val="21"/>
                <w:highlight w:val="none"/>
              </w:rPr>
              <w:t>AD-27-30</w:t>
            </w:r>
          </w:p>
        </w:tc>
        <w:tc>
          <w:tcPr>
            <w:tcW w:w="2149" w:type="dxa"/>
            <w:noWrap w:val="0"/>
            <w:vAlign w:val="center"/>
          </w:tcPr>
          <w:p w14:paraId="66DE86AD">
            <w:pPr>
              <w:ind w:firstLine="0" w:firstLineChars="0"/>
              <w:jc w:val="center"/>
              <w:rPr>
                <w:color w:val="auto"/>
                <w:highlight w:val="none"/>
              </w:rPr>
            </w:pPr>
            <w:r>
              <w:rPr>
                <w:color w:val="auto"/>
                <w:sz w:val="21"/>
                <w:szCs w:val="21"/>
                <w:highlight w:val="none"/>
              </w:rPr>
              <w:t>音响线</w:t>
            </w:r>
          </w:p>
        </w:tc>
        <w:tc>
          <w:tcPr>
            <w:tcW w:w="2014" w:type="dxa"/>
            <w:noWrap w:val="0"/>
            <w:vAlign w:val="center"/>
          </w:tcPr>
          <w:p w14:paraId="150798DA">
            <w:pPr>
              <w:ind w:firstLine="0" w:firstLineChars="0"/>
              <w:jc w:val="center"/>
              <w:rPr>
                <w:color w:val="auto"/>
                <w:highlight w:val="none"/>
              </w:rPr>
            </w:pPr>
            <w:r>
              <w:rPr>
                <w:color w:val="auto"/>
                <w:sz w:val="21"/>
                <w:szCs w:val="21"/>
                <w:highlight w:val="none"/>
              </w:rPr>
              <w:t>EVJV2*1.5</w:t>
            </w:r>
          </w:p>
        </w:tc>
        <w:tc>
          <w:tcPr>
            <w:tcW w:w="3259" w:type="dxa"/>
            <w:noWrap w:val="0"/>
            <w:vAlign w:val="center"/>
          </w:tcPr>
          <w:p w14:paraId="3D974AF1">
            <w:pPr>
              <w:ind w:firstLine="0" w:firstLineChars="0"/>
              <w:jc w:val="center"/>
              <w:rPr>
                <w:color w:val="auto"/>
                <w:highlight w:val="none"/>
              </w:rPr>
            </w:pPr>
            <w:r>
              <w:rPr>
                <w:color w:val="auto"/>
                <w:sz w:val="21"/>
                <w:szCs w:val="21"/>
                <w:highlight w:val="none"/>
              </w:rPr>
              <w:t>弱电柜\313报告厅功放</w:t>
            </w:r>
          </w:p>
        </w:tc>
      </w:tr>
      <w:tr w14:paraId="3DFE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59" w:type="dxa"/>
            <w:noWrap w:val="0"/>
            <w:vAlign w:val="center"/>
          </w:tcPr>
          <w:p w14:paraId="40A18CF3">
            <w:pPr>
              <w:ind w:firstLine="0" w:firstLineChars="0"/>
              <w:jc w:val="center"/>
              <w:rPr>
                <w:color w:val="auto"/>
                <w:sz w:val="21"/>
                <w:szCs w:val="21"/>
                <w:highlight w:val="none"/>
              </w:rPr>
            </w:pPr>
            <w:r>
              <w:rPr>
                <w:color w:val="auto"/>
                <w:sz w:val="21"/>
                <w:szCs w:val="21"/>
                <w:highlight w:val="none"/>
              </w:rPr>
              <w:t>线性阵列声柱</w:t>
            </w:r>
          </w:p>
        </w:tc>
        <w:tc>
          <w:tcPr>
            <w:tcW w:w="2443" w:type="dxa"/>
            <w:noWrap w:val="0"/>
            <w:vAlign w:val="center"/>
          </w:tcPr>
          <w:p w14:paraId="168BD3A5">
            <w:pPr>
              <w:ind w:firstLine="0" w:firstLineChars="0"/>
              <w:jc w:val="center"/>
              <w:rPr>
                <w:color w:val="auto"/>
                <w:sz w:val="21"/>
                <w:szCs w:val="21"/>
                <w:highlight w:val="none"/>
              </w:rPr>
            </w:pPr>
            <w:r>
              <w:rPr>
                <w:color w:val="auto"/>
                <w:sz w:val="21"/>
                <w:szCs w:val="21"/>
                <w:highlight w:val="none"/>
              </w:rPr>
              <w:t>314会议室四个角落</w:t>
            </w:r>
          </w:p>
        </w:tc>
        <w:tc>
          <w:tcPr>
            <w:tcW w:w="1957" w:type="dxa"/>
            <w:noWrap w:val="0"/>
            <w:vAlign w:val="center"/>
          </w:tcPr>
          <w:p w14:paraId="00B7669F">
            <w:pPr>
              <w:ind w:firstLine="480"/>
              <w:jc w:val="center"/>
              <w:rPr>
                <w:color w:val="auto"/>
                <w:highlight w:val="none"/>
              </w:rPr>
            </w:pPr>
          </w:p>
        </w:tc>
        <w:tc>
          <w:tcPr>
            <w:tcW w:w="1594" w:type="dxa"/>
            <w:noWrap w:val="0"/>
            <w:vAlign w:val="center"/>
          </w:tcPr>
          <w:p w14:paraId="51689EDA">
            <w:pPr>
              <w:ind w:firstLine="0" w:firstLineChars="0"/>
              <w:jc w:val="center"/>
              <w:rPr>
                <w:color w:val="auto"/>
                <w:highlight w:val="none"/>
              </w:rPr>
            </w:pPr>
            <w:r>
              <w:rPr>
                <w:color w:val="auto"/>
                <w:sz w:val="21"/>
                <w:szCs w:val="21"/>
                <w:highlight w:val="none"/>
              </w:rPr>
              <w:t>AD-31-34</w:t>
            </w:r>
          </w:p>
        </w:tc>
        <w:tc>
          <w:tcPr>
            <w:tcW w:w="2149" w:type="dxa"/>
            <w:noWrap w:val="0"/>
            <w:vAlign w:val="center"/>
          </w:tcPr>
          <w:p w14:paraId="295691F6">
            <w:pPr>
              <w:ind w:firstLine="0" w:firstLineChars="0"/>
              <w:jc w:val="center"/>
              <w:rPr>
                <w:color w:val="auto"/>
                <w:highlight w:val="none"/>
              </w:rPr>
            </w:pPr>
            <w:r>
              <w:rPr>
                <w:color w:val="auto"/>
                <w:sz w:val="21"/>
                <w:szCs w:val="21"/>
                <w:highlight w:val="none"/>
              </w:rPr>
              <w:t>音响线</w:t>
            </w:r>
          </w:p>
        </w:tc>
        <w:tc>
          <w:tcPr>
            <w:tcW w:w="2014" w:type="dxa"/>
            <w:noWrap w:val="0"/>
            <w:vAlign w:val="center"/>
          </w:tcPr>
          <w:p w14:paraId="3711352D">
            <w:pPr>
              <w:ind w:firstLine="0" w:firstLineChars="0"/>
              <w:jc w:val="center"/>
              <w:rPr>
                <w:color w:val="auto"/>
                <w:highlight w:val="none"/>
              </w:rPr>
            </w:pPr>
            <w:r>
              <w:rPr>
                <w:color w:val="auto"/>
                <w:sz w:val="21"/>
                <w:szCs w:val="21"/>
                <w:highlight w:val="none"/>
              </w:rPr>
              <w:t>EVJV2*1.5</w:t>
            </w:r>
          </w:p>
        </w:tc>
        <w:tc>
          <w:tcPr>
            <w:tcW w:w="3259" w:type="dxa"/>
            <w:noWrap w:val="0"/>
            <w:vAlign w:val="center"/>
          </w:tcPr>
          <w:p w14:paraId="51923DDB">
            <w:pPr>
              <w:ind w:firstLine="0" w:firstLineChars="0"/>
              <w:jc w:val="center"/>
              <w:rPr>
                <w:color w:val="auto"/>
                <w:highlight w:val="none"/>
              </w:rPr>
            </w:pPr>
            <w:r>
              <w:rPr>
                <w:color w:val="auto"/>
                <w:sz w:val="21"/>
                <w:szCs w:val="21"/>
                <w:highlight w:val="none"/>
              </w:rPr>
              <w:t>弱电柜\314报告厅功放</w:t>
            </w:r>
          </w:p>
        </w:tc>
      </w:tr>
      <w:tr w14:paraId="34AD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restart"/>
            <w:noWrap w:val="0"/>
            <w:vAlign w:val="center"/>
          </w:tcPr>
          <w:p w14:paraId="375A9559">
            <w:pPr>
              <w:ind w:firstLine="0" w:firstLineChars="0"/>
              <w:jc w:val="center"/>
              <w:rPr>
                <w:color w:val="auto"/>
                <w:sz w:val="21"/>
                <w:szCs w:val="21"/>
                <w:highlight w:val="none"/>
              </w:rPr>
            </w:pPr>
            <w:r>
              <w:rPr>
                <w:color w:val="auto"/>
                <w:sz w:val="21"/>
                <w:szCs w:val="21"/>
                <w:highlight w:val="none"/>
              </w:rPr>
              <w:t>短焦激光投影</w:t>
            </w:r>
          </w:p>
        </w:tc>
        <w:tc>
          <w:tcPr>
            <w:tcW w:w="2443" w:type="dxa"/>
            <w:vMerge w:val="restart"/>
            <w:noWrap w:val="0"/>
            <w:vAlign w:val="center"/>
          </w:tcPr>
          <w:p w14:paraId="7B525EC6">
            <w:pPr>
              <w:ind w:firstLine="0" w:firstLineChars="0"/>
              <w:jc w:val="center"/>
              <w:rPr>
                <w:color w:val="auto"/>
                <w:sz w:val="21"/>
                <w:szCs w:val="21"/>
                <w:highlight w:val="none"/>
              </w:rPr>
            </w:pPr>
            <w:r>
              <w:rPr>
                <w:color w:val="auto"/>
                <w:sz w:val="21"/>
                <w:szCs w:val="21"/>
                <w:highlight w:val="none"/>
              </w:rPr>
              <w:t>313以及314会议室</w:t>
            </w:r>
          </w:p>
        </w:tc>
        <w:tc>
          <w:tcPr>
            <w:tcW w:w="1957" w:type="dxa"/>
            <w:vMerge w:val="restart"/>
            <w:noWrap w:val="0"/>
            <w:vAlign w:val="center"/>
          </w:tcPr>
          <w:p w14:paraId="218CEFFD">
            <w:pPr>
              <w:ind w:firstLine="420"/>
              <w:rPr>
                <w:color w:val="auto"/>
                <w:highlight w:val="none"/>
              </w:rPr>
            </w:pPr>
            <w:r>
              <w:rPr>
                <w:color w:val="auto"/>
                <w:sz w:val="21"/>
                <w:szCs w:val="21"/>
                <w:highlight w:val="none"/>
              </w:rPr>
              <w:t>AC-26-28</w:t>
            </w:r>
          </w:p>
        </w:tc>
        <w:tc>
          <w:tcPr>
            <w:tcW w:w="1594" w:type="dxa"/>
            <w:noWrap w:val="0"/>
            <w:vAlign w:val="center"/>
          </w:tcPr>
          <w:p w14:paraId="0C730741">
            <w:pPr>
              <w:ind w:firstLine="0" w:firstLineChars="0"/>
              <w:jc w:val="center"/>
              <w:rPr>
                <w:color w:val="auto"/>
                <w:highlight w:val="none"/>
              </w:rPr>
            </w:pPr>
            <w:r>
              <w:rPr>
                <w:color w:val="auto"/>
                <w:sz w:val="21"/>
                <w:szCs w:val="21"/>
                <w:highlight w:val="none"/>
              </w:rPr>
              <w:t>HD-14</w:t>
            </w:r>
          </w:p>
        </w:tc>
        <w:tc>
          <w:tcPr>
            <w:tcW w:w="2149" w:type="dxa"/>
            <w:noWrap w:val="0"/>
            <w:vAlign w:val="center"/>
          </w:tcPr>
          <w:p w14:paraId="62CC8AE3">
            <w:pPr>
              <w:ind w:firstLine="0" w:firstLineChars="0"/>
              <w:jc w:val="center"/>
              <w:rPr>
                <w:color w:val="auto"/>
                <w:highlight w:val="none"/>
              </w:rPr>
            </w:pPr>
            <w:r>
              <w:rPr>
                <w:color w:val="auto"/>
                <w:sz w:val="21"/>
                <w:szCs w:val="21"/>
                <w:highlight w:val="none"/>
              </w:rPr>
              <w:t>高清HDMI直接</w:t>
            </w:r>
          </w:p>
        </w:tc>
        <w:tc>
          <w:tcPr>
            <w:tcW w:w="2014" w:type="dxa"/>
            <w:noWrap w:val="0"/>
            <w:vAlign w:val="center"/>
          </w:tcPr>
          <w:p w14:paraId="31F33AE7">
            <w:pPr>
              <w:ind w:firstLine="0" w:firstLineChars="0"/>
              <w:jc w:val="center"/>
              <w:rPr>
                <w:color w:val="auto"/>
                <w:highlight w:val="none"/>
              </w:rPr>
            </w:pPr>
            <w:r>
              <w:rPr>
                <w:color w:val="auto"/>
                <w:sz w:val="21"/>
                <w:szCs w:val="21"/>
                <w:highlight w:val="none"/>
              </w:rPr>
              <w:t>HDMI</w:t>
            </w:r>
          </w:p>
        </w:tc>
        <w:tc>
          <w:tcPr>
            <w:tcW w:w="3259" w:type="dxa"/>
            <w:noWrap w:val="0"/>
            <w:vAlign w:val="center"/>
          </w:tcPr>
          <w:p w14:paraId="7B33CFE9">
            <w:pPr>
              <w:ind w:firstLine="0" w:firstLineChars="0"/>
              <w:jc w:val="center"/>
              <w:rPr>
                <w:color w:val="auto"/>
                <w:highlight w:val="none"/>
              </w:rPr>
            </w:pPr>
            <w:r>
              <w:rPr>
                <w:color w:val="auto"/>
                <w:sz w:val="21"/>
                <w:szCs w:val="21"/>
                <w:highlight w:val="none"/>
              </w:rPr>
              <w:t>弱电柜\310</w:t>
            </w:r>
            <w:r>
              <w:rPr>
                <w:rFonts w:hint="eastAsia"/>
                <w:color w:val="auto"/>
                <w:sz w:val="21"/>
                <w:szCs w:val="21"/>
                <w:highlight w:val="none"/>
              </w:rPr>
              <w:t>拼接矩阵</w:t>
            </w:r>
          </w:p>
        </w:tc>
      </w:tr>
      <w:tr w14:paraId="78D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continue"/>
            <w:noWrap w:val="0"/>
            <w:vAlign w:val="center"/>
          </w:tcPr>
          <w:p w14:paraId="7EC7E048">
            <w:pPr>
              <w:ind w:firstLine="0" w:firstLineChars="0"/>
              <w:jc w:val="center"/>
              <w:rPr>
                <w:color w:val="auto"/>
                <w:highlight w:val="none"/>
              </w:rPr>
            </w:pPr>
          </w:p>
        </w:tc>
        <w:tc>
          <w:tcPr>
            <w:tcW w:w="2443" w:type="dxa"/>
            <w:vMerge w:val="continue"/>
            <w:noWrap w:val="0"/>
            <w:vAlign w:val="center"/>
          </w:tcPr>
          <w:p w14:paraId="6D02DC5C">
            <w:pPr>
              <w:ind w:firstLine="0" w:firstLineChars="0"/>
              <w:jc w:val="center"/>
              <w:rPr>
                <w:color w:val="auto"/>
                <w:highlight w:val="none"/>
              </w:rPr>
            </w:pPr>
          </w:p>
        </w:tc>
        <w:tc>
          <w:tcPr>
            <w:tcW w:w="1957" w:type="dxa"/>
            <w:vMerge w:val="continue"/>
            <w:noWrap w:val="0"/>
            <w:vAlign w:val="center"/>
          </w:tcPr>
          <w:p w14:paraId="27223814">
            <w:pPr>
              <w:ind w:firstLine="0" w:firstLineChars="0"/>
              <w:jc w:val="center"/>
              <w:rPr>
                <w:color w:val="auto"/>
                <w:highlight w:val="none"/>
              </w:rPr>
            </w:pPr>
          </w:p>
        </w:tc>
        <w:tc>
          <w:tcPr>
            <w:tcW w:w="1594" w:type="dxa"/>
            <w:noWrap w:val="0"/>
            <w:vAlign w:val="center"/>
          </w:tcPr>
          <w:p w14:paraId="7EEDA46C">
            <w:pPr>
              <w:ind w:firstLine="0" w:firstLineChars="0"/>
              <w:jc w:val="center"/>
              <w:rPr>
                <w:color w:val="auto"/>
                <w:sz w:val="21"/>
                <w:szCs w:val="21"/>
                <w:highlight w:val="none"/>
              </w:rPr>
            </w:pPr>
            <w:r>
              <w:rPr>
                <w:color w:val="auto"/>
                <w:sz w:val="21"/>
                <w:szCs w:val="21"/>
                <w:highlight w:val="none"/>
              </w:rPr>
              <w:t>HD-15</w:t>
            </w:r>
          </w:p>
        </w:tc>
        <w:tc>
          <w:tcPr>
            <w:tcW w:w="2149" w:type="dxa"/>
            <w:noWrap w:val="0"/>
            <w:vAlign w:val="center"/>
          </w:tcPr>
          <w:p w14:paraId="27DCD763">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3E47C5A5">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7976C37A">
            <w:pPr>
              <w:ind w:firstLine="0" w:firstLineChars="0"/>
              <w:jc w:val="center"/>
              <w:rPr>
                <w:color w:val="auto"/>
                <w:sz w:val="21"/>
                <w:szCs w:val="21"/>
                <w:highlight w:val="none"/>
              </w:rPr>
            </w:pPr>
            <w:r>
              <w:rPr>
                <w:color w:val="auto"/>
                <w:sz w:val="21"/>
                <w:szCs w:val="21"/>
                <w:highlight w:val="none"/>
              </w:rPr>
              <w:t>弱电柜\313</w:t>
            </w:r>
            <w:r>
              <w:rPr>
                <w:rFonts w:hint="eastAsia"/>
                <w:color w:val="auto"/>
                <w:sz w:val="21"/>
                <w:szCs w:val="21"/>
                <w:highlight w:val="none"/>
              </w:rPr>
              <w:t>拼接矩阵</w:t>
            </w:r>
          </w:p>
        </w:tc>
      </w:tr>
      <w:tr w14:paraId="0DD2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continue"/>
            <w:noWrap w:val="0"/>
            <w:vAlign w:val="center"/>
          </w:tcPr>
          <w:p w14:paraId="29891FBC">
            <w:pPr>
              <w:ind w:firstLine="0" w:firstLineChars="0"/>
              <w:jc w:val="center"/>
              <w:rPr>
                <w:color w:val="auto"/>
                <w:sz w:val="21"/>
                <w:szCs w:val="21"/>
                <w:highlight w:val="none"/>
              </w:rPr>
            </w:pPr>
          </w:p>
        </w:tc>
        <w:tc>
          <w:tcPr>
            <w:tcW w:w="2443" w:type="dxa"/>
            <w:vMerge w:val="continue"/>
            <w:noWrap w:val="0"/>
            <w:vAlign w:val="center"/>
          </w:tcPr>
          <w:p w14:paraId="7A7507F2">
            <w:pPr>
              <w:ind w:firstLine="0" w:firstLineChars="0"/>
              <w:jc w:val="center"/>
              <w:rPr>
                <w:color w:val="auto"/>
                <w:sz w:val="21"/>
                <w:szCs w:val="21"/>
                <w:highlight w:val="none"/>
              </w:rPr>
            </w:pPr>
          </w:p>
        </w:tc>
        <w:tc>
          <w:tcPr>
            <w:tcW w:w="1957" w:type="dxa"/>
            <w:vMerge w:val="continue"/>
            <w:noWrap w:val="0"/>
            <w:vAlign w:val="center"/>
          </w:tcPr>
          <w:p w14:paraId="06086E94">
            <w:pPr>
              <w:ind w:firstLine="0" w:firstLineChars="0"/>
              <w:jc w:val="center"/>
              <w:rPr>
                <w:color w:val="auto"/>
                <w:sz w:val="21"/>
                <w:szCs w:val="21"/>
                <w:highlight w:val="none"/>
              </w:rPr>
            </w:pPr>
          </w:p>
        </w:tc>
        <w:tc>
          <w:tcPr>
            <w:tcW w:w="1594" w:type="dxa"/>
            <w:noWrap w:val="0"/>
            <w:vAlign w:val="center"/>
          </w:tcPr>
          <w:p w14:paraId="7AB5A8C0">
            <w:pPr>
              <w:ind w:firstLine="0" w:firstLineChars="0"/>
              <w:jc w:val="center"/>
              <w:rPr>
                <w:color w:val="auto"/>
                <w:sz w:val="21"/>
                <w:szCs w:val="21"/>
                <w:highlight w:val="none"/>
              </w:rPr>
            </w:pPr>
            <w:r>
              <w:rPr>
                <w:color w:val="auto"/>
                <w:sz w:val="21"/>
                <w:szCs w:val="21"/>
                <w:highlight w:val="none"/>
              </w:rPr>
              <w:t>HD-16</w:t>
            </w:r>
          </w:p>
        </w:tc>
        <w:tc>
          <w:tcPr>
            <w:tcW w:w="2149" w:type="dxa"/>
            <w:noWrap w:val="0"/>
            <w:vAlign w:val="center"/>
          </w:tcPr>
          <w:p w14:paraId="712BEF25">
            <w:pPr>
              <w:ind w:firstLine="0" w:firstLineChars="0"/>
              <w:jc w:val="center"/>
              <w:rPr>
                <w:color w:val="auto"/>
                <w:sz w:val="21"/>
                <w:szCs w:val="21"/>
                <w:highlight w:val="none"/>
              </w:rPr>
            </w:pPr>
            <w:r>
              <w:rPr>
                <w:color w:val="auto"/>
                <w:sz w:val="21"/>
                <w:szCs w:val="21"/>
                <w:highlight w:val="none"/>
              </w:rPr>
              <w:t>高清HDMI直接</w:t>
            </w:r>
          </w:p>
        </w:tc>
        <w:tc>
          <w:tcPr>
            <w:tcW w:w="2014" w:type="dxa"/>
            <w:noWrap w:val="0"/>
            <w:vAlign w:val="center"/>
          </w:tcPr>
          <w:p w14:paraId="50CC080A">
            <w:pPr>
              <w:ind w:firstLine="0" w:firstLineChars="0"/>
              <w:jc w:val="center"/>
              <w:rPr>
                <w:color w:val="auto"/>
                <w:sz w:val="21"/>
                <w:szCs w:val="21"/>
                <w:highlight w:val="none"/>
              </w:rPr>
            </w:pPr>
            <w:r>
              <w:rPr>
                <w:color w:val="auto"/>
                <w:sz w:val="21"/>
                <w:szCs w:val="21"/>
                <w:highlight w:val="none"/>
              </w:rPr>
              <w:t>HDMI</w:t>
            </w:r>
          </w:p>
        </w:tc>
        <w:tc>
          <w:tcPr>
            <w:tcW w:w="3259" w:type="dxa"/>
            <w:noWrap w:val="0"/>
            <w:vAlign w:val="center"/>
          </w:tcPr>
          <w:p w14:paraId="47117ED6">
            <w:pPr>
              <w:ind w:firstLine="0" w:firstLineChars="0"/>
              <w:jc w:val="center"/>
              <w:rPr>
                <w:color w:val="auto"/>
                <w:sz w:val="21"/>
                <w:szCs w:val="21"/>
                <w:highlight w:val="none"/>
              </w:rPr>
            </w:pPr>
            <w:r>
              <w:rPr>
                <w:color w:val="auto"/>
                <w:sz w:val="21"/>
                <w:szCs w:val="21"/>
                <w:highlight w:val="none"/>
              </w:rPr>
              <w:t>弱电柜\314</w:t>
            </w:r>
            <w:r>
              <w:rPr>
                <w:rFonts w:hint="eastAsia"/>
                <w:color w:val="auto"/>
                <w:sz w:val="21"/>
                <w:szCs w:val="21"/>
                <w:highlight w:val="none"/>
              </w:rPr>
              <w:t>拼接矩阵</w:t>
            </w:r>
          </w:p>
        </w:tc>
      </w:tr>
      <w:tr w14:paraId="3176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continue"/>
            <w:noWrap w:val="0"/>
            <w:vAlign w:val="center"/>
          </w:tcPr>
          <w:p w14:paraId="2DFC6AA8">
            <w:pPr>
              <w:ind w:firstLine="0" w:firstLineChars="0"/>
              <w:jc w:val="center"/>
              <w:rPr>
                <w:color w:val="auto"/>
                <w:sz w:val="21"/>
                <w:szCs w:val="21"/>
                <w:highlight w:val="none"/>
              </w:rPr>
            </w:pPr>
          </w:p>
        </w:tc>
        <w:tc>
          <w:tcPr>
            <w:tcW w:w="2443" w:type="dxa"/>
            <w:vMerge w:val="continue"/>
            <w:noWrap w:val="0"/>
            <w:vAlign w:val="center"/>
          </w:tcPr>
          <w:p w14:paraId="1EBE55AD">
            <w:pPr>
              <w:ind w:firstLine="0" w:firstLineChars="0"/>
              <w:jc w:val="center"/>
              <w:rPr>
                <w:color w:val="auto"/>
                <w:sz w:val="21"/>
                <w:szCs w:val="21"/>
                <w:highlight w:val="none"/>
              </w:rPr>
            </w:pPr>
          </w:p>
        </w:tc>
        <w:tc>
          <w:tcPr>
            <w:tcW w:w="1957" w:type="dxa"/>
            <w:vMerge w:val="continue"/>
            <w:noWrap w:val="0"/>
            <w:vAlign w:val="center"/>
          </w:tcPr>
          <w:p w14:paraId="1B254E8C">
            <w:pPr>
              <w:ind w:firstLine="0" w:firstLineChars="0"/>
              <w:jc w:val="center"/>
              <w:rPr>
                <w:color w:val="auto"/>
                <w:sz w:val="21"/>
                <w:szCs w:val="21"/>
                <w:highlight w:val="none"/>
              </w:rPr>
            </w:pPr>
          </w:p>
        </w:tc>
        <w:tc>
          <w:tcPr>
            <w:tcW w:w="1594" w:type="dxa"/>
            <w:noWrap w:val="0"/>
            <w:vAlign w:val="center"/>
          </w:tcPr>
          <w:p w14:paraId="4B438038">
            <w:pPr>
              <w:ind w:firstLine="0" w:firstLineChars="0"/>
              <w:jc w:val="center"/>
              <w:rPr>
                <w:color w:val="auto"/>
                <w:highlight w:val="none"/>
              </w:rPr>
            </w:pPr>
            <w:r>
              <w:rPr>
                <w:color w:val="auto"/>
                <w:sz w:val="21"/>
                <w:szCs w:val="21"/>
                <w:highlight w:val="none"/>
              </w:rPr>
              <w:t>TJ-131</w:t>
            </w:r>
          </w:p>
        </w:tc>
        <w:tc>
          <w:tcPr>
            <w:tcW w:w="2149" w:type="dxa"/>
            <w:noWrap w:val="0"/>
            <w:vAlign w:val="center"/>
          </w:tcPr>
          <w:p w14:paraId="4C8130A0">
            <w:pPr>
              <w:ind w:firstLine="0" w:firstLineChars="0"/>
              <w:jc w:val="center"/>
              <w:rPr>
                <w:color w:val="auto"/>
                <w:highlight w:val="none"/>
              </w:rPr>
            </w:pPr>
            <w:r>
              <w:rPr>
                <w:color w:val="auto"/>
                <w:sz w:val="21"/>
                <w:szCs w:val="21"/>
                <w:highlight w:val="none"/>
              </w:rPr>
              <w:t>6类RJ45</w:t>
            </w:r>
          </w:p>
        </w:tc>
        <w:tc>
          <w:tcPr>
            <w:tcW w:w="2014" w:type="dxa"/>
            <w:noWrap w:val="0"/>
            <w:vAlign w:val="center"/>
          </w:tcPr>
          <w:p w14:paraId="2BDEDF84">
            <w:pPr>
              <w:ind w:firstLine="0" w:firstLineChars="0"/>
              <w:jc w:val="center"/>
              <w:rPr>
                <w:color w:val="auto"/>
                <w:highlight w:val="none"/>
              </w:rPr>
            </w:pPr>
            <w:r>
              <w:rPr>
                <w:color w:val="auto"/>
                <w:sz w:val="21"/>
                <w:szCs w:val="21"/>
                <w:highlight w:val="none"/>
              </w:rPr>
              <w:t>CAT6</w:t>
            </w:r>
          </w:p>
        </w:tc>
        <w:tc>
          <w:tcPr>
            <w:tcW w:w="3259" w:type="dxa"/>
            <w:noWrap w:val="0"/>
            <w:vAlign w:val="center"/>
          </w:tcPr>
          <w:p w14:paraId="73BDBF24">
            <w:pPr>
              <w:ind w:firstLine="0" w:firstLineChars="0"/>
              <w:jc w:val="center"/>
              <w:rPr>
                <w:color w:val="auto"/>
                <w:highlight w:val="none"/>
              </w:rPr>
            </w:pPr>
            <w:r>
              <w:rPr>
                <w:color w:val="auto"/>
                <w:sz w:val="21"/>
                <w:szCs w:val="21"/>
                <w:highlight w:val="none"/>
              </w:rPr>
              <w:t>弱电柜\310会议室网络交换机</w:t>
            </w:r>
          </w:p>
        </w:tc>
      </w:tr>
      <w:tr w14:paraId="1723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continue"/>
            <w:noWrap w:val="0"/>
            <w:vAlign w:val="center"/>
          </w:tcPr>
          <w:p w14:paraId="7250726A">
            <w:pPr>
              <w:ind w:firstLine="0" w:firstLineChars="0"/>
              <w:jc w:val="center"/>
              <w:rPr>
                <w:color w:val="auto"/>
                <w:sz w:val="21"/>
                <w:szCs w:val="21"/>
                <w:highlight w:val="none"/>
              </w:rPr>
            </w:pPr>
          </w:p>
        </w:tc>
        <w:tc>
          <w:tcPr>
            <w:tcW w:w="2443" w:type="dxa"/>
            <w:vMerge w:val="continue"/>
            <w:noWrap w:val="0"/>
            <w:vAlign w:val="center"/>
          </w:tcPr>
          <w:p w14:paraId="35779BA0">
            <w:pPr>
              <w:ind w:firstLine="0" w:firstLineChars="0"/>
              <w:jc w:val="center"/>
              <w:rPr>
                <w:color w:val="auto"/>
                <w:sz w:val="21"/>
                <w:szCs w:val="21"/>
                <w:highlight w:val="none"/>
              </w:rPr>
            </w:pPr>
          </w:p>
        </w:tc>
        <w:tc>
          <w:tcPr>
            <w:tcW w:w="1957" w:type="dxa"/>
            <w:vMerge w:val="continue"/>
            <w:noWrap w:val="0"/>
            <w:vAlign w:val="center"/>
          </w:tcPr>
          <w:p w14:paraId="6F324D14">
            <w:pPr>
              <w:ind w:firstLine="0" w:firstLineChars="0"/>
              <w:jc w:val="center"/>
              <w:rPr>
                <w:color w:val="auto"/>
                <w:sz w:val="21"/>
                <w:szCs w:val="21"/>
                <w:highlight w:val="none"/>
              </w:rPr>
            </w:pPr>
          </w:p>
        </w:tc>
        <w:tc>
          <w:tcPr>
            <w:tcW w:w="1594" w:type="dxa"/>
            <w:noWrap w:val="0"/>
            <w:vAlign w:val="center"/>
          </w:tcPr>
          <w:p w14:paraId="1134C02B">
            <w:pPr>
              <w:ind w:firstLine="0" w:firstLineChars="0"/>
              <w:jc w:val="center"/>
              <w:rPr>
                <w:color w:val="auto"/>
                <w:sz w:val="21"/>
                <w:szCs w:val="21"/>
                <w:highlight w:val="none"/>
              </w:rPr>
            </w:pPr>
            <w:r>
              <w:rPr>
                <w:color w:val="auto"/>
                <w:sz w:val="21"/>
                <w:szCs w:val="21"/>
                <w:highlight w:val="none"/>
              </w:rPr>
              <w:t>TJ-132</w:t>
            </w:r>
          </w:p>
        </w:tc>
        <w:tc>
          <w:tcPr>
            <w:tcW w:w="2149" w:type="dxa"/>
            <w:noWrap w:val="0"/>
            <w:vAlign w:val="center"/>
          </w:tcPr>
          <w:p w14:paraId="1AE95742">
            <w:pPr>
              <w:ind w:firstLine="0" w:firstLineChars="0"/>
              <w:jc w:val="center"/>
              <w:rPr>
                <w:color w:val="auto"/>
                <w:sz w:val="21"/>
                <w:szCs w:val="21"/>
                <w:highlight w:val="none"/>
              </w:rPr>
            </w:pPr>
            <w:r>
              <w:rPr>
                <w:color w:val="auto"/>
                <w:sz w:val="21"/>
                <w:szCs w:val="21"/>
                <w:highlight w:val="none"/>
              </w:rPr>
              <w:t>6类RJ45</w:t>
            </w:r>
          </w:p>
        </w:tc>
        <w:tc>
          <w:tcPr>
            <w:tcW w:w="2014" w:type="dxa"/>
            <w:noWrap w:val="0"/>
            <w:vAlign w:val="center"/>
          </w:tcPr>
          <w:p w14:paraId="5A482E7C">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0792ECBC">
            <w:pPr>
              <w:ind w:firstLine="0" w:firstLineChars="0"/>
              <w:jc w:val="center"/>
              <w:rPr>
                <w:color w:val="auto"/>
                <w:sz w:val="21"/>
                <w:szCs w:val="21"/>
                <w:highlight w:val="none"/>
              </w:rPr>
            </w:pPr>
            <w:r>
              <w:rPr>
                <w:color w:val="auto"/>
                <w:sz w:val="21"/>
                <w:szCs w:val="21"/>
                <w:highlight w:val="none"/>
              </w:rPr>
              <w:t>弱电柜\313会议室网络交换机</w:t>
            </w:r>
          </w:p>
        </w:tc>
      </w:tr>
      <w:tr w14:paraId="35F7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9" w:type="dxa"/>
            <w:vMerge w:val="continue"/>
            <w:noWrap w:val="0"/>
            <w:vAlign w:val="center"/>
          </w:tcPr>
          <w:p w14:paraId="5C2820E3">
            <w:pPr>
              <w:ind w:firstLine="0" w:firstLineChars="0"/>
              <w:jc w:val="center"/>
              <w:rPr>
                <w:color w:val="auto"/>
                <w:sz w:val="21"/>
                <w:szCs w:val="21"/>
                <w:highlight w:val="none"/>
              </w:rPr>
            </w:pPr>
          </w:p>
        </w:tc>
        <w:tc>
          <w:tcPr>
            <w:tcW w:w="2443" w:type="dxa"/>
            <w:vMerge w:val="continue"/>
            <w:noWrap w:val="0"/>
            <w:vAlign w:val="center"/>
          </w:tcPr>
          <w:p w14:paraId="0CBE33D7">
            <w:pPr>
              <w:ind w:firstLine="0" w:firstLineChars="0"/>
              <w:jc w:val="center"/>
              <w:rPr>
                <w:color w:val="auto"/>
                <w:sz w:val="21"/>
                <w:szCs w:val="21"/>
                <w:highlight w:val="none"/>
              </w:rPr>
            </w:pPr>
          </w:p>
        </w:tc>
        <w:tc>
          <w:tcPr>
            <w:tcW w:w="1957" w:type="dxa"/>
            <w:vMerge w:val="continue"/>
            <w:noWrap w:val="0"/>
            <w:vAlign w:val="center"/>
          </w:tcPr>
          <w:p w14:paraId="79EE919E">
            <w:pPr>
              <w:ind w:firstLine="0" w:firstLineChars="0"/>
              <w:jc w:val="center"/>
              <w:rPr>
                <w:color w:val="auto"/>
                <w:sz w:val="21"/>
                <w:szCs w:val="21"/>
                <w:highlight w:val="none"/>
              </w:rPr>
            </w:pPr>
          </w:p>
        </w:tc>
        <w:tc>
          <w:tcPr>
            <w:tcW w:w="1594" w:type="dxa"/>
            <w:noWrap w:val="0"/>
            <w:vAlign w:val="center"/>
          </w:tcPr>
          <w:p w14:paraId="0F2B8237">
            <w:pPr>
              <w:ind w:firstLine="0" w:firstLineChars="0"/>
              <w:jc w:val="center"/>
              <w:rPr>
                <w:color w:val="auto"/>
                <w:sz w:val="21"/>
                <w:szCs w:val="21"/>
                <w:highlight w:val="none"/>
              </w:rPr>
            </w:pPr>
            <w:r>
              <w:rPr>
                <w:color w:val="auto"/>
                <w:sz w:val="21"/>
                <w:szCs w:val="21"/>
                <w:highlight w:val="none"/>
              </w:rPr>
              <w:t>TJ-133</w:t>
            </w:r>
          </w:p>
        </w:tc>
        <w:tc>
          <w:tcPr>
            <w:tcW w:w="2149" w:type="dxa"/>
            <w:noWrap w:val="0"/>
            <w:vAlign w:val="center"/>
          </w:tcPr>
          <w:p w14:paraId="0FF82CD3">
            <w:pPr>
              <w:ind w:firstLine="0" w:firstLineChars="0"/>
              <w:jc w:val="center"/>
              <w:rPr>
                <w:color w:val="auto"/>
                <w:sz w:val="21"/>
                <w:szCs w:val="21"/>
                <w:highlight w:val="none"/>
              </w:rPr>
            </w:pPr>
            <w:r>
              <w:rPr>
                <w:color w:val="auto"/>
                <w:sz w:val="21"/>
                <w:szCs w:val="21"/>
                <w:highlight w:val="none"/>
              </w:rPr>
              <w:t>6类RJ45</w:t>
            </w:r>
          </w:p>
        </w:tc>
        <w:tc>
          <w:tcPr>
            <w:tcW w:w="2014" w:type="dxa"/>
            <w:noWrap w:val="0"/>
            <w:vAlign w:val="center"/>
          </w:tcPr>
          <w:p w14:paraId="30441226">
            <w:pPr>
              <w:ind w:firstLine="0" w:firstLineChars="0"/>
              <w:jc w:val="center"/>
              <w:rPr>
                <w:color w:val="auto"/>
                <w:sz w:val="21"/>
                <w:szCs w:val="21"/>
                <w:highlight w:val="none"/>
              </w:rPr>
            </w:pPr>
            <w:r>
              <w:rPr>
                <w:color w:val="auto"/>
                <w:sz w:val="21"/>
                <w:szCs w:val="21"/>
                <w:highlight w:val="none"/>
              </w:rPr>
              <w:t>CAT6</w:t>
            </w:r>
          </w:p>
        </w:tc>
        <w:tc>
          <w:tcPr>
            <w:tcW w:w="3259" w:type="dxa"/>
            <w:noWrap w:val="0"/>
            <w:vAlign w:val="center"/>
          </w:tcPr>
          <w:p w14:paraId="127A0DEC">
            <w:pPr>
              <w:ind w:firstLine="0" w:firstLineChars="0"/>
              <w:jc w:val="center"/>
              <w:rPr>
                <w:color w:val="auto"/>
                <w:sz w:val="21"/>
                <w:szCs w:val="21"/>
                <w:highlight w:val="none"/>
              </w:rPr>
            </w:pPr>
            <w:r>
              <w:rPr>
                <w:color w:val="auto"/>
                <w:sz w:val="21"/>
                <w:szCs w:val="21"/>
                <w:highlight w:val="none"/>
              </w:rPr>
              <w:t>弱电柜\313会议室网络交换机</w:t>
            </w:r>
          </w:p>
        </w:tc>
      </w:tr>
    </w:tbl>
    <w:p w14:paraId="08A79A16">
      <w:pPr>
        <w:snapToGrid w:val="0"/>
        <w:ind w:firstLine="0" w:firstLineChars="0"/>
        <w:jc w:val="left"/>
        <w:rPr>
          <w:b/>
          <w:color w:val="auto"/>
          <w:szCs w:val="24"/>
          <w:highlight w:val="none"/>
        </w:rPr>
      </w:pPr>
    </w:p>
    <w:p w14:paraId="512D15FA">
      <w:pPr>
        <w:snapToGrid w:val="0"/>
        <w:jc w:val="left"/>
        <w:rPr>
          <w:b/>
          <w:color w:val="auto"/>
          <w:szCs w:val="24"/>
          <w:highlight w:val="none"/>
        </w:rPr>
      </w:pPr>
      <w:r>
        <w:rPr>
          <w:b/>
          <w:color w:val="auto"/>
          <w:szCs w:val="24"/>
          <w:highlight w:val="none"/>
        </w:rPr>
        <w:t>注：依据现场情况，部分线路已经布线到位可利旧使用，如不能使用的线路需要重新整改布线。</w:t>
      </w:r>
    </w:p>
    <w:p w14:paraId="08AD425F">
      <w:pPr>
        <w:snapToGrid w:val="0"/>
        <w:ind w:firstLine="0" w:firstLineChars="0"/>
        <w:jc w:val="left"/>
        <w:rPr>
          <w:color w:val="auto"/>
          <w:highlight w:val="none"/>
        </w:rPr>
      </w:pPr>
    </w:p>
    <w:p w14:paraId="08704A7E">
      <w:pPr>
        <w:snapToGrid w:val="0"/>
        <w:ind w:firstLine="0" w:firstLineChars="0"/>
        <w:jc w:val="left"/>
        <w:rPr>
          <w:color w:val="auto"/>
          <w:highlight w:val="none"/>
        </w:rPr>
      </w:pPr>
    </w:p>
    <w:p w14:paraId="1CC8082D">
      <w:pPr>
        <w:snapToGrid w:val="0"/>
        <w:ind w:firstLine="0" w:firstLineChars="0"/>
        <w:jc w:val="left"/>
        <w:rPr>
          <w:color w:val="auto"/>
          <w:highlight w:val="none"/>
        </w:rPr>
        <w:sectPr>
          <w:pgSz w:w="20160" w:h="12240" w:orient="landscape"/>
          <w:pgMar w:top="1361" w:right="1349" w:bottom="1440" w:left="1440" w:header="851" w:footer="992" w:gutter="0"/>
          <w:cols w:space="720" w:num="1"/>
          <w:titlePg/>
          <w:docGrid w:type="lines" w:linePitch="337" w:charSpace="0"/>
        </w:sectPr>
      </w:pPr>
    </w:p>
    <w:p w14:paraId="0B80BA2C">
      <w:pPr>
        <w:ind w:firstLine="0" w:firstLineChars="0"/>
        <w:rPr>
          <w:b/>
          <w:bCs/>
          <w:color w:val="auto"/>
          <w:highlight w:val="none"/>
        </w:rPr>
      </w:pPr>
      <w:r>
        <w:rPr>
          <w:b/>
          <w:bCs/>
          <w:color w:val="auto"/>
          <w:highlight w:val="none"/>
        </w:rPr>
        <w:t>表</w:t>
      </w:r>
      <w:r>
        <w:rPr>
          <w:rFonts w:hint="eastAsia"/>
          <w:b/>
          <w:bCs/>
          <w:color w:val="auto"/>
          <w:highlight w:val="none"/>
        </w:rPr>
        <w:t>6</w:t>
      </w:r>
      <w:r>
        <w:rPr>
          <w:b/>
          <w:bCs/>
          <w:color w:val="auto"/>
          <w:highlight w:val="none"/>
        </w:rPr>
        <w:t>.2 项目工作量清单</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600"/>
        <w:gridCol w:w="1633"/>
        <w:gridCol w:w="3466"/>
        <w:gridCol w:w="869"/>
        <w:gridCol w:w="841"/>
      </w:tblGrid>
      <w:tr w14:paraId="55C5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89" w:type="pct"/>
            <w:vMerge w:val="restart"/>
            <w:noWrap w:val="0"/>
            <w:vAlign w:val="center"/>
          </w:tcPr>
          <w:p w14:paraId="7F419A77">
            <w:pPr>
              <w:snapToGrid w:val="0"/>
              <w:spacing w:line="288" w:lineRule="auto"/>
              <w:ind w:firstLine="0" w:firstLineChars="0"/>
              <w:jc w:val="center"/>
              <w:rPr>
                <w:b/>
                <w:bCs/>
                <w:color w:val="auto"/>
                <w:sz w:val="21"/>
                <w:szCs w:val="21"/>
                <w:highlight w:val="none"/>
              </w:rPr>
            </w:pPr>
            <w:bookmarkStart w:id="52" w:name="RANGE!A1:I51"/>
            <w:r>
              <w:rPr>
                <w:b/>
                <w:bCs/>
                <w:color w:val="auto"/>
                <w:sz w:val="21"/>
                <w:szCs w:val="21"/>
                <w:highlight w:val="none"/>
              </w:rPr>
              <w:t>序号</w:t>
            </w:r>
            <w:bookmarkEnd w:id="52"/>
          </w:p>
        </w:tc>
        <w:tc>
          <w:tcPr>
            <w:tcW w:w="858" w:type="pct"/>
            <w:vMerge w:val="restart"/>
            <w:noWrap w:val="0"/>
            <w:vAlign w:val="center"/>
          </w:tcPr>
          <w:p w14:paraId="380E27DB">
            <w:pPr>
              <w:snapToGrid w:val="0"/>
              <w:spacing w:line="288" w:lineRule="auto"/>
              <w:ind w:firstLine="0" w:firstLineChars="0"/>
              <w:jc w:val="center"/>
              <w:rPr>
                <w:b/>
                <w:bCs/>
                <w:color w:val="auto"/>
                <w:sz w:val="21"/>
                <w:szCs w:val="21"/>
                <w:highlight w:val="none"/>
              </w:rPr>
            </w:pPr>
            <w:r>
              <w:rPr>
                <w:b/>
                <w:bCs/>
                <w:color w:val="auto"/>
                <w:sz w:val="21"/>
                <w:szCs w:val="21"/>
                <w:highlight w:val="none"/>
              </w:rPr>
              <w:t>项目编码</w:t>
            </w:r>
          </w:p>
        </w:tc>
        <w:tc>
          <w:tcPr>
            <w:tcW w:w="876" w:type="pct"/>
            <w:vMerge w:val="restart"/>
            <w:noWrap w:val="0"/>
            <w:vAlign w:val="center"/>
          </w:tcPr>
          <w:p w14:paraId="5218FDD1">
            <w:pPr>
              <w:snapToGrid w:val="0"/>
              <w:spacing w:line="288" w:lineRule="auto"/>
              <w:ind w:firstLine="0" w:firstLineChars="0"/>
              <w:jc w:val="center"/>
              <w:rPr>
                <w:b/>
                <w:bCs/>
                <w:color w:val="auto"/>
                <w:sz w:val="21"/>
                <w:szCs w:val="21"/>
                <w:highlight w:val="none"/>
              </w:rPr>
            </w:pPr>
            <w:r>
              <w:rPr>
                <w:b/>
                <w:bCs/>
                <w:color w:val="auto"/>
                <w:sz w:val="21"/>
                <w:szCs w:val="21"/>
                <w:highlight w:val="none"/>
              </w:rPr>
              <w:t>项目名称</w:t>
            </w:r>
          </w:p>
        </w:tc>
        <w:tc>
          <w:tcPr>
            <w:tcW w:w="1858" w:type="pct"/>
            <w:vMerge w:val="restart"/>
            <w:noWrap w:val="0"/>
            <w:vAlign w:val="center"/>
          </w:tcPr>
          <w:p w14:paraId="78E35832">
            <w:pPr>
              <w:snapToGrid w:val="0"/>
              <w:spacing w:line="288" w:lineRule="auto"/>
              <w:ind w:firstLine="0" w:firstLineChars="0"/>
              <w:jc w:val="center"/>
              <w:rPr>
                <w:b/>
                <w:bCs/>
                <w:color w:val="auto"/>
                <w:sz w:val="21"/>
                <w:szCs w:val="21"/>
                <w:highlight w:val="none"/>
              </w:rPr>
            </w:pPr>
            <w:r>
              <w:rPr>
                <w:b/>
                <w:bCs/>
                <w:color w:val="auto"/>
                <w:sz w:val="21"/>
                <w:szCs w:val="21"/>
                <w:highlight w:val="none"/>
              </w:rPr>
              <w:t>项目特征描述</w:t>
            </w:r>
          </w:p>
        </w:tc>
        <w:tc>
          <w:tcPr>
            <w:tcW w:w="466" w:type="pct"/>
            <w:vMerge w:val="restart"/>
            <w:noWrap w:val="0"/>
            <w:vAlign w:val="center"/>
          </w:tcPr>
          <w:p w14:paraId="0E7A491D">
            <w:pPr>
              <w:snapToGrid w:val="0"/>
              <w:spacing w:line="288" w:lineRule="auto"/>
              <w:ind w:firstLine="0" w:firstLineChars="0"/>
              <w:jc w:val="center"/>
              <w:rPr>
                <w:b/>
                <w:bCs/>
                <w:color w:val="auto"/>
                <w:sz w:val="21"/>
                <w:szCs w:val="21"/>
                <w:highlight w:val="none"/>
              </w:rPr>
            </w:pPr>
            <w:r>
              <w:rPr>
                <w:b/>
                <w:bCs/>
                <w:color w:val="auto"/>
                <w:sz w:val="21"/>
                <w:szCs w:val="21"/>
                <w:highlight w:val="none"/>
              </w:rPr>
              <w:t>计量</w:t>
            </w:r>
          </w:p>
          <w:p w14:paraId="47678847">
            <w:pPr>
              <w:snapToGrid w:val="0"/>
              <w:spacing w:line="288" w:lineRule="auto"/>
              <w:ind w:firstLine="0" w:firstLineChars="0"/>
              <w:jc w:val="center"/>
              <w:rPr>
                <w:b/>
                <w:bCs/>
                <w:color w:val="auto"/>
                <w:sz w:val="21"/>
                <w:szCs w:val="21"/>
                <w:highlight w:val="none"/>
              </w:rPr>
            </w:pPr>
            <w:r>
              <w:rPr>
                <w:b/>
                <w:bCs/>
                <w:color w:val="auto"/>
                <w:sz w:val="21"/>
                <w:szCs w:val="21"/>
                <w:highlight w:val="none"/>
              </w:rPr>
              <w:t>单位</w:t>
            </w:r>
          </w:p>
        </w:tc>
        <w:tc>
          <w:tcPr>
            <w:tcW w:w="451" w:type="pct"/>
            <w:vMerge w:val="restart"/>
            <w:noWrap w:val="0"/>
            <w:vAlign w:val="center"/>
          </w:tcPr>
          <w:p w14:paraId="05FDB8DD">
            <w:pPr>
              <w:snapToGrid w:val="0"/>
              <w:spacing w:line="288" w:lineRule="auto"/>
              <w:ind w:firstLine="0" w:firstLineChars="0"/>
              <w:jc w:val="center"/>
              <w:rPr>
                <w:b/>
                <w:bCs/>
                <w:color w:val="auto"/>
                <w:sz w:val="21"/>
                <w:szCs w:val="21"/>
                <w:highlight w:val="none"/>
              </w:rPr>
            </w:pPr>
            <w:r>
              <w:rPr>
                <w:b/>
                <w:bCs/>
                <w:color w:val="auto"/>
                <w:sz w:val="21"/>
                <w:szCs w:val="21"/>
                <w:highlight w:val="none"/>
              </w:rPr>
              <w:t>工程量</w:t>
            </w:r>
          </w:p>
        </w:tc>
      </w:tr>
      <w:tr w14:paraId="3C9B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9" w:type="pct"/>
            <w:vMerge w:val="continue"/>
            <w:noWrap w:val="0"/>
            <w:vAlign w:val="center"/>
          </w:tcPr>
          <w:p w14:paraId="66479CA4">
            <w:pPr>
              <w:snapToGrid w:val="0"/>
              <w:spacing w:line="288" w:lineRule="auto"/>
              <w:ind w:firstLine="0" w:firstLineChars="0"/>
              <w:jc w:val="center"/>
              <w:rPr>
                <w:b/>
                <w:bCs/>
                <w:color w:val="auto"/>
                <w:sz w:val="21"/>
                <w:szCs w:val="21"/>
                <w:highlight w:val="none"/>
              </w:rPr>
            </w:pPr>
          </w:p>
        </w:tc>
        <w:tc>
          <w:tcPr>
            <w:tcW w:w="858" w:type="pct"/>
            <w:vMerge w:val="continue"/>
            <w:noWrap w:val="0"/>
            <w:vAlign w:val="center"/>
          </w:tcPr>
          <w:p w14:paraId="48ED46F8">
            <w:pPr>
              <w:snapToGrid w:val="0"/>
              <w:spacing w:line="288" w:lineRule="auto"/>
              <w:ind w:firstLine="0" w:firstLineChars="0"/>
              <w:jc w:val="left"/>
              <w:rPr>
                <w:b/>
                <w:bCs/>
                <w:color w:val="auto"/>
                <w:sz w:val="21"/>
                <w:szCs w:val="21"/>
                <w:highlight w:val="none"/>
              </w:rPr>
            </w:pPr>
          </w:p>
        </w:tc>
        <w:tc>
          <w:tcPr>
            <w:tcW w:w="876" w:type="pct"/>
            <w:vMerge w:val="continue"/>
            <w:noWrap w:val="0"/>
            <w:vAlign w:val="center"/>
          </w:tcPr>
          <w:p w14:paraId="676406D7">
            <w:pPr>
              <w:snapToGrid w:val="0"/>
              <w:spacing w:line="288" w:lineRule="auto"/>
              <w:ind w:firstLine="0" w:firstLineChars="0"/>
              <w:jc w:val="left"/>
              <w:rPr>
                <w:b/>
                <w:bCs/>
                <w:color w:val="auto"/>
                <w:sz w:val="21"/>
                <w:szCs w:val="21"/>
                <w:highlight w:val="none"/>
              </w:rPr>
            </w:pPr>
          </w:p>
        </w:tc>
        <w:tc>
          <w:tcPr>
            <w:tcW w:w="1858" w:type="pct"/>
            <w:vMerge w:val="continue"/>
            <w:noWrap w:val="0"/>
            <w:vAlign w:val="center"/>
          </w:tcPr>
          <w:p w14:paraId="4F6D67B3">
            <w:pPr>
              <w:snapToGrid w:val="0"/>
              <w:spacing w:line="288" w:lineRule="auto"/>
              <w:ind w:firstLine="0" w:firstLineChars="0"/>
              <w:jc w:val="left"/>
              <w:rPr>
                <w:b/>
                <w:bCs/>
                <w:color w:val="auto"/>
                <w:sz w:val="21"/>
                <w:szCs w:val="21"/>
                <w:highlight w:val="none"/>
              </w:rPr>
            </w:pPr>
          </w:p>
        </w:tc>
        <w:tc>
          <w:tcPr>
            <w:tcW w:w="466" w:type="pct"/>
            <w:vMerge w:val="continue"/>
            <w:noWrap w:val="0"/>
            <w:vAlign w:val="center"/>
          </w:tcPr>
          <w:p w14:paraId="49E7C2B2">
            <w:pPr>
              <w:snapToGrid w:val="0"/>
              <w:spacing w:line="288" w:lineRule="auto"/>
              <w:ind w:firstLine="0" w:firstLineChars="0"/>
              <w:jc w:val="center"/>
              <w:rPr>
                <w:b/>
                <w:bCs/>
                <w:color w:val="auto"/>
                <w:sz w:val="21"/>
                <w:szCs w:val="21"/>
                <w:highlight w:val="none"/>
              </w:rPr>
            </w:pPr>
          </w:p>
        </w:tc>
        <w:tc>
          <w:tcPr>
            <w:tcW w:w="451" w:type="pct"/>
            <w:vMerge w:val="continue"/>
            <w:noWrap w:val="0"/>
            <w:vAlign w:val="center"/>
          </w:tcPr>
          <w:p w14:paraId="3397C94C">
            <w:pPr>
              <w:snapToGrid w:val="0"/>
              <w:spacing w:line="288" w:lineRule="auto"/>
              <w:ind w:firstLine="0" w:firstLineChars="0"/>
              <w:jc w:val="center"/>
              <w:rPr>
                <w:b/>
                <w:bCs/>
                <w:color w:val="auto"/>
                <w:sz w:val="21"/>
                <w:szCs w:val="21"/>
                <w:highlight w:val="none"/>
              </w:rPr>
            </w:pPr>
          </w:p>
        </w:tc>
      </w:tr>
      <w:tr w14:paraId="48C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9" w:type="pct"/>
            <w:vMerge w:val="continue"/>
            <w:noWrap w:val="0"/>
            <w:vAlign w:val="center"/>
          </w:tcPr>
          <w:p w14:paraId="10CAB6EF">
            <w:pPr>
              <w:snapToGrid w:val="0"/>
              <w:spacing w:line="288" w:lineRule="auto"/>
              <w:ind w:firstLine="0" w:firstLineChars="0"/>
              <w:jc w:val="center"/>
              <w:rPr>
                <w:b/>
                <w:bCs/>
                <w:color w:val="auto"/>
                <w:sz w:val="21"/>
                <w:szCs w:val="21"/>
                <w:highlight w:val="none"/>
              </w:rPr>
            </w:pPr>
          </w:p>
        </w:tc>
        <w:tc>
          <w:tcPr>
            <w:tcW w:w="858" w:type="pct"/>
            <w:vMerge w:val="continue"/>
            <w:noWrap w:val="0"/>
            <w:vAlign w:val="center"/>
          </w:tcPr>
          <w:p w14:paraId="7D33BD2B">
            <w:pPr>
              <w:snapToGrid w:val="0"/>
              <w:spacing w:line="288" w:lineRule="auto"/>
              <w:ind w:firstLine="0" w:firstLineChars="0"/>
              <w:jc w:val="left"/>
              <w:rPr>
                <w:b/>
                <w:bCs/>
                <w:color w:val="auto"/>
                <w:sz w:val="21"/>
                <w:szCs w:val="21"/>
                <w:highlight w:val="none"/>
              </w:rPr>
            </w:pPr>
          </w:p>
        </w:tc>
        <w:tc>
          <w:tcPr>
            <w:tcW w:w="876" w:type="pct"/>
            <w:vMerge w:val="continue"/>
            <w:noWrap w:val="0"/>
            <w:vAlign w:val="center"/>
          </w:tcPr>
          <w:p w14:paraId="293A07D4">
            <w:pPr>
              <w:snapToGrid w:val="0"/>
              <w:spacing w:line="288" w:lineRule="auto"/>
              <w:ind w:firstLine="0" w:firstLineChars="0"/>
              <w:jc w:val="left"/>
              <w:rPr>
                <w:b/>
                <w:bCs/>
                <w:color w:val="auto"/>
                <w:sz w:val="21"/>
                <w:szCs w:val="21"/>
                <w:highlight w:val="none"/>
              </w:rPr>
            </w:pPr>
          </w:p>
        </w:tc>
        <w:tc>
          <w:tcPr>
            <w:tcW w:w="1858" w:type="pct"/>
            <w:vMerge w:val="continue"/>
            <w:noWrap w:val="0"/>
            <w:vAlign w:val="center"/>
          </w:tcPr>
          <w:p w14:paraId="5380106F">
            <w:pPr>
              <w:snapToGrid w:val="0"/>
              <w:spacing w:line="288" w:lineRule="auto"/>
              <w:ind w:firstLine="0" w:firstLineChars="0"/>
              <w:jc w:val="left"/>
              <w:rPr>
                <w:b/>
                <w:bCs/>
                <w:color w:val="auto"/>
                <w:sz w:val="21"/>
                <w:szCs w:val="21"/>
                <w:highlight w:val="none"/>
              </w:rPr>
            </w:pPr>
          </w:p>
        </w:tc>
        <w:tc>
          <w:tcPr>
            <w:tcW w:w="466" w:type="pct"/>
            <w:vMerge w:val="continue"/>
            <w:noWrap w:val="0"/>
            <w:vAlign w:val="center"/>
          </w:tcPr>
          <w:p w14:paraId="7161DFB8">
            <w:pPr>
              <w:snapToGrid w:val="0"/>
              <w:spacing w:line="288" w:lineRule="auto"/>
              <w:ind w:firstLine="0" w:firstLineChars="0"/>
              <w:jc w:val="center"/>
              <w:rPr>
                <w:b/>
                <w:bCs/>
                <w:color w:val="auto"/>
                <w:sz w:val="21"/>
                <w:szCs w:val="21"/>
                <w:highlight w:val="none"/>
              </w:rPr>
            </w:pPr>
          </w:p>
        </w:tc>
        <w:tc>
          <w:tcPr>
            <w:tcW w:w="451" w:type="pct"/>
            <w:vMerge w:val="continue"/>
            <w:noWrap w:val="0"/>
            <w:vAlign w:val="center"/>
          </w:tcPr>
          <w:p w14:paraId="44F0E0CD">
            <w:pPr>
              <w:snapToGrid w:val="0"/>
              <w:spacing w:line="288" w:lineRule="auto"/>
              <w:ind w:firstLine="0" w:firstLineChars="0"/>
              <w:jc w:val="center"/>
              <w:rPr>
                <w:b/>
                <w:bCs/>
                <w:color w:val="auto"/>
                <w:sz w:val="21"/>
                <w:szCs w:val="21"/>
                <w:highlight w:val="none"/>
              </w:rPr>
            </w:pPr>
          </w:p>
        </w:tc>
      </w:tr>
      <w:tr w14:paraId="4BE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89" w:type="pct"/>
            <w:noWrap w:val="0"/>
            <w:vAlign w:val="center"/>
          </w:tcPr>
          <w:p w14:paraId="09AFDB94">
            <w:pPr>
              <w:spacing w:line="288" w:lineRule="auto"/>
              <w:ind w:firstLine="0" w:firstLineChars="0"/>
              <w:jc w:val="center"/>
              <w:rPr>
                <w:color w:val="auto"/>
                <w:sz w:val="21"/>
                <w:szCs w:val="21"/>
                <w:highlight w:val="none"/>
              </w:rPr>
            </w:pPr>
            <w:r>
              <w:rPr>
                <w:color w:val="auto"/>
                <w:sz w:val="21"/>
                <w:szCs w:val="21"/>
                <w:highlight w:val="none"/>
              </w:rPr>
              <w:t>1</w:t>
            </w:r>
          </w:p>
        </w:tc>
        <w:tc>
          <w:tcPr>
            <w:tcW w:w="858" w:type="pct"/>
            <w:noWrap w:val="0"/>
            <w:vAlign w:val="center"/>
          </w:tcPr>
          <w:p w14:paraId="57303F6F">
            <w:pPr>
              <w:spacing w:line="288" w:lineRule="auto"/>
              <w:ind w:firstLine="0" w:firstLineChars="0"/>
              <w:jc w:val="left"/>
              <w:rPr>
                <w:color w:val="auto"/>
                <w:sz w:val="21"/>
                <w:szCs w:val="21"/>
                <w:highlight w:val="none"/>
              </w:rPr>
            </w:pPr>
            <w:r>
              <w:rPr>
                <w:color w:val="auto"/>
                <w:sz w:val="21"/>
                <w:szCs w:val="21"/>
                <w:highlight w:val="none"/>
              </w:rPr>
              <w:t>030502001001</w:t>
            </w:r>
          </w:p>
        </w:tc>
        <w:tc>
          <w:tcPr>
            <w:tcW w:w="876" w:type="pct"/>
            <w:noWrap w:val="0"/>
            <w:vAlign w:val="center"/>
          </w:tcPr>
          <w:p w14:paraId="3FB64CED">
            <w:pPr>
              <w:spacing w:line="288" w:lineRule="auto"/>
              <w:ind w:firstLine="0" w:firstLineChars="0"/>
              <w:jc w:val="left"/>
              <w:rPr>
                <w:color w:val="auto"/>
                <w:sz w:val="21"/>
                <w:szCs w:val="21"/>
                <w:highlight w:val="none"/>
              </w:rPr>
            </w:pPr>
            <w:r>
              <w:rPr>
                <w:color w:val="auto"/>
                <w:sz w:val="21"/>
                <w:szCs w:val="21"/>
                <w:highlight w:val="none"/>
              </w:rPr>
              <w:t>机柜</w:t>
            </w:r>
          </w:p>
        </w:tc>
        <w:tc>
          <w:tcPr>
            <w:tcW w:w="1858" w:type="pct"/>
            <w:noWrap w:val="0"/>
            <w:vAlign w:val="center"/>
          </w:tcPr>
          <w:p w14:paraId="677455F1">
            <w:pPr>
              <w:spacing w:line="288" w:lineRule="auto"/>
              <w:ind w:firstLine="0" w:firstLineChars="0"/>
              <w:jc w:val="left"/>
              <w:rPr>
                <w:color w:val="auto"/>
                <w:sz w:val="21"/>
                <w:szCs w:val="21"/>
                <w:highlight w:val="none"/>
              </w:rPr>
            </w:pPr>
            <w:r>
              <w:rPr>
                <w:color w:val="auto"/>
                <w:sz w:val="21"/>
                <w:szCs w:val="21"/>
                <w:highlight w:val="none"/>
              </w:rPr>
              <w:t>≥2米</w:t>
            </w:r>
          </w:p>
        </w:tc>
        <w:tc>
          <w:tcPr>
            <w:tcW w:w="466" w:type="pct"/>
            <w:noWrap w:val="0"/>
            <w:vAlign w:val="center"/>
          </w:tcPr>
          <w:p w14:paraId="4F055F21">
            <w:pPr>
              <w:spacing w:line="288" w:lineRule="auto"/>
              <w:ind w:firstLine="0" w:firstLineChars="0"/>
              <w:jc w:val="center"/>
              <w:rPr>
                <w:color w:val="auto"/>
                <w:sz w:val="21"/>
                <w:szCs w:val="21"/>
                <w:highlight w:val="none"/>
              </w:rPr>
            </w:pPr>
            <w:r>
              <w:rPr>
                <w:color w:val="auto"/>
                <w:sz w:val="21"/>
                <w:szCs w:val="21"/>
                <w:highlight w:val="none"/>
              </w:rPr>
              <w:t>台</w:t>
            </w:r>
          </w:p>
        </w:tc>
        <w:tc>
          <w:tcPr>
            <w:tcW w:w="451" w:type="pct"/>
            <w:noWrap w:val="0"/>
            <w:vAlign w:val="center"/>
          </w:tcPr>
          <w:p w14:paraId="529885C7">
            <w:pPr>
              <w:spacing w:line="288" w:lineRule="auto"/>
              <w:ind w:firstLine="0" w:firstLineChars="0"/>
              <w:jc w:val="center"/>
              <w:rPr>
                <w:color w:val="auto"/>
                <w:sz w:val="21"/>
                <w:szCs w:val="21"/>
                <w:highlight w:val="none"/>
              </w:rPr>
            </w:pPr>
            <w:r>
              <w:rPr>
                <w:color w:val="auto"/>
                <w:sz w:val="21"/>
                <w:szCs w:val="21"/>
                <w:highlight w:val="none"/>
              </w:rPr>
              <w:t>8</w:t>
            </w:r>
          </w:p>
        </w:tc>
      </w:tr>
      <w:tr w14:paraId="541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9" w:type="pct"/>
            <w:noWrap w:val="0"/>
            <w:vAlign w:val="center"/>
          </w:tcPr>
          <w:p w14:paraId="33611FFC">
            <w:pPr>
              <w:spacing w:line="288" w:lineRule="auto"/>
              <w:ind w:firstLine="0" w:firstLineChars="0"/>
              <w:jc w:val="center"/>
              <w:rPr>
                <w:color w:val="auto"/>
                <w:sz w:val="21"/>
                <w:szCs w:val="21"/>
                <w:highlight w:val="none"/>
              </w:rPr>
            </w:pPr>
            <w:r>
              <w:rPr>
                <w:color w:val="auto"/>
                <w:sz w:val="21"/>
                <w:szCs w:val="21"/>
                <w:highlight w:val="none"/>
              </w:rPr>
              <w:t>2</w:t>
            </w:r>
          </w:p>
        </w:tc>
        <w:tc>
          <w:tcPr>
            <w:tcW w:w="858" w:type="pct"/>
            <w:noWrap w:val="0"/>
            <w:vAlign w:val="center"/>
          </w:tcPr>
          <w:p w14:paraId="607D7C19">
            <w:pPr>
              <w:spacing w:line="288" w:lineRule="auto"/>
              <w:ind w:firstLine="0" w:firstLineChars="0"/>
              <w:jc w:val="left"/>
              <w:rPr>
                <w:color w:val="auto"/>
                <w:sz w:val="21"/>
                <w:szCs w:val="21"/>
                <w:highlight w:val="none"/>
              </w:rPr>
            </w:pPr>
            <w:r>
              <w:rPr>
                <w:color w:val="auto"/>
                <w:sz w:val="21"/>
                <w:szCs w:val="21"/>
                <w:highlight w:val="none"/>
              </w:rPr>
              <w:t>030501012001</w:t>
            </w:r>
          </w:p>
        </w:tc>
        <w:tc>
          <w:tcPr>
            <w:tcW w:w="876" w:type="pct"/>
            <w:noWrap w:val="0"/>
            <w:vAlign w:val="center"/>
          </w:tcPr>
          <w:p w14:paraId="73DF1479">
            <w:pPr>
              <w:spacing w:line="288" w:lineRule="auto"/>
              <w:ind w:firstLine="0" w:firstLineChars="0"/>
              <w:jc w:val="left"/>
              <w:rPr>
                <w:color w:val="auto"/>
                <w:sz w:val="21"/>
                <w:szCs w:val="21"/>
                <w:highlight w:val="none"/>
              </w:rPr>
            </w:pPr>
            <w:r>
              <w:rPr>
                <w:color w:val="auto"/>
                <w:sz w:val="21"/>
                <w:szCs w:val="21"/>
                <w:highlight w:val="none"/>
              </w:rPr>
              <w:t>24口交换机</w:t>
            </w:r>
          </w:p>
        </w:tc>
        <w:tc>
          <w:tcPr>
            <w:tcW w:w="1858" w:type="pct"/>
            <w:noWrap w:val="0"/>
            <w:vAlign w:val="center"/>
          </w:tcPr>
          <w:p w14:paraId="78DE00D3">
            <w:pPr>
              <w:spacing w:line="288" w:lineRule="auto"/>
              <w:ind w:firstLine="0" w:firstLineChars="0"/>
              <w:jc w:val="left"/>
              <w:rPr>
                <w:color w:val="auto"/>
                <w:sz w:val="21"/>
                <w:szCs w:val="21"/>
                <w:highlight w:val="none"/>
              </w:rPr>
            </w:pPr>
            <w:r>
              <w:rPr>
                <w:color w:val="auto"/>
                <w:sz w:val="21"/>
                <w:szCs w:val="21"/>
                <w:highlight w:val="none"/>
              </w:rPr>
              <w:t>端口类型：电口；</w:t>
            </w:r>
          </w:p>
          <w:p w14:paraId="6AF8537F">
            <w:pPr>
              <w:spacing w:line="288" w:lineRule="auto"/>
              <w:ind w:firstLine="0" w:firstLineChars="0"/>
              <w:jc w:val="left"/>
              <w:rPr>
                <w:color w:val="auto"/>
                <w:sz w:val="21"/>
                <w:szCs w:val="21"/>
                <w:highlight w:val="none"/>
              </w:rPr>
            </w:pPr>
            <w:r>
              <w:rPr>
                <w:color w:val="auto"/>
                <w:sz w:val="21"/>
                <w:szCs w:val="21"/>
                <w:highlight w:val="none"/>
              </w:rPr>
              <w:t>端口数量：≥24口；</w:t>
            </w:r>
          </w:p>
          <w:p w14:paraId="45535FA8">
            <w:pPr>
              <w:spacing w:line="288" w:lineRule="auto"/>
              <w:ind w:firstLine="0" w:firstLineChars="0"/>
              <w:jc w:val="left"/>
              <w:rPr>
                <w:color w:val="auto"/>
                <w:sz w:val="21"/>
                <w:szCs w:val="21"/>
                <w:highlight w:val="none"/>
              </w:rPr>
            </w:pPr>
            <w:r>
              <w:rPr>
                <w:color w:val="auto"/>
                <w:sz w:val="21"/>
                <w:szCs w:val="21"/>
                <w:highlight w:val="none"/>
              </w:rPr>
              <w:t>下行端口速率：不小于千兆；</w:t>
            </w:r>
          </w:p>
          <w:p w14:paraId="5725B3C8">
            <w:pPr>
              <w:spacing w:line="288" w:lineRule="auto"/>
              <w:ind w:firstLine="0" w:firstLineChars="0"/>
              <w:jc w:val="left"/>
              <w:rPr>
                <w:color w:val="auto"/>
                <w:sz w:val="21"/>
                <w:szCs w:val="21"/>
                <w:highlight w:val="none"/>
              </w:rPr>
            </w:pPr>
            <w:r>
              <w:rPr>
                <w:color w:val="auto"/>
                <w:sz w:val="21"/>
                <w:szCs w:val="21"/>
                <w:highlight w:val="none"/>
              </w:rPr>
              <w:t>上行端口速率：不小于千兆。</w:t>
            </w:r>
          </w:p>
        </w:tc>
        <w:tc>
          <w:tcPr>
            <w:tcW w:w="466" w:type="pct"/>
            <w:noWrap w:val="0"/>
            <w:vAlign w:val="center"/>
          </w:tcPr>
          <w:p w14:paraId="1E5E0FE0">
            <w:pPr>
              <w:spacing w:line="288" w:lineRule="auto"/>
              <w:ind w:firstLine="0" w:firstLineChars="0"/>
              <w:jc w:val="center"/>
              <w:rPr>
                <w:color w:val="auto"/>
                <w:sz w:val="21"/>
                <w:szCs w:val="21"/>
                <w:highlight w:val="none"/>
              </w:rPr>
            </w:pPr>
            <w:r>
              <w:rPr>
                <w:color w:val="auto"/>
                <w:sz w:val="21"/>
                <w:szCs w:val="21"/>
                <w:highlight w:val="none"/>
              </w:rPr>
              <w:t>台</w:t>
            </w:r>
          </w:p>
        </w:tc>
        <w:tc>
          <w:tcPr>
            <w:tcW w:w="451" w:type="pct"/>
            <w:noWrap w:val="0"/>
            <w:vAlign w:val="center"/>
          </w:tcPr>
          <w:p w14:paraId="26B2E47A">
            <w:pPr>
              <w:spacing w:line="288" w:lineRule="auto"/>
              <w:ind w:firstLine="0" w:firstLineChars="0"/>
              <w:jc w:val="center"/>
              <w:rPr>
                <w:color w:val="auto"/>
                <w:sz w:val="21"/>
                <w:szCs w:val="21"/>
                <w:highlight w:val="none"/>
              </w:rPr>
            </w:pPr>
            <w:r>
              <w:rPr>
                <w:color w:val="auto"/>
                <w:sz w:val="21"/>
                <w:szCs w:val="21"/>
                <w:highlight w:val="none"/>
              </w:rPr>
              <w:t>6</w:t>
            </w:r>
          </w:p>
        </w:tc>
      </w:tr>
      <w:tr w14:paraId="7E57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9" w:type="pct"/>
            <w:noWrap w:val="0"/>
            <w:vAlign w:val="center"/>
          </w:tcPr>
          <w:p w14:paraId="1E7D18FE">
            <w:pPr>
              <w:spacing w:line="288" w:lineRule="auto"/>
              <w:ind w:firstLine="0" w:firstLineChars="0"/>
              <w:jc w:val="center"/>
              <w:rPr>
                <w:color w:val="auto"/>
                <w:sz w:val="21"/>
                <w:szCs w:val="21"/>
                <w:highlight w:val="none"/>
              </w:rPr>
            </w:pPr>
            <w:r>
              <w:rPr>
                <w:color w:val="auto"/>
                <w:sz w:val="21"/>
                <w:szCs w:val="21"/>
                <w:highlight w:val="none"/>
              </w:rPr>
              <w:t>3</w:t>
            </w:r>
          </w:p>
        </w:tc>
        <w:tc>
          <w:tcPr>
            <w:tcW w:w="858" w:type="pct"/>
            <w:noWrap w:val="0"/>
            <w:vAlign w:val="center"/>
          </w:tcPr>
          <w:p w14:paraId="31F77170">
            <w:pPr>
              <w:spacing w:line="288" w:lineRule="auto"/>
              <w:ind w:firstLine="0" w:firstLineChars="0"/>
              <w:jc w:val="left"/>
              <w:rPr>
                <w:color w:val="auto"/>
                <w:sz w:val="21"/>
                <w:szCs w:val="21"/>
                <w:highlight w:val="none"/>
              </w:rPr>
            </w:pPr>
            <w:r>
              <w:rPr>
                <w:color w:val="auto"/>
                <w:sz w:val="21"/>
                <w:szCs w:val="21"/>
                <w:highlight w:val="none"/>
              </w:rPr>
              <w:t>030506007001</w:t>
            </w:r>
          </w:p>
        </w:tc>
        <w:tc>
          <w:tcPr>
            <w:tcW w:w="876" w:type="pct"/>
            <w:noWrap w:val="0"/>
            <w:vAlign w:val="center"/>
          </w:tcPr>
          <w:p w14:paraId="7D7DDE5F">
            <w:pPr>
              <w:spacing w:line="288" w:lineRule="auto"/>
              <w:ind w:firstLine="0" w:firstLineChars="0"/>
              <w:jc w:val="left"/>
              <w:rPr>
                <w:color w:val="auto"/>
                <w:sz w:val="21"/>
                <w:szCs w:val="21"/>
                <w:highlight w:val="none"/>
              </w:rPr>
            </w:pPr>
            <w:r>
              <w:rPr>
                <w:color w:val="auto"/>
                <w:sz w:val="21"/>
                <w:szCs w:val="21"/>
                <w:highlight w:val="none"/>
              </w:rPr>
              <w:t>音频隔离器</w:t>
            </w:r>
          </w:p>
        </w:tc>
        <w:tc>
          <w:tcPr>
            <w:tcW w:w="1858" w:type="pct"/>
            <w:noWrap w:val="0"/>
            <w:vAlign w:val="center"/>
          </w:tcPr>
          <w:p w14:paraId="67FA5647">
            <w:pPr>
              <w:spacing w:line="288" w:lineRule="auto"/>
              <w:ind w:firstLine="0" w:firstLineChars="0"/>
              <w:jc w:val="left"/>
              <w:rPr>
                <w:color w:val="auto"/>
                <w:sz w:val="21"/>
                <w:szCs w:val="21"/>
                <w:highlight w:val="none"/>
              </w:rPr>
            </w:pPr>
            <w:r>
              <w:rPr>
                <w:color w:val="auto"/>
                <w:sz w:val="21"/>
                <w:szCs w:val="21"/>
                <w:highlight w:val="none"/>
              </w:rPr>
              <w:t>技术参数：</w:t>
            </w:r>
          </w:p>
          <w:p w14:paraId="7743EAEE">
            <w:pPr>
              <w:spacing w:line="288" w:lineRule="auto"/>
              <w:ind w:firstLine="0" w:firstLineChars="0"/>
              <w:jc w:val="left"/>
              <w:rPr>
                <w:color w:val="auto"/>
                <w:sz w:val="21"/>
                <w:szCs w:val="21"/>
                <w:highlight w:val="none"/>
              </w:rPr>
            </w:pPr>
            <w:r>
              <w:rPr>
                <w:color w:val="auto"/>
                <w:sz w:val="21"/>
                <w:szCs w:val="21"/>
                <w:highlight w:val="none"/>
              </w:rPr>
              <w:t>输入阻抗：600Ω-600Ω</w:t>
            </w:r>
          </w:p>
          <w:p w14:paraId="4D054FDB">
            <w:pPr>
              <w:spacing w:line="288" w:lineRule="auto"/>
              <w:ind w:firstLine="0" w:firstLineChars="0"/>
              <w:jc w:val="left"/>
              <w:rPr>
                <w:color w:val="auto"/>
                <w:sz w:val="21"/>
                <w:szCs w:val="21"/>
                <w:highlight w:val="none"/>
              </w:rPr>
            </w:pPr>
            <w:r>
              <w:rPr>
                <w:color w:val="auto"/>
                <w:sz w:val="21"/>
                <w:szCs w:val="21"/>
                <w:highlight w:val="none"/>
              </w:rPr>
              <w:t>输出阻抗：600Ω-600Ω</w:t>
            </w:r>
          </w:p>
          <w:p w14:paraId="1A95F583">
            <w:pPr>
              <w:spacing w:line="288" w:lineRule="auto"/>
              <w:ind w:firstLine="0" w:firstLineChars="0"/>
              <w:jc w:val="left"/>
              <w:rPr>
                <w:color w:val="auto"/>
                <w:sz w:val="21"/>
                <w:szCs w:val="21"/>
                <w:highlight w:val="none"/>
              </w:rPr>
            </w:pPr>
            <w:r>
              <w:rPr>
                <w:color w:val="auto"/>
                <w:sz w:val="21"/>
                <w:szCs w:val="21"/>
                <w:highlight w:val="none"/>
              </w:rPr>
              <w:t>绝缘电阻：DC1000V 100MΩ</w:t>
            </w:r>
          </w:p>
          <w:p w14:paraId="2A7E2A5C">
            <w:pPr>
              <w:spacing w:line="288" w:lineRule="auto"/>
              <w:ind w:firstLine="0" w:firstLineChars="0"/>
              <w:jc w:val="left"/>
              <w:rPr>
                <w:color w:val="auto"/>
                <w:sz w:val="21"/>
                <w:szCs w:val="21"/>
                <w:highlight w:val="none"/>
              </w:rPr>
            </w:pPr>
            <w:r>
              <w:rPr>
                <w:color w:val="auto"/>
                <w:sz w:val="21"/>
                <w:szCs w:val="21"/>
                <w:highlight w:val="none"/>
              </w:rPr>
              <w:t>隔离电压：AC 50Hz - 60Hz  0V-1500V</w:t>
            </w:r>
          </w:p>
        </w:tc>
        <w:tc>
          <w:tcPr>
            <w:tcW w:w="466" w:type="pct"/>
            <w:noWrap w:val="0"/>
            <w:vAlign w:val="center"/>
          </w:tcPr>
          <w:p w14:paraId="04C182CE">
            <w:pPr>
              <w:spacing w:line="288" w:lineRule="auto"/>
              <w:ind w:firstLine="0" w:firstLineChars="0"/>
              <w:jc w:val="center"/>
              <w:rPr>
                <w:color w:val="auto"/>
                <w:sz w:val="21"/>
                <w:szCs w:val="21"/>
                <w:highlight w:val="none"/>
              </w:rPr>
            </w:pPr>
            <w:r>
              <w:rPr>
                <w:color w:val="auto"/>
                <w:sz w:val="21"/>
                <w:szCs w:val="21"/>
                <w:highlight w:val="none"/>
              </w:rPr>
              <w:t>只</w:t>
            </w:r>
          </w:p>
        </w:tc>
        <w:tc>
          <w:tcPr>
            <w:tcW w:w="451" w:type="pct"/>
            <w:noWrap w:val="0"/>
            <w:vAlign w:val="center"/>
          </w:tcPr>
          <w:p w14:paraId="7D1E817C">
            <w:pPr>
              <w:spacing w:line="288" w:lineRule="auto"/>
              <w:ind w:firstLine="0" w:firstLineChars="0"/>
              <w:jc w:val="center"/>
              <w:rPr>
                <w:color w:val="auto"/>
                <w:sz w:val="21"/>
                <w:szCs w:val="21"/>
                <w:highlight w:val="none"/>
              </w:rPr>
            </w:pPr>
            <w:r>
              <w:rPr>
                <w:color w:val="auto"/>
                <w:sz w:val="21"/>
                <w:szCs w:val="21"/>
                <w:highlight w:val="none"/>
              </w:rPr>
              <w:t>10</w:t>
            </w:r>
          </w:p>
        </w:tc>
      </w:tr>
      <w:tr w14:paraId="60CA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9" w:type="pct"/>
            <w:noWrap w:val="0"/>
            <w:vAlign w:val="center"/>
          </w:tcPr>
          <w:p w14:paraId="4548CEE7">
            <w:pPr>
              <w:spacing w:line="288" w:lineRule="auto"/>
              <w:ind w:firstLine="0" w:firstLineChars="0"/>
              <w:jc w:val="center"/>
              <w:rPr>
                <w:color w:val="auto"/>
                <w:sz w:val="21"/>
                <w:szCs w:val="21"/>
                <w:highlight w:val="none"/>
              </w:rPr>
            </w:pPr>
            <w:r>
              <w:rPr>
                <w:color w:val="auto"/>
                <w:sz w:val="21"/>
                <w:szCs w:val="21"/>
                <w:highlight w:val="none"/>
              </w:rPr>
              <w:t>4</w:t>
            </w:r>
          </w:p>
        </w:tc>
        <w:tc>
          <w:tcPr>
            <w:tcW w:w="858" w:type="pct"/>
            <w:noWrap w:val="0"/>
            <w:vAlign w:val="center"/>
          </w:tcPr>
          <w:p w14:paraId="19513CA2">
            <w:pPr>
              <w:spacing w:line="288" w:lineRule="auto"/>
              <w:ind w:firstLine="0" w:firstLineChars="0"/>
              <w:jc w:val="left"/>
              <w:rPr>
                <w:color w:val="auto"/>
                <w:sz w:val="21"/>
                <w:szCs w:val="21"/>
                <w:highlight w:val="none"/>
              </w:rPr>
            </w:pPr>
            <w:r>
              <w:rPr>
                <w:color w:val="auto"/>
                <w:sz w:val="21"/>
                <w:szCs w:val="21"/>
                <w:highlight w:val="none"/>
              </w:rPr>
              <w:t>030501009001</w:t>
            </w:r>
          </w:p>
        </w:tc>
        <w:tc>
          <w:tcPr>
            <w:tcW w:w="876" w:type="pct"/>
            <w:noWrap w:val="0"/>
            <w:vAlign w:val="center"/>
          </w:tcPr>
          <w:p w14:paraId="38AB8A7F">
            <w:pPr>
              <w:spacing w:line="288" w:lineRule="auto"/>
              <w:ind w:firstLine="0" w:firstLineChars="0"/>
              <w:jc w:val="left"/>
              <w:rPr>
                <w:color w:val="auto"/>
                <w:sz w:val="21"/>
                <w:szCs w:val="21"/>
                <w:highlight w:val="none"/>
              </w:rPr>
            </w:pPr>
            <w:r>
              <w:rPr>
                <w:color w:val="auto"/>
                <w:sz w:val="21"/>
                <w:szCs w:val="21"/>
                <w:highlight w:val="none"/>
              </w:rPr>
              <w:t>路由器</w:t>
            </w:r>
          </w:p>
        </w:tc>
        <w:tc>
          <w:tcPr>
            <w:tcW w:w="1858" w:type="pct"/>
            <w:noWrap w:val="0"/>
            <w:vAlign w:val="center"/>
          </w:tcPr>
          <w:p w14:paraId="271E11C3">
            <w:pPr>
              <w:spacing w:line="288" w:lineRule="auto"/>
              <w:ind w:firstLine="0" w:firstLineChars="0"/>
              <w:jc w:val="left"/>
              <w:rPr>
                <w:color w:val="auto"/>
                <w:sz w:val="21"/>
                <w:szCs w:val="21"/>
                <w:highlight w:val="none"/>
              </w:rPr>
            </w:pPr>
            <w:r>
              <w:rPr>
                <w:color w:val="auto"/>
                <w:sz w:val="21"/>
                <w:szCs w:val="21"/>
                <w:highlight w:val="none"/>
              </w:rPr>
              <w:t>路由类型：千兆企业级</w:t>
            </w:r>
          </w:p>
          <w:p w14:paraId="5C14197B">
            <w:pPr>
              <w:spacing w:line="288" w:lineRule="auto"/>
              <w:ind w:firstLine="0" w:firstLineChars="0"/>
              <w:jc w:val="left"/>
              <w:rPr>
                <w:color w:val="auto"/>
                <w:sz w:val="21"/>
                <w:szCs w:val="21"/>
                <w:highlight w:val="none"/>
              </w:rPr>
            </w:pPr>
            <w:r>
              <w:rPr>
                <w:color w:val="auto"/>
                <w:sz w:val="21"/>
                <w:szCs w:val="21"/>
                <w:highlight w:val="none"/>
              </w:rPr>
              <w:t>适合宽带：≥100M</w:t>
            </w:r>
          </w:p>
          <w:p w14:paraId="28D81848">
            <w:pPr>
              <w:spacing w:line="288" w:lineRule="auto"/>
              <w:ind w:firstLine="0" w:firstLineChars="0"/>
              <w:jc w:val="left"/>
              <w:rPr>
                <w:color w:val="auto"/>
                <w:sz w:val="21"/>
                <w:szCs w:val="21"/>
                <w:highlight w:val="none"/>
              </w:rPr>
            </w:pPr>
            <w:r>
              <w:rPr>
                <w:color w:val="auto"/>
                <w:sz w:val="21"/>
                <w:szCs w:val="21"/>
                <w:highlight w:val="none"/>
              </w:rPr>
              <w:t>端口数量：5口</w:t>
            </w:r>
          </w:p>
          <w:p w14:paraId="4408B7A1">
            <w:pPr>
              <w:spacing w:line="288" w:lineRule="auto"/>
              <w:ind w:firstLine="0" w:firstLineChars="0"/>
              <w:jc w:val="left"/>
              <w:rPr>
                <w:color w:val="auto"/>
                <w:sz w:val="21"/>
                <w:szCs w:val="21"/>
                <w:highlight w:val="none"/>
              </w:rPr>
            </w:pPr>
            <w:r>
              <w:rPr>
                <w:color w:val="auto"/>
                <w:sz w:val="21"/>
                <w:szCs w:val="21"/>
                <w:highlight w:val="none"/>
              </w:rPr>
              <w:t>WAN数量：1-4个</w:t>
            </w:r>
          </w:p>
          <w:p w14:paraId="7268DE57">
            <w:pPr>
              <w:spacing w:line="288" w:lineRule="auto"/>
              <w:ind w:firstLine="0" w:firstLineChars="0"/>
              <w:jc w:val="left"/>
              <w:rPr>
                <w:color w:val="auto"/>
                <w:sz w:val="21"/>
                <w:szCs w:val="21"/>
                <w:highlight w:val="none"/>
              </w:rPr>
            </w:pPr>
            <w:r>
              <w:rPr>
                <w:color w:val="auto"/>
                <w:sz w:val="21"/>
                <w:szCs w:val="21"/>
                <w:highlight w:val="none"/>
              </w:rPr>
              <w:t>无线Wi-Fi：双频2.4G＆5G</w:t>
            </w:r>
          </w:p>
          <w:p w14:paraId="51354187">
            <w:pPr>
              <w:spacing w:line="288" w:lineRule="auto"/>
              <w:ind w:firstLine="0" w:firstLineChars="0"/>
              <w:jc w:val="left"/>
              <w:rPr>
                <w:color w:val="auto"/>
                <w:sz w:val="21"/>
                <w:szCs w:val="21"/>
                <w:highlight w:val="none"/>
              </w:rPr>
            </w:pPr>
            <w:r>
              <w:rPr>
                <w:color w:val="auto"/>
                <w:sz w:val="21"/>
                <w:szCs w:val="21"/>
                <w:highlight w:val="none"/>
              </w:rPr>
              <w:t>带机数量：无线带机100，总带机量150</w:t>
            </w:r>
          </w:p>
          <w:p w14:paraId="56CDB114">
            <w:pPr>
              <w:spacing w:line="288" w:lineRule="auto"/>
              <w:ind w:firstLine="0" w:firstLineChars="0"/>
              <w:jc w:val="left"/>
              <w:rPr>
                <w:color w:val="auto"/>
                <w:sz w:val="21"/>
                <w:szCs w:val="21"/>
                <w:highlight w:val="none"/>
              </w:rPr>
            </w:pPr>
            <w:r>
              <w:rPr>
                <w:color w:val="auto"/>
                <w:sz w:val="21"/>
                <w:szCs w:val="21"/>
                <w:highlight w:val="none"/>
              </w:rPr>
              <w:t>无线速率：2976M</w:t>
            </w:r>
          </w:p>
          <w:p w14:paraId="341EC61C">
            <w:pPr>
              <w:spacing w:line="288" w:lineRule="auto"/>
              <w:ind w:firstLine="0" w:firstLineChars="0"/>
              <w:jc w:val="left"/>
              <w:rPr>
                <w:color w:val="auto"/>
                <w:sz w:val="21"/>
                <w:szCs w:val="21"/>
                <w:highlight w:val="none"/>
              </w:rPr>
            </w:pPr>
            <w:r>
              <w:rPr>
                <w:color w:val="auto"/>
                <w:sz w:val="21"/>
                <w:szCs w:val="21"/>
                <w:highlight w:val="none"/>
              </w:rPr>
              <w:t>USB接口：无</w:t>
            </w:r>
          </w:p>
        </w:tc>
        <w:tc>
          <w:tcPr>
            <w:tcW w:w="466" w:type="pct"/>
            <w:noWrap w:val="0"/>
            <w:vAlign w:val="center"/>
          </w:tcPr>
          <w:p w14:paraId="3E62D727">
            <w:pPr>
              <w:spacing w:line="288" w:lineRule="auto"/>
              <w:ind w:firstLine="0" w:firstLineChars="0"/>
              <w:jc w:val="center"/>
              <w:rPr>
                <w:color w:val="auto"/>
                <w:sz w:val="21"/>
                <w:szCs w:val="21"/>
                <w:highlight w:val="none"/>
              </w:rPr>
            </w:pPr>
            <w:r>
              <w:rPr>
                <w:color w:val="auto"/>
                <w:sz w:val="21"/>
                <w:szCs w:val="21"/>
                <w:highlight w:val="none"/>
              </w:rPr>
              <w:t>台</w:t>
            </w:r>
          </w:p>
        </w:tc>
        <w:tc>
          <w:tcPr>
            <w:tcW w:w="451" w:type="pct"/>
            <w:noWrap w:val="0"/>
            <w:vAlign w:val="center"/>
          </w:tcPr>
          <w:p w14:paraId="3E5F021A">
            <w:pPr>
              <w:spacing w:line="288" w:lineRule="auto"/>
              <w:ind w:firstLine="0" w:firstLineChars="0"/>
              <w:jc w:val="center"/>
              <w:rPr>
                <w:color w:val="auto"/>
                <w:sz w:val="21"/>
                <w:szCs w:val="21"/>
                <w:highlight w:val="none"/>
              </w:rPr>
            </w:pPr>
            <w:r>
              <w:rPr>
                <w:color w:val="auto"/>
                <w:sz w:val="21"/>
                <w:szCs w:val="21"/>
                <w:highlight w:val="none"/>
              </w:rPr>
              <w:t>5</w:t>
            </w:r>
          </w:p>
        </w:tc>
      </w:tr>
      <w:tr w14:paraId="2307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noWrap w:val="0"/>
            <w:vAlign w:val="center"/>
          </w:tcPr>
          <w:p w14:paraId="57930FC5">
            <w:pPr>
              <w:spacing w:line="288" w:lineRule="auto"/>
              <w:ind w:firstLine="0" w:firstLineChars="0"/>
              <w:jc w:val="center"/>
              <w:rPr>
                <w:color w:val="auto"/>
                <w:sz w:val="21"/>
                <w:szCs w:val="21"/>
                <w:highlight w:val="none"/>
              </w:rPr>
            </w:pPr>
            <w:r>
              <w:rPr>
                <w:color w:val="auto"/>
                <w:sz w:val="21"/>
                <w:szCs w:val="21"/>
                <w:highlight w:val="none"/>
              </w:rPr>
              <w:t>5</w:t>
            </w:r>
          </w:p>
        </w:tc>
        <w:tc>
          <w:tcPr>
            <w:tcW w:w="858" w:type="pct"/>
            <w:noWrap w:val="0"/>
            <w:vAlign w:val="center"/>
          </w:tcPr>
          <w:p w14:paraId="72C3D612">
            <w:pPr>
              <w:spacing w:line="288" w:lineRule="auto"/>
              <w:ind w:firstLine="0" w:firstLineChars="0"/>
              <w:jc w:val="left"/>
              <w:rPr>
                <w:color w:val="auto"/>
                <w:sz w:val="21"/>
                <w:szCs w:val="21"/>
                <w:highlight w:val="none"/>
              </w:rPr>
            </w:pPr>
            <w:r>
              <w:rPr>
                <w:color w:val="auto"/>
                <w:sz w:val="21"/>
                <w:szCs w:val="21"/>
                <w:highlight w:val="none"/>
              </w:rPr>
              <w:t>030411004001</w:t>
            </w:r>
          </w:p>
        </w:tc>
        <w:tc>
          <w:tcPr>
            <w:tcW w:w="876" w:type="pct"/>
            <w:noWrap w:val="0"/>
            <w:vAlign w:val="center"/>
          </w:tcPr>
          <w:p w14:paraId="6AFACF94">
            <w:pPr>
              <w:spacing w:line="288" w:lineRule="auto"/>
              <w:ind w:firstLine="0" w:firstLineChars="0"/>
              <w:jc w:val="left"/>
              <w:rPr>
                <w:color w:val="auto"/>
                <w:sz w:val="21"/>
                <w:szCs w:val="21"/>
                <w:highlight w:val="none"/>
              </w:rPr>
            </w:pPr>
            <w:r>
              <w:rPr>
                <w:color w:val="auto"/>
                <w:sz w:val="21"/>
                <w:szCs w:val="21"/>
                <w:highlight w:val="none"/>
              </w:rPr>
              <w:t>音响线</w:t>
            </w:r>
          </w:p>
        </w:tc>
        <w:tc>
          <w:tcPr>
            <w:tcW w:w="1858" w:type="pct"/>
            <w:noWrap w:val="0"/>
            <w:vAlign w:val="center"/>
          </w:tcPr>
          <w:p w14:paraId="77059200">
            <w:pPr>
              <w:spacing w:line="288" w:lineRule="auto"/>
              <w:ind w:firstLine="0" w:firstLineChars="0"/>
              <w:jc w:val="left"/>
              <w:rPr>
                <w:color w:val="auto"/>
                <w:sz w:val="21"/>
                <w:szCs w:val="21"/>
                <w:highlight w:val="none"/>
              </w:rPr>
            </w:pPr>
            <w:r>
              <w:rPr>
                <w:color w:val="auto"/>
                <w:sz w:val="21"/>
                <w:szCs w:val="21"/>
                <w:highlight w:val="none"/>
              </w:rPr>
              <w:t>EVJV2*2.5平方</w:t>
            </w:r>
          </w:p>
        </w:tc>
        <w:tc>
          <w:tcPr>
            <w:tcW w:w="466" w:type="pct"/>
            <w:noWrap w:val="0"/>
            <w:vAlign w:val="center"/>
          </w:tcPr>
          <w:p w14:paraId="700564EB">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5F90795E">
            <w:pPr>
              <w:spacing w:line="288" w:lineRule="auto"/>
              <w:ind w:firstLine="0" w:firstLineChars="0"/>
              <w:jc w:val="center"/>
              <w:rPr>
                <w:color w:val="auto"/>
                <w:sz w:val="21"/>
                <w:szCs w:val="21"/>
                <w:highlight w:val="none"/>
              </w:rPr>
            </w:pPr>
            <w:r>
              <w:rPr>
                <w:color w:val="auto"/>
                <w:sz w:val="21"/>
                <w:szCs w:val="21"/>
                <w:highlight w:val="none"/>
              </w:rPr>
              <w:t>450</w:t>
            </w:r>
          </w:p>
        </w:tc>
      </w:tr>
      <w:tr w14:paraId="60B3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noWrap w:val="0"/>
            <w:vAlign w:val="center"/>
          </w:tcPr>
          <w:p w14:paraId="5E6BCA88">
            <w:pPr>
              <w:spacing w:line="288" w:lineRule="auto"/>
              <w:ind w:firstLine="0" w:firstLineChars="0"/>
              <w:jc w:val="center"/>
              <w:rPr>
                <w:color w:val="auto"/>
                <w:sz w:val="21"/>
                <w:szCs w:val="21"/>
                <w:highlight w:val="none"/>
              </w:rPr>
            </w:pPr>
            <w:r>
              <w:rPr>
                <w:color w:val="auto"/>
                <w:sz w:val="21"/>
                <w:szCs w:val="21"/>
                <w:highlight w:val="none"/>
              </w:rPr>
              <w:t>6</w:t>
            </w:r>
          </w:p>
        </w:tc>
        <w:tc>
          <w:tcPr>
            <w:tcW w:w="858" w:type="pct"/>
            <w:noWrap w:val="0"/>
            <w:vAlign w:val="center"/>
          </w:tcPr>
          <w:p w14:paraId="293C6B37">
            <w:pPr>
              <w:spacing w:line="288" w:lineRule="auto"/>
              <w:ind w:firstLine="0" w:firstLineChars="0"/>
              <w:jc w:val="left"/>
              <w:rPr>
                <w:color w:val="auto"/>
                <w:sz w:val="21"/>
                <w:szCs w:val="21"/>
                <w:highlight w:val="none"/>
              </w:rPr>
            </w:pPr>
            <w:r>
              <w:rPr>
                <w:color w:val="auto"/>
                <w:kern w:val="0"/>
                <w:sz w:val="21"/>
                <w:szCs w:val="21"/>
                <w:highlight w:val="none"/>
              </w:rPr>
              <w:t>030411004007</w:t>
            </w:r>
          </w:p>
        </w:tc>
        <w:tc>
          <w:tcPr>
            <w:tcW w:w="876" w:type="pct"/>
            <w:noWrap w:val="0"/>
            <w:vAlign w:val="center"/>
          </w:tcPr>
          <w:p w14:paraId="4343CA78">
            <w:pPr>
              <w:spacing w:line="288" w:lineRule="auto"/>
              <w:ind w:firstLine="0" w:firstLineChars="0"/>
              <w:jc w:val="left"/>
              <w:rPr>
                <w:color w:val="auto"/>
                <w:sz w:val="21"/>
                <w:szCs w:val="21"/>
                <w:highlight w:val="none"/>
              </w:rPr>
            </w:pPr>
            <w:r>
              <w:rPr>
                <w:color w:val="auto"/>
                <w:sz w:val="21"/>
                <w:szCs w:val="21"/>
                <w:highlight w:val="none"/>
              </w:rPr>
              <w:t>音响线</w:t>
            </w:r>
          </w:p>
        </w:tc>
        <w:tc>
          <w:tcPr>
            <w:tcW w:w="1858" w:type="pct"/>
            <w:noWrap w:val="0"/>
            <w:vAlign w:val="center"/>
          </w:tcPr>
          <w:p w14:paraId="49B49A3A">
            <w:pPr>
              <w:spacing w:line="288" w:lineRule="auto"/>
              <w:ind w:firstLine="0" w:firstLineChars="0"/>
              <w:jc w:val="left"/>
              <w:rPr>
                <w:color w:val="auto"/>
                <w:sz w:val="21"/>
                <w:szCs w:val="21"/>
                <w:highlight w:val="none"/>
              </w:rPr>
            </w:pPr>
            <w:r>
              <w:rPr>
                <w:color w:val="auto"/>
                <w:sz w:val="21"/>
                <w:szCs w:val="21"/>
                <w:highlight w:val="none"/>
              </w:rPr>
              <w:t>EVJV2*1.5平方</w:t>
            </w:r>
          </w:p>
        </w:tc>
        <w:tc>
          <w:tcPr>
            <w:tcW w:w="466" w:type="pct"/>
            <w:noWrap w:val="0"/>
            <w:vAlign w:val="center"/>
          </w:tcPr>
          <w:p w14:paraId="023672F7">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7BAF0587">
            <w:pPr>
              <w:spacing w:line="288" w:lineRule="auto"/>
              <w:ind w:firstLine="0" w:firstLineChars="0"/>
              <w:jc w:val="center"/>
              <w:rPr>
                <w:color w:val="auto"/>
                <w:sz w:val="21"/>
                <w:szCs w:val="21"/>
                <w:highlight w:val="none"/>
              </w:rPr>
            </w:pPr>
            <w:r>
              <w:rPr>
                <w:color w:val="auto"/>
                <w:sz w:val="21"/>
                <w:szCs w:val="21"/>
                <w:highlight w:val="none"/>
              </w:rPr>
              <w:t>200</w:t>
            </w:r>
          </w:p>
        </w:tc>
      </w:tr>
      <w:tr w14:paraId="1CA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89" w:type="pct"/>
            <w:noWrap w:val="0"/>
            <w:vAlign w:val="center"/>
          </w:tcPr>
          <w:p w14:paraId="5BE99341">
            <w:pPr>
              <w:spacing w:line="288" w:lineRule="auto"/>
              <w:ind w:firstLine="0" w:firstLineChars="0"/>
              <w:jc w:val="center"/>
              <w:rPr>
                <w:color w:val="auto"/>
                <w:sz w:val="21"/>
                <w:szCs w:val="21"/>
                <w:highlight w:val="none"/>
              </w:rPr>
            </w:pPr>
            <w:r>
              <w:rPr>
                <w:color w:val="auto"/>
                <w:sz w:val="21"/>
                <w:szCs w:val="21"/>
                <w:highlight w:val="none"/>
              </w:rPr>
              <w:t>7</w:t>
            </w:r>
          </w:p>
        </w:tc>
        <w:tc>
          <w:tcPr>
            <w:tcW w:w="858" w:type="pct"/>
            <w:noWrap w:val="0"/>
            <w:vAlign w:val="center"/>
          </w:tcPr>
          <w:p w14:paraId="49873990">
            <w:pPr>
              <w:spacing w:line="288" w:lineRule="auto"/>
              <w:ind w:firstLine="0" w:firstLineChars="0"/>
              <w:jc w:val="left"/>
              <w:rPr>
                <w:color w:val="auto"/>
                <w:sz w:val="21"/>
                <w:szCs w:val="21"/>
                <w:highlight w:val="none"/>
              </w:rPr>
            </w:pPr>
            <w:r>
              <w:rPr>
                <w:color w:val="auto"/>
                <w:sz w:val="21"/>
                <w:szCs w:val="21"/>
                <w:highlight w:val="none"/>
              </w:rPr>
              <w:t>030502005001</w:t>
            </w:r>
          </w:p>
        </w:tc>
        <w:tc>
          <w:tcPr>
            <w:tcW w:w="876" w:type="pct"/>
            <w:noWrap w:val="0"/>
            <w:vAlign w:val="center"/>
          </w:tcPr>
          <w:p w14:paraId="7439408D">
            <w:pPr>
              <w:spacing w:line="288" w:lineRule="auto"/>
              <w:ind w:firstLine="0" w:firstLineChars="0"/>
              <w:jc w:val="left"/>
              <w:rPr>
                <w:color w:val="auto"/>
                <w:sz w:val="21"/>
                <w:szCs w:val="21"/>
                <w:highlight w:val="none"/>
              </w:rPr>
            </w:pPr>
            <w:r>
              <w:rPr>
                <w:color w:val="auto"/>
                <w:sz w:val="21"/>
                <w:szCs w:val="21"/>
                <w:highlight w:val="none"/>
              </w:rPr>
              <w:t>网线</w:t>
            </w:r>
          </w:p>
        </w:tc>
        <w:tc>
          <w:tcPr>
            <w:tcW w:w="1858" w:type="pct"/>
            <w:noWrap w:val="0"/>
            <w:vAlign w:val="center"/>
          </w:tcPr>
          <w:p w14:paraId="47CAB613">
            <w:pPr>
              <w:spacing w:line="288" w:lineRule="auto"/>
              <w:ind w:firstLine="0" w:firstLineChars="0"/>
              <w:jc w:val="left"/>
              <w:rPr>
                <w:color w:val="auto"/>
                <w:sz w:val="21"/>
                <w:szCs w:val="21"/>
                <w:highlight w:val="none"/>
              </w:rPr>
            </w:pPr>
            <w:r>
              <w:rPr>
                <w:color w:val="auto"/>
                <w:sz w:val="21"/>
                <w:szCs w:val="21"/>
                <w:highlight w:val="none"/>
              </w:rPr>
              <w:t>6类非屏蔽网线</w:t>
            </w:r>
          </w:p>
        </w:tc>
        <w:tc>
          <w:tcPr>
            <w:tcW w:w="466" w:type="pct"/>
            <w:noWrap w:val="0"/>
            <w:vAlign w:val="center"/>
          </w:tcPr>
          <w:p w14:paraId="6CBA97EF">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4E6108B5">
            <w:pPr>
              <w:spacing w:line="288" w:lineRule="auto"/>
              <w:ind w:firstLine="0" w:firstLineChars="0"/>
              <w:jc w:val="center"/>
              <w:rPr>
                <w:color w:val="auto"/>
                <w:sz w:val="21"/>
                <w:szCs w:val="21"/>
                <w:highlight w:val="none"/>
              </w:rPr>
            </w:pPr>
            <w:r>
              <w:rPr>
                <w:color w:val="auto"/>
                <w:sz w:val="21"/>
                <w:szCs w:val="21"/>
                <w:highlight w:val="none"/>
              </w:rPr>
              <w:t>1000</w:t>
            </w:r>
          </w:p>
        </w:tc>
      </w:tr>
      <w:tr w14:paraId="03EE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89" w:type="pct"/>
            <w:noWrap w:val="0"/>
            <w:vAlign w:val="center"/>
          </w:tcPr>
          <w:p w14:paraId="4ABA2BBA">
            <w:pPr>
              <w:spacing w:line="288" w:lineRule="auto"/>
              <w:ind w:firstLine="0" w:firstLineChars="0"/>
              <w:jc w:val="center"/>
              <w:rPr>
                <w:color w:val="auto"/>
                <w:sz w:val="21"/>
                <w:szCs w:val="21"/>
                <w:highlight w:val="none"/>
              </w:rPr>
            </w:pPr>
            <w:r>
              <w:rPr>
                <w:color w:val="auto"/>
                <w:sz w:val="21"/>
                <w:szCs w:val="21"/>
                <w:highlight w:val="none"/>
              </w:rPr>
              <w:t>8</w:t>
            </w:r>
          </w:p>
        </w:tc>
        <w:tc>
          <w:tcPr>
            <w:tcW w:w="858" w:type="pct"/>
            <w:noWrap w:val="0"/>
            <w:vAlign w:val="center"/>
          </w:tcPr>
          <w:p w14:paraId="1E4C75B2">
            <w:pPr>
              <w:spacing w:line="288" w:lineRule="auto"/>
              <w:ind w:firstLine="0" w:firstLineChars="0"/>
              <w:jc w:val="left"/>
              <w:rPr>
                <w:color w:val="auto"/>
                <w:sz w:val="21"/>
                <w:szCs w:val="21"/>
                <w:highlight w:val="none"/>
              </w:rPr>
            </w:pPr>
            <w:r>
              <w:rPr>
                <w:color w:val="auto"/>
                <w:kern w:val="0"/>
                <w:sz w:val="21"/>
                <w:szCs w:val="21"/>
                <w:highlight w:val="none"/>
              </w:rPr>
              <w:t>030411004001</w:t>
            </w:r>
          </w:p>
        </w:tc>
        <w:tc>
          <w:tcPr>
            <w:tcW w:w="876" w:type="pct"/>
            <w:noWrap w:val="0"/>
            <w:vAlign w:val="center"/>
          </w:tcPr>
          <w:p w14:paraId="438D2564">
            <w:pPr>
              <w:spacing w:line="288" w:lineRule="auto"/>
              <w:ind w:firstLine="0" w:firstLineChars="0"/>
              <w:jc w:val="left"/>
              <w:rPr>
                <w:color w:val="auto"/>
                <w:sz w:val="21"/>
                <w:szCs w:val="21"/>
                <w:highlight w:val="none"/>
              </w:rPr>
            </w:pPr>
            <w:r>
              <w:rPr>
                <w:color w:val="auto"/>
                <w:sz w:val="21"/>
                <w:szCs w:val="21"/>
                <w:highlight w:val="none"/>
              </w:rPr>
              <w:t>电源线</w:t>
            </w:r>
          </w:p>
        </w:tc>
        <w:tc>
          <w:tcPr>
            <w:tcW w:w="1858" w:type="pct"/>
            <w:noWrap w:val="0"/>
            <w:vAlign w:val="center"/>
          </w:tcPr>
          <w:p w14:paraId="0C9D3432">
            <w:pPr>
              <w:spacing w:line="288" w:lineRule="auto"/>
              <w:ind w:firstLine="0" w:firstLineChars="0"/>
              <w:jc w:val="left"/>
              <w:rPr>
                <w:color w:val="auto"/>
                <w:sz w:val="21"/>
                <w:szCs w:val="21"/>
                <w:highlight w:val="none"/>
              </w:rPr>
            </w:pPr>
            <w:r>
              <w:rPr>
                <w:color w:val="auto"/>
                <w:sz w:val="21"/>
                <w:szCs w:val="21"/>
                <w:highlight w:val="none"/>
              </w:rPr>
              <w:t>国标RVV 3*1.0</w:t>
            </w:r>
          </w:p>
        </w:tc>
        <w:tc>
          <w:tcPr>
            <w:tcW w:w="466" w:type="pct"/>
            <w:noWrap w:val="0"/>
            <w:vAlign w:val="center"/>
          </w:tcPr>
          <w:p w14:paraId="23DCCE14">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496CE686">
            <w:pPr>
              <w:spacing w:line="288" w:lineRule="auto"/>
              <w:ind w:firstLine="0" w:firstLineChars="0"/>
              <w:jc w:val="center"/>
              <w:rPr>
                <w:color w:val="auto"/>
                <w:sz w:val="21"/>
                <w:szCs w:val="21"/>
                <w:highlight w:val="none"/>
              </w:rPr>
            </w:pPr>
            <w:r>
              <w:rPr>
                <w:color w:val="auto"/>
                <w:sz w:val="21"/>
                <w:szCs w:val="21"/>
                <w:highlight w:val="none"/>
              </w:rPr>
              <w:t>300</w:t>
            </w:r>
          </w:p>
        </w:tc>
      </w:tr>
      <w:tr w14:paraId="5FBF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89" w:type="pct"/>
            <w:noWrap w:val="0"/>
            <w:vAlign w:val="center"/>
          </w:tcPr>
          <w:p w14:paraId="2455E4F0">
            <w:pPr>
              <w:spacing w:line="288" w:lineRule="auto"/>
              <w:ind w:firstLine="0" w:firstLineChars="0"/>
              <w:jc w:val="center"/>
              <w:rPr>
                <w:color w:val="auto"/>
                <w:sz w:val="21"/>
                <w:szCs w:val="21"/>
                <w:highlight w:val="none"/>
              </w:rPr>
            </w:pPr>
            <w:r>
              <w:rPr>
                <w:color w:val="auto"/>
                <w:sz w:val="21"/>
                <w:szCs w:val="21"/>
                <w:highlight w:val="none"/>
              </w:rPr>
              <w:t>9</w:t>
            </w:r>
          </w:p>
        </w:tc>
        <w:tc>
          <w:tcPr>
            <w:tcW w:w="858" w:type="pct"/>
            <w:noWrap w:val="0"/>
            <w:vAlign w:val="center"/>
          </w:tcPr>
          <w:p w14:paraId="2D9A101C">
            <w:pPr>
              <w:spacing w:line="288" w:lineRule="auto"/>
              <w:ind w:firstLine="0" w:firstLineChars="0"/>
              <w:jc w:val="left"/>
              <w:rPr>
                <w:color w:val="auto"/>
                <w:sz w:val="21"/>
                <w:szCs w:val="21"/>
                <w:highlight w:val="none"/>
              </w:rPr>
            </w:pPr>
            <w:r>
              <w:rPr>
                <w:color w:val="auto"/>
                <w:kern w:val="0"/>
                <w:sz w:val="21"/>
                <w:szCs w:val="21"/>
                <w:highlight w:val="none"/>
              </w:rPr>
              <w:t>030411004002</w:t>
            </w:r>
          </w:p>
        </w:tc>
        <w:tc>
          <w:tcPr>
            <w:tcW w:w="876" w:type="pct"/>
            <w:noWrap w:val="0"/>
            <w:vAlign w:val="center"/>
          </w:tcPr>
          <w:p w14:paraId="36D44428">
            <w:pPr>
              <w:spacing w:line="288" w:lineRule="auto"/>
              <w:ind w:firstLine="0" w:firstLineChars="0"/>
              <w:jc w:val="left"/>
              <w:rPr>
                <w:color w:val="auto"/>
                <w:sz w:val="21"/>
                <w:szCs w:val="21"/>
                <w:highlight w:val="none"/>
              </w:rPr>
            </w:pPr>
            <w:r>
              <w:rPr>
                <w:color w:val="auto"/>
                <w:sz w:val="21"/>
                <w:szCs w:val="21"/>
                <w:highlight w:val="none"/>
              </w:rPr>
              <w:t>电源线</w:t>
            </w:r>
          </w:p>
        </w:tc>
        <w:tc>
          <w:tcPr>
            <w:tcW w:w="1858" w:type="pct"/>
            <w:noWrap w:val="0"/>
            <w:vAlign w:val="center"/>
          </w:tcPr>
          <w:p w14:paraId="637AF721">
            <w:pPr>
              <w:spacing w:line="288" w:lineRule="auto"/>
              <w:ind w:firstLine="0" w:firstLineChars="0"/>
              <w:jc w:val="left"/>
              <w:rPr>
                <w:color w:val="auto"/>
                <w:sz w:val="21"/>
                <w:szCs w:val="21"/>
                <w:highlight w:val="none"/>
              </w:rPr>
            </w:pPr>
            <w:r>
              <w:rPr>
                <w:color w:val="auto"/>
                <w:sz w:val="21"/>
                <w:szCs w:val="21"/>
                <w:highlight w:val="none"/>
              </w:rPr>
              <w:t>国标RVV 3*2.5</w:t>
            </w:r>
          </w:p>
        </w:tc>
        <w:tc>
          <w:tcPr>
            <w:tcW w:w="466" w:type="pct"/>
            <w:noWrap w:val="0"/>
            <w:vAlign w:val="center"/>
          </w:tcPr>
          <w:p w14:paraId="18218D99">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0115251E">
            <w:pPr>
              <w:spacing w:line="288" w:lineRule="auto"/>
              <w:ind w:firstLine="0" w:firstLineChars="0"/>
              <w:jc w:val="center"/>
              <w:rPr>
                <w:color w:val="auto"/>
                <w:sz w:val="21"/>
                <w:szCs w:val="21"/>
                <w:highlight w:val="none"/>
              </w:rPr>
            </w:pPr>
            <w:r>
              <w:rPr>
                <w:color w:val="auto"/>
                <w:sz w:val="21"/>
                <w:szCs w:val="21"/>
                <w:highlight w:val="none"/>
              </w:rPr>
              <w:t>600</w:t>
            </w:r>
          </w:p>
        </w:tc>
      </w:tr>
      <w:tr w14:paraId="30D0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noWrap w:val="0"/>
            <w:vAlign w:val="center"/>
          </w:tcPr>
          <w:p w14:paraId="097DE611">
            <w:pPr>
              <w:spacing w:line="288" w:lineRule="auto"/>
              <w:ind w:firstLine="0" w:firstLineChars="0"/>
              <w:jc w:val="center"/>
              <w:rPr>
                <w:color w:val="auto"/>
                <w:sz w:val="21"/>
                <w:szCs w:val="21"/>
                <w:highlight w:val="none"/>
              </w:rPr>
            </w:pPr>
            <w:r>
              <w:rPr>
                <w:color w:val="auto"/>
                <w:sz w:val="21"/>
                <w:szCs w:val="21"/>
                <w:highlight w:val="none"/>
              </w:rPr>
              <w:t>10</w:t>
            </w:r>
          </w:p>
        </w:tc>
        <w:tc>
          <w:tcPr>
            <w:tcW w:w="858" w:type="pct"/>
            <w:noWrap w:val="0"/>
            <w:vAlign w:val="center"/>
          </w:tcPr>
          <w:p w14:paraId="222F0E0C">
            <w:pPr>
              <w:spacing w:line="288" w:lineRule="auto"/>
              <w:ind w:firstLine="0" w:firstLineChars="0"/>
              <w:jc w:val="left"/>
              <w:rPr>
                <w:color w:val="auto"/>
                <w:sz w:val="21"/>
                <w:szCs w:val="21"/>
                <w:highlight w:val="none"/>
              </w:rPr>
            </w:pPr>
            <w:r>
              <w:rPr>
                <w:color w:val="auto"/>
                <w:kern w:val="0"/>
                <w:sz w:val="21"/>
                <w:szCs w:val="21"/>
                <w:highlight w:val="none"/>
              </w:rPr>
              <w:t>030411004003</w:t>
            </w:r>
          </w:p>
        </w:tc>
        <w:tc>
          <w:tcPr>
            <w:tcW w:w="876" w:type="pct"/>
            <w:noWrap w:val="0"/>
            <w:vAlign w:val="center"/>
          </w:tcPr>
          <w:p w14:paraId="71D5F3F4">
            <w:pPr>
              <w:spacing w:line="288" w:lineRule="auto"/>
              <w:ind w:firstLine="0" w:firstLineChars="0"/>
              <w:jc w:val="left"/>
              <w:rPr>
                <w:color w:val="auto"/>
                <w:sz w:val="21"/>
                <w:szCs w:val="21"/>
                <w:highlight w:val="none"/>
              </w:rPr>
            </w:pPr>
            <w:r>
              <w:rPr>
                <w:color w:val="auto"/>
                <w:sz w:val="21"/>
                <w:szCs w:val="21"/>
                <w:highlight w:val="none"/>
              </w:rPr>
              <w:t>电源线</w:t>
            </w:r>
          </w:p>
        </w:tc>
        <w:tc>
          <w:tcPr>
            <w:tcW w:w="1858" w:type="pct"/>
            <w:noWrap w:val="0"/>
            <w:vAlign w:val="center"/>
          </w:tcPr>
          <w:p w14:paraId="1D8F3098">
            <w:pPr>
              <w:spacing w:line="288" w:lineRule="auto"/>
              <w:ind w:firstLine="0" w:firstLineChars="0"/>
              <w:jc w:val="left"/>
              <w:rPr>
                <w:color w:val="auto"/>
                <w:sz w:val="21"/>
                <w:szCs w:val="21"/>
                <w:highlight w:val="none"/>
              </w:rPr>
            </w:pPr>
            <w:r>
              <w:rPr>
                <w:color w:val="auto"/>
                <w:sz w:val="21"/>
                <w:szCs w:val="21"/>
                <w:highlight w:val="none"/>
              </w:rPr>
              <w:t>国标RVV 3*4</w:t>
            </w:r>
          </w:p>
        </w:tc>
        <w:tc>
          <w:tcPr>
            <w:tcW w:w="466" w:type="pct"/>
            <w:noWrap w:val="0"/>
            <w:vAlign w:val="center"/>
          </w:tcPr>
          <w:p w14:paraId="2774B374">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6C1D5AB8">
            <w:pPr>
              <w:spacing w:line="288" w:lineRule="auto"/>
              <w:ind w:firstLine="0" w:firstLineChars="0"/>
              <w:jc w:val="center"/>
              <w:rPr>
                <w:color w:val="auto"/>
                <w:sz w:val="21"/>
                <w:szCs w:val="21"/>
                <w:highlight w:val="none"/>
              </w:rPr>
            </w:pPr>
            <w:r>
              <w:rPr>
                <w:color w:val="auto"/>
                <w:sz w:val="21"/>
                <w:szCs w:val="21"/>
                <w:highlight w:val="none"/>
              </w:rPr>
              <w:t>300</w:t>
            </w:r>
          </w:p>
        </w:tc>
      </w:tr>
      <w:tr w14:paraId="4E97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89" w:type="pct"/>
            <w:noWrap w:val="0"/>
            <w:vAlign w:val="center"/>
          </w:tcPr>
          <w:p w14:paraId="19100A99">
            <w:pPr>
              <w:spacing w:line="288" w:lineRule="auto"/>
              <w:ind w:firstLine="0" w:firstLineChars="0"/>
              <w:jc w:val="center"/>
              <w:rPr>
                <w:color w:val="auto"/>
                <w:sz w:val="21"/>
                <w:szCs w:val="21"/>
                <w:highlight w:val="none"/>
              </w:rPr>
            </w:pPr>
            <w:r>
              <w:rPr>
                <w:color w:val="auto"/>
                <w:sz w:val="21"/>
                <w:szCs w:val="21"/>
                <w:highlight w:val="none"/>
              </w:rPr>
              <w:t>11</w:t>
            </w:r>
          </w:p>
        </w:tc>
        <w:tc>
          <w:tcPr>
            <w:tcW w:w="858" w:type="pct"/>
            <w:noWrap w:val="0"/>
            <w:vAlign w:val="center"/>
          </w:tcPr>
          <w:p w14:paraId="2685C298">
            <w:pPr>
              <w:spacing w:line="288" w:lineRule="auto"/>
              <w:ind w:firstLine="0" w:firstLineChars="0"/>
              <w:jc w:val="left"/>
              <w:rPr>
                <w:color w:val="auto"/>
                <w:sz w:val="21"/>
                <w:szCs w:val="21"/>
                <w:highlight w:val="none"/>
              </w:rPr>
            </w:pPr>
            <w:r>
              <w:rPr>
                <w:color w:val="auto"/>
                <w:kern w:val="0"/>
                <w:sz w:val="21"/>
                <w:szCs w:val="21"/>
                <w:highlight w:val="none"/>
              </w:rPr>
              <w:t>030502009001</w:t>
            </w:r>
          </w:p>
        </w:tc>
        <w:tc>
          <w:tcPr>
            <w:tcW w:w="876" w:type="pct"/>
            <w:noWrap w:val="0"/>
            <w:vAlign w:val="center"/>
          </w:tcPr>
          <w:p w14:paraId="57B13051">
            <w:pPr>
              <w:spacing w:line="288" w:lineRule="auto"/>
              <w:ind w:firstLine="0" w:firstLineChars="0"/>
              <w:jc w:val="left"/>
              <w:rPr>
                <w:color w:val="auto"/>
                <w:sz w:val="21"/>
                <w:szCs w:val="21"/>
                <w:highlight w:val="none"/>
              </w:rPr>
            </w:pPr>
            <w:r>
              <w:rPr>
                <w:color w:val="auto"/>
                <w:sz w:val="21"/>
                <w:szCs w:val="21"/>
                <w:highlight w:val="none"/>
              </w:rPr>
              <w:t>HDMI</w:t>
            </w:r>
          </w:p>
        </w:tc>
        <w:tc>
          <w:tcPr>
            <w:tcW w:w="1858" w:type="pct"/>
            <w:noWrap w:val="0"/>
            <w:vAlign w:val="center"/>
          </w:tcPr>
          <w:p w14:paraId="3FC0CAB7">
            <w:pPr>
              <w:spacing w:line="288" w:lineRule="auto"/>
              <w:ind w:firstLine="0" w:firstLineChars="0"/>
              <w:jc w:val="left"/>
              <w:rPr>
                <w:color w:val="auto"/>
                <w:sz w:val="21"/>
                <w:szCs w:val="21"/>
                <w:highlight w:val="none"/>
              </w:rPr>
            </w:pPr>
            <w:r>
              <w:rPr>
                <w:color w:val="auto"/>
                <w:sz w:val="21"/>
                <w:szCs w:val="21"/>
                <w:highlight w:val="none"/>
              </w:rPr>
              <w:t>HDMI高清线50m</w:t>
            </w:r>
          </w:p>
        </w:tc>
        <w:tc>
          <w:tcPr>
            <w:tcW w:w="466" w:type="pct"/>
            <w:noWrap w:val="0"/>
            <w:vAlign w:val="center"/>
          </w:tcPr>
          <w:p w14:paraId="3A8CA28C">
            <w:pPr>
              <w:spacing w:line="288" w:lineRule="auto"/>
              <w:ind w:firstLine="0" w:firstLineChars="0"/>
              <w:jc w:val="center"/>
              <w:rPr>
                <w:color w:val="auto"/>
                <w:sz w:val="21"/>
                <w:szCs w:val="21"/>
                <w:highlight w:val="none"/>
              </w:rPr>
            </w:pPr>
            <w:r>
              <w:rPr>
                <w:color w:val="auto"/>
                <w:sz w:val="21"/>
                <w:szCs w:val="21"/>
                <w:highlight w:val="none"/>
              </w:rPr>
              <w:t>根</w:t>
            </w:r>
          </w:p>
        </w:tc>
        <w:tc>
          <w:tcPr>
            <w:tcW w:w="451" w:type="pct"/>
            <w:noWrap w:val="0"/>
            <w:vAlign w:val="center"/>
          </w:tcPr>
          <w:p w14:paraId="341ED80E">
            <w:pPr>
              <w:spacing w:line="288" w:lineRule="auto"/>
              <w:ind w:firstLine="0" w:firstLineChars="0"/>
              <w:jc w:val="center"/>
              <w:rPr>
                <w:color w:val="auto"/>
                <w:sz w:val="21"/>
                <w:szCs w:val="21"/>
                <w:highlight w:val="none"/>
              </w:rPr>
            </w:pPr>
            <w:r>
              <w:rPr>
                <w:color w:val="auto"/>
                <w:sz w:val="21"/>
                <w:szCs w:val="21"/>
                <w:highlight w:val="none"/>
              </w:rPr>
              <w:t>6</w:t>
            </w:r>
          </w:p>
        </w:tc>
      </w:tr>
      <w:tr w14:paraId="6492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9" w:type="pct"/>
            <w:noWrap w:val="0"/>
            <w:vAlign w:val="center"/>
          </w:tcPr>
          <w:p w14:paraId="73C76A45">
            <w:pPr>
              <w:spacing w:line="288" w:lineRule="auto"/>
              <w:ind w:firstLine="0" w:firstLineChars="0"/>
              <w:jc w:val="center"/>
              <w:rPr>
                <w:color w:val="auto"/>
                <w:sz w:val="21"/>
                <w:szCs w:val="21"/>
                <w:highlight w:val="none"/>
              </w:rPr>
            </w:pPr>
            <w:r>
              <w:rPr>
                <w:color w:val="auto"/>
                <w:sz w:val="21"/>
                <w:szCs w:val="21"/>
                <w:highlight w:val="none"/>
              </w:rPr>
              <w:t>12</w:t>
            </w:r>
          </w:p>
        </w:tc>
        <w:tc>
          <w:tcPr>
            <w:tcW w:w="858" w:type="pct"/>
            <w:noWrap w:val="0"/>
            <w:vAlign w:val="center"/>
          </w:tcPr>
          <w:p w14:paraId="0D856630">
            <w:pPr>
              <w:spacing w:line="288" w:lineRule="auto"/>
              <w:ind w:firstLine="0" w:firstLineChars="0"/>
              <w:jc w:val="left"/>
              <w:rPr>
                <w:color w:val="auto"/>
                <w:sz w:val="21"/>
                <w:szCs w:val="21"/>
                <w:highlight w:val="none"/>
              </w:rPr>
            </w:pPr>
            <w:r>
              <w:rPr>
                <w:color w:val="auto"/>
                <w:kern w:val="0"/>
                <w:sz w:val="21"/>
                <w:szCs w:val="21"/>
                <w:highlight w:val="none"/>
              </w:rPr>
              <w:t>030502009002</w:t>
            </w:r>
          </w:p>
        </w:tc>
        <w:tc>
          <w:tcPr>
            <w:tcW w:w="876" w:type="pct"/>
            <w:noWrap w:val="0"/>
            <w:vAlign w:val="center"/>
          </w:tcPr>
          <w:p w14:paraId="67E65C80">
            <w:pPr>
              <w:spacing w:line="288" w:lineRule="auto"/>
              <w:ind w:firstLine="0" w:firstLineChars="0"/>
              <w:jc w:val="left"/>
              <w:rPr>
                <w:color w:val="auto"/>
                <w:sz w:val="21"/>
                <w:szCs w:val="21"/>
                <w:highlight w:val="none"/>
              </w:rPr>
            </w:pPr>
            <w:r>
              <w:rPr>
                <w:color w:val="auto"/>
                <w:sz w:val="21"/>
                <w:szCs w:val="21"/>
                <w:highlight w:val="none"/>
              </w:rPr>
              <w:t>HDMI</w:t>
            </w:r>
          </w:p>
        </w:tc>
        <w:tc>
          <w:tcPr>
            <w:tcW w:w="1858" w:type="pct"/>
            <w:noWrap w:val="0"/>
            <w:vAlign w:val="center"/>
          </w:tcPr>
          <w:p w14:paraId="62B2282C">
            <w:pPr>
              <w:spacing w:line="288" w:lineRule="auto"/>
              <w:ind w:firstLine="0" w:firstLineChars="0"/>
              <w:jc w:val="left"/>
              <w:rPr>
                <w:color w:val="auto"/>
                <w:sz w:val="21"/>
                <w:szCs w:val="21"/>
                <w:highlight w:val="none"/>
              </w:rPr>
            </w:pPr>
            <w:r>
              <w:rPr>
                <w:color w:val="auto"/>
                <w:sz w:val="21"/>
                <w:szCs w:val="21"/>
                <w:highlight w:val="none"/>
              </w:rPr>
              <w:t>HDMI高清线5m</w:t>
            </w:r>
          </w:p>
        </w:tc>
        <w:tc>
          <w:tcPr>
            <w:tcW w:w="466" w:type="pct"/>
            <w:noWrap w:val="0"/>
            <w:vAlign w:val="center"/>
          </w:tcPr>
          <w:p w14:paraId="23C3A604">
            <w:pPr>
              <w:spacing w:line="288" w:lineRule="auto"/>
              <w:ind w:firstLine="0" w:firstLineChars="0"/>
              <w:jc w:val="center"/>
              <w:rPr>
                <w:color w:val="auto"/>
                <w:sz w:val="21"/>
                <w:szCs w:val="21"/>
                <w:highlight w:val="none"/>
              </w:rPr>
            </w:pPr>
            <w:r>
              <w:rPr>
                <w:color w:val="auto"/>
                <w:sz w:val="21"/>
                <w:szCs w:val="21"/>
                <w:highlight w:val="none"/>
              </w:rPr>
              <w:t>根</w:t>
            </w:r>
          </w:p>
        </w:tc>
        <w:tc>
          <w:tcPr>
            <w:tcW w:w="451" w:type="pct"/>
            <w:noWrap w:val="0"/>
            <w:vAlign w:val="center"/>
          </w:tcPr>
          <w:p w14:paraId="7D85B107">
            <w:pPr>
              <w:spacing w:line="288" w:lineRule="auto"/>
              <w:ind w:firstLine="0" w:firstLineChars="0"/>
              <w:jc w:val="center"/>
              <w:rPr>
                <w:color w:val="auto"/>
                <w:sz w:val="21"/>
                <w:szCs w:val="21"/>
                <w:highlight w:val="none"/>
              </w:rPr>
            </w:pPr>
            <w:r>
              <w:rPr>
                <w:color w:val="auto"/>
                <w:sz w:val="21"/>
                <w:szCs w:val="21"/>
                <w:highlight w:val="none"/>
              </w:rPr>
              <w:t>15</w:t>
            </w:r>
          </w:p>
        </w:tc>
      </w:tr>
      <w:tr w14:paraId="2433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9" w:type="pct"/>
            <w:noWrap w:val="0"/>
            <w:vAlign w:val="center"/>
          </w:tcPr>
          <w:p w14:paraId="00E25AC2">
            <w:pPr>
              <w:spacing w:line="288" w:lineRule="auto"/>
              <w:ind w:firstLine="0" w:firstLineChars="0"/>
              <w:jc w:val="center"/>
              <w:rPr>
                <w:color w:val="auto"/>
                <w:sz w:val="21"/>
                <w:szCs w:val="21"/>
                <w:highlight w:val="none"/>
              </w:rPr>
            </w:pPr>
            <w:r>
              <w:rPr>
                <w:color w:val="auto"/>
                <w:sz w:val="21"/>
                <w:szCs w:val="21"/>
                <w:highlight w:val="none"/>
              </w:rPr>
              <w:t>13</w:t>
            </w:r>
          </w:p>
        </w:tc>
        <w:tc>
          <w:tcPr>
            <w:tcW w:w="858" w:type="pct"/>
            <w:noWrap w:val="0"/>
            <w:vAlign w:val="center"/>
          </w:tcPr>
          <w:p w14:paraId="21579A6F">
            <w:pPr>
              <w:spacing w:line="288" w:lineRule="auto"/>
              <w:ind w:firstLine="0" w:firstLineChars="0"/>
              <w:jc w:val="left"/>
              <w:rPr>
                <w:color w:val="auto"/>
                <w:sz w:val="21"/>
                <w:szCs w:val="21"/>
                <w:highlight w:val="none"/>
              </w:rPr>
            </w:pPr>
            <w:r>
              <w:rPr>
                <w:color w:val="auto"/>
                <w:sz w:val="21"/>
                <w:szCs w:val="21"/>
                <w:highlight w:val="none"/>
              </w:rPr>
              <w:t>030411001001</w:t>
            </w:r>
          </w:p>
        </w:tc>
        <w:tc>
          <w:tcPr>
            <w:tcW w:w="876" w:type="pct"/>
            <w:noWrap w:val="0"/>
            <w:vAlign w:val="center"/>
          </w:tcPr>
          <w:p w14:paraId="6BAB7C5C">
            <w:pPr>
              <w:spacing w:line="288" w:lineRule="auto"/>
              <w:ind w:firstLine="0" w:firstLineChars="0"/>
              <w:jc w:val="left"/>
              <w:rPr>
                <w:color w:val="auto"/>
                <w:sz w:val="21"/>
                <w:szCs w:val="21"/>
                <w:highlight w:val="none"/>
              </w:rPr>
            </w:pPr>
            <w:r>
              <w:rPr>
                <w:color w:val="auto"/>
                <w:sz w:val="21"/>
                <w:szCs w:val="21"/>
                <w:highlight w:val="none"/>
              </w:rPr>
              <w:t>KBG管</w:t>
            </w:r>
          </w:p>
        </w:tc>
        <w:tc>
          <w:tcPr>
            <w:tcW w:w="1858" w:type="pct"/>
            <w:noWrap w:val="0"/>
            <w:vAlign w:val="center"/>
          </w:tcPr>
          <w:p w14:paraId="249F4988">
            <w:pPr>
              <w:spacing w:line="288" w:lineRule="auto"/>
              <w:ind w:firstLine="0" w:firstLineChars="0"/>
              <w:jc w:val="left"/>
              <w:rPr>
                <w:color w:val="auto"/>
                <w:sz w:val="21"/>
                <w:szCs w:val="21"/>
                <w:highlight w:val="none"/>
              </w:rPr>
            </w:pPr>
            <w:r>
              <w:rPr>
                <w:color w:val="auto"/>
                <w:sz w:val="21"/>
                <w:szCs w:val="21"/>
                <w:highlight w:val="none"/>
              </w:rPr>
              <w:t>管径≥25</w:t>
            </w:r>
          </w:p>
        </w:tc>
        <w:tc>
          <w:tcPr>
            <w:tcW w:w="466" w:type="pct"/>
            <w:noWrap w:val="0"/>
            <w:vAlign w:val="center"/>
          </w:tcPr>
          <w:p w14:paraId="6B9939DB">
            <w:pPr>
              <w:spacing w:line="288" w:lineRule="auto"/>
              <w:ind w:firstLine="0" w:firstLineChars="0"/>
              <w:jc w:val="center"/>
              <w:rPr>
                <w:color w:val="auto"/>
                <w:sz w:val="21"/>
                <w:szCs w:val="21"/>
                <w:highlight w:val="none"/>
              </w:rPr>
            </w:pPr>
            <w:r>
              <w:rPr>
                <w:color w:val="auto"/>
                <w:sz w:val="21"/>
                <w:szCs w:val="21"/>
                <w:highlight w:val="none"/>
              </w:rPr>
              <w:t>m</w:t>
            </w:r>
          </w:p>
        </w:tc>
        <w:tc>
          <w:tcPr>
            <w:tcW w:w="451" w:type="pct"/>
            <w:noWrap w:val="0"/>
            <w:vAlign w:val="center"/>
          </w:tcPr>
          <w:p w14:paraId="56932F92">
            <w:pPr>
              <w:spacing w:line="288" w:lineRule="auto"/>
              <w:ind w:firstLine="0" w:firstLineChars="0"/>
              <w:jc w:val="center"/>
              <w:rPr>
                <w:color w:val="auto"/>
                <w:sz w:val="21"/>
                <w:szCs w:val="21"/>
                <w:highlight w:val="none"/>
              </w:rPr>
            </w:pPr>
            <w:r>
              <w:rPr>
                <w:color w:val="auto"/>
                <w:sz w:val="21"/>
                <w:szCs w:val="21"/>
                <w:highlight w:val="none"/>
              </w:rPr>
              <w:t>120</w:t>
            </w:r>
          </w:p>
        </w:tc>
      </w:tr>
      <w:tr w14:paraId="1B5F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0"/>
            <w:vAlign w:val="center"/>
          </w:tcPr>
          <w:p w14:paraId="468343D7">
            <w:pPr>
              <w:spacing w:line="288" w:lineRule="auto"/>
              <w:ind w:firstLine="0" w:firstLineChars="0"/>
              <w:jc w:val="center"/>
              <w:rPr>
                <w:color w:val="auto"/>
                <w:sz w:val="21"/>
                <w:szCs w:val="21"/>
                <w:highlight w:val="none"/>
              </w:rPr>
            </w:pPr>
            <w:r>
              <w:rPr>
                <w:color w:val="auto"/>
                <w:sz w:val="21"/>
                <w:szCs w:val="21"/>
                <w:highlight w:val="none"/>
              </w:rPr>
              <w:t>14</w:t>
            </w:r>
          </w:p>
        </w:tc>
        <w:tc>
          <w:tcPr>
            <w:tcW w:w="858" w:type="pct"/>
            <w:noWrap w:val="0"/>
            <w:vAlign w:val="center"/>
          </w:tcPr>
          <w:p w14:paraId="431D62E0">
            <w:pPr>
              <w:spacing w:line="288" w:lineRule="auto"/>
              <w:ind w:firstLine="0" w:firstLineChars="0"/>
              <w:jc w:val="left"/>
              <w:rPr>
                <w:color w:val="auto"/>
                <w:sz w:val="21"/>
                <w:szCs w:val="21"/>
                <w:highlight w:val="none"/>
              </w:rPr>
            </w:pPr>
            <w:r>
              <w:rPr>
                <w:color w:val="auto"/>
                <w:kern w:val="0"/>
                <w:sz w:val="21"/>
                <w:szCs w:val="21"/>
                <w:highlight w:val="none"/>
              </w:rPr>
              <w:t>030411004006</w:t>
            </w:r>
          </w:p>
        </w:tc>
        <w:tc>
          <w:tcPr>
            <w:tcW w:w="876" w:type="pct"/>
            <w:noWrap w:val="0"/>
            <w:vAlign w:val="center"/>
          </w:tcPr>
          <w:p w14:paraId="215AE4F2">
            <w:pPr>
              <w:spacing w:line="288" w:lineRule="auto"/>
              <w:ind w:firstLine="0" w:firstLineChars="0"/>
              <w:jc w:val="left"/>
              <w:rPr>
                <w:color w:val="auto"/>
                <w:sz w:val="21"/>
                <w:szCs w:val="21"/>
                <w:highlight w:val="none"/>
              </w:rPr>
            </w:pPr>
            <w:r>
              <w:rPr>
                <w:color w:val="auto"/>
                <w:sz w:val="21"/>
                <w:szCs w:val="21"/>
                <w:highlight w:val="none"/>
              </w:rPr>
              <w:t>信号缆</w:t>
            </w:r>
          </w:p>
        </w:tc>
        <w:tc>
          <w:tcPr>
            <w:tcW w:w="1858" w:type="pct"/>
            <w:noWrap w:val="0"/>
            <w:vAlign w:val="center"/>
          </w:tcPr>
          <w:p w14:paraId="1E90DD3C">
            <w:pPr>
              <w:spacing w:line="288" w:lineRule="auto"/>
              <w:ind w:firstLine="0" w:firstLineChars="0"/>
              <w:jc w:val="left"/>
              <w:rPr>
                <w:color w:val="auto"/>
                <w:sz w:val="21"/>
                <w:szCs w:val="21"/>
                <w:highlight w:val="none"/>
              </w:rPr>
            </w:pPr>
            <w:r>
              <w:rPr>
                <w:color w:val="auto"/>
                <w:sz w:val="21"/>
                <w:szCs w:val="21"/>
                <w:highlight w:val="none"/>
              </w:rPr>
              <w:t>RVVP2*0.5</w:t>
            </w:r>
          </w:p>
        </w:tc>
        <w:tc>
          <w:tcPr>
            <w:tcW w:w="466" w:type="pct"/>
            <w:noWrap w:val="0"/>
            <w:vAlign w:val="center"/>
          </w:tcPr>
          <w:p w14:paraId="56E6B07C">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133B1796">
            <w:pPr>
              <w:spacing w:line="288" w:lineRule="auto"/>
              <w:ind w:firstLine="0" w:firstLineChars="0"/>
              <w:jc w:val="center"/>
              <w:rPr>
                <w:color w:val="auto"/>
                <w:sz w:val="21"/>
                <w:szCs w:val="21"/>
                <w:highlight w:val="none"/>
              </w:rPr>
            </w:pPr>
            <w:r>
              <w:rPr>
                <w:color w:val="auto"/>
                <w:sz w:val="21"/>
                <w:szCs w:val="21"/>
                <w:highlight w:val="none"/>
              </w:rPr>
              <w:t>300</w:t>
            </w:r>
          </w:p>
        </w:tc>
      </w:tr>
      <w:tr w14:paraId="0244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89" w:type="pct"/>
            <w:noWrap w:val="0"/>
            <w:vAlign w:val="center"/>
          </w:tcPr>
          <w:p w14:paraId="51E1D8B9">
            <w:pPr>
              <w:spacing w:line="288" w:lineRule="auto"/>
              <w:ind w:firstLine="0" w:firstLineChars="0"/>
              <w:jc w:val="center"/>
              <w:rPr>
                <w:color w:val="auto"/>
                <w:sz w:val="21"/>
                <w:szCs w:val="21"/>
                <w:highlight w:val="none"/>
              </w:rPr>
            </w:pPr>
            <w:r>
              <w:rPr>
                <w:color w:val="auto"/>
                <w:sz w:val="21"/>
                <w:szCs w:val="21"/>
                <w:highlight w:val="none"/>
              </w:rPr>
              <w:t>15</w:t>
            </w:r>
          </w:p>
        </w:tc>
        <w:tc>
          <w:tcPr>
            <w:tcW w:w="858" w:type="pct"/>
            <w:noWrap w:val="0"/>
            <w:vAlign w:val="center"/>
          </w:tcPr>
          <w:p w14:paraId="21F8CDC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rPr>
              <w:t>030411004007</w:t>
            </w:r>
          </w:p>
        </w:tc>
        <w:tc>
          <w:tcPr>
            <w:tcW w:w="876" w:type="pct"/>
            <w:noWrap w:val="0"/>
            <w:vAlign w:val="center"/>
          </w:tcPr>
          <w:p w14:paraId="344680CE">
            <w:pPr>
              <w:spacing w:line="288" w:lineRule="auto"/>
              <w:ind w:firstLine="0" w:firstLineChars="0"/>
              <w:jc w:val="left"/>
              <w:rPr>
                <w:color w:val="auto"/>
                <w:sz w:val="21"/>
                <w:szCs w:val="21"/>
                <w:highlight w:val="none"/>
              </w:rPr>
            </w:pPr>
            <w:r>
              <w:rPr>
                <w:color w:val="auto"/>
                <w:sz w:val="21"/>
                <w:szCs w:val="21"/>
                <w:highlight w:val="none"/>
              </w:rPr>
              <w:t>音频话筒线</w:t>
            </w:r>
          </w:p>
        </w:tc>
        <w:tc>
          <w:tcPr>
            <w:tcW w:w="1858" w:type="pct"/>
            <w:noWrap w:val="0"/>
            <w:vAlign w:val="center"/>
          </w:tcPr>
          <w:p w14:paraId="5A69A919">
            <w:pPr>
              <w:spacing w:line="288" w:lineRule="auto"/>
              <w:ind w:firstLine="0" w:firstLineChars="0"/>
              <w:jc w:val="left"/>
              <w:rPr>
                <w:color w:val="auto"/>
                <w:sz w:val="21"/>
                <w:szCs w:val="21"/>
                <w:highlight w:val="none"/>
              </w:rPr>
            </w:pPr>
            <w:r>
              <w:rPr>
                <w:color w:val="auto"/>
                <w:sz w:val="21"/>
                <w:szCs w:val="21"/>
                <w:highlight w:val="none"/>
              </w:rPr>
              <w:t>颜色:黑色</w:t>
            </w:r>
          </w:p>
          <w:p w14:paraId="675D7BEF">
            <w:pPr>
              <w:spacing w:line="288" w:lineRule="auto"/>
              <w:ind w:firstLine="0" w:firstLineChars="0"/>
              <w:jc w:val="left"/>
              <w:rPr>
                <w:color w:val="auto"/>
                <w:sz w:val="21"/>
                <w:szCs w:val="21"/>
                <w:highlight w:val="none"/>
              </w:rPr>
            </w:pPr>
            <w:r>
              <w:rPr>
                <w:color w:val="auto"/>
                <w:sz w:val="21"/>
                <w:szCs w:val="21"/>
                <w:highlight w:val="none"/>
              </w:rPr>
              <w:t>编制网:96网</w:t>
            </w:r>
          </w:p>
          <w:p w14:paraId="2A70CB71">
            <w:pPr>
              <w:spacing w:line="288" w:lineRule="auto"/>
              <w:ind w:firstLine="0" w:firstLineChars="0"/>
              <w:jc w:val="left"/>
              <w:rPr>
                <w:color w:val="auto"/>
                <w:sz w:val="21"/>
                <w:szCs w:val="21"/>
                <w:highlight w:val="none"/>
              </w:rPr>
            </w:pPr>
            <w:r>
              <w:rPr>
                <w:color w:val="auto"/>
                <w:sz w:val="21"/>
                <w:szCs w:val="21"/>
                <w:highlight w:val="none"/>
              </w:rPr>
              <w:t>6.0mm[(40/0.10BS)*2C+棉纱</w:t>
            </w:r>
          </w:p>
          <w:p w14:paraId="3465B22B">
            <w:pPr>
              <w:spacing w:line="288" w:lineRule="auto"/>
              <w:ind w:firstLine="0" w:firstLineChars="0"/>
              <w:jc w:val="left"/>
              <w:rPr>
                <w:color w:val="auto"/>
                <w:sz w:val="21"/>
                <w:szCs w:val="21"/>
                <w:highlight w:val="none"/>
              </w:rPr>
            </w:pPr>
            <w:r>
              <w:rPr>
                <w:color w:val="auto"/>
                <w:sz w:val="21"/>
                <w:szCs w:val="21"/>
                <w:highlight w:val="none"/>
              </w:rPr>
              <w:t>+AL+SP:(96/0.10mmBC)]*1C</w:t>
            </w:r>
          </w:p>
        </w:tc>
        <w:tc>
          <w:tcPr>
            <w:tcW w:w="466" w:type="pct"/>
            <w:noWrap w:val="0"/>
            <w:vAlign w:val="center"/>
          </w:tcPr>
          <w:p w14:paraId="3E017585">
            <w:pPr>
              <w:spacing w:line="288" w:lineRule="auto"/>
              <w:ind w:firstLine="0" w:firstLineChars="0"/>
              <w:jc w:val="center"/>
              <w:rPr>
                <w:color w:val="auto"/>
                <w:sz w:val="21"/>
                <w:szCs w:val="21"/>
                <w:highlight w:val="none"/>
              </w:rPr>
            </w:pPr>
            <w:r>
              <w:rPr>
                <w:color w:val="auto"/>
                <w:sz w:val="21"/>
                <w:szCs w:val="21"/>
                <w:highlight w:val="none"/>
              </w:rPr>
              <w:t>米</w:t>
            </w:r>
          </w:p>
        </w:tc>
        <w:tc>
          <w:tcPr>
            <w:tcW w:w="451" w:type="pct"/>
            <w:noWrap w:val="0"/>
            <w:vAlign w:val="center"/>
          </w:tcPr>
          <w:p w14:paraId="172A9D73">
            <w:pPr>
              <w:spacing w:line="288" w:lineRule="auto"/>
              <w:ind w:firstLine="0" w:firstLineChars="0"/>
              <w:jc w:val="center"/>
              <w:rPr>
                <w:color w:val="auto"/>
                <w:sz w:val="21"/>
                <w:szCs w:val="21"/>
                <w:highlight w:val="none"/>
              </w:rPr>
            </w:pPr>
            <w:r>
              <w:rPr>
                <w:color w:val="auto"/>
                <w:sz w:val="21"/>
                <w:szCs w:val="21"/>
                <w:highlight w:val="none"/>
              </w:rPr>
              <w:t>400</w:t>
            </w:r>
          </w:p>
        </w:tc>
      </w:tr>
      <w:tr w14:paraId="7A22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89" w:type="pct"/>
            <w:noWrap w:val="0"/>
            <w:vAlign w:val="center"/>
          </w:tcPr>
          <w:p w14:paraId="58FB2116">
            <w:pPr>
              <w:spacing w:line="288" w:lineRule="auto"/>
              <w:ind w:firstLine="0" w:firstLineChars="0"/>
              <w:jc w:val="center"/>
              <w:rPr>
                <w:color w:val="auto"/>
                <w:sz w:val="21"/>
                <w:szCs w:val="21"/>
                <w:highlight w:val="none"/>
              </w:rPr>
            </w:pPr>
            <w:r>
              <w:rPr>
                <w:color w:val="auto"/>
                <w:sz w:val="21"/>
                <w:szCs w:val="21"/>
                <w:highlight w:val="none"/>
              </w:rPr>
              <w:t>16</w:t>
            </w:r>
          </w:p>
        </w:tc>
        <w:tc>
          <w:tcPr>
            <w:tcW w:w="858" w:type="pct"/>
            <w:noWrap w:val="0"/>
            <w:vAlign w:val="center"/>
          </w:tcPr>
          <w:p w14:paraId="401E3335">
            <w:pPr>
              <w:spacing w:line="288" w:lineRule="auto"/>
              <w:ind w:firstLine="0" w:firstLineChars="0"/>
              <w:jc w:val="left"/>
              <w:rPr>
                <w:color w:val="auto"/>
                <w:sz w:val="21"/>
                <w:szCs w:val="21"/>
                <w:highlight w:val="none"/>
              </w:rPr>
            </w:pPr>
            <w:r>
              <w:rPr>
                <w:color w:val="auto"/>
                <w:kern w:val="0"/>
                <w:sz w:val="21"/>
                <w:szCs w:val="21"/>
                <w:highlight w:val="none"/>
              </w:rPr>
              <w:t>030404035004</w:t>
            </w:r>
          </w:p>
        </w:tc>
        <w:tc>
          <w:tcPr>
            <w:tcW w:w="876" w:type="pct"/>
            <w:noWrap w:val="0"/>
            <w:vAlign w:val="center"/>
          </w:tcPr>
          <w:p w14:paraId="67A9CF6A">
            <w:pPr>
              <w:spacing w:line="288" w:lineRule="auto"/>
              <w:ind w:firstLine="0" w:firstLineChars="0"/>
              <w:jc w:val="left"/>
              <w:rPr>
                <w:color w:val="auto"/>
                <w:sz w:val="21"/>
                <w:szCs w:val="21"/>
                <w:highlight w:val="none"/>
              </w:rPr>
            </w:pPr>
            <w:r>
              <w:rPr>
                <w:color w:val="auto"/>
                <w:sz w:val="21"/>
                <w:szCs w:val="21"/>
                <w:highlight w:val="none"/>
              </w:rPr>
              <w:t>卡农接头</w:t>
            </w:r>
          </w:p>
        </w:tc>
        <w:tc>
          <w:tcPr>
            <w:tcW w:w="1858" w:type="pct"/>
            <w:noWrap w:val="0"/>
            <w:vAlign w:val="center"/>
          </w:tcPr>
          <w:p w14:paraId="6C037DC3">
            <w:pPr>
              <w:spacing w:line="288" w:lineRule="auto"/>
              <w:ind w:firstLine="0" w:firstLineChars="0"/>
              <w:jc w:val="left"/>
              <w:rPr>
                <w:color w:val="auto"/>
                <w:sz w:val="21"/>
                <w:szCs w:val="21"/>
                <w:highlight w:val="none"/>
              </w:rPr>
            </w:pPr>
            <w:r>
              <w:rPr>
                <w:color w:val="auto"/>
                <w:sz w:val="21"/>
                <w:szCs w:val="21"/>
                <w:highlight w:val="none"/>
              </w:rPr>
              <w:t>公头</w:t>
            </w:r>
          </w:p>
        </w:tc>
        <w:tc>
          <w:tcPr>
            <w:tcW w:w="466" w:type="pct"/>
            <w:noWrap w:val="0"/>
            <w:vAlign w:val="center"/>
          </w:tcPr>
          <w:p w14:paraId="0462F503">
            <w:pPr>
              <w:spacing w:line="288" w:lineRule="auto"/>
              <w:ind w:firstLine="0" w:firstLineChars="0"/>
              <w:jc w:val="center"/>
              <w:rPr>
                <w:color w:val="auto"/>
                <w:sz w:val="21"/>
                <w:szCs w:val="21"/>
                <w:highlight w:val="none"/>
              </w:rPr>
            </w:pPr>
            <w:r>
              <w:rPr>
                <w:color w:val="auto"/>
                <w:sz w:val="21"/>
                <w:szCs w:val="21"/>
                <w:highlight w:val="none"/>
              </w:rPr>
              <w:t>个</w:t>
            </w:r>
          </w:p>
        </w:tc>
        <w:tc>
          <w:tcPr>
            <w:tcW w:w="451" w:type="pct"/>
            <w:noWrap w:val="0"/>
            <w:vAlign w:val="center"/>
          </w:tcPr>
          <w:p w14:paraId="0BABF04E">
            <w:pPr>
              <w:spacing w:line="288" w:lineRule="auto"/>
              <w:ind w:firstLine="0" w:firstLineChars="0"/>
              <w:jc w:val="center"/>
              <w:rPr>
                <w:color w:val="auto"/>
                <w:sz w:val="21"/>
                <w:szCs w:val="21"/>
                <w:highlight w:val="none"/>
              </w:rPr>
            </w:pPr>
            <w:r>
              <w:rPr>
                <w:color w:val="auto"/>
                <w:sz w:val="21"/>
                <w:szCs w:val="21"/>
                <w:highlight w:val="none"/>
              </w:rPr>
              <w:t>50</w:t>
            </w:r>
          </w:p>
        </w:tc>
      </w:tr>
      <w:tr w14:paraId="36AF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89" w:type="pct"/>
            <w:noWrap w:val="0"/>
            <w:vAlign w:val="center"/>
          </w:tcPr>
          <w:p w14:paraId="712CF025">
            <w:pPr>
              <w:spacing w:line="288" w:lineRule="auto"/>
              <w:ind w:firstLine="0" w:firstLineChars="0"/>
              <w:jc w:val="center"/>
              <w:rPr>
                <w:color w:val="auto"/>
                <w:sz w:val="21"/>
                <w:szCs w:val="21"/>
                <w:highlight w:val="none"/>
              </w:rPr>
            </w:pPr>
            <w:r>
              <w:rPr>
                <w:color w:val="auto"/>
                <w:sz w:val="21"/>
                <w:szCs w:val="21"/>
                <w:highlight w:val="none"/>
              </w:rPr>
              <w:t>17</w:t>
            </w:r>
          </w:p>
        </w:tc>
        <w:tc>
          <w:tcPr>
            <w:tcW w:w="858" w:type="pct"/>
            <w:noWrap w:val="0"/>
            <w:vAlign w:val="center"/>
          </w:tcPr>
          <w:p w14:paraId="1721410A">
            <w:pPr>
              <w:spacing w:line="288" w:lineRule="auto"/>
              <w:ind w:firstLine="0" w:firstLineChars="0"/>
              <w:jc w:val="left"/>
              <w:rPr>
                <w:color w:val="auto"/>
                <w:sz w:val="21"/>
                <w:szCs w:val="21"/>
                <w:highlight w:val="none"/>
              </w:rPr>
            </w:pPr>
            <w:r>
              <w:rPr>
                <w:color w:val="auto"/>
                <w:kern w:val="0"/>
                <w:sz w:val="21"/>
                <w:szCs w:val="21"/>
                <w:highlight w:val="none"/>
              </w:rPr>
              <w:t>030404035005</w:t>
            </w:r>
          </w:p>
        </w:tc>
        <w:tc>
          <w:tcPr>
            <w:tcW w:w="876" w:type="pct"/>
            <w:noWrap w:val="0"/>
            <w:vAlign w:val="center"/>
          </w:tcPr>
          <w:p w14:paraId="3C35C193">
            <w:pPr>
              <w:spacing w:line="288" w:lineRule="auto"/>
              <w:ind w:firstLine="0" w:firstLineChars="0"/>
              <w:jc w:val="left"/>
              <w:rPr>
                <w:color w:val="auto"/>
                <w:sz w:val="21"/>
                <w:szCs w:val="21"/>
                <w:highlight w:val="none"/>
              </w:rPr>
            </w:pPr>
            <w:r>
              <w:rPr>
                <w:color w:val="auto"/>
                <w:sz w:val="21"/>
                <w:szCs w:val="21"/>
                <w:highlight w:val="none"/>
              </w:rPr>
              <w:t>卡农接头</w:t>
            </w:r>
          </w:p>
        </w:tc>
        <w:tc>
          <w:tcPr>
            <w:tcW w:w="1858" w:type="pct"/>
            <w:noWrap w:val="0"/>
            <w:vAlign w:val="center"/>
          </w:tcPr>
          <w:p w14:paraId="5C860A15">
            <w:pPr>
              <w:spacing w:line="288" w:lineRule="auto"/>
              <w:ind w:firstLine="0" w:firstLineChars="0"/>
              <w:jc w:val="left"/>
              <w:rPr>
                <w:color w:val="auto"/>
                <w:sz w:val="21"/>
                <w:szCs w:val="21"/>
                <w:highlight w:val="none"/>
              </w:rPr>
            </w:pPr>
            <w:r>
              <w:rPr>
                <w:color w:val="auto"/>
                <w:sz w:val="21"/>
                <w:szCs w:val="21"/>
                <w:highlight w:val="none"/>
              </w:rPr>
              <w:t>母头</w:t>
            </w:r>
          </w:p>
        </w:tc>
        <w:tc>
          <w:tcPr>
            <w:tcW w:w="466" w:type="pct"/>
            <w:noWrap w:val="0"/>
            <w:vAlign w:val="center"/>
          </w:tcPr>
          <w:p w14:paraId="449ED253">
            <w:pPr>
              <w:spacing w:line="288" w:lineRule="auto"/>
              <w:ind w:firstLine="0" w:firstLineChars="0"/>
              <w:jc w:val="center"/>
              <w:rPr>
                <w:color w:val="auto"/>
                <w:sz w:val="21"/>
                <w:szCs w:val="21"/>
                <w:highlight w:val="none"/>
              </w:rPr>
            </w:pPr>
            <w:r>
              <w:rPr>
                <w:color w:val="auto"/>
                <w:sz w:val="21"/>
                <w:szCs w:val="21"/>
                <w:highlight w:val="none"/>
              </w:rPr>
              <w:t>个</w:t>
            </w:r>
          </w:p>
        </w:tc>
        <w:tc>
          <w:tcPr>
            <w:tcW w:w="451" w:type="pct"/>
            <w:noWrap w:val="0"/>
            <w:vAlign w:val="center"/>
          </w:tcPr>
          <w:p w14:paraId="304FFA24">
            <w:pPr>
              <w:spacing w:line="288" w:lineRule="auto"/>
              <w:ind w:firstLine="0" w:firstLineChars="0"/>
              <w:jc w:val="center"/>
              <w:rPr>
                <w:color w:val="auto"/>
                <w:sz w:val="21"/>
                <w:szCs w:val="21"/>
                <w:highlight w:val="none"/>
              </w:rPr>
            </w:pPr>
            <w:r>
              <w:rPr>
                <w:color w:val="auto"/>
                <w:sz w:val="21"/>
                <w:szCs w:val="21"/>
                <w:highlight w:val="none"/>
              </w:rPr>
              <w:t>50</w:t>
            </w:r>
          </w:p>
        </w:tc>
      </w:tr>
      <w:tr w14:paraId="75C6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pct"/>
            <w:noWrap w:val="0"/>
            <w:vAlign w:val="center"/>
          </w:tcPr>
          <w:p w14:paraId="0A00DEB9">
            <w:pPr>
              <w:spacing w:line="288" w:lineRule="auto"/>
              <w:ind w:firstLine="0" w:firstLineChars="0"/>
              <w:jc w:val="center"/>
              <w:rPr>
                <w:color w:val="auto"/>
                <w:sz w:val="21"/>
                <w:szCs w:val="21"/>
                <w:highlight w:val="none"/>
              </w:rPr>
            </w:pPr>
            <w:r>
              <w:rPr>
                <w:color w:val="auto"/>
                <w:sz w:val="21"/>
                <w:szCs w:val="21"/>
                <w:highlight w:val="none"/>
              </w:rPr>
              <w:t>18</w:t>
            </w:r>
          </w:p>
        </w:tc>
        <w:tc>
          <w:tcPr>
            <w:tcW w:w="858" w:type="pct"/>
            <w:noWrap w:val="0"/>
            <w:vAlign w:val="center"/>
          </w:tcPr>
          <w:p w14:paraId="301893A8">
            <w:pPr>
              <w:spacing w:line="288" w:lineRule="auto"/>
              <w:ind w:firstLine="0" w:firstLineChars="0"/>
              <w:jc w:val="left"/>
              <w:rPr>
                <w:color w:val="auto"/>
                <w:sz w:val="21"/>
                <w:szCs w:val="21"/>
                <w:highlight w:val="none"/>
              </w:rPr>
            </w:pPr>
            <w:r>
              <w:rPr>
                <w:color w:val="auto"/>
                <w:kern w:val="0"/>
                <w:sz w:val="21"/>
                <w:szCs w:val="21"/>
                <w:highlight w:val="none"/>
              </w:rPr>
              <w:t>030404035006</w:t>
            </w:r>
          </w:p>
        </w:tc>
        <w:tc>
          <w:tcPr>
            <w:tcW w:w="876" w:type="pct"/>
            <w:noWrap w:val="0"/>
            <w:vAlign w:val="center"/>
          </w:tcPr>
          <w:p w14:paraId="1203C88E">
            <w:pPr>
              <w:spacing w:line="288" w:lineRule="auto"/>
              <w:ind w:firstLine="0" w:firstLineChars="0"/>
              <w:jc w:val="left"/>
              <w:rPr>
                <w:color w:val="auto"/>
                <w:sz w:val="21"/>
                <w:szCs w:val="21"/>
                <w:highlight w:val="none"/>
              </w:rPr>
            </w:pPr>
            <w:r>
              <w:rPr>
                <w:color w:val="auto"/>
                <w:sz w:val="21"/>
                <w:szCs w:val="21"/>
                <w:highlight w:val="none"/>
              </w:rPr>
              <w:t>音箱四芯插</w:t>
            </w:r>
          </w:p>
        </w:tc>
        <w:tc>
          <w:tcPr>
            <w:tcW w:w="1858" w:type="pct"/>
            <w:noWrap w:val="0"/>
            <w:vAlign w:val="center"/>
          </w:tcPr>
          <w:p w14:paraId="6F79D532">
            <w:pPr>
              <w:spacing w:line="288" w:lineRule="auto"/>
              <w:ind w:firstLine="0" w:firstLineChars="0"/>
              <w:jc w:val="left"/>
              <w:rPr>
                <w:color w:val="auto"/>
                <w:sz w:val="21"/>
                <w:szCs w:val="21"/>
                <w:highlight w:val="none"/>
              </w:rPr>
            </w:pPr>
            <w:r>
              <w:rPr>
                <w:color w:val="auto"/>
                <w:sz w:val="21"/>
                <w:szCs w:val="21"/>
                <w:highlight w:val="none"/>
              </w:rPr>
              <w:t>NL4FC四芯音箱插头</w:t>
            </w:r>
          </w:p>
        </w:tc>
        <w:tc>
          <w:tcPr>
            <w:tcW w:w="466" w:type="pct"/>
            <w:noWrap w:val="0"/>
            <w:vAlign w:val="center"/>
          </w:tcPr>
          <w:p w14:paraId="7499B6EA">
            <w:pPr>
              <w:spacing w:line="288" w:lineRule="auto"/>
              <w:ind w:firstLine="0" w:firstLineChars="0"/>
              <w:jc w:val="center"/>
              <w:rPr>
                <w:color w:val="auto"/>
                <w:sz w:val="21"/>
                <w:szCs w:val="21"/>
                <w:highlight w:val="none"/>
              </w:rPr>
            </w:pPr>
            <w:r>
              <w:rPr>
                <w:color w:val="auto"/>
                <w:sz w:val="21"/>
                <w:szCs w:val="21"/>
                <w:highlight w:val="none"/>
              </w:rPr>
              <w:t>只</w:t>
            </w:r>
          </w:p>
        </w:tc>
        <w:tc>
          <w:tcPr>
            <w:tcW w:w="451" w:type="pct"/>
            <w:noWrap w:val="0"/>
            <w:vAlign w:val="center"/>
          </w:tcPr>
          <w:p w14:paraId="0A836880">
            <w:pPr>
              <w:spacing w:line="288" w:lineRule="auto"/>
              <w:ind w:firstLine="0" w:firstLineChars="0"/>
              <w:jc w:val="center"/>
              <w:rPr>
                <w:color w:val="auto"/>
                <w:sz w:val="21"/>
                <w:szCs w:val="21"/>
                <w:highlight w:val="none"/>
              </w:rPr>
            </w:pPr>
            <w:r>
              <w:rPr>
                <w:color w:val="auto"/>
                <w:sz w:val="21"/>
                <w:szCs w:val="21"/>
                <w:highlight w:val="none"/>
              </w:rPr>
              <w:t>42</w:t>
            </w:r>
          </w:p>
        </w:tc>
      </w:tr>
      <w:tr w14:paraId="4406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89" w:type="pct"/>
            <w:noWrap w:val="0"/>
            <w:vAlign w:val="center"/>
          </w:tcPr>
          <w:p w14:paraId="71181DB3">
            <w:pPr>
              <w:spacing w:line="288" w:lineRule="auto"/>
              <w:ind w:firstLine="0" w:firstLineChars="0"/>
              <w:jc w:val="center"/>
              <w:rPr>
                <w:color w:val="auto"/>
                <w:sz w:val="21"/>
                <w:szCs w:val="21"/>
                <w:highlight w:val="none"/>
              </w:rPr>
            </w:pPr>
            <w:r>
              <w:rPr>
                <w:color w:val="auto"/>
                <w:sz w:val="21"/>
                <w:szCs w:val="21"/>
                <w:highlight w:val="none"/>
              </w:rPr>
              <w:t>19</w:t>
            </w:r>
          </w:p>
        </w:tc>
        <w:tc>
          <w:tcPr>
            <w:tcW w:w="858" w:type="pct"/>
            <w:noWrap w:val="0"/>
            <w:vAlign w:val="center"/>
          </w:tcPr>
          <w:p w14:paraId="409C2ACB">
            <w:pPr>
              <w:spacing w:line="288" w:lineRule="auto"/>
              <w:ind w:firstLine="0" w:firstLineChars="0"/>
              <w:jc w:val="left"/>
              <w:rPr>
                <w:color w:val="auto"/>
                <w:sz w:val="21"/>
                <w:szCs w:val="21"/>
                <w:highlight w:val="none"/>
              </w:rPr>
            </w:pPr>
            <w:r>
              <w:rPr>
                <w:color w:val="auto"/>
                <w:kern w:val="0"/>
                <w:sz w:val="21"/>
                <w:szCs w:val="21"/>
                <w:highlight w:val="none"/>
              </w:rPr>
              <w:t>030404035001</w:t>
            </w:r>
          </w:p>
        </w:tc>
        <w:tc>
          <w:tcPr>
            <w:tcW w:w="876" w:type="pct"/>
            <w:noWrap w:val="0"/>
            <w:vAlign w:val="center"/>
          </w:tcPr>
          <w:p w14:paraId="4DC25878">
            <w:pPr>
              <w:spacing w:line="288" w:lineRule="auto"/>
              <w:ind w:firstLine="0" w:firstLineChars="0"/>
              <w:jc w:val="left"/>
              <w:rPr>
                <w:color w:val="auto"/>
                <w:sz w:val="21"/>
                <w:szCs w:val="21"/>
                <w:highlight w:val="none"/>
              </w:rPr>
            </w:pPr>
            <w:r>
              <w:rPr>
                <w:color w:val="auto"/>
                <w:sz w:val="21"/>
                <w:szCs w:val="21"/>
                <w:highlight w:val="none"/>
              </w:rPr>
              <w:t>会议话筒地插</w:t>
            </w:r>
          </w:p>
        </w:tc>
        <w:tc>
          <w:tcPr>
            <w:tcW w:w="1858" w:type="pct"/>
            <w:noWrap w:val="0"/>
            <w:vAlign w:val="center"/>
          </w:tcPr>
          <w:p w14:paraId="79F32E07">
            <w:pPr>
              <w:spacing w:line="288" w:lineRule="auto"/>
              <w:ind w:firstLine="0" w:firstLineChars="0"/>
              <w:jc w:val="left"/>
              <w:rPr>
                <w:color w:val="auto"/>
                <w:sz w:val="21"/>
                <w:szCs w:val="21"/>
                <w:highlight w:val="none"/>
              </w:rPr>
            </w:pPr>
            <w:r>
              <w:rPr>
                <w:color w:val="auto"/>
                <w:kern w:val="0"/>
                <w:sz w:val="21"/>
                <w:szCs w:val="21"/>
                <w:highlight w:val="none"/>
              </w:rPr>
              <w:t>会议话筒地插≥1个。</w:t>
            </w:r>
          </w:p>
        </w:tc>
        <w:tc>
          <w:tcPr>
            <w:tcW w:w="466" w:type="pct"/>
            <w:noWrap w:val="0"/>
            <w:vAlign w:val="center"/>
          </w:tcPr>
          <w:p w14:paraId="6B606E49">
            <w:pPr>
              <w:spacing w:line="288" w:lineRule="auto"/>
              <w:ind w:firstLine="0" w:firstLineChars="0"/>
              <w:jc w:val="center"/>
              <w:rPr>
                <w:color w:val="auto"/>
                <w:sz w:val="21"/>
                <w:szCs w:val="21"/>
                <w:highlight w:val="none"/>
              </w:rPr>
            </w:pPr>
            <w:r>
              <w:rPr>
                <w:color w:val="auto"/>
                <w:sz w:val="21"/>
                <w:szCs w:val="21"/>
                <w:highlight w:val="none"/>
              </w:rPr>
              <w:t>只</w:t>
            </w:r>
          </w:p>
        </w:tc>
        <w:tc>
          <w:tcPr>
            <w:tcW w:w="451" w:type="pct"/>
            <w:noWrap w:val="0"/>
            <w:vAlign w:val="center"/>
          </w:tcPr>
          <w:p w14:paraId="29022AA3">
            <w:pPr>
              <w:spacing w:line="288" w:lineRule="auto"/>
              <w:ind w:firstLine="0" w:firstLineChars="0"/>
              <w:jc w:val="center"/>
              <w:rPr>
                <w:color w:val="auto"/>
                <w:sz w:val="21"/>
                <w:szCs w:val="21"/>
                <w:highlight w:val="none"/>
              </w:rPr>
            </w:pPr>
            <w:r>
              <w:rPr>
                <w:color w:val="auto"/>
                <w:sz w:val="21"/>
                <w:szCs w:val="21"/>
                <w:highlight w:val="none"/>
              </w:rPr>
              <w:t>3</w:t>
            </w:r>
          </w:p>
        </w:tc>
      </w:tr>
      <w:tr w14:paraId="0B5E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89" w:type="pct"/>
            <w:noWrap w:val="0"/>
            <w:vAlign w:val="center"/>
          </w:tcPr>
          <w:p w14:paraId="7D5C921F">
            <w:pPr>
              <w:spacing w:line="288" w:lineRule="auto"/>
              <w:ind w:firstLine="0" w:firstLineChars="0"/>
              <w:jc w:val="center"/>
              <w:rPr>
                <w:color w:val="auto"/>
                <w:sz w:val="21"/>
                <w:szCs w:val="21"/>
                <w:highlight w:val="none"/>
              </w:rPr>
            </w:pPr>
            <w:r>
              <w:rPr>
                <w:color w:val="auto"/>
                <w:sz w:val="21"/>
                <w:szCs w:val="21"/>
                <w:highlight w:val="none"/>
              </w:rPr>
              <w:t>20</w:t>
            </w:r>
          </w:p>
        </w:tc>
        <w:tc>
          <w:tcPr>
            <w:tcW w:w="858" w:type="pct"/>
            <w:noWrap w:val="0"/>
            <w:vAlign w:val="center"/>
          </w:tcPr>
          <w:p w14:paraId="20D51106">
            <w:pPr>
              <w:spacing w:line="288" w:lineRule="auto"/>
              <w:ind w:firstLine="0" w:firstLineChars="0"/>
              <w:jc w:val="left"/>
              <w:rPr>
                <w:color w:val="auto"/>
                <w:sz w:val="21"/>
                <w:szCs w:val="21"/>
                <w:highlight w:val="none"/>
              </w:rPr>
            </w:pPr>
            <w:r>
              <w:rPr>
                <w:color w:val="auto"/>
                <w:kern w:val="0"/>
                <w:sz w:val="21"/>
                <w:szCs w:val="21"/>
                <w:highlight w:val="none"/>
              </w:rPr>
              <w:t>030404035002</w:t>
            </w:r>
          </w:p>
        </w:tc>
        <w:tc>
          <w:tcPr>
            <w:tcW w:w="876" w:type="pct"/>
            <w:noWrap w:val="0"/>
            <w:vAlign w:val="center"/>
          </w:tcPr>
          <w:p w14:paraId="36CDE434">
            <w:pPr>
              <w:spacing w:line="288" w:lineRule="auto"/>
              <w:ind w:firstLine="0" w:firstLineChars="0"/>
              <w:jc w:val="left"/>
              <w:rPr>
                <w:color w:val="auto"/>
                <w:sz w:val="21"/>
                <w:szCs w:val="21"/>
                <w:highlight w:val="none"/>
              </w:rPr>
            </w:pPr>
            <w:r>
              <w:rPr>
                <w:color w:val="auto"/>
                <w:sz w:val="21"/>
                <w:szCs w:val="21"/>
                <w:highlight w:val="none"/>
              </w:rPr>
              <w:t>汇报席地插</w:t>
            </w:r>
          </w:p>
        </w:tc>
        <w:tc>
          <w:tcPr>
            <w:tcW w:w="1858" w:type="pct"/>
            <w:noWrap w:val="0"/>
            <w:vAlign w:val="center"/>
          </w:tcPr>
          <w:p w14:paraId="675358B8">
            <w:pPr>
              <w:spacing w:line="288" w:lineRule="auto"/>
              <w:ind w:firstLine="0" w:firstLineChars="0"/>
              <w:jc w:val="left"/>
              <w:rPr>
                <w:color w:val="auto"/>
                <w:sz w:val="21"/>
                <w:szCs w:val="21"/>
                <w:highlight w:val="none"/>
              </w:rPr>
            </w:pPr>
            <w:r>
              <w:rPr>
                <w:color w:val="auto"/>
                <w:kern w:val="0"/>
                <w:sz w:val="21"/>
                <w:szCs w:val="21"/>
                <w:highlight w:val="none"/>
              </w:rPr>
              <w:t>HDMI 接口≥1个，网络接口≥1个，电源接口≥1个，话筒地插≥1个。</w:t>
            </w:r>
          </w:p>
        </w:tc>
        <w:tc>
          <w:tcPr>
            <w:tcW w:w="466" w:type="pct"/>
            <w:noWrap w:val="0"/>
            <w:vAlign w:val="center"/>
          </w:tcPr>
          <w:p w14:paraId="322B8B1F">
            <w:pPr>
              <w:spacing w:line="288" w:lineRule="auto"/>
              <w:ind w:firstLine="0" w:firstLineChars="0"/>
              <w:jc w:val="center"/>
              <w:rPr>
                <w:color w:val="auto"/>
                <w:sz w:val="21"/>
                <w:szCs w:val="21"/>
                <w:highlight w:val="none"/>
              </w:rPr>
            </w:pPr>
            <w:r>
              <w:rPr>
                <w:color w:val="auto"/>
                <w:sz w:val="21"/>
                <w:szCs w:val="21"/>
                <w:highlight w:val="none"/>
              </w:rPr>
              <w:t>只</w:t>
            </w:r>
          </w:p>
        </w:tc>
        <w:tc>
          <w:tcPr>
            <w:tcW w:w="451" w:type="pct"/>
            <w:noWrap w:val="0"/>
            <w:vAlign w:val="center"/>
          </w:tcPr>
          <w:p w14:paraId="24E32FDF">
            <w:pPr>
              <w:spacing w:line="288" w:lineRule="auto"/>
              <w:ind w:firstLine="0" w:firstLineChars="0"/>
              <w:jc w:val="center"/>
              <w:rPr>
                <w:color w:val="auto"/>
                <w:sz w:val="21"/>
                <w:szCs w:val="21"/>
                <w:highlight w:val="none"/>
              </w:rPr>
            </w:pPr>
            <w:r>
              <w:rPr>
                <w:color w:val="auto"/>
                <w:sz w:val="21"/>
                <w:szCs w:val="21"/>
                <w:highlight w:val="none"/>
              </w:rPr>
              <w:t>2</w:t>
            </w:r>
          </w:p>
        </w:tc>
      </w:tr>
      <w:tr w14:paraId="3457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9" w:type="pct"/>
            <w:noWrap w:val="0"/>
            <w:vAlign w:val="center"/>
          </w:tcPr>
          <w:p w14:paraId="2F91FC0D">
            <w:pPr>
              <w:spacing w:line="288" w:lineRule="auto"/>
              <w:ind w:firstLine="0" w:firstLineChars="0"/>
              <w:jc w:val="center"/>
              <w:rPr>
                <w:color w:val="auto"/>
                <w:sz w:val="21"/>
                <w:szCs w:val="21"/>
                <w:highlight w:val="none"/>
              </w:rPr>
            </w:pPr>
            <w:r>
              <w:rPr>
                <w:color w:val="auto"/>
                <w:sz w:val="21"/>
                <w:szCs w:val="21"/>
                <w:highlight w:val="none"/>
              </w:rPr>
              <w:t>21</w:t>
            </w:r>
          </w:p>
        </w:tc>
        <w:tc>
          <w:tcPr>
            <w:tcW w:w="858" w:type="pct"/>
            <w:noWrap w:val="0"/>
            <w:vAlign w:val="center"/>
          </w:tcPr>
          <w:p w14:paraId="20548BA7">
            <w:pPr>
              <w:spacing w:line="288" w:lineRule="auto"/>
              <w:ind w:firstLine="0" w:firstLineChars="0"/>
              <w:jc w:val="left"/>
              <w:rPr>
                <w:color w:val="auto"/>
                <w:sz w:val="21"/>
                <w:szCs w:val="21"/>
                <w:highlight w:val="none"/>
              </w:rPr>
            </w:pPr>
            <w:r>
              <w:rPr>
                <w:color w:val="auto"/>
                <w:kern w:val="0"/>
                <w:sz w:val="21"/>
                <w:szCs w:val="21"/>
                <w:highlight w:val="none"/>
              </w:rPr>
              <w:t>030404035003</w:t>
            </w:r>
          </w:p>
        </w:tc>
        <w:tc>
          <w:tcPr>
            <w:tcW w:w="876" w:type="pct"/>
            <w:noWrap w:val="0"/>
            <w:vAlign w:val="center"/>
          </w:tcPr>
          <w:p w14:paraId="1F8F948D">
            <w:pPr>
              <w:spacing w:line="288" w:lineRule="auto"/>
              <w:ind w:firstLine="0" w:firstLineChars="0"/>
              <w:jc w:val="left"/>
              <w:rPr>
                <w:color w:val="auto"/>
                <w:sz w:val="21"/>
                <w:szCs w:val="21"/>
                <w:highlight w:val="none"/>
              </w:rPr>
            </w:pPr>
            <w:r>
              <w:rPr>
                <w:color w:val="auto"/>
                <w:sz w:val="21"/>
                <w:szCs w:val="21"/>
                <w:highlight w:val="none"/>
              </w:rPr>
              <w:t>舞台地插</w:t>
            </w:r>
          </w:p>
        </w:tc>
        <w:tc>
          <w:tcPr>
            <w:tcW w:w="1858" w:type="pct"/>
            <w:noWrap w:val="0"/>
            <w:vAlign w:val="center"/>
          </w:tcPr>
          <w:p w14:paraId="72948228">
            <w:pPr>
              <w:spacing w:line="288" w:lineRule="auto"/>
              <w:ind w:firstLine="0" w:firstLineChars="0"/>
              <w:jc w:val="left"/>
              <w:rPr>
                <w:color w:val="auto"/>
                <w:sz w:val="21"/>
                <w:szCs w:val="21"/>
                <w:highlight w:val="none"/>
              </w:rPr>
            </w:pPr>
            <w:r>
              <w:rPr>
                <w:color w:val="auto"/>
                <w:kern w:val="0"/>
                <w:sz w:val="21"/>
                <w:szCs w:val="21"/>
                <w:highlight w:val="none"/>
              </w:rPr>
              <w:t>欧姆头地插≥2个，话筒地插≥1个。</w:t>
            </w:r>
          </w:p>
        </w:tc>
        <w:tc>
          <w:tcPr>
            <w:tcW w:w="466" w:type="pct"/>
            <w:noWrap w:val="0"/>
            <w:vAlign w:val="center"/>
          </w:tcPr>
          <w:p w14:paraId="487E6CFD">
            <w:pPr>
              <w:spacing w:line="288" w:lineRule="auto"/>
              <w:ind w:firstLine="0" w:firstLineChars="0"/>
              <w:jc w:val="center"/>
              <w:rPr>
                <w:color w:val="auto"/>
                <w:sz w:val="21"/>
                <w:szCs w:val="21"/>
                <w:highlight w:val="none"/>
              </w:rPr>
            </w:pPr>
            <w:r>
              <w:rPr>
                <w:color w:val="auto"/>
                <w:sz w:val="21"/>
                <w:szCs w:val="21"/>
                <w:highlight w:val="none"/>
              </w:rPr>
              <w:t>只</w:t>
            </w:r>
          </w:p>
        </w:tc>
        <w:tc>
          <w:tcPr>
            <w:tcW w:w="451" w:type="pct"/>
            <w:noWrap w:val="0"/>
            <w:vAlign w:val="center"/>
          </w:tcPr>
          <w:p w14:paraId="41AF8485">
            <w:pPr>
              <w:spacing w:line="288" w:lineRule="auto"/>
              <w:ind w:firstLine="0" w:firstLineChars="0"/>
              <w:jc w:val="center"/>
              <w:rPr>
                <w:color w:val="auto"/>
                <w:sz w:val="21"/>
                <w:szCs w:val="21"/>
                <w:highlight w:val="none"/>
              </w:rPr>
            </w:pPr>
            <w:r>
              <w:rPr>
                <w:color w:val="auto"/>
                <w:sz w:val="21"/>
                <w:szCs w:val="21"/>
                <w:highlight w:val="none"/>
              </w:rPr>
              <w:t>4</w:t>
            </w:r>
          </w:p>
        </w:tc>
      </w:tr>
    </w:tbl>
    <w:p w14:paraId="2456AA00">
      <w:pPr>
        <w:pStyle w:val="3"/>
        <w:numPr>
          <w:ilvl w:val="0"/>
          <w:numId w:val="0"/>
        </w:numPr>
        <w:rPr>
          <w:rFonts w:eastAsia="宋体"/>
          <w:color w:val="auto"/>
          <w:sz w:val="21"/>
          <w:szCs w:val="21"/>
          <w:highlight w:val="none"/>
        </w:rPr>
        <w:sectPr>
          <w:footerReference r:id="rId14" w:type="first"/>
          <w:footerReference r:id="rId13" w:type="default"/>
          <w:pgSz w:w="11906" w:h="16838"/>
          <w:pgMar w:top="1349" w:right="1440" w:bottom="1440" w:left="1361" w:header="851" w:footer="992" w:gutter="0"/>
          <w:cols w:space="720" w:num="1"/>
          <w:titlePg/>
          <w:docGrid w:type="lines" w:linePitch="337" w:charSpace="0"/>
        </w:sectPr>
      </w:pPr>
    </w:p>
    <w:p w14:paraId="6974D6F2">
      <w:pPr>
        <w:pStyle w:val="3"/>
        <w:numPr>
          <w:ilvl w:val="0"/>
          <w:numId w:val="0"/>
        </w:numPr>
        <w:ind w:left="425" w:hanging="425"/>
        <w:rPr>
          <w:rFonts w:eastAsia="宋体"/>
          <w:color w:val="auto"/>
          <w:sz w:val="24"/>
          <w:szCs w:val="24"/>
          <w:highlight w:val="none"/>
        </w:rPr>
      </w:pPr>
      <w:bookmarkStart w:id="53" w:name="_Toc25141"/>
      <w:r>
        <w:rPr>
          <w:rFonts w:hint="eastAsia" w:eastAsia="宋体"/>
          <w:color w:val="auto"/>
          <w:sz w:val="24"/>
          <w:szCs w:val="24"/>
          <w:highlight w:val="none"/>
        </w:rPr>
        <w:t xml:space="preserve">7 </w:t>
      </w:r>
      <w:r>
        <w:rPr>
          <w:rFonts w:eastAsia="宋体"/>
          <w:color w:val="auto"/>
          <w:sz w:val="24"/>
          <w:szCs w:val="24"/>
          <w:highlight w:val="none"/>
        </w:rPr>
        <w:t>设备清单</w:t>
      </w:r>
      <w:bookmarkEnd w:id="53"/>
    </w:p>
    <w:tbl>
      <w:tblPr>
        <w:tblStyle w:val="43"/>
        <w:tblW w:w="17186" w:type="dxa"/>
        <w:tblInd w:w="93" w:type="dxa"/>
        <w:tblLayout w:type="fixed"/>
        <w:tblCellMar>
          <w:top w:w="0" w:type="dxa"/>
          <w:left w:w="108" w:type="dxa"/>
          <w:bottom w:w="0" w:type="dxa"/>
          <w:right w:w="108" w:type="dxa"/>
        </w:tblCellMar>
      </w:tblPr>
      <w:tblGrid>
        <w:gridCol w:w="1062"/>
        <w:gridCol w:w="3374"/>
        <w:gridCol w:w="10688"/>
        <w:gridCol w:w="862"/>
        <w:gridCol w:w="1200"/>
      </w:tblGrid>
      <w:tr w14:paraId="0F590C9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17399ED">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序号</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445F22F">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设备名称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A5DB851">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规格参数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E080B55">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0DE56D">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数量</w:t>
            </w:r>
          </w:p>
        </w:tc>
      </w:tr>
      <w:tr w14:paraId="6224160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FF9C73C">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68F59538">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一、301报告厅</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666B912">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0186FA62">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C130AD1">
            <w:pPr>
              <w:widowControl/>
              <w:spacing w:line="288" w:lineRule="auto"/>
              <w:ind w:firstLine="0" w:firstLineChars="0"/>
              <w:jc w:val="center"/>
              <w:rPr>
                <w:color w:val="auto"/>
                <w:sz w:val="21"/>
                <w:szCs w:val="21"/>
                <w:highlight w:val="none"/>
              </w:rPr>
            </w:pPr>
          </w:p>
        </w:tc>
      </w:tr>
      <w:tr w14:paraId="35205E3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087028">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（一）</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9D3E5D2">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显示系统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0D73762">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588ECD">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F505DC">
            <w:pPr>
              <w:widowControl/>
              <w:spacing w:line="288" w:lineRule="auto"/>
              <w:ind w:firstLine="0" w:firstLineChars="0"/>
              <w:jc w:val="center"/>
              <w:rPr>
                <w:b/>
                <w:bCs/>
                <w:color w:val="auto"/>
                <w:sz w:val="21"/>
                <w:szCs w:val="21"/>
                <w:highlight w:val="none"/>
              </w:rPr>
            </w:pPr>
          </w:p>
        </w:tc>
      </w:tr>
      <w:tr w14:paraId="6F7DE660">
        <w:tblPrEx>
          <w:tblCellMar>
            <w:top w:w="0" w:type="dxa"/>
            <w:left w:w="108" w:type="dxa"/>
            <w:bottom w:w="0" w:type="dxa"/>
            <w:right w:w="108" w:type="dxa"/>
          </w:tblCellMar>
        </w:tblPrEx>
        <w:trPr>
          <w:trHeight w:val="315"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ABDFE28">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796AE8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1、多组联动机械旋转开合滑轨屏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CD5BDA4">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55B99E0">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734836">
            <w:pPr>
              <w:widowControl/>
              <w:spacing w:line="288" w:lineRule="auto"/>
              <w:ind w:firstLine="0" w:firstLineChars="0"/>
              <w:jc w:val="center"/>
              <w:rPr>
                <w:color w:val="auto"/>
                <w:sz w:val="21"/>
                <w:szCs w:val="21"/>
                <w:highlight w:val="none"/>
              </w:rPr>
            </w:pPr>
          </w:p>
        </w:tc>
      </w:tr>
      <w:tr w14:paraId="3F1AECE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B14193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9E773F7">
            <w:pPr>
              <w:widowControl/>
              <w:spacing w:line="288" w:lineRule="auto"/>
              <w:ind w:firstLine="0" w:firstLineChars="0"/>
              <w:jc w:val="left"/>
              <w:textAlignment w:val="center"/>
              <w:rPr>
                <w:rFonts w:hint="eastAsia" w:eastAsia="宋体"/>
                <w:color w:val="auto"/>
                <w:sz w:val="21"/>
                <w:szCs w:val="21"/>
                <w:highlight w:val="none"/>
                <w:lang w:eastAsia="zh-CN"/>
              </w:rPr>
            </w:pPr>
            <w:r>
              <w:rPr>
                <w:color w:val="auto"/>
                <w:kern w:val="0"/>
                <w:sz w:val="21"/>
                <w:szCs w:val="21"/>
                <w:highlight w:val="none"/>
                <w:lang w:bidi="ar"/>
              </w:rPr>
              <w:t>LED显示屏</w:t>
            </w:r>
            <w:r>
              <w:rPr>
                <w:rFonts w:hint="eastAsia"/>
                <w:b/>
                <w:bCs/>
                <w:color w:val="auto"/>
                <w:kern w:val="0"/>
                <w:sz w:val="21"/>
                <w:szCs w:val="21"/>
                <w:highlight w:val="none"/>
                <w:lang w:eastAsia="zh-CN" w:bidi="ar"/>
              </w:rPr>
              <w:t>（</w:t>
            </w:r>
            <w:r>
              <w:rPr>
                <w:rFonts w:hint="eastAsia"/>
                <w:b/>
                <w:bCs/>
                <w:color w:val="auto"/>
                <w:kern w:val="0"/>
                <w:sz w:val="21"/>
                <w:szCs w:val="21"/>
                <w:highlight w:val="none"/>
                <w:lang w:val="en-US" w:eastAsia="zh-CN" w:bidi="ar"/>
              </w:rPr>
              <w:t>核心产品</w:t>
            </w:r>
            <w:r>
              <w:rPr>
                <w:rFonts w:hint="eastAsia"/>
                <w:b/>
                <w:bCs/>
                <w:color w:val="auto"/>
                <w:kern w:val="0"/>
                <w:sz w:val="21"/>
                <w:szCs w:val="21"/>
                <w:highlight w:val="none"/>
                <w:lang w:eastAsia="zh-CN" w:bidi="ar"/>
              </w:rPr>
              <w:t>）</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6BDA395">
            <w:pPr>
              <w:widowControl/>
              <w:spacing w:line="288" w:lineRule="auto"/>
              <w:ind w:firstLine="0" w:firstLineChars="0"/>
              <w:jc w:val="left"/>
              <w:textAlignment w:val="center"/>
              <w:rPr>
                <w:rFonts w:hint="eastAsia"/>
                <w:b/>
                <w:bCs/>
                <w:color w:val="auto"/>
                <w:kern w:val="0"/>
                <w:sz w:val="21"/>
                <w:szCs w:val="21"/>
                <w:highlight w:val="none"/>
                <w:lang w:bidi="ar"/>
              </w:rPr>
            </w:pPr>
            <w:r>
              <w:rPr>
                <w:color w:val="auto"/>
                <w:kern w:val="0"/>
                <w:sz w:val="21"/>
                <w:szCs w:val="21"/>
                <w:highlight w:val="none"/>
                <w:lang w:bidi="ar"/>
              </w:rPr>
              <w:t>▲1、像素点间距：≤1.25mm，像素密度≥640000点/㎡，单块屏体显示尺寸≥2.</w:t>
            </w:r>
            <w:r>
              <w:rPr>
                <w:rFonts w:hint="eastAsia"/>
                <w:color w:val="auto"/>
                <w:kern w:val="0"/>
                <w:sz w:val="21"/>
                <w:szCs w:val="21"/>
                <w:highlight w:val="none"/>
                <w:lang w:bidi="ar"/>
              </w:rPr>
              <w:t>2</w:t>
            </w:r>
            <w:r>
              <w:rPr>
                <w:color w:val="auto"/>
                <w:kern w:val="0"/>
                <w:sz w:val="21"/>
                <w:szCs w:val="21"/>
                <w:highlight w:val="none"/>
                <w:lang w:bidi="ar"/>
              </w:rPr>
              <w:t>4米*5.</w:t>
            </w:r>
            <w:r>
              <w:rPr>
                <w:rFonts w:hint="eastAsia"/>
                <w:color w:val="auto"/>
                <w:kern w:val="0"/>
                <w:sz w:val="21"/>
                <w:szCs w:val="21"/>
                <w:highlight w:val="none"/>
                <w:lang w:bidi="ar"/>
              </w:rPr>
              <w:t>12</w:t>
            </w:r>
            <w:r>
              <w:rPr>
                <w:color w:val="auto"/>
                <w:kern w:val="0"/>
                <w:sz w:val="21"/>
                <w:szCs w:val="21"/>
                <w:highlight w:val="none"/>
                <w:lang w:bidi="ar"/>
              </w:rPr>
              <w:t>米，共6块，展开后整屏宽度≥1</w:t>
            </w:r>
            <w:r>
              <w:rPr>
                <w:rFonts w:hint="eastAsia"/>
                <w:color w:val="auto"/>
                <w:kern w:val="0"/>
                <w:sz w:val="21"/>
                <w:szCs w:val="21"/>
                <w:highlight w:val="none"/>
                <w:lang w:bidi="ar"/>
              </w:rPr>
              <w:t>3</w:t>
            </w:r>
            <w:r>
              <w:rPr>
                <w:color w:val="auto"/>
                <w:kern w:val="0"/>
                <w:sz w:val="21"/>
                <w:szCs w:val="21"/>
                <w:highlight w:val="none"/>
                <w:lang w:bidi="ar"/>
              </w:rPr>
              <w:t>.4</w:t>
            </w:r>
            <w:r>
              <w:rPr>
                <w:rFonts w:hint="eastAsia"/>
                <w:color w:val="auto"/>
                <w:kern w:val="0"/>
                <w:sz w:val="21"/>
                <w:szCs w:val="21"/>
                <w:highlight w:val="none"/>
                <w:lang w:bidi="ar"/>
              </w:rPr>
              <w:t>4</w:t>
            </w:r>
            <w:r>
              <w:rPr>
                <w:color w:val="auto"/>
                <w:kern w:val="0"/>
                <w:sz w:val="21"/>
                <w:szCs w:val="21"/>
                <w:highlight w:val="none"/>
                <w:lang w:bidi="ar"/>
              </w:rPr>
              <w:t>米，高度≥5.</w:t>
            </w:r>
            <w:r>
              <w:rPr>
                <w:rFonts w:hint="eastAsia"/>
                <w:color w:val="auto"/>
                <w:kern w:val="0"/>
                <w:sz w:val="21"/>
                <w:szCs w:val="21"/>
                <w:highlight w:val="none"/>
                <w:lang w:bidi="ar"/>
              </w:rPr>
              <w:t>12</w:t>
            </w:r>
            <w:r>
              <w:rPr>
                <w:color w:val="auto"/>
                <w:kern w:val="0"/>
                <w:sz w:val="21"/>
                <w:szCs w:val="21"/>
                <w:highlight w:val="none"/>
                <w:lang w:bidi="ar"/>
              </w:rPr>
              <w:t>米</w:t>
            </w:r>
            <w:r>
              <w:rPr>
                <w:rFonts w:hint="eastAsia"/>
                <w:color w:val="auto"/>
                <w:kern w:val="0"/>
                <w:sz w:val="21"/>
                <w:szCs w:val="21"/>
                <w:highlight w:val="none"/>
                <w:lang w:bidi="ar"/>
              </w:rPr>
              <w:t>，</w:t>
            </w:r>
            <w:r>
              <w:rPr>
                <w:color w:val="auto"/>
                <w:kern w:val="0"/>
                <w:sz w:val="21"/>
                <w:szCs w:val="21"/>
                <w:highlight w:val="none"/>
                <w:lang w:bidi="ar"/>
              </w:rPr>
              <w:t>展开后整屏净显示面积≥</w:t>
            </w:r>
            <w:r>
              <w:rPr>
                <w:rFonts w:hint="eastAsia"/>
                <w:color w:val="auto"/>
                <w:kern w:val="0"/>
                <w:sz w:val="21"/>
                <w:szCs w:val="21"/>
                <w:highlight w:val="none"/>
                <w:lang w:bidi="ar"/>
              </w:rPr>
              <w:t>68.8</w:t>
            </w:r>
            <w:r>
              <w:rPr>
                <w:color w:val="auto"/>
                <w:kern w:val="0"/>
                <w:sz w:val="21"/>
                <w:szCs w:val="21"/>
                <w:highlight w:val="none"/>
                <w:lang w:bidi="ar"/>
              </w:rPr>
              <w:t>平</w:t>
            </w:r>
            <w:r>
              <w:rPr>
                <w:rFonts w:hint="eastAsia"/>
                <w:color w:val="auto"/>
                <w:kern w:val="0"/>
                <w:sz w:val="21"/>
                <w:szCs w:val="21"/>
                <w:highlight w:val="none"/>
                <w:lang w:bidi="ar"/>
              </w:rPr>
              <w:t>方</w:t>
            </w:r>
            <w:r>
              <w:rPr>
                <w:color w:val="auto"/>
                <w:kern w:val="0"/>
                <w:sz w:val="21"/>
                <w:szCs w:val="21"/>
                <w:highlight w:val="none"/>
                <w:lang w:bidi="ar"/>
              </w:rPr>
              <w:t>米，</w:t>
            </w:r>
            <w:r>
              <w:rPr>
                <w:rFonts w:hint="eastAsia"/>
                <w:color w:val="auto"/>
                <w:kern w:val="0"/>
                <w:sz w:val="21"/>
                <w:szCs w:val="21"/>
                <w:highlight w:val="none"/>
                <w:lang w:val="en-US" w:eastAsia="zh-CN" w:bidi="ar"/>
              </w:rPr>
              <w:t>分屏</w:t>
            </w:r>
            <w:r>
              <w:rPr>
                <w:rFonts w:hint="eastAsia"/>
                <w:color w:val="auto"/>
                <w:kern w:val="0"/>
                <w:sz w:val="21"/>
                <w:szCs w:val="21"/>
                <w:highlight w:val="none"/>
                <w:lang w:bidi="ar"/>
              </w:rPr>
              <w:t>合并缝隙≤1mm，采用无地轨安装方式</w:t>
            </w:r>
            <w:r>
              <w:rPr>
                <w:rFonts w:hint="eastAsia"/>
                <w:color w:val="auto"/>
                <w:kern w:val="0"/>
                <w:sz w:val="21"/>
                <w:szCs w:val="21"/>
                <w:highlight w:val="none"/>
                <w:lang w:eastAsia="zh-CN" w:bidi="ar"/>
              </w:rPr>
              <w:t>，</w:t>
            </w:r>
            <w:r>
              <w:rPr>
                <w:color w:val="auto"/>
                <w:kern w:val="0"/>
                <w:sz w:val="21"/>
                <w:szCs w:val="21"/>
                <w:highlight w:val="none"/>
                <w:lang w:bidi="ar"/>
              </w:rPr>
              <w:t>屏幕折叠后收入两侧耳房隐藏，需满足单、双、三</w:t>
            </w:r>
            <w:r>
              <w:rPr>
                <w:rFonts w:hint="eastAsia"/>
                <w:color w:val="auto"/>
                <w:kern w:val="0"/>
                <w:sz w:val="21"/>
                <w:szCs w:val="21"/>
                <w:highlight w:val="none"/>
                <w:lang w:eastAsia="zh-CN" w:bidi="ar"/>
              </w:rPr>
              <w:t>、</w:t>
            </w:r>
            <w:r>
              <w:rPr>
                <w:rFonts w:hint="eastAsia"/>
                <w:color w:val="auto"/>
                <w:kern w:val="0"/>
                <w:sz w:val="21"/>
                <w:szCs w:val="21"/>
                <w:highlight w:val="none"/>
                <w:lang w:val="en-US" w:eastAsia="zh-CN" w:bidi="ar"/>
              </w:rPr>
              <w:t>四</w:t>
            </w:r>
            <w:r>
              <w:rPr>
                <w:color w:val="auto"/>
                <w:kern w:val="0"/>
                <w:sz w:val="21"/>
                <w:szCs w:val="21"/>
                <w:highlight w:val="none"/>
                <w:lang w:bidi="ar"/>
              </w:rPr>
              <w:t>屏分屏显示；</w:t>
            </w:r>
            <w:r>
              <w:rPr>
                <w:rFonts w:hint="eastAsia"/>
                <w:b/>
                <w:bCs/>
                <w:color w:val="auto"/>
                <w:kern w:val="0"/>
                <w:sz w:val="21"/>
                <w:szCs w:val="21"/>
                <w:highlight w:val="none"/>
                <w:lang w:bidi="ar"/>
              </w:rPr>
              <w:t xml:space="preserve"> </w:t>
            </w:r>
          </w:p>
          <w:p w14:paraId="40581A8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2、平均无故障工作时间≥100000h，故障恢复时间≤5m</w:t>
            </w:r>
            <w:r>
              <w:rPr>
                <w:rFonts w:hint="eastAsia"/>
                <w:color w:val="auto"/>
                <w:kern w:val="0"/>
                <w:sz w:val="21"/>
                <w:szCs w:val="21"/>
                <w:highlight w:val="none"/>
                <w:lang w:bidi="ar"/>
              </w:rPr>
              <w:t>in</w:t>
            </w:r>
            <w:r>
              <w:rPr>
                <w:color w:val="auto"/>
                <w:kern w:val="0"/>
                <w:sz w:val="21"/>
                <w:szCs w:val="21"/>
                <w:highlight w:val="none"/>
                <w:lang w:bidi="ar"/>
              </w:rPr>
              <w:t>；</w:t>
            </w:r>
          </w:p>
          <w:p w14:paraId="7C63599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3、显示屏亮度≥850cd/㎡，对比度≥12000：1，色温2000K-1</w:t>
            </w:r>
            <w:r>
              <w:rPr>
                <w:rFonts w:hint="eastAsia"/>
                <w:color w:val="auto"/>
                <w:kern w:val="0"/>
                <w:sz w:val="21"/>
                <w:szCs w:val="21"/>
                <w:highlight w:val="none"/>
                <w:lang w:bidi="ar"/>
              </w:rPr>
              <w:t>2</w:t>
            </w:r>
            <w:r>
              <w:rPr>
                <w:color w:val="auto"/>
                <w:kern w:val="0"/>
                <w:sz w:val="21"/>
                <w:szCs w:val="21"/>
                <w:highlight w:val="none"/>
                <w:lang w:bidi="ar"/>
              </w:rPr>
              <w:t>000K可调；</w:t>
            </w:r>
          </w:p>
          <w:p w14:paraId="6E4414D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4、水平/垂直角度≥176°，刷新频率≥3840Hz，换帧频率：50Hz&amp;60Hz&amp;120Hz；</w:t>
            </w:r>
          </w:p>
          <w:p w14:paraId="30B6F68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5、亮度均匀性：99</w:t>
            </w:r>
            <w:r>
              <w:rPr>
                <w:rFonts w:hint="eastAsia"/>
                <w:color w:val="auto"/>
                <w:kern w:val="0"/>
                <w:sz w:val="21"/>
                <w:szCs w:val="21"/>
                <w:highlight w:val="none"/>
                <w:lang w:bidi="ar"/>
              </w:rPr>
              <w:t>.7</w:t>
            </w:r>
            <w:r>
              <w:rPr>
                <w:color w:val="auto"/>
                <w:kern w:val="0"/>
                <w:sz w:val="21"/>
                <w:szCs w:val="21"/>
                <w:highlight w:val="none"/>
                <w:lang w:bidi="ar"/>
              </w:rPr>
              <w:t>%，色度均匀性：-0.00</w:t>
            </w:r>
            <w:r>
              <w:rPr>
                <w:rFonts w:hint="eastAsia"/>
                <w:color w:val="auto"/>
                <w:kern w:val="0"/>
                <w:sz w:val="21"/>
                <w:szCs w:val="21"/>
                <w:highlight w:val="none"/>
                <w:lang w:bidi="ar"/>
              </w:rPr>
              <w:t>08</w:t>
            </w:r>
            <w:r>
              <w:rPr>
                <w:color w:val="auto"/>
                <w:kern w:val="0"/>
                <w:sz w:val="21"/>
                <w:szCs w:val="21"/>
                <w:highlight w:val="none"/>
                <w:lang w:bidi="ar"/>
              </w:rPr>
              <w:t>Cx，-0.00</w:t>
            </w:r>
            <w:r>
              <w:rPr>
                <w:rFonts w:hint="eastAsia"/>
                <w:color w:val="auto"/>
                <w:kern w:val="0"/>
                <w:sz w:val="21"/>
                <w:szCs w:val="21"/>
                <w:highlight w:val="none"/>
                <w:lang w:bidi="ar"/>
              </w:rPr>
              <w:t>0</w:t>
            </w:r>
            <w:r>
              <w:rPr>
                <w:color w:val="auto"/>
                <w:kern w:val="0"/>
                <w:sz w:val="21"/>
                <w:szCs w:val="21"/>
                <w:highlight w:val="none"/>
                <w:lang w:bidi="ar"/>
              </w:rPr>
              <w:t>4Cy；</w:t>
            </w:r>
          </w:p>
          <w:p w14:paraId="425E274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6、平整度≤0.03mm，单元拼接间隙≤0.02mm；</w:t>
            </w:r>
          </w:p>
          <w:p w14:paraId="64FB3D7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7、箱体</w:t>
            </w:r>
            <w:r>
              <w:rPr>
                <w:rFonts w:hint="eastAsia"/>
                <w:color w:val="auto"/>
                <w:kern w:val="0"/>
                <w:sz w:val="21"/>
                <w:szCs w:val="21"/>
                <w:highlight w:val="none"/>
                <w:lang w:val="en-US" w:eastAsia="zh-CN" w:bidi="ar"/>
              </w:rPr>
              <w:t>要求</w:t>
            </w:r>
            <w:r>
              <w:rPr>
                <w:color w:val="auto"/>
                <w:kern w:val="0"/>
                <w:sz w:val="21"/>
                <w:szCs w:val="21"/>
                <w:highlight w:val="none"/>
                <w:lang w:bidi="ar"/>
              </w:rPr>
              <w:t>压铸铝或镁铝合金材质，箱体背板为一次性整体压铸成型，背板和后盖均为压铸铝或镁铝合金材质，全金属自然散热结构，静音无风扇；</w:t>
            </w:r>
          </w:p>
          <w:p w14:paraId="18675C5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8、支持智能节电功能，开启智能节电功能比没有开启节能50%以上；LED显示屏符合GB21520-2015能效一级；</w:t>
            </w:r>
          </w:p>
          <w:p w14:paraId="299C7D3C">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9、箱体安全性：抗拉强度≥270Mpa，屈服强度≥180Mmp，硬度≥80HBS；</w:t>
            </w:r>
          </w:p>
          <w:p w14:paraId="67C6FE3B">
            <w:pPr>
              <w:widowControl/>
              <w:spacing w:line="288" w:lineRule="auto"/>
              <w:jc w:val="left"/>
              <w:textAlignment w:val="center"/>
              <w:rPr>
                <w:rFonts w:hint="default" w:ascii="Times New Roman" w:hAnsi="Times New Roman" w:eastAsia="宋体"/>
                <w:color w:val="auto"/>
                <w:kern w:val="0"/>
                <w:szCs w:val="21"/>
                <w:highlight w:val="none"/>
                <w:lang w:val="en-US" w:eastAsia="zh-CN" w:bidi="ar"/>
              </w:rPr>
            </w:pPr>
            <w:r>
              <w:rPr>
                <w:rFonts w:hint="default" w:ascii="Times New Roman" w:hAnsi="Times New Roman"/>
                <w:color w:val="auto"/>
                <w:kern w:val="0"/>
                <w:sz w:val="21"/>
                <w:szCs w:val="21"/>
                <w:highlight w:val="none"/>
                <w:lang w:val="en-US" w:eastAsia="zh-CN" w:bidi="ar"/>
              </w:rPr>
              <w:t>10、在开合过程中可实时测量并获取滑轨屏的当前实时位置，通过网络进行数据转换，数据更新速度小于200ms</w:t>
            </w:r>
            <w:r>
              <w:rPr>
                <w:rFonts w:hint="eastAsia" w:ascii="Times New Roman" w:hAnsi="Times New Roman"/>
                <w:color w:val="auto"/>
                <w:kern w:val="0"/>
                <w:sz w:val="21"/>
                <w:szCs w:val="21"/>
                <w:highlight w:val="none"/>
                <w:lang w:val="en-US" w:eastAsia="zh-CN" w:bidi="ar"/>
              </w:rPr>
              <w:t>；</w:t>
            </w:r>
          </w:p>
          <w:p w14:paraId="5C174D74">
            <w:pPr>
              <w:widowControl/>
              <w:spacing w:line="288" w:lineRule="auto"/>
              <w:jc w:val="left"/>
              <w:textAlignment w:val="center"/>
              <w:rPr>
                <w:color w:val="auto"/>
                <w:highlight w:val="none"/>
              </w:rPr>
            </w:pPr>
            <w:r>
              <w:rPr>
                <w:rFonts w:hint="eastAsia"/>
                <w:color w:val="auto"/>
                <w:kern w:val="0"/>
                <w:sz w:val="21"/>
                <w:szCs w:val="21"/>
                <w:highlight w:val="none"/>
                <w:lang w:val="en-US" w:eastAsia="zh-CN" w:bidi="ar"/>
              </w:rPr>
              <w:t>11、</w:t>
            </w:r>
            <w:r>
              <w:rPr>
                <w:color w:val="auto"/>
                <w:kern w:val="0"/>
                <w:sz w:val="21"/>
                <w:szCs w:val="21"/>
                <w:highlight w:val="none"/>
                <w:lang w:bidi="ar"/>
              </w:rPr>
              <w:t>LED显示屏通过光生物安全测试和蓝光安全检测，无危害</w:t>
            </w:r>
            <w:r>
              <w:rPr>
                <w:rFonts w:hint="eastAsia"/>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25228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7771EE">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68.8</w:t>
            </w:r>
          </w:p>
        </w:tc>
      </w:tr>
      <w:tr w14:paraId="3CF00AD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C7AB3B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CAD9A6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LED视频拼接处理器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188CD10">
            <w:pPr>
              <w:widowControl/>
              <w:spacing w:line="288" w:lineRule="auto"/>
              <w:ind w:firstLine="0" w:firstLineChars="0"/>
              <w:jc w:val="left"/>
              <w:textAlignment w:val="center"/>
              <w:rPr>
                <w:rFonts w:hint="eastAsia"/>
                <w:b/>
                <w:bCs/>
                <w:color w:val="auto"/>
                <w:kern w:val="0"/>
                <w:sz w:val="21"/>
                <w:szCs w:val="21"/>
                <w:highlight w:val="none"/>
                <w:lang w:bidi="ar"/>
              </w:rPr>
            </w:pPr>
            <w:r>
              <w:rPr>
                <w:color w:val="auto"/>
                <w:kern w:val="0"/>
                <w:sz w:val="21"/>
                <w:szCs w:val="21"/>
                <w:highlight w:val="none"/>
                <w:lang w:bidi="ar"/>
              </w:rPr>
              <w:t>1、为保证系统稳定性，拼接服务器需与LED屏体同品牌；</w:t>
            </w:r>
            <w:r>
              <w:rPr>
                <w:rFonts w:hint="eastAsia"/>
                <w:b/>
                <w:bCs/>
                <w:color w:val="auto"/>
                <w:kern w:val="0"/>
                <w:sz w:val="21"/>
                <w:szCs w:val="21"/>
                <w:highlight w:val="none"/>
                <w:lang w:bidi="ar"/>
              </w:rPr>
              <w:t xml:space="preserve"> </w:t>
            </w:r>
          </w:p>
          <w:p w14:paraId="16742D8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2、采用全硬件FPGA架构，无内置操作系统，防尘设计达到IEC标准IP20等级；</w:t>
            </w:r>
          </w:p>
          <w:p w14:paraId="429C4E7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3、设备可靠性高，平均无故障运行时间（MTBF）</w:t>
            </w:r>
            <w:r>
              <w:rPr>
                <w:rFonts w:hint="eastAsia"/>
                <w:color w:val="auto"/>
                <w:kern w:val="0"/>
                <w:sz w:val="21"/>
                <w:szCs w:val="21"/>
                <w:highlight w:val="none"/>
                <w:lang w:val="en-US" w:eastAsia="zh-CN" w:bidi="ar"/>
              </w:rPr>
              <w:t>不低于</w:t>
            </w:r>
            <w:r>
              <w:rPr>
                <w:color w:val="auto"/>
                <w:kern w:val="0"/>
                <w:sz w:val="21"/>
                <w:szCs w:val="21"/>
                <w:highlight w:val="none"/>
                <w:lang w:bidi="ar"/>
              </w:rPr>
              <w:t>32万小时，满足长时间稳定运行的要求；</w:t>
            </w:r>
          </w:p>
          <w:p w14:paraId="771BBEA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4、单台设备支持视频接口输出卡和二合一网口输出卡混合使用，可同时带载LED、LCD等多种显示介质，特别是在带载LED显示时，无需使用传统发送卡设备；</w:t>
            </w:r>
          </w:p>
          <w:p w14:paraId="57FA96F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5、支持在线对设备进行自检，所有板卡状态均可检测，包括运行情况、CPU、内存情况、EMMC、高速通信链路、电压、温度状态检测，可实现设备故障快速定位；</w:t>
            </w:r>
          </w:p>
          <w:p w14:paraId="38D26BD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6、支持输入源预监与输出的实时回显和IP流回显，实现从源端，到大屏显示的全流程监控；</w:t>
            </w:r>
          </w:p>
          <w:p w14:paraId="1C0C79E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▲7、本次配置需≥72路网口输出、≥6路4K60输入、≥1路预监。可任意拼接、漫游、开窗等。</w:t>
            </w:r>
            <w:r>
              <w:rPr>
                <w:rFonts w:hint="eastAsia"/>
                <w:b/>
                <w:bCs/>
                <w:color w:val="auto"/>
                <w:kern w:val="0"/>
                <w:sz w:val="21"/>
                <w:szCs w:val="21"/>
                <w:highlight w:val="none"/>
                <w:lang w:bidi="ar"/>
              </w:rPr>
              <w:t>（提供</w:t>
            </w:r>
            <w:r>
              <w:rPr>
                <w:b/>
                <w:bCs/>
                <w:color w:val="auto"/>
                <w:kern w:val="0"/>
                <w:sz w:val="21"/>
                <w:szCs w:val="21"/>
                <w:highlight w:val="none"/>
                <w:lang w:bidi="ar"/>
              </w:rPr>
              <w:t>第三方检测认证机构出具的检测报告复印件</w:t>
            </w:r>
            <w:r>
              <w:rPr>
                <w:rFonts w:hint="eastAsia"/>
                <w:b/>
                <w:bCs/>
                <w:color w:val="auto"/>
                <w:kern w:val="0"/>
                <w:sz w:val="21"/>
                <w:szCs w:val="21"/>
                <w:highlight w:val="none"/>
                <w:lang w:bidi="ar"/>
              </w:rPr>
              <w:t>并加盖公章）</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31C2DA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E879D0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10641C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331BF0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BC9E4C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配电柜</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04C014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1、配电柜配置功率不小于60KW，配电系统应安全、优质、稳定、经济且维护简便。配电柜应具有分步启动过流﹑过压﹑欠压保护功能；</w:t>
            </w:r>
          </w:p>
          <w:p w14:paraId="782ABE7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2、含PLC控制模块，可实时获取屏幕背部烟雾及温度数据，可执行远程开关机操作。</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02A3E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E62B5D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5E416F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05B9AF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65ADF2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结构及安装调试</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2D1BA3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1、通过控制器获取实时位置信息并进行数据转换，控制电机联动；</w:t>
            </w:r>
          </w:p>
          <w:p w14:paraId="311F65B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2、动力系统：采用静音电机及配套的变频器驱动，启动力矩大，声音小，运动平稳；</w:t>
            </w:r>
          </w:p>
          <w:p w14:paraId="5E58023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3、紧急停车管理系统：移动末端设有防撞传感器，限位开关等防撞系统，保证设备运行的安全性，良好的安全风险管控；</w:t>
            </w:r>
          </w:p>
          <w:p w14:paraId="287CC19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4、提供结构设计图纸、结构展开和收纳的动画视频；</w:t>
            </w:r>
          </w:p>
          <w:p w14:paraId="6AB95FE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5、屏体承重钢结构采用Q235-B钢，化学成分及力学性能应符合《碳素结构钢》及《低合金高强度结构钢》（GB/T1591-2018）规定的要求</w:t>
            </w:r>
            <w:r>
              <w:rPr>
                <w:rFonts w:hint="eastAsia"/>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25D75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A695C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298596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6C7919">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E4F727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2、会标屏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C805BFB">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DBF43FD">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E6D90A">
            <w:pPr>
              <w:widowControl/>
              <w:spacing w:line="288" w:lineRule="auto"/>
              <w:ind w:firstLine="0" w:firstLineChars="0"/>
              <w:jc w:val="center"/>
              <w:rPr>
                <w:color w:val="auto"/>
                <w:sz w:val="21"/>
                <w:szCs w:val="21"/>
                <w:highlight w:val="none"/>
              </w:rPr>
            </w:pPr>
          </w:p>
        </w:tc>
      </w:tr>
      <w:tr w14:paraId="3DF58AC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483D23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293434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LED显示屏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A1B7812">
            <w:pPr>
              <w:widowControl/>
              <w:spacing w:line="288" w:lineRule="auto"/>
              <w:ind w:firstLine="0" w:firstLineChars="0"/>
              <w:jc w:val="left"/>
              <w:textAlignment w:val="center"/>
              <w:rPr>
                <w:rFonts w:hint="eastAsia"/>
                <w:b/>
                <w:bCs/>
                <w:color w:val="auto"/>
                <w:kern w:val="0"/>
                <w:sz w:val="21"/>
                <w:szCs w:val="21"/>
                <w:highlight w:val="none"/>
                <w:lang w:bidi="ar"/>
              </w:rPr>
            </w:pPr>
            <w:r>
              <w:rPr>
                <w:color w:val="auto"/>
                <w:kern w:val="0"/>
                <w:sz w:val="21"/>
                <w:szCs w:val="21"/>
                <w:highlight w:val="none"/>
                <w:lang w:bidi="ar"/>
              </w:rPr>
              <w:t>▲1、像素点间距：≤2.5mm，像素密度≥160000点/㎡，含电源、接收卡、钢结构等配套设备，屏体净宽≥12</w:t>
            </w:r>
            <w:r>
              <w:rPr>
                <w:rFonts w:hint="eastAsia"/>
                <w:color w:val="auto"/>
                <w:kern w:val="0"/>
                <w:sz w:val="21"/>
                <w:szCs w:val="21"/>
                <w:highlight w:val="none"/>
                <w:lang w:bidi="ar"/>
              </w:rPr>
              <w:t>.15</w:t>
            </w:r>
            <w:r>
              <w:rPr>
                <w:color w:val="auto"/>
                <w:kern w:val="0"/>
                <w:sz w:val="21"/>
                <w:szCs w:val="21"/>
                <w:highlight w:val="none"/>
                <w:lang w:bidi="ar"/>
              </w:rPr>
              <w:t>米，屏体净高≥0.</w:t>
            </w:r>
            <w:r>
              <w:rPr>
                <w:rFonts w:hint="eastAsia"/>
                <w:color w:val="auto"/>
                <w:kern w:val="0"/>
                <w:sz w:val="21"/>
                <w:szCs w:val="21"/>
                <w:highlight w:val="none"/>
                <w:lang w:bidi="ar"/>
              </w:rPr>
              <w:t>8</w:t>
            </w:r>
            <w:r>
              <w:rPr>
                <w:color w:val="auto"/>
                <w:kern w:val="0"/>
                <w:sz w:val="21"/>
                <w:szCs w:val="21"/>
                <w:highlight w:val="none"/>
                <w:lang w:bidi="ar"/>
              </w:rPr>
              <w:t>米</w:t>
            </w:r>
            <w:r>
              <w:rPr>
                <w:rFonts w:hint="eastAsia"/>
                <w:color w:val="auto"/>
                <w:kern w:val="0"/>
                <w:sz w:val="21"/>
                <w:szCs w:val="21"/>
                <w:highlight w:val="none"/>
                <w:lang w:bidi="ar"/>
              </w:rPr>
              <w:t>，显示面积≥9.72平方米</w:t>
            </w:r>
            <w:r>
              <w:rPr>
                <w:color w:val="auto"/>
                <w:kern w:val="0"/>
                <w:sz w:val="21"/>
                <w:szCs w:val="21"/>
                <w:highlight w:val="none"/>
                <w:lang w:bidi="ar"/>
              </w:rPr>
              <w:t>；</w:t>
            </w:r>
            <w:r>
              <w:rPr>
                <w:rFonts w:hint="eastAsia"/>
                <w:b/>
                <w:bCs/>
                <w:color w:val="auto"/>
                <w:kern w:val="0"/>
                <w:sz w:val="21"/>
                <w:szCs w:val="21"/>
                <w:highlight w:val="none"/>
                <w:lang w:bidi="ar"/>
              </w:rPr>
              <w:t xml:space="preserve"> </w:t>
            </w:r>
          </w:p>
          <w:p w14:paraId="18302DF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2、平均无故障工作时间≥100000h，故障恢复时间≤5m</w:t>
            </w:r>
            <w:r>
              <w:rPr>
                <w:rFonts w:hint="eastAsia"/>
                <w:color w:val="auto"/>
                <w:kern w:val="0"/>
                <w:sz w:val="21"/>
                <w:szCs w:val="21"/>
                <w:highlight w:val="none"/>
                <w:lang w:bidi="ar"/>
              </w:rPr>
              <w:t>in</w:t>
            </w:r>
            <w:r>
              <w:rPr>
                <w:color w:val="auto"/>
                <w:kern w:val="0"/>
                <w:sz w:val="21"/>
                <w:szCs w:val="21"/>
                <w:highlight w:val="none"/>
                <w:lang w:bidi="ar"/>
              </w:rPr>
              <w:t>；</w:t>
            </w:r>
          </w:p>
          <w:p w14:paraId="1F039E7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3、显示屏亮度≥658cd/㎡，对比度≥12000：1，色温2000K-15000K可调；</w:t>
            </w:r>
          </w:p>
          <w:p w14:paraId="4DA12D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4、水平/垂直角度≥176°，刷新频率≥3800Hz，换帧频率：50Hz&amp;60Hz；</w:t>
            </w:r>
          </w:p>
          <w:p w14:paraId="6B62DCF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5、亮度均匀性：99%，色度均匀性：-0.0008Cx，-0.0004Cy；</w:t>
            </w:r>
          </w:p>
          <w:p w14:paraId="6D794F7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6、平整度≤0.03mm，单元拼接间隙≤0.04mm；</w:t>
            </w:r>
          </w:p>
          <w:p w14:paraId="7A3C20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7、支持智能节电功能，开启智能节电功能比没有开启节能50%以上；LED显示屏符合GB21520-2015能效一级；</w:t>
            </w:r>
          </w:p>
          <w:p w14:paraId="5D22873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8、LED显示屏通过光生物安全测试和蓝光安全检测，无危害</w:t>
            </w:r>
            <w:r>
              <w:rPr>
                <w:rFonts w:hint="eastAsia"/>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BA18D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5858A6">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9.72</w:t>
            </w:r>
          </w:p>
        </w:tc>
      </w:tr>
      <w:tr w14:paraId="69F2EAA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DD42C6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5CB468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配电柜</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3E324EF">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智能最高配电10KW</w:t>
            </w:r>
            <w:r>
              <w:rPr>
                <w:rFonts w:hint="eastAsia"/>
                <w:color w:val="auto"/>
                <w:kern w:val="0"/>
                <w:sz w:val="21"/>
                <w:szCs w:val="21"/>
                <w:highlight w:val="none"/>
                <w:lang w:bidi="ar"/>
              </w:rPr>
              <w:t>，</w:t>
            </w:r>
            <w:r>
              <w:rPr>
                <w:color w:val="auto"/>
                <w:kern w:val="0"/>
                <w:sz w:val="21"/>
                <w:szCs w:val="21"/>
                <w:highlight w:val="none"/>
                <w:lang w:bidi="ar"/>
              </w:rPr>
              <w:t>可执行远程开关机操作</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F4F89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826AA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962075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BBBF6A">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5E2698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3、其他</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6580493">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96287EF">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0932FE">
            <w:pPr>
              <w:widowControl/>
              <w:spacing w:line="288" w:lineRule="auto"/>
              <w:ind w:firstLine="0" w:firstLineChars="0"/>
              <w:jc w:val="center"/>
              <w:rPr>
                <w:color w:val="auto"/>
                <w:sz w:val="21"/>
                <w:szCs w:val="21"/>
                <w:highlight w:val="none"/>
              </w:rPr>
            </w:pPr>
          </w:p>
        </w:tc>
      </w:tr>
      <w:tr w14:paraId="5A482DA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5E96C3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0C6E45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55寸拼接屏（含液压前维护支架）</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32451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1、55寸1.8mm拼接屏，亮度：700cd/㎡，物理分辨率：1920*1080，色彩饱和度：≥72%，响应时间：8ms，可视角度：178°，使用寿命：60000小时；</w:t>
            </w:r>
          </w:p>
          <w:p w14:paraId="4B44579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2、液压前维护支架：支架配有可调挂钩装置，可上、下、左、右、前、后微调，安装平整、美观大方，安装平整度和后期维护方便，支架具有调节及前维护功能。</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D58D29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9EDD6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0333AE6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E8052F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0FAF1D7">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返看65寸液晶高清显示器</w:t>
            </w:r>
          </w:p>
          <w:p w14:paraId="5B66C28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（含移动支架）</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829F5B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1、显示尺寸：≥65寸，显示比例：16：9，显示技术：DLED背光源，液晶屏屏体达到A级标准，分辨率：3840×2160，色彩度1.07B(10bit)；亮度：350cd/m²，对比度：5000：1TYP，最佳视角：水平178度垂直178度；</w:t>
            </w:r>
          </w:p>
          <w:p w14:paraId="4E35FE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2、触摸技术：≥40点红外触摸，系统属性搭载Windows，I5，内存：4GDDR3，硬盘：128G固态；</w:t>
            </w:r>
          </w:p>
          <w:p w14:paraId="1C0AF85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b/>
                <w:bCs/>
                <w:color w:val="auto"/>
                <w:kern w:val="0"/>
                <w:sz w:val="21"/>
                <w:szCs w:val="21"/>
                <w:highlight w:val="none"/>
                <w:lang w:bidi="ar"/>
              </w:rPr>
              <w:t>内置自检维护工具，可一键进行快速自检，检测完成后支持导出诊断报告；支持设置预警条件，达到对应条件时触发预警行为</w:t>
            </w:r>
            <w:r>
              <w:rPr>
                <w:rFonts w:hint="eastAsia"/>
                <w:b/>
                <w:bCs/>
                <w:color w:val="auto"/>
                <w:kern w:val="0"/>
                <w:sz w:val="21"/>
                <w:szCs w:val="21"/>
                <w:highlight w:val="none"/>
                <w:lang w:bidi="ar"/>
              </w:rPr>
              <w:t>（提供</w:t>
            </w:r>
            <w:r>
              <w:rPr>
                <w:b/>
                <w:bCs/>
                <w:color w:val="auto"/>
                <w:kern w:val="0"/>
                <w:sz w:val="21"/>
                <w:szCs w:val="21"/>
                <w:highlight w:val="none"/>
                <w:lang w:bidi="ar"/>
              </w:rPr>
              <w:t>第三方检测认证机构出具的检测报告复印件</w:t>
            </w:r>
            <w:r>
              <w:rPr>
                <w:rFonts w:hint="eastAsia"/>
                <w:b/>
                <w:bCs/>
                <w:color w:val="auto"/>
                <w:kern w:val="0"/>
                <w:sz w:val="21"/>
                <w:szCs w:val="21"/>
                <w:highlight w:val="none"/>
                <w:lang w:bidi="ar"/>
              </w:rPr>
              <w:t>并加盖公章）</w:t>
            </w:r>
            <w:r>
              <w:rPr>
                <w:color w:val="auto"/>
                <w:kern w:val="0"/>
                <w:sz w:val="21"/>
                <w:szCs w:val="21"/>
                <w:highlight w:val="none"/>
                <w:lang w:bidi="ar"/>
              </w:rPr>
              <w:t>；</w:t>
            </w:r>
          </w:p>
          <w:p w14:paraId="0FEA6F2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4、产品具备在不关闭整机电源的情况下一键关闭和开启液晶屏背光，实现功耗降低超过80%。</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C35B2C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F4036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1F637ED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2BD5A3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004737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无线投屏协作系统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37D2C1B">
            <w:pPr>
              <w:widowControl/>
              <w:numPr>
                <w:ilvl w:val="0"/>
                <w:numId w:val="7"/>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支持多布局显示，可根据场景需求选择如整屏显示，画中画，2分屏，3分屏，4分屏；</w:t>
            </w:r>
          </w:p>
          <w:p w14:paraId="374506AA">
            <w:pPr>
              <w:widowControl/>
              <w:numPr>
                <w:ilvl w:val="0"/>
                <w:numId w:val="7"/>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支持Windows、MAC、Android、iOS、鸿蒙、国产麒麟等主流操作平台；</w:t>
            </w:r>
          </w:p>
          <w:p w14:paraId="6B49C19E">
            <w:pPr>
              <w:widowControl/>
              <w:numPr>
                <w:ilvl w:val="0"/>
                <w:numId w:val="7"/>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支持HDMI2.0，输出最大分辨率不低于3840x2160@60Hz；</w:t>
            </w:r>
          </w:p>
          <w:p w14:paraId="67065752">
            <w:pPr>
              <w:widowControl/>
              <w:numPr>
                <w:ilvl w:val="0"/>
                <w:numId w:val="7"/>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支持扩展桌面、白板批注、反向控制等功能；</w:t>
            </w:r>
          </w:p>
          <w:p w14:paraId="6B7FFDB0">
            <w:pPr>
              <w:widowControl/>
              <w:numPr>
                <w:ilvl w:val="0"/>
                <w:numId w:val="7"/>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提供CEC、WebGUI、Telnet、RS232控制方式，支持第三方中控。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DE57F1C">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A4E8CC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468EC0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B1239D7">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（二）</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74F77DA0">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专业扩声系统</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2E1CE54">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5B48A08">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61CEC1D">
            <w:pPr>
              <w:widowControl/>
              <w:spacing w:line="288" w:lineRule="auto"/>
              <w:ind w:firstLine="0" w:firstLineChars="0"/>
              <w:jc w:val="center"/>
              <w:rPr>
                <w:b/>
                <w:bCs/>
                <w:color w:val="auto"/>
                <w:sz w:val="21"/>
                <w:szCs w:val="21"/>
                <w:highlight w:val="none"/>
              </w:rPr>
            </w:pPr>
          </w:p>
        </w:tc>
      </w:tr>
      <w:tr w14:paraId="52CCF77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D82854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63CA076">
            <w:pPr>
              <w:widowControl/>
              <w:spacing w:line="288" w:lineRule="auto"/>
              <w:ind w:firstLine="0" w:firstLineChars="0"/>
              <w:jc w:val="left"/>
              <w:textAlignment w:val="center"/>
              <w:rPr>
                <w:rFonts w:hint="eastAsia" w:eastAsia="宋体"/>
                <w:color w:val="auto"/>
                <w:sz w:val="21"/>
                <w:szCs w:val="21"/>
                <w:highlight w:val="none"/>
                <w:lang w:eastAsia="zh-CN"/>
              </w:rPr>
            </w:pPr>
            <w:r>
              <w:rPr>
                <w:color w:val="auto"/>
                <w:kern w:val="0"/>
                <w:sz w:val="21"/>
                <w:szCs w:val="21"/>
                <w:highlight w:val="none"/>
                <w:lang w:bidi="ar"/>
              </w:rPr>
              <w:t>阵列主扩全频音箱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3CCC47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1、单组阵列输出的峰值最大声压级≥135dB；</w:t>
            </w:r>
          </w:p>
          <w:p w14:paraId="7C2F0B6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2、防护等级≥IPx4；</w:t>
            </w:r>
          </w:p>
          <w:p w14:paraId="310FE1F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3、频率范围(-10dB)不劣于：60~18000(Hz)；</w:t>
            </w:r>
          </w:p>
          <w:p w14:paraId="69E794D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4、灵敏度≥LF：94dBHF：107dB；</w:t>
            </w:r>
          </w:p>
          <w:p w14:paraId="4F7854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5、最大声压级≥LF、128dBHF：134dB；</w:t>
            </w:r>
          </w:p>
          <w:p w14:paraId="48C6254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6、水平覆盖角度范围：70±10°，100±10°；</w:t>
            </w:r>
          </w:p>
          <w:p w14:paraId="1638917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7、根据现场声场覆盖要求，垂直覆盖可实现三种角度可调：5±2°，10±5°，20±5°；</w:t>
            </w:r>
          </w:p>
          <w:p w14:paraId="5702C05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8、额定功率≥LF：600W</w:t>
            </w:r>
            <w:r>
              <w:rPr>
                <w:rFonts w:hint="eastAsia"/>
                <w:color w:val="auto"/>
                <w:kern w:val="0"/>
                <w:sz w:val="21"/>
                <w:szCs w:val="21"/>
                <w:highlight w:val="none"/>
                <w:lang w:bidi="ar"/>
              </w:rPr>
              <w:t>，</w:t>
            </w:r>
            <w:r>
              <w:rPr>
                <w:color w:val="auto"/>
                <w:kern w:val="0"/>
                <w:sz w:val="21"/>
                <w:szCs w:val="21"/>
                <w:highlight w:val="none"/>
                <w:lang w:bidi="ar"/>
              </w:rPr>
              <w:t>HF：125W；</w:t>
            </w:r>
          </w:p>
          <w:p w14:paraId="2D55FFC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9、单元规格2x8英寸低音单元，4x2英寸高音单元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14EBC3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1A91F9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r>
      <w:tr w14:paraId="553E413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98BF3A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840C57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单18寸低音音箱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CEDAE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1、防护等级≥IPx4；</w:t>
            </w:r>
          </w:p>
          <w:p w14:paraId="60DA8AE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2、频率范围(-10dB)不劣于：30~300(Hz)；</w:t>
            </w:r>
          </w:p>
          <w:p w14:paraId="0FB7EAB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3、灵敏度≥98dB；</w:t>
            </w:r>
          </w:p>
          <w:p w14:paraId="6A5E3A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4、最大声压级≥135dB；</w:t>
            </w:r>
          </w:p>
          <w:p w14:paraId="0A33311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5、额定功率≥1250W；</w:t>
            </w:r>
          </w:p>
          <w:p w14:paraId="29B2D15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6、单元规格≥单18英寸低音单元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C87293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AAE74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0CA00E3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68BAA2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F61715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线阵吊架</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922739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原厂吊架；可创建包含低音箱模块的高架悬挂阵列，或者创建使用低音箱模块、全频模块的任意组合的地面安装阵列。</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EB6B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892F9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277BA50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9EE651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BE3D93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葫芦</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ECBA654">
            <w:pPr>
              <w:widowControl/>
              <w:spacing w:line="288" w:lineRule="auto"/>
              <w:ind w:firstLine="0" w:firstLineChars="0"/>
              <w:jc w:val="left"/>
              <w:textAlignment w:val="center"/>
              <w:rPr>
                <w:color w:val="auto"/>
                <w:sz w:val="21"/>
                <w:szCs w:val="21"/>
                <w:highlight w:val="none"/>
              </w:rPr>
            </w:pPr>
            <w:r>
              <w:rPr>
                <w:rFonts w:hint="eastAsia"/>
                <w:color w:val="auto"/>
                <w:kern w:val="0"/>
                <w:sz w:val="21"/>
                <w:szCs w:val="21"/>
                <w:highlight w:val="none"/>
                <w:lang w:bidi="ar"/>
              </w:rPr>
              <w:t>≥</w:t>
            </w:r>
            <w:r>
              <w:rPr>
                <w:color w:val="auto"/>
                <w:kern w:val="0"/>
                <w:sz w:val="21"/>
                <w:szCs w:val="21"/>
                <w:highlight w:val="none"/>
                <w:lang w:bidi="ar"/>
              </w:rPr>
              <w:t>6米行程</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379DE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36209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CD643F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AB0B05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77386D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主扩音箱功放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7E6619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1、功放功率：</w:t>
            </w:r>
            <w:r>
              <w:rPr>
                <w:rFonts w:hint="eastAsia"/>
                <w:color w:val="auto"/>
                <w:kern w:val="0"/>
                <w:sz w:val="21"/>
                <w:szCs w:val="21"/>
                <w:highlight w:val="none"/>
                <w:lang w:bidi="ar"/>
              </w:rPr>
              <w:t>≥</w:t>
            </w:r>
            <w:r>
              <w:rPr>
                <w:color w:val="auto"/>
                <w:kern w:val="0"/>
                <w:sz w:val="21"/>
                <w:szCs w:val="21"/>
                <w:highlight w:val="none"/>
                <w:lang w:bidi="ar"/>
              </w:rPr>
              <w:t>4×600W ；总额定功率：</w:t>
            </w:r>
            <w:r>
              <w:rPr>
                <w:rFonts w:hint="eastAsia"/>
                <w:color w:val="auto"/>
                <w:kern w:val="0"/>
                <w:sz w:val="21"/>
                <w:szCs w:val="21"/>
                <w:highlight w:val="none"/>
                <w:lang w:bidi="ar"/>
              </w:rPr>
              <w:t>≥</w:t>
            </w:r>
            <w:r>
              <w:rPr>
                <w:color w:val="auto"/>
                <w:kern w:val="0"/>
                <w:sz w:val="21"/>
                <w:szCs w:val="21"/>
                <w:highlight w:val="none"/>
                <w:lang w:bidi="ar"/>
              </w:rPr>
              <w:t>2400W @4-8Ω/70V/100V；</w:t>
            </w:r>
          </w:p>
          <w:p w14:paraId="626BA1A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2、频率响应：20 Hz-20 kHz(±1.0 dB，1 W @ 8 Ω)；</w:t>
            </w:r>
          </w:p>
          <w:p w14:paraId="58FD659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3、信噪比：&gt;108dB(A)；</w:t>
            </w:r>
          </w:p>
          <w:p w14:paraId="54C9486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4、通道隔离/串扰（1 kHz）：-70dB(典型值)；</w:t>
            </w:r>
          </w:p>
          <w:p w14:paraId="08DF678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5、输入通道：4路平衡输入（凤凰插），4路Dante输入（RJ-45接口），输出通道：4路输出（凤凰插）</w:t>
            </w:r>
            <w:r>
              <w:rPr>
                <w:rFonts w:hint="eastAsia"/>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5A6184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CA2B8D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13DA110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B63767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709A35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低音音箱功放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0ECAC7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1、功放功率：</w:t>
            </w:r>
            <w:r>
              <w:rPr>
                <w:rFonts w:hint="eastAsia"/>
                <w:color w:val="auto"/>
                <w:kern w:val="0"/>
                <w:sz w:val="21"/>
                <w:szCs w:val="21"/>
                <w:highlight w:val="none"/>
                <w:lang w:bidi="ar"/>
              </w:rPr>
              <w:t>≥</w:t>
            </w:r>
            <w:r>
              <w:rPr>
                <w:color w:val="auto"/>
                <w:kern w:val="0"/>
                <w:sz w:val="21"/>
                <w:szCs w:val="21"/>
                <w:highlight w:val="none"/>
                <w:lang w:bidi="ar"/>
              </w:rPr>
              <w:t>4×1200W；总额定功率：</w:t>
            </w:r>
            <w:r>
              <w:rPr>
                <w:rFonts w:hint="eastAsia"/>
                <w:color w:val="auto"/>
                <w:kern w:val="0"/>
                <w:sz w:val="21"/>
                <w:szCs w:val="21"/>
                <w:highlight w:val="none"/>
                <w:lang w:bidi="ar"/>
              </w:rPr>
              <w:t>≥</w:t>
            </w:r>
            <w:r>
              <w:rPr>
                <w:color w:val="auto"/>
                <w:kern w:val="0"/>
                <w:sz w:val="21"/>
                <w:szCs w:val="21"/>
                <w:highlight w:val="none"/>
                <w:lang w:bidi="ar"/>
              </w:rPr>
              <w:t>4800W@4-8Ω/70V/100V；</w:t>
            </w:r>
          </w:p>
          <w:p w14:paraId="1E10DE6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2、频率响应：20Hz-20kHz(±1.0dB，1W@8Ω)；</w:t>
            </w:r>
          </w:p>
          <w:p w14:paraId="39C66F7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3、信噪比：&gt;110dB(A)；</w:t>
            </w:r>
          </w:p>
          <w:p w14:paraId="3A9BCA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4、通道隔离/串扰（1kHz）：-70dB(典型值)；</w:t>
            </w:r>
          </w:p>
          <w:p w14:paraId="66D76C2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5、输入通道：4路平衡输入（凤凰插），4路Dante输入（RJ-45接口）输出通道：4路输出（凤凰插）</w:t>
            </w:r>
            <w:r>
              <w:rPr>
                <w:rFonts w:hint="eastAsia"/>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F4D181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44E91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1AE12AC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0C529F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CAE063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补声音箱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E92F8B6">
            <w:pPr>
              <w:widowControl/>
              <w:numPr>
                <w:ilvl w:val="0"/>
                <w:numId w:val="8"/>
              </w:numPr>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二分频12”同轴音箱，高频单元：≥3英寸；</w:t>
            </w:r>
          </w:p>
          <w:p w14:paraId="522159E1">
            <w:pPr>
              <w:widowControl/>
              <w:numPr>
                <w:ilvl w:val="0"/>
                <w:numId w:val="8"/>
              </w:numPr>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频率范围(-10dB)不劣于：60~20000(Hz)；</w:t>
            </w:r>
          </w:p>
          <w:p w14:paraId="1CED9629">
            <w:pPr>
              <w:widowControl/>
              <w:numPr>
                <w:ilvl w:val="0"/>
                <w:numId w:val="8"/>
              </w:numPr>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水平角110°±10°；垂直角50°±10°，覆盖角可通过旋转号角或旋转箱体实现水平与垂直角的切换；</w:t>
            </w:r>
          </w:p>
          <w:p w14:paraId="7DBB455B">
            <w:pPr>
              <w:widowControl/>
              <w:numPr>
                <w:ilvl w:val="0"/>
                <w:numId w:val="8"/>
              </w:numPr>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防护等级：优于IP43</w:t>
            </w:r>
            <w:r>
              <w:rPr>
                <w:rFonts w:hint="eastAsia"/>
                <w:color w:val="auto"/>
                <w:kern w:val="0"/>
                <w:sz w:val="21"/>
                <w:szCs w:val="21"/>
                <w:highlight w:val="none"/>
                <w:lang w:bidi="ar"/>
              </w:rPr>
              <w:t>；</w:t>
            </w:r>
          </w:p>
          <w:p w14:paraId="2427C32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5、最大声压级(dB)：≥130dB</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04D91A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2842CE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866C6D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350927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B65FE4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补声音箱功放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BF2EA8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4B6CB11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0332A7E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3、总谐波失真+噪声（THD+N）&lt;0.04%；</w:t>
            </w:r>
          </w:p>
          <w:p w14:paraId="2FA5A4F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4、动态范围≥100dB(A)；</w:t>
            </w:r>
          </w:p>
          <w:p w14:paraId="471E0BC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5、模拟信号输入通道数量≥2路；数字信号输入通道数量≥8路；数字信号支持菊花链传输；</w:t>
            </w:r>
          </w:p>
          <w:p w14:paraId="1635870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6、单通道功率≥600W；设备总功率≥1200W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DC7844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9B805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0899750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5D0E44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9</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2B2334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返送音箱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F6CE14A">
            <w:pPr>
              <w:widowControl/>
              <w:numPr>
                <w:ilvl w:val="0"/>
                <w:numId w:val="9"/>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结构：二分频12”同轴音箱；高频单元：≥3英寸；</w:t>
            </w:r>
          </w:p>
          <w:p w14:paraId="4CFD4CF5">
            <w:pPr>
              <w:widowControl/>
              <w:numPr>
                <w:ilvl w:val="0"/>
                <w:numId w:val="9"/>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频率范围(-10dB)不劣于：60~20000(Hz)；</w:t>
            </w:r>
          </w:p>
          <w:p w14:paraId="1B140032">
            <w:pPr>
              <w:widowControl/>
              <w:numPr>
                <w:ilvl w:val="0"/>
                <w:numId w:val="9"/>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水平角110°±10°；垂直角50°±10°；覆盖角可通过旋转号角或旋转箱体实现水平与垂直角的切换；</w:t>
            </w:r>
          </w:p>
          <w:p w14:paraId="67FBEFF6">
            <w:pPr>
              <w:widowControl/>
              <w:numPr>
                <w:ilvl w:val="0"/>
                <w:numId w:val="9"/>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防护等级：优于IP43</w:t>
            </w:r>
            <w:r>
              <w:rPr>
                <w:rFonts w:hint="eastAsia"/>
                <w:color w:val="auto"/>
                <w:kern w:val="0"/>
                <w:sz w:val="21"/>
                <w:szCs w:val="21"/>
                <w:highlight w:val="none"/>
                <w:lang w:bidi="ar"/>
              </w:rPr>
              <w:t>；</w:t>
            </w:r>
          </w:p>
          <w:p w14:paraId="1A0D09B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最大声压级(dB)：≥130dB</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7AF35D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D83FE7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51E52EC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6BE26F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10</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BF7747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返送音箱功放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8E980F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04BC096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2174FEF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3、总谐波失真+噪声（THD+N）&lt;0.04%；</w:t>
            </w:r>
          </w:p>
          <w:p w14:paraId="72A9FE4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4、动态范围≥100dB(A)；</w:t>
            </w:r>
          </w:p>
          <w:p w14:paraId="70389F0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5、模拟信号输入通道数量≥2路，数字信号输入通道数量≥8路，数字信号支持菊花链传输；</w:t>
            </w:r>
          </w:p>
          <w:p w14:paraId="3299A66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单通道功率≥600W，设备总功率≥1200W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045135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F9C9A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89F17A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1D032A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F7F9D5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台唇音箱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CD87239">
            <w:pPr>
              <w:widowControl/>
              <w:numPr>
                <w:ilvl w:val="0"/>
                <w:numId w:val="10"/>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二分频12”同轴音箱，高频单元：≥3英寸；</w:t>
            </w:r>
          </w:p>
          <w:p w14:paraId="43E90C4D">
            <w:pPr>
              <w:widowControl/>
              <w:numPr>
                <w:ilvl w:val="0"/>
                <w:numId w:val="10"/>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频率范围(-10dB)不劣于：60~20000(Hz)；</w:t>
            </w:r>
          </w:p>
          <w:p w14:paraId="10F12EA6">
            <w:pPr>
              <w:widowControl/>
              <w:numPr>
                <w:ilvl w:val="0"/>
                <w:numId w:val="10"/>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水平角110°±10°；垂直角50°±10°，覆盖角可通过旋转号角或旋转箱体实现水平与垂直角的切换；</w:t>
            </w:r>
          </w:p>
          <w:p w14:paraId="693BF499">
            <w:pPr>
              <w:widowControl/>
              <w:numPr>
                <w:ilvl w:val="0"/>
                <w:numId w:val="10"/>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防护等级：优于IP43</w:t>
            </w:r>
            <w:r>
              <w:rPr>
                <w:rFonts w:hint="eastAsia"/>
                <w:color w:val="auto"/>
                <w:kern w:val="0"/>
                <w:sz w:val="21"/>
                <w:szCs w:val="21"/>
                <w:highlight w:val="none"/>
                <w:lang w:bidi="ar"/>
              </w:rPr>
              <w:t>；</w:t>
            </w:r>
          </w:p>
          <w:p w14:paraId="026E554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最大声压级(dB)：≥130dB</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5738D0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B9BA4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2B4006C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D9ABCC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6F8BCA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台唇音箱功放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8754EA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26B19BD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18BD638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3、总谐波失真+噪声（THD+N）&lt;0.04%；</w:t>
            </w:r>
          </w:p>
          <w:p w14:paraId="684016C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4、动态范围≥100dB(A)；</w:t>
            </w:r>
          </w:p>
          <w:p w14:paraId="24AA3A6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5、模拟信号输入通道数量≥2路，数字信号输入通道数量≥8路，数字信号支持菊花链传输；</w:t>
            </w:r>
          </w:p>
          <w:p w14:paraId="3439E17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6、单通道功率≥600W；设备总功率≥1200W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0CDAB7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C3370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BD28E8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64BEC4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8D2F8A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数字调音台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533707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1、具有</w:t>
            </w:r>
            <w:r>
              <w:rPr>
                <w:rFonts w:hint="eastAsia"/>
                <w:color w:val="auto"/>
                <w:kern w:val="0"/>
                <w:sz w:val="21"/>
                <w:szCs w:val="21"/>
                <w:highlight w:val="none"/>
                <w:lang w:val="en-US" w:eastAsia="zh-CN" w:bidi="ar"/>
              </w:rPr>
              <w:t>不低于</w:t>
            </w:r>
            <w:r>
              <w:rPr>
                <w:rFonts w:hint="eastAsia"/>
                <w:color w:val="auto"/>
                <w:kern w:val="0"/>
                <w:sz w:val="21"/>
                <w:szCs w:val="21"/>
                <w:highlight w:val="none"/>
                <w:lang w:bidi="ar"/>
              </w:rPr>
              <w:t>32</w:t>
            </w:r>
            <w:r>
              <w:rPr>
                <w:color w:val="auto"/>
                <w:kern w:val="0"/>
                <w:sz w:val="21"/>
                <w:szCs w:val="21"/>
                <w:highlight w:val="none"/>
                <w:lang w:bidi="ar"/>
              </w:rPr>
              <w:t>个输入通道、32个麦克风前置放大器和25条混音总线以及现场多轨录音8个DCA和6个静音组、25个电动推子；</w:t>
            </w:r>
          </w:p>
          <w:p w14:paraId="4AD89E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2、AES50网络允许多</w:t>
            </w:r>
            <w:r>
              <w:rPr>
                <w:rFonts w:hint="eastAsia"/>
                <w:color w:val="auto"/>
                <w:kern w:val="0"/>
                <w:sz w:val="21"/>
                <w:szCs w:val="21"/>
                <w:highlight w:val="none"/>
                <w:lang w:val="en-US" w:eastAsia="zh-CN" w:bidi="ar"/>
              </w:rPr>
              <w:t>于</w:t>
            </w:r>
            <w:r>
              <w:rPr>
                <w:color w:val="auto"/>
                <w:kern w:val="0"/>
                <w:sz w:val="21"/>
                <w:szCs w:val="21"/>
                <w:highlight w:val="none"/>
                <w:lang w:bidi="ar"/>
              </w:rPr>
              <w:t>96个输入和96个输出；</w:t>
            </w:r>
          </w:p>
          <w:p w14:paraId="3239A3A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3、支持Mackie Control和HUI协议的DAW远程控制；</w:t>
            </w:r>
          </w:p>
          <w:p w14:paraId="3750FD8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4、支持Android、iPhone和iPad的APPS进行无线远程控制；</w:t>
            </w:r>
          </w:p>
          <w:p w14:paraId="7A6C638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5、输入处理通道：</w:t>
            </w:r>
            <w:r>
              <w:rPr>
                <w:rFonts w:hint="eastAsia"/>
                <w:color w:val="auto"/>
                <w:kern w:val="0"/>
                <w:sz w:val="21"/>
                <w:szCs w:val="21"/>
                <w:highlight w:val="none"/>
                <w:lang w:val="en-US" w:eastAsia="zh-CN" w:bidi="ar"/>
              </w:rPr>
              <w:t>不低于</w:t>
            </w:r>
            <w:r>
              <w:rPr>
                <w:color w:val="auto"/>
                <w:kern w:val="0"/>
                <w:sz w:val="21"/>
                <w:szCs w:val="21"/>
                <w:highlight w:val="none"/>
                <w:lang w:bidi="ar"/>
              </w:rPr>
              <w:t>32个输入通道，8个辅助通道，8个fx返回通道；</w:t>
            </w:r>
          </w:p>
          <w:p w14:paraId="65F8A76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6、输出处理通道：</w:t>
            </w:r>
            <w:r>
              <w:rPr>
                <w:rFonts w:hint="eastAsia"/>
                <w:color w:val="auto"/>
                <w:kern w:val="0"/>
                <w:sz w:val="21"/>
                <w:szCs w:val="21"/>
                <w:highlight w:val="none"/>
                <w:lang w:bidi="ar"/>
              </w:rPr>
              <w:t>≥</w:t>
            </w:r>
            <w:r>
              <w:rPr>
                <w:color w:val="auto"/>
                <w:kern w:val="0"/>
                <w:sz w:val="21"/>
                <w:szCs w:val="21"/>
                <w:highlight w:val="none"/>
                <w:lang w:bidi="ar"/>
              </w:rPr>
              <w:t>16，内部混音总线：</w:t>
            </w:r>
            <w:r>
              <w:rPr>
                <w:rFonts w:hint="eastAsia"/>
                <w:color w:val="auto"/>
                <w:kern w:val="0"/>
                <w:sz w:val="21"/>
                <w:szCs w:val="21"/>
                <w:highlight w:val="none"/>
                <w:lang w:bidi="ar"/>
              </w:rPr>
              <w:t>≥</w:t>
            </w:r>
            <w:r>
              <w:rPr>
                <w:color w:val="auto"/>
                <w:kern w:val="0"/>
                <w:sz w:val="21"/>
                <w:szCs w:val="21"/>
                <w:highlight w:val="none"/>
                <w:lang w:bidi="ar"/>
              </w:rPr>
              <w:t>25(16辅助总线，6个矩阵，L/R/C)；</w:t>
            </w:r>
          </w:p>
          <w:p w14:paraId="3249EBD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7、AES50输入/输出通道：</w:t>
            </w:r>
            <w:r>
              <w:rPr>
                <w:rFonts w:hint="eastAsia"/>
                <w:color w:val="auto"/>
                <w:kern w:val="0"/>
                <w:sz w:val="21"/>
                <w:szCs w:val="21"/>
                <w:highlight w:val="none"/>
                <w:lang w:bidi="ar"/>
              </w:rPr>
              <w:t>≥</w:t>
            </w:r>
            <w:r>
              <w:rPr>
                <w:color w:val="auto"/>
                <w:kern w:val="0"/>
                <w:sz w:val="21"/>
                <w:szCs w:val="21"/>
                <w:highlight w:val="none"/>
                <w:lang w:bidi="ar"/>
              </w:rPr>
              <w:t>96/96；</w:t>
            </w:r>
          </w:p>
          <w:p w14:paraId="2A827A9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8、扩展卡接口：</w:t>
            </w:r>
            <w:r>
              <w:rPr>
                <w:rFonts w:hint="eastAsia"/>
                <w:color w:val="auto"/>
                <w:kern w:val="0"/>
                <w:sz w:val="21"/>
                <w:szCs w:val="21"/>
                <w:highlight w:val="none"/>
                <w:lang w:bidi="ar"/>
              </w:rPr>
              <w:t>≥</w:t>
            </w:r>
            <w:r>
              <w:rPr>
                <w:color w:val="auto"/>
                <w:kern w:val="0"/>
                <w:sz w:val="21"/>
                <w:szCs w:val="21"/>
                <w:highlight w:val="none"/>
                <w:lang w:bidi="ar"/>
              </w:rPr>
              <w:t>32声道音频输入/输出；</w:t>
            </w:r>
          </w:p>
          <w:p w14:paraId="764E4EC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9、USB类型A(音频和数据导入/导出)：</w:t>
            </w:r>
            <w:r>
              <w:rPr>
                <w:rFonts w:hint="eastAsia"/>
                <w:color w:val="auto"/>
                <w:kern w:val="0"/>
                <w:sz w:val="21"/>
                <w:szCs w:val="21"/>
                <w:highlight w:val="none"/>
                <w:lang w:bidi="ar"/>
              </w:rPr>
              <w:t>≥</w:t>
            </w:r>
            <w:r>
              <w:rPr>
                <w:color w:val="auto"/>
                <w:kern w:val="0"/>
                <w:sz w:val="21"/>
                <w:szCs w:val="21"/>
                <w:highlight w:val="none"/>
                <w:lang w:bidi="ar"/>
              </w:rPr>
              <w:t>1个；</w:t>
            </w:r>
          </w:p>
          <w:p w14:paraId="00DE006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10、以太网RJ45后面板，用于控制：</w:t>
            </w:r>
            <w:r>
              <w:rPr>
                <w:rFonts w:hint="eastAsia"/>
                <w:color w:val="auto"/>
                <w:kern w:val="0"/>
                <w:sz w:val="21"/>
                <w:szCs w:val="21"/>
                <w:highlight w:val="none"/>
                <w:lang w:bidi="ar"/>
              </w:rPr>
              <w:t>≥</w:t>
            </w:r>
            <w:r>
              <w:rPr>
                <w:color w:val="auto"/>
                <w:kern w:val="0"/>
                <w:sz w:val="21"/>
                <w:szCs w:val="21"/>
                <w:highlight w:val="none"/>
                <w:lang w:bidi="ar"/>
              </w:rPr>
              <w:t>1个；</w:t>
            </w:r>
          </w:p>
          <w:p w14:paraId="4A3A150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11、主屏幕：7”日光可视显示屏，800x480分辨率，262k彩色。</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9F6131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E5F78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6BE1F0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F65D4A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BB8F23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接口箱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6E5494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1、16进8出舞台接口箱，带16个麦克风前置放大器，ULTRANET和ADAT接口；</w:t>
            </w:r>
          </w:p>
          <w:p w14:paraId="731415C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2、双AES50 Super</w:t>
            </w:r>
            <w:r>
              <w:rPr>
                <w:rFonts w:hint="eastAsia"/>
                <w:color w:val="auto"/>
                <w:kern w:val="0"/>
                <w:sz w:val="21"/>
                <w:szCs w:val="21"/>
                <w:highlight w:val="none"/>
                <w:lang w:bidi="ar"/>
              </w:rPr>
              <w:t xml:space="preserve"> </w:t>
            </w:r>
            <w:r>
              <w:rPr>
                <w:color w:val="auto"/>
                <w:kern w:val="0"/>
                <w:sz w:val="21"/>
                <w:szCs w:val="21"/>
                <w:highlight w:val="none"/>
                <w:lang w:bidi="ar"/>
              </w:rPr>
              <w:t>MAC端口，用于级联额外的舞台接口箱-无需合并器或路由器；</w:t>
            </w:r>
          </w:p>
          <w:p w14:paraId="4A57D4A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3、XLR输入：16可编程麦克风前置放大器带48V幻象电源，XLR输出：8；</w:t>
            </w:r>
          </w:p>
          <w:p w14:paraId="2CDAD4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4、AES50输入/输出通道：96/96。</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252425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BD962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C3DC0F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EEB1D2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35F870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数字音频处理器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7BB326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1、不少于12路模拟输入和8路模拟输出，并在所有输入中包含声学回声消除(AEC)技术；</w:t>
            </w:r>
          </w:p>
          <w:p w14:paraId="7CE8728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2、8路可配置USB音频通道；</w:t>
            </w:r>
          </w:p>
          <w:p w14:paraId="091E29C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3、强大的DSP多功能处理器：反馈抑制、均衡、压限、分频、滤波、矩阵，延时、电平控制器、电平表、讯号产生器等众多功能于一体RS-232串行端口；</w:t>
            </w:r>
          </w:p>
          <w:p w14:paraId="2920C57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4、配备电容式触控导航的OLED显示；</w:t>
            </w:r>
          </w:p>
          <w:p w14:paraId="4BC18D9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5、通过以太网进行系统配置和控制；</w:t>
            </w:r>
          </w:p>
          <w:p w14:paraId="60475C4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6、输入增益范围：（6dB梯层）：0dB到66dB；</w:t>
            </w:r>
          </w:p>
          <w:p w14:paraId="745B210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7、最大输出电平：+24dBu。</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08FB8D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8A54BC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688831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A4E8BF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E32498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数字电源时序器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4746E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1、支持插孔独立开关；</w:t>
            </w:r>
          </w:p>
          <w:p w14:paraId="724CB6F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2、支持监控电流总电压；</w:t>
            </w:r>
          </w:p>
          <w:p w14:paraId="2A6AD85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3、支持插孔顺序上下电，定时，延时开关机重启；</w:t>
            </w:r>
          </w:p>
          <w:p w14:paraId="68C2F62E">
            <w:pPr>
              <w:widowControl/>
              <w:spacing w:line="288" w:lineRule="auto"/>
              <w:ind w:firstLine="0" w:firstLineChars="0"/>
              <w:jc w:val="left"/>
              <w:textAlignment w:val="center"/>
              <w:rPr>
                <w:rFonts w:hint="eastAsia" w:eastAsia="宋体"/>
                <w:color w:val="auto"/>
                <w:kern w:val="0"/>
                <w:sz w:val="21"/>
                <w:szCs w:val="21"/>
                <w:highlight w:val="none"/>
                <w:lang w:eastAsia="zh-CN" w:bidi="ar"/>
              </w:rPr>
            </w:pPr>
            <w:r>
              <w:rPr>
                <w:color w:val="auto"/>
                <w:kern w:val="0"/>
                <w:sz w:val="21"/>
                <w:szCs w:val="21"/>
                <w:highlight w:val="none"/>
                <w:lang w:bidi="ar"/>
              </w:rPr>
              <w:t>4、带过流过压预警和设定</w:t>
            </w:r>
            <w:r>
              <w:rPr>
                <w:rFonts w:hint="eastAsia"/>
                <w:color w:val="auto"/>
                <w:kern w:val="0"/>
                <w:sz w:val="21"/>
                <w:szCs w:val="21"/>
                <w:highlight w:val="none"/>
                <w:lang w:eastAsia="zh-CN" w:bidi="ar"/>
              </w:rPr>
              <w:t>；</w:t>
            </w:r>
          </w:p>
          <w:p w14:paraId="1475FC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5、支持电压显示；</w:t>
            </w:r>
          </w:p>
          <w:p w14:paraId="1D84487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6、支持每路控制；开放协议，可通过网络或485或232方式对接；</w:t>
            </w:r>
          </w:p>
          <w:p w14:paraId="645CD00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7、额定输入输出电压220VAC/50HZ；</w:t>
            </w:r>
          </w:p>
          <w:p w14:paraId="01EA618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8、总输出电流</w:t>
            </w:r>
            <w:r>
              <w:rPr>
                <w:rFonts w:hint="eastAsia"/>
                <w:color w:val="auto"/>
                <w:kern w:val="0"/>
                <w:sz w:val="21"/>
                <w:szCs w:val="21"/>
                <w:highlight w:val="none"/>
                <w:lang w:bidi="ar"/>
              </w:rPr>
              <w:t>≥</w:t>
            </w:r>
            <w:r>
              <w:rPr>
                <w:color w:val="auto"/>
                <w:kern w:val="0"/>
                <w:sz w:val="21"/>
                <w:szCs w:val="21"/>
                <w:highlight w:val="none"/>
                <w:lang w:bidi="ar"/>
              </w:rPr>
              <w:t>12路</w:t>
            </w:r>
            <w:r>
              <w:rPr>
                <w:rFonts w:hint="eastAsia"/>
                <w:color w:val="auto"/>
                <w:kern w:val="0"/>
                <w:sz w:val="21"/>
                <w:szCs w:val="21"/>
                <w:highlight w:val="none"/>
                <w:lang w:eastAsia="zh-CN" w:bidi="ar"/>
              </w:rPr>
              <w:t>，</w:t>
            </w:r>
            <w:r>
              <w:rPr>
                <w:color w:val="auto"/>
                <w:kern w:val="0"/>
                <w:sz w:val="21"/>
                <w:szCs w:val="21"/>
                <w:highlight w:val="none"/>
                <w:lang w:bidi="ar"/>
              </w:rPr>
              <w:t>输出最大30A；</w:t>
            </w:r>
          </w:p>
          <w:p w14:paraId="450C580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9、单路输出电流</w:t>
            </w:r>
            <w:r>
              <w:rPr>
                <w:rFonts w:hint="eastAsia"/>
                <w:color w:val="auto"/>
                <w:kern w:val="0"/>
                <w:sz w:val="21"/>
                <w:szCs w:val="21"/>
                <w:highlight w:val="none"/>
                <w:lang w:val="en-US" w:eastAsia="zh-CN" w:bidi="ar"/>
              </w:rPr>
              <w:t>不高于</w:t>
            </w:r>
            <w:r>
              <w:rPr>
                <w:color w:val="auto"/>
                <w:kern w:val="0"/>
                <w:sz w:val="21"/>
                <w:szCs w:val="21"/>
                <w:highlight w:val="none"/>
                <w:lang w:bidi="ar"/>
              </w:rPr>
              <w:t>13A；</w:t>
            </w:r>
          </w:p>
          <w:p w14:paraId="30EB43A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10、静态功耗</w:t>
            </w:r>
            <w:r>
              <w:rPr>
                <w:rFonts w:hint="eastAsia"/>
                <w:color w:val="auto"/>
                <w:kern w:val="0"/>
                <w:sz w:val="21"/>
                <w:szCs w:val="21"/>
                <w:highlight w:val="none"/>
                <w:lang w:val="en-US" w:eastAsia="zh-CN" w:bidi="ar"/>
              </w:rPr>
              <w:t>不高于</w:t>
            </w:r>
            <w:r>
              <w:rPr>
                <w:color w:val="auto"/>
                <w:kern w:val="0"/>
                <w:sz w:val="21"/>
                <w:szCs w:val="21"/>
                <w:highlight w:val="none"/>
                <w:lang w:bidi="ar"/>
              </w:rPr>
              <w:t>7W；</w:t>
            </w:r>
          </w:p>
          <w:p w14:paraId="1A4707B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11、电源通道</w:t>
            </w:r>
            <w:r>
              <w:rPr>
                <w:rFonts w:hint="eastAsia"/>
                <w:color w:val="auto"/>
                <w:kern w:val="0"/>
                <w:sz w:val="21"/>
                <w:szCs w:val="21"/>
                <w:highlight w:val="none"/>
                <w:lang w:bidi="ar"/>
              </w:rPr>
              <w:t>≥</w:t>
            </w:r>
            <w:r>
              <w:rPr>
                <w:color w:val="auto"/>
                <w:kern w:val="0"/>
                <w:sz w:val="21"/>
                <w:szCs w:val="21"/>
                <w:highlight w:val="none"/>
                <w:lang w:bidi="ar"/>
              </w:rPr>
              <w:t>12路。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B8D896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E01B2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1C7840E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58C5AA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D47D57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数字无线手持话筒（1拖2）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FAF3E3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1、UHF频段捷变频分集式无线手持话筒系统；</w:t>
            </w:r>
          </w:p>
          <w:p w14:paraId="0DE5712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4FDBDEE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03767F6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1624090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211DB72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100A8F8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4A2D213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0B0AFA6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3099691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10、工作距离：一般≥100米；</w:t>
            </w:r>
          </w:p>
          <w:p w14:paraId="6AEC775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7397FA1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12、手持发射机：射频高功率输出≤30mW，低功率输出≥10mW，动圈式收音头≥120°心形指向性。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94049E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132A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4CB507D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FFCC7B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18</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3208B1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数字无线头戴话筒（1拖2）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73B21B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1、UHF频段捷变频分集式无线头戴话筒系统；</w:t>
            </w:r>
          </w:p>
          <w:p w14:paraId="3B9B5E2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222923F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0D4AA9F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4C9B572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3DD509A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1C7F84D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5DBF1AA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3E184BE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590B1E9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10、工作距离：无障碍≥100米；</w:t>
            </w:r>
          </w:p>
          <w:p w14:paraId="420F4DB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5200E30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12、头戴式话筒,可转向式收音支杆,能把收音头配带于左方或右方；音频连接线长≥1.4m；</w:t>
            </w:r>
          </w:p>
          <w:p w14:paraId="3D0958D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13、元件：电容式；</w:t>
            </w:r>
          </w:p>
          <w:p w14:paraId="2DCD236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14、指向性：心形指向性；</w:t>
            </w:r>
          </w:p>
          <w:p w14:paraId="1CB249F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15、输出端子：带螺旋锁定AT无线通用四针cW插口。</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75EEFB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F1C44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5AA7D20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AF7441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19</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9AA590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天线分配器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F9C7A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1、载波频率范围：470-952MHz；</w:t>
            </w:r>
          </w:p>
          <w:p w14:paraId="0624DFB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2、分配输出电平（增益）：输出端口1-4-2dB到+2dB，级联输出-1dB到+1dB；</w:t>
            </w:r>
          </w:p>
          <w:p w14:paraId="09652AB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3、绝缘输出接头：＞25dB，典型；</w:t>
            </w:r>
          </w:p>
          <w:p w14:paraId="0569969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4、3OIP：21dBm；</w:t>
            </w:r>
          </w:p>
          <w:p w14:paraId="22E7B6B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5、输入-输出交流电压，交换：100到240伏交流，50/60赫兹；</w:t>
            </w:r>
          </w:p>
          <w:p w14:paraId="4B182B8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6、输出电流：2.5安，最大值所有DC输出总值；</w:t>
            </w:r>
          </w:p>
          <w:p w14:paraId="20B790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7、直流输出：15VDC，4接头；</w:t>
            </w:r>
          </w:p>
          <w:p w14:paraId="25507F2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8、天线连接器类型：BNC，阻抗50欧。</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C2CC2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84ED06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FFE9DC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705CBC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20</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874C51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有源指向天线</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696B21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1、口类型：BNC，阻抗50欧；</w:t>
            </w:r>
          </w:p>
          <w:p w14:paraId="7D793EA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2、电源要求：来自同轴连接的10至15伏直流偏移75mA；</w:t>
            </w:r>
          </w:p>
          <w:p w14:paraId="6847AAD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3、射频频率范围：470-900MHz；</w:t>
            </w:r>
          </w:p>
          <w:p w14:paraId="123CC7C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4、接收模式：3dB波束宽度70°；</w:t>
            </w:r>
          </w:p>
          <w:p w14:paraId="2411C11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5、三阶过载交截点（OIP3）：&gt;30dBm；</w:t>
            </w:r>
          </w:p>
          <w:p w14:paraId="5975FA3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6、天线增益：在轴7.5dB；</w:t>
            </w:r>
          </w:p>
          <w:p w14:paraId="5319E4B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7、信号增益（±1dB,可切换）：+12dB,+6dB,0dB,−6dB；</w:t>
            </w:r>
          </w:p>
          <w:p w14:paraId="3CA3EEC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8、射频信号过强指示灯阈值：−5dBm。</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E6AE6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0A023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87DBDB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6FB28B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40EB55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汇报席话筒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0E28CC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与会议话筒同档次；</w:t>
            </w:r>
          </w:p>
          <w:p w14:paraId="593EDCD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1、双鹅颈式话筒；</w:t>
            </w:r>
          </w:p>
          <w:p w14:paraId="2608D9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2、指向特性：心型单指向性；</w:t>
            </w:r>
          </w:p>
          <w:p w14:paraId="534C734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3、频率响应：100Hz～16000Hz；</w:t>
            </w:r>
          </w:p>
          <w:p w14:paraId="687867C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5、开路灵敏度：-43dB；</w:t>
            </w:r>
          </w:p>
          <w:p w14:paraId="0453716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6、阻抗：≥250Ω；</w:t>
            </w:r>
          </w:p>
          <w:p w14:paraId="2A55A0C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7、最大输入声压级：≥1</w:t>
            </w:r>
            <w:r>
              <w:rPr>
                <w:rFonts w:hint="eastAsia"/>
                <w:color w:val="auto"/>
                <w:kern w:val="0"/>
                <w:sz w:val="21"/>
                <w:szCs w:val="21"/>
                <w:highlight w:val="none"/>
                <w:lang w:bidi="ar"/>
              </w:rPr>
              <w:t>3</w:t>
            </w:r>
            <w:r>
              <w:rPr>
                <w:color w:val="auto"/>
                <w:kern w:val="0"/>
                <w:sz w:val="21"/>
                <w:szCs w:val="21"/>
                <w:highlight w:val="none"/>
                <w:lang w:bidi="ar"/>
              </w:rPr>
              <w:t>0dB；</w:t>
            </w:r>
          </w:p>
          <w:p w14:paraId="63D68B4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8、信噪比：&gt;65dB；</w:t>
            </w:r>
          </w:p>
          <w:p w14:paraId="53BB733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9、幻象供电：48V；</w:t>
            </w:r>
          </w:p>
          <w:p w14:paraId="3E2A882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10、开关：按钮式控制开启/静音。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D4F3E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16E0D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1A40B0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23E867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BACB48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会议系统控制主机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52767B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1、支持双机热备份模式功能，可把主机设为热备份模式级联进行系统备份；</w:t>
            </w:r>
          </w:p>
          <w:p w14:paraId="55843AB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2、具备“手拉手”连接和环路连接多种方式，便于安装和维护；</w:t>
            </w:r>
          </w:p>
          <w:p w14:paraId="24F2E59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3、主机可支持分别调节每个会议单元的输出增益，并可设定设置音频调节锁定；</w:t>
            </w:r>
          </w:p>
          <w:p w14:paraId="4B3504C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4、内置环境噪音消除器、数字均衡电路、自适应反馈抑器，可有效消除本地噪声，大幅提升会场声压级，有效防止啸叫；</w:t>
            </w:r>
          </w:p>
          <w:p w14:paraId="1146E4B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5、采用6芯DIN带双屏蔽线缆或超六类带屏蔽网线连接，有效防止线路电磁干扰；</w:t>
            </w:r>
          </w:p>
          <w:p w14:paraId="6B653F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4.3英寸真彩色触摸屏，内嵌式Linux系统，中文操作界面；</w:t>
            </w:r>
          </w:p>
          <w:p w14:paraId="58D5667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7、可触摸设置会议模式、系统音量调节、话筒管理、单元编号、摄像机参数、视像跟踪设置和灯环设置等功能；</w:t>
            </w:r>
          </w:p>
          <w:p w14:paraId="27FAEBB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8、会议模式：自由模式、轮替模式、限制模式、声控模式、PTT模式、VIP模式；</w:t>
            </w:r>
          </w:p>
          <w:p w14:paraId="3D4128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9、具有USB录音功能，可对会议进行录音；</w:t>
            </w:r>
          </w:p>
          <w:p w14:paraId="70724A6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10、频率响应：20Hz～20kHz；</w:t>
            </w:r>
          </w:p>
          <w:p w14:paraId="50FB6F4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11、总谐波失真：小于0.1%。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6F758A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0850E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DC2E69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8DEB26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3E9446A">
            <w:pPr>
              <w:widowControl/>
              <w:spacing w:line="288" w:lineRule="auto"/>
              <w:ind w:firstLine="0" w:firstLineChars="0"/>
              <w:jc w:val="left"/>
              <w:textAlignment w:val="center"/>
              <w:rPr>
                <w:rFonts w:hint="eastAsia" w:eastAsia="宋体"/>
                <w:color w:val="auto"/>
                <w:sz w:val="21"/>
                <w:szCs w:val="21"/>
                <w:highlight w:val="none"/>
                <w:lang w:eastAsia="zh-CN"/>
              </w:rPr>
            </w:pPr>
            <w:r>
              <w:rPr>
                <w:color w:val="auto"/>
                <w:kern w:val="0"/>
                <w:sz w:val="21"/>
                <w:szCs w:val="21"/>
                <w:highlight w:val="none"/>
                <w:lang w:bidi="ar"/>
              </w:rPr>
              <w:t>手拉手桌面话筒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75471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1、GSM抗扰，免受移动电话的干扰；</w:t>
            </w:r>
          </w:p>
          <w:p w14:paraId="6DB1417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2、话筒灵敏度可独立调节，针对不同发言者的声音特点调节音量；</w:t>
            </w:r>
          </w:p>
          <w:p w14:paraId="3879793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3、话筒可调仰角范围≥60°；</w:t>
            </w:r>
          </w:p>
          <w:p w14:paraId="248EB32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4、话筒类型：短杆方管电容话筒，20mm音头；</w:t>
            </w:r>
          </w:p>
          <w:p w14:paraId="314D8DD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5、指向性：超心型；</w:t>
            </w:r>
          </w:p>
          <w:p w14:paraId="0B6C9CE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6、灵敏度：-30dB(±1dB)；</w:t>
            </w:r>
          </w:p>
          <w:p w14:paraId="3F3E97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7、频率响应：20Hz至20kHz；</w:t>
            </w:r>
          </w:p>
          <w:p w14:paraId="3CD2A30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8、动态范围：≥120dB；</w:t>
            </w:r>
          </w:p>
          <w:p w14:paraId="3528E34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9、信噪比：≥79dB，A计权；</w:t>
            </w:r>
          </w:p>
          <w:p w14:paraId="3A6E501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10、等效噪声：≤15dB；</w:t>
            </w:r>
          </w:p>
          <w:p w14:paraId="2FCDB5F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11、最大输入声压级：≥130dBSPL</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1C16E9">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69269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15</w:t>
            </w:r>
          </w:p>
        </w:tc>
      </w:tr>
      <w:tr w14:paraId="39C12A1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560687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38F50C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返听音箱地插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8AA649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1、类型：地插盒；</w:t>
            </w:r>
          </w:p>
          <w:p w14:paraId="4116B8A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2、接口：音箱四芯插一个；</w:t>
            </w:r>
          </w:p>
          <w:p w14:paraId="42E4627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3、面板材质：铜；</w:t>
            </w:r>
          </w:p>
          <w:p w14:paraId="68FF989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4、底盒材质：全金属。</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5A84095">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D8185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r>
      <w:tr w14:paraId="04BC66D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A3A8E0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AA4EF5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会议话筒线地插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CA3D12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1、类型：地插盒；</w:t>
            </w:r>
          </w:p>
          <w:p w14:paraId="5573838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2、接口：话筒插座一个；</w:t>
            </w:r>
          </w:p>
          <w:p w14:paraId="21802BB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3、面板材质：铜；</w:t>
            </w:r>
          </w:p>
          <w:p w14:paraId="6E7BDEA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4、底盒材质：全金属。</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16E2E95">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E0E99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FEC77B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0209034">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（三）</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4FDA608">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集中控制及视频矩阵</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1B554212">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BA4E963">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460935">
            <w:pPr>
              <w:widowControl/>
              <w:spacing w:line="288" w:lineRule="auto"/>
              <w:ind w:firstLine="0" w:firstLineChars="0"/>
              <w:jc w:val="center"/>
              <w:rPr>
                <w:b/>
                <w:bCs/>
                <w:color w:val="auto"/>
                <w:sz w:val="21"/>
                <w:szCs w:val="21"/>
                <w:highlight w:val="none"/>
              </w:rPr>
            </w:pPr>
          </w:p>
        </w:tc>
      </w:tr>
      <w:tr w14:paraId="36FA7D5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C43045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0CC0D2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多媒体智能IOT平台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7885F4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1、不少于2个总线接口；</w:t>
            </w:r>
          </w:p>
          <w:p w14:paraId="194FAE6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2、不少于2个10/100LAN接口；</w:t>
            </w:r>
          </w:p>
          <w:p w14:paraId="6D021E8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3、不少于8个数字I/O端口；</w:t>
            </w:r>
          </w:p>
          <w:p w14:paraId="523EDC3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4、不少于8路RS232双向端口；</w:t>
            </w:r>
          </w:p>
          <w:p w14:paraId="671FEB2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5、不少于8路红外/串行输出端口；</w:t>
            </w:r>
          </w:p>
          <w:p w14:paraId="75D7C42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6、不少于8路弱电继电器端口；</w:t>
            </w:r>
          </w:p>
          <w:p w14:paraId="702C8F7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7、具有内置网页服务器功能；</w:t>
            </w:r>
          </w:p>
          <w:p w14:paraId="71E8AF3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8、具有支持HTML及JAVA的功能；</w:t>
            </w:r>
          </w:p>
          <w:p w14:paraId="623CE7F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9、具有可将触摸屏界面变成网页的功能；</w:t>
            </w:r>
          </w:p>
          <w:p w14:paraId="7C15862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10、具备4G物联网功能，实现远程状态查询、周边环境控制。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8DEE07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674E8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46993D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B23C6B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91D511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多媒体中控</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399988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根据用户需求及会议场景内可控设备数量工程师现场编写程序含灯光回路控制、电动窗帘控制、音视频场景模式控制，可根据用户习惯编制定制化程序软件。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1DAEFA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67A12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2D5C05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18F4FD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CD8A73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拼接矩阵</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6D37D1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1、支持矩阵无缝切换；</w:t>
            </w:r>
          </w:p>
          <w:p w14:paraId="427996A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w:t>
            </w:r>
            <w:r>
              <w:rPr>
                <w:rFonts w:hint="eastAsia"/>
                <w:color w:val="auto"/>
                <w:kern w:val="0"/>
                <w:sz w:val="21"/>
                <w:szCs w:val="21"/>
                <w:highlight w:val="none"/>
                <w:lang w:bidi="ar"/>
              </w:rPr>
              <w:t>≥</w:t>
            </w:r>
            <w:r>
              <w:rPr>
                <w:color w:val="auto"/>
                <w:kern w:val="0"/>
                <w:sz w:val="21"/>
                <w:szCs w:val="21"/>
                <w:highlight w:val="none"/>
                <w:lang w:bidi="ar"/>
              </w:rPr>
              <w:t>8路HDMI输入，</w:t>
            </w:r>
            <w:r>
              <w:rPr>
                <w:rFonts w:hint="eastAsia"/>
                <w:color w:val="auto"/>
                <w:kern w:val="0"/>
                <w:sz w:val="21"/>
                <w:szCs w:val="21"/>
                <w:highlight w:val="none"/>
                <w:lang w:bidi="ar"/>
              </w:rPr>
              <w:t>≥</w:t>
            </w:r>
            <w:r>
              <w:rPr>
                <w:color w:val="auto"/>
                <w:kern w:val="0"/>
                <w:sz w:val="21"/>
                <w:szCs w:val="21"/>
                <w:highlight w:val="none"/>
                <w:lang w:bidi="ar"/>
              </w:rPr>
              <w:t>8路HDMI输出，</w:t>
            </w:r>
            <w:r>
              <w:rPr>
                <w:rFonts w:hint="eastAsia"/>
                <w:color w:val="auto"/>
                <w:kern w:val="0"/>
                <w:sz w:val="21"/>
                <w:szCs w:val="21"/>
                <w:highlight w:val="none"/>
                <w:lang w:bidi="ar"/>
              </w:rPr>
              <w:t>≥</w:t>
            </w:r>
            <w:r>
              <w:rPr>
                <w:color w:val="auto"/>
                <w:kern w:val="0"/>
                <w:sz w:val="21"/>
                <w:szCs w:val="21"/>
                <w:highlight w:val="none"/>
                <w:lang w:bidi="ar"/>
              </w:rPr>
              <w:t>8路3.5mm音频独立输出；</w:t>
            </w:r>
          </w:p>
          <w:p w14:paraId="2D7EF97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3、支持电视墙拼接功能；</w:t>
            </w:r>
          </w:p>
          <w:p w14:paraId="0721AB9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4、输出支持画面分割功能；</w:t>
            </w:r>
          </w:p>
          <w:p w14:paraId="747A5D6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5、支持输入输出信号状态监测功能。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D3853D">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7AFE9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317082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6C138F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F1B26D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有线控制终端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C123D1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1、至少10英寸有线嵌墙式触摸屏；</w:t>
            </w:r>
          </w:p>
          <w:p w14:paraId="066E5D4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2、物理分辨率不小于1280x800；</w:t>
            </w:r>
          </w:p>
          <w:p w14:paraId="16B959C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3、显示比例16：10；</w:t>
            </w:r>
          </w:p>
          <w:p w14:paraId="5DA21F0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4、存储：不劣于2GB内存，不劣于16GB闪存；</w:t>
            </w:r>
          </w:p>
          <w:p w14:paraId="4711E9C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5、至少1个USB2.0接口，至少1个RJ-45以太网口。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D280C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81ED9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D6E2C4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15DBBE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399B12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无线控制屏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2F582E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1、处理器主频：</w:t>
            </w:r>
            <w:r>
              <w:rPr>
                <w:rFonts w:hint="eastAsia"/>
                <w:color w:val="auto"/>
                <w:kern w:val="0"/>
                <w:sz w:val="21"/>
                <w:szCs w:val="21"/>
                <w:highlight w:val="none"/>
                <w:lang w:val="en-US" w:eastAsia="zh-CN" w:bidi="ar"/>
              </w:rPr>
              <w:t>不低于</w:t>
            </w:r>
            <w:r>
              <w:rPr>
                <w:color w:val="auto"/>
                <w:kern w:val="0"/>
                <w:sz w:val="21"/>
                <w:szCs w:val="21"/>
                <w:highlight w:val="none"/>
                <w:lang w:bidi="ar"/>
              </w:rPr>
              <w:t>2×A762.27GHz+6×A551.88GHz、6GB+128GB；</w:t>
            </w:r>
          </w:p>
          <w:p w14:paraId="523C110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w:t>
            </w:r>
            <w:r>
              <w:rPr>
                <w:rFonts w:hint="eastAsia"/>
                <w:color w:val="auto"/>
                <w:kern w:val="0"/>
                <w:sz w:val="21"/>
                <w:szCs w:val="21"/>
                <w:highlight w:val="none"/>
                <w:lang w:bidi="ar"/>
              </w:rPr>
              <w:t>≥</w:t>
            </w:r>
            <w:r>
              <w:rPr>
                <w:color w:val="auto"/>
                <w:kern w:val="0"/>
                <w:sz w:val="21"/>
                <w:szCs w:val="21"/>
                <w:highlight w:val="none"/>
                <w:lang w:bidi="ar"/>
              </w:rPr>
              <w:t>2.27GHz；</w:t>
            </w:r>
          </w:p>
          <w:p w14:paraId="017CCF0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3、处理器核心：</w:t>
            </w:r>
            <w:r>
              <w:rPr>
                <w:rFonts w:hint="eastAsia"/>
                <w:color w:val="auto"/>
                <w:kern w:val="0"/>
                <w:sz w:val="21"/>
                <w:szCs w:val="21"/>
                <w:highlight w:val="none"/>
                <w:lang w:val="en-US" w:eastAsia="zh-CN" w:bidi="ar"/>
              </w:rPr>
              <w:t>不低于</w:t>
            </w:r>
            <w:r>
              <w:rPr>
                <w:color w:val="auto"/>
                <w:kern w:val="0"/>
                <w:sz w:val="21"/>
                <w:szCs w:val="21"/>
                <w:highlight w:val="none"/>
                <w:lang w:bidi="ar"/>
              </w:rPr>
              <w:t>八核；</w:t>
            </w:r>
          </w:p>
          <w:p w14:paraId="605056B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4、屏幕尺寸</w:t>
            </w:r>
            <w:r>
              <w:rPr>
                <w:rFonts w:hint="eastAsia"/>
                <w:color w:val="auto"/>
                <w:kern w:val="0"/>
                <w:sz w:val="21"/>
                <w:szCs w:val="21"/>
                <w:highlight w:val="none"/>
                <w:lang w:bidi="ar"/>
              </w:rPr>
              <w:t>≥</w:t>
            </w:r>
            <w:r>
              <w:rPr>
                <w:color w:val="auto"/>
                <w:kern w:val="0"/>
                <w:sz w:val="21"/>
                <w:szCs w:val="21"/>
                <w:highlight w:val="none"/>
                <w:lang w:bidi="ar"/>
              </w:rPr>
              <w:t>11.5英寸；</w:t>
            </w:r>
          </w:p>
          <w:p w14:paraId="3CCCF3B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5、屏幕分辨率：2000x1200。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7FAAA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4CE6F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4B270D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C2C59ED">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（四）</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B5D7376">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会议预约发布系统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C705A15">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52B23A">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C44D397">
            <w:pPr>
              <w:widowControl/>
              <w:spacing w:line="288" w:lineRule="auto"/>
              <w:ind w:firstLine="0" w:firstLineChars="0"/>
              <w:jc w:val="center"/>
              <w:rPr>
                <w:b/>
                <w:bCs/>
                <w:color w:val="auto"/>
                <w:sz w:val="21"/>
                <w:szCs w:val="21"/>
                <w:highlight w:val="none"/>
              </w:rPr>
            </w:pPr>
          </w:p>
        </w:tc>
      </w:tr>
      <w:tr w14:paraId="1C95EEB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ACAFB9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F0CC47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信息发布终端（会议发布）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FE39C7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高清显示：</w:t>
            </w:r>
            <w:r>
              <w:rPr>
                <w:rFonts w:hint="eastAsia"/>
                <w:color w:val="auto"/>
                <w:kern w:val="0"/>
                <w:sz w:val="21"/>
                <w:szCs w:val="21"/>
                <w:highlight w:val="none"/>
                <w:lang w:bidi="ar"/>
              </w:rPr>
              <w:t>≥</w:t>
            </w:r>
            <w:r>
              <w:rPr>
                <w:color w:val="auto"/>
                <w:kern w:val="0"/>
                <w:sz w:val="21"/>
                <w:szCs w:val="21"/>
                <w:highlight w:val="none"/>
                <w:lang w:bidi="ar"/>
              </w:rPr>
              <w:t>21.5寸原装A+级高分辨率IPS面板；</w:t>
            </w:r>
          </w:p>
          <w:p w14:paraId="43514D5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物理分辨率：≥1920*1080；</w:t>
            </w:r>
          </w:p>
          <w:p w14:paraId="640587E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硬件配置：嵌入式四核64位处理器，CPU主频≥1.8Ghz；运行内存≥2GB，存储空间≥16G；</w:t>
            </w:r>
          </w:p>
          <w:p w14:paraId="7805EF2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声音输出：内置</w:t>
            </w:r>
            <w:r>
              <w:rPr>
                <w:rFonts w:hint="eastAsia"/>
                <w:color w:val="auto"/>
                <w:kern w:val="0"/>
                <w:sz w:val="21"/>
                <w:szCs w:val="21"/>
                <w:highlight w:val="none"/>
                <w:lang w:bidi="ar"/>
              </w:rPr>
              <w:t>≥</w:t>
            </w:r>
            <w:r>
              <w:rPr>
                <w:color w:val="auto"/>
                <w:kern w:val="0"/>
                <w:sz w:val="21"/>
                <w:szCs w:val="21"/>
                <w:highlight w:val="none"/>
                <w:lang w:bidi="ar"/>
              </w:rPr>
              <w:t>2*2W高保真喇叭输出；</w:t>
            </w:r>
          </w:p>
          <w:p w14:paraId="016E6B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网络支持：10/100M自适应以太网卡，支持 802.11b/g/n的WIFI无线网卡,支持扩展全网通4G网络模块；</w:t>
            </w:r>
          </w:p>
          <w:p w14:paraId="4FA2DF1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数据接口：RJ45以太网接口≥1个，USB接口≥2个，TF卡扩展插槽≥1个；</w:t>
            </w:r>
          </w:p>
          <w:p w14:paraId="1BBFCA9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w:t>
            </w:r>
            <w:r>
              <w:rPr>
                <w:rFonts w:hint="eastAsia"/>
                <w:color w:val="auto"/>
                <w:kern w:val="0"/>
                <w:sz w:val="21"/>
                <w:szCs w:val="21"/>
                <w:highlight w:val="none"/>
                <w:lang w:bidi="ar"/>
              </w:rPr>
              <w:t>、</w:t>
            </w:r>
            <w:r>
              <w:rPr>
                <w:color w:val="auto"/>
                <w:kern w:val="0"/>
                <w:sz w:val="21"/>
                <w:szCs w:val="21"/>
                <w:highlight w:val="none"/>
                <w:lang w:bidi="ar"/>
              </w:rPr>
              <w:t>供电方式：12V DC供电；</w:t>
            </w:r>
          </w:p>
          <w:p w14:paraId="6138127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w:t>
            </w:r>
            <w:r>
              <w:rPr>
                <w:rFonts w:hint="eastAsia"/>
                <w:color w:val="auto"/>
                <w:kern w:val="0"/>
                <w:sz w:val="21"/>
                <w:szCs w:val="21"/>
                <w:highlight w:val="none"/>
                <w:lang w:bidi="ar"/>
              </w:rPr>
              <w:t>、</w:t>
            </w:r>
            <w:r>
              <w:rPr>
                <w:color w:val="auto"/>
                <w:kern w:val="0"/>
                <w:sz w:val="21"/>
                <w:szCs w:val="21"/>
                <w:highlight w:val="none"/>
                <w:lang w:bidi="ar"/>
              </w:rPr>
              <w:t>安装方式：支持壁挂安装，嵌入式安装和桌面安装。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37E29B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1D22E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A8B26A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00A9831">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（五）</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D9CCAA4">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会议录播以及视频会议系统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A4FEA6C">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F2742">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78D707">
            <w:pPr>
              <w:widowControl/>
              <w:spacing w:line="288" w:lineRule="auto"/>
              <w:ind w:firstLine="0" w:firstLineChars="0"/>
              <w:jc w:val="center"/>
              <w:rPr>
                <w:b/>
                <w:bCs/>
                <w:color w:val="auto"/>
                <w:sz w:val="21"/>
                <w:szCs w:val="21"/>
                <w:highlight w:val="none"/>
              </w:rPr>
            </w:pPr>
          </w:p>
        </w:tc>
      </w:tr>
      <w:tr w14:paraId="2B75B4B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9D4E19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8E6183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4K互动录播主机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AC0945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1、录播主机必须支持会议录制、视频会议、互动终端、可编中控、无缝矩阵、音频处理六大功能于一体；</w:t>
            </w:r>
          </w:p>
          <w:p w14:paraId="2A6A45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2、视频</w:t>
            </w:r>
            <w:r>
              <w:rPr>
                <w:rFonts w:hint="eastAsia"/>
                <w:color w:val="auto"/>
                <w:kern w:val="0"/>
                <w:sz w:val="21"/>
                <w:szCs w:val="21"/>
                <w:highlight w:val="none"/>
                <w:lang w:val="en-US" w:eastAsia="zh-CN" w:bidi="ar"/>
              </w:rPr>
              <w:t>接</w:t>
            </w:r>
            <w:r>
              <w:rPr>
                <w:color w:val="auto"/>
                <w:kern w:val="0"/>
                <w:sz w:val="21"/>
                <w:szCs w:val="21"/>
                <w:highlight w:val="none"/>
                <w:lang w:bidi="ar"/>
              </w:rPr>
              <w:t>入：支持不少于8路输入接口（3G/HD-SDI输入≥4路、≥2路HDMI输入接口，其中1路支持4K输入，≥2路VGA/分量复用输入）；</w:t>
            </w:r>
          </w:p>
          <w:p w14:paraId="3029E1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3、视频输出：不少于3路高清输出（≥2路HDMI输出，1路支持4K输出；≥1路VGA1080P输出）；</w:t>
            </w:r>
          </w:p>
          <w:p w14:paraId="0BD4300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4、音频端口：≥2路MIC输入（支持幻象供电），线路输入/输出：≥3/3。</w:t>
            </w:r>
          </w:p>
          <w:p w14:paraId="31483DF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5、控制端口：≥5路RS232/485，≥2路IR；≥2路IO；≥4USB（可USB外置光驱进行音视频实时刻录，键盘鼠标操作GUI管理界面，U盘文件下载）；≥1路LAN；</w:t>
            </w:r>
          </w:p>
          <w:p w14:paraId="1D7598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6、存储：≥2T硬盘存储；</w:t>
            </w:r>
          </w:p>
          <w:p w14:paraId="6FFAD99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4DC1B2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D1E7DE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0A5FEEA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F3C7CD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CF3309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4K会议摄像机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7305D2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1、成像元器件：≥1/2.5英寸 CMOS传感器；</w:t>
            </w:r>
          </w:p>
          <w:p w14:paraId="007132B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2、传感器有效像素：不低于850万像素；</w:t>
            </w:r>
          </w:p>
          <w:p w14:paraId="28439D8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3、光学变焦：≥30倍；</w:t>
            </w:r>
          </w:p>
          <w:p w14:paraId="7B439C3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4、视频输出：3G-SDIx1、HDMIx1、LANx1。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13AF79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25E03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48CCD6B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B91B22">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（六）</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F4B502F">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灯光及窗帘系统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BFD2232">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EF3551">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D7EFB5">
            <w:pPr>
              <w:widowControl/>
              <w:spacing w:line="288" w:lineRule="auto"/>
              <w:ind w:firstLine="0" w:firstLineChars="0"/>
              <w:jc w:val="center"/>
              <w:rPr>
                <w:b/>
                <w:bCs/>
                <w:color w:val="auto"/>
                <w:sz w:val="21"/>
                <w:szCs w:val="21"/>
                <w:highlight w:val="none"/>
              </w:rPr>
            </w:pPr>
          </w:p>
        </w:tc>
      </w:tr>
      <w:tr w14:paraId="222D5C7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D89C88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B1EF9A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嵌入式LED电动翻转面板会议灯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FB27EB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1、功率：</w:t>
            </w:r>
            <w:r>
              <w:rPr>
                <w:rFonts w:hint="eastAsia"/>
                <w:color w:val="auto"/>
                <w:kern w:val="0"/>
                <w:sz w:val="21"/>
                <w:szCs w:val="21"/>
                <w:highlight w:val="none"/>
                <w:lang w:bidi="ar"/>
              </w:rPr>
              <w:t>≥</w:t>
            </w:r>
            <w:r>
              <w:rPr>
                <w:color w:val="auto"/>
                <w:kern w:val="0"/>
                <w:sz w:val="21"/>
                <w:szCs w:val="21"/>
                <w:highlight w:val="none"/>
                <w:lang w:bidi="ar"/>
              </w:rPr>
              <w:t>300W；</w:t>
            </w:r>
          </w:p>
          <w:p w14:paraId="380D380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2、光源：高显高亮LED贴片灯珠；</w:t>
            </w:r>
          </w:p>
          <w:p w14:paraId="0E2E58A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3、显色指数：Ra≥90；</w:t>
            </w:r>
          </w:p>
          <w:p w14:paraId="143169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4、光束角度：</w:t>
            </w:r>
            <w:r>
              <w:rPr>
                <w:rFonts w:hint="eastAsia"/>
                <w:color w:val="auto"/>
                <w:kern w:val="0"/>
                <w:sz w:val="21"/>
                <w:szCs w:val="21"/>
                <w:highlight w:val="none"/>
                <w:lang w:bidi="ar"/>
              </w:rPr>
              <w:t>≥</w:t>
            </w:r>
            <w:r>
              <w:rPr>
                <w:color w:val="auto"/>
                <w:kern w:val="0"/>
                <w:sz w:val="21"/>
                <w:szCs w:val="21"/>
                <w:highlight w:val="none"/>
                <w:lang w:bidi="ar"/>
              </w:rPr>
              <w:t>120°；</w:t>
            </w:r>
          </w:p>
          <w:p w14:paraId="337A028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5、色温：3200K/5600K可选；</w:t>
            </w:r>
          </w:p>
          <w:p w14:paraId="64EC51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6、中心照度：≥644Lux/3米；</w:t>
            </w:r>
          </w:p>
          <w:p w14:paraId="55582A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7、翻转角度：电动调节翻转0～60度；</w:t>
            </w:r>
          </w:p>
          <w:p w14:paraId="646E89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8、调焦：采用电动马达传送皮带翻转调焦；</w:t>
            </w:r>
          </w:p>
          <w:p w14:paraId="62A7D95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9、调光：DMX512调光模式，独立电子线性调光，</w:t>
            </w:r>
            <w:r>
              <w:rPr>
                <w:rFonts w:hint="eastAsia"/>
                <w:color w:val="auto"/>
                <w:kern w:val="0"/>
                <w:sz w:val="21"/>
                <w:szCs w:val="21"/>
                <w:highlight w:val="none"/>
                <w:lang w:bidi="ar"/>
              </w:rPr>
              <w:t>≥</w:t>
            </w:r>
            <w:r>
              <w:rPr>
                <w:color w:val="auto"/>
                <w:kern w:val="0"/>
                <w:sz w:val="21"/>
                <w:szCs w:val="21"/>
                <w:highlight w:val="none"/>
                <w:lang w:bidi="ar"/>
              </w:rPr>
              <w:t>65535位级别的曲线调光模式；</w:t>
            </w:r>
          </w:p>
          <w:p w14:paraId="5EA0389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10、冷却系统：铝型材散热器，无风机设计</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B18B5C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10F3D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10</w:t>
            </w:r>
          </w:p>
        </w:tc>
      </w:tr>
      <w:tr w14:paraId="0156950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0B77E8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400CDC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嵌入式LED面板会议灯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ABE49BF">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1、功率：</w:t>
            </w:r>
            <w:r>
              <w:rPr>
                <w:rFonts w:hint="eastAsia"/>
                <w:color w:val="auto"/>
                <w:kern w:val="0"/>
                <w:sz w:val="21"/>
                <w:szCs w:val="21"/>
                <w:highlight w:val="none"/>
                <w:lang w:bidi="ar"/>
              </w:rPr>
              <w:t>≥</w:t>
            </w:r>
            <w:r>
              <w:rPr>
                <w:color w:val="auto"/>
                <w:kern w:val="0"/>
                <w:sz w:val="21"/>
                <w:szCs w:val="21"/>
                <w:highlight w:val="none"/>
                <w:lang w:bidi="ar"/>
              </w:rPr>
              <w:t>300W；</w:t>
            </w:r>
          </w:p>
          <w:p w14:paraId="4D1CD2C0">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2、</w:t>
            </w:r>
            <w:r>
              <w:rPr>
                <w:color w:val="auto"/>
                <w:kern w:val="0"/>
                <w:sz w:val="21"/>
                <w:szCs w:val="21"/>
                <w:highlight w:val="none"/>
                <w:lang w:bidi="ar"/>
              </w:rPr>
              <w:t>光源规格：投光角度：</w:t>
            </w:r>
            <w:r>
              <w:rPr>
                <w:rFonts w:hint="eastAsia"/>
                <w:color w:val="auto"/>
                <w:kern w:val="0"/>
                <w:sz w:val="21"/>
                <w:szCs w:val="21"/>
                <w:highlight w:val="none"/>
                <w:lang w:bidi="ar"/>
              </w:rPr>
              <w:t>≥</w:t>
            </w:r>
            <w:r>
              <w:rPr>
                <w:color w:val="auto"/>
                <w:kern w:val="0"/>
                <w:sz w:val="21"/>
                <w:szCs w:val="21"/>
                <w:highlight w:val="none"/>
                <w:lang w:bidi="ar"/>
              </w:rPr>
              <w:t>120°；高显高亮LED贴片灯珠</w:t>
            </w:r>
          </w:p>
          <w:p w14:paraId="4F23D4EB">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3</w:t>
            </w:r>
            <w:r>
              <w:rPr>
                <w:color w:val="auto"/>
                <w:kern w:val="0"/>
                <w:sz w:val="21"/>
                <w:szCs w:val="21"/>
                <w:highlight w:val="none"/>
                <w:lang w:bidi="ar"/>
              </w:rPr>
              <w:t>、光源寿命：≥20000小时；</w:t>
            </w:r>
          </w:p>
          <w:p w14:paraId="24A31205">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4</w:t>
            </w:r>
            <w:r>
              <w:rPr>
                <w:color w:val="auto"/>
                <w:kern w:val="0"/>
                <w:sz w:val="21"/>
                <w:szCs w:val="21"/>
                <w:highlight w:val="none"/>
                <w:lang w:bidi="ar"/>
              </w:rPr>
              <w:t>、色温：3200K±150K-5600K±150K；</w:t>
            </w:r>
          </w:p>
          <w:p w14:paraId="1CDFE69A">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5</w:t>
            </w:r>
            <w:r>
              <w:rPr>
                <w:color w:val="auto"/>
                <w:kern w:val="0"/>
                <w:sz w:val="21"/>
                <w:szCs w:val="21"/>
                <w:highlight w:val="none"/>
                <w:lang w:bidi="ar"/>
              </w:rPr>
              <w:t>、显性指数：Ra＞90，发光均匀，亮度高；</w:t>
            </w:r>
          </w:p>
          <w:p w14:paraId="69A6CC0F">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6</w:t>
            </w:r>
            <w:r>
              <w:rPr>
                <w:color w:val="auto"/>
                <w:kern w:val="0"/>
                <w:sz w:val="21"/>
                <w:szCs w:val="21"/>
                <w:highlight w:val="none"/>
                <w:lang w:bidi="ar"/>
              </w:rPr>
              <w:t>、控制协议：不少于三种协议，包含支持手动旋钮直接调光，同时兼容DMX512和RDM协议，可通过电信号远距离修改灯具的数值；</w:t>
            </w:r>
          </w:p>
          <w:p w14:paraId="0D016F55">
            <w:pPr>
              <w:widowControl/>
              <w:spacing w:line="288" w:lineRule="auto"/>
              <w:ind w:firstLine="0" w:firstLineChars="0"/>
              <w:jc w:val="left"/>
              <w:textAlignment w:val="center"/>
              <w:rPr>
                <w:color w:val="auto"/>
                <w:sz w:val="21"/>
                <w:szCs w:val="21"/>
                <w:highlight w:val="none"/>
              </w:rPr>
            </w:pPr>
            <w:r>
              <w:rPr>
                <w:rFonts w:hint="eastAsia"/>
                <w:color w:val="auto"/>
                <w:kern w:val="0"/>
                <w:sz w:val="21"/>
                <w:szCs w:val="21"/>
                <w:highlight w:val="none"/>
                <w:lang w:bidi="ar"/>
              </w:rPr>
              <w:t>7</w:t>
            </w:r>
            <w:r>
              <w:rPr>
                <w:color w:val="auto"/>
                <w:kern w:val="0"/>
                <w:sz w:val="21"/>
                <w:szCs w:val="21"/>
                <w:highlight w:val="none"/>
                <w:lang w:bidi="ar"/>
              </w:rPr>
              <w:t>、散热系统：无风机自然散热设计，纯静音</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E41BC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2DE98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10</w:t>
            </w:r>
          </w:p>
        </w:tc>
      </w:tr>
      <w:tr w14:paraId="41646CE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A55902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D5C2EA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8路信号放大器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E33867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1、路数：≥8路三芯输出，≥8路独立的变压器供电设计，每路输入/输出均带光电隔离，信号放大功能；</w:t>
            </w:r>
          </w:p>
          <w:p w14:paraId="341CFA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2、面板设计：输入/输出端口后置设计，前面板带有信号指示灯；</w:t>
            </w:r>
          </w:p>
          <w:p w14:paraId="364CBE6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3、安装要求：支持标准型网络机柜安装</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858010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F11A7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B848D7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448AB5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65BC67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DMX专业控制台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6FA196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1、信号输出：≥1024个DMX控制通道，≥4路光电隔离信号输出；</w:t>
            </w:r>
          </w:p>
          <w:p w14:paraId="5FB3ACE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2、内置图形轨迹发生器，有</w:t>
            </w:r>
            <w:r>
              <w:rPr>
                <w:rFonts w:hint="eastAsia"/>
                <w:color w:val="auto"/>
                <w:kern w:val="0"/>
                <w:sz w:val="21"/>
                <w:szCs w:val="21"/>
                <w:highlight w:val="none"/>
                <w:lang w:bidi="ar"/>
              </w:rPr>
              <w:t>≥</w:t>
            </w:r>
            <w:r>
              <w:rPr>
                <w:color w:val="auto"/>
                <w:kern w:val="0"/>
                <w:sz w:val="21"/>
                <w:szCs w:val="21"/>
                <w:highlight w:val="none"/>
                <w:lang w:bidi="ar"/>
              </w:rPr>
              <w:t>135个内置图形；</w:t>
            </w:r>
          </w:p>
          <w:p w14:paraId="5408313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3、每个场景可保存图形数量</w:t>
            </w:r>
            <w:r>
              <w:rPr>
                <w:rFonts w:hint="eastAsia"/>
                <w:color w:val="auto"/>
                <w:kern w:val="0"/>
                <w:sz w:val="21"/>
                <w:szCs w:val="21"/>
                <w:highlight w:val="none"/>
                <w:lang w:bidi="ar"/>
              </w:rPr>
              <w:t>≥</w:t>
            </w:r>
            <w:r>
              <w:rPr>
                <w:color w:val="auto"/>
                <w:kern w:val="0"/>
                <w:sz w:val="21"/>
                <w:szCs w:val="21"/>
                <w:highlight w:val="none"/>
                <w:lang w:bidi="ar"/>
              </w:rPr>
              <w:t>5个，同时可运行图形数量</w:t>
            </w:r>
            <w:r>
              <w:rPr>
                <w:rFonts w:hint="eastAsia"/>
                <w:color w:val="auto"/>
                <w:kern w:val="0"/>
                <w:sz w:val="21"/>
                <w:szCs w:val="21"/>
                <w:highlight w:val="none"/>
                <w:lang w:bidi="ar"/>
              </w:rPr>
              <w:t>≥</w:t>
            </w:r>
            <w:r>
              <w:rPr>
                <w:color w:val="auto"/>
                <w:kern w:val="0"/>
                <w:sz w:val="21"/>
                <w:szCs w:val="21"/>
                <w:highlight w:val="none"/>
                <w:lang w:bidi="ar"/>
              </w:rPr>
              <w:t>10个；</w:t>
            </w:r>
          </w:p>
          <w:p w14:paraId="64DAA43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4、可储存</w:t>
            </w:r>
            <w:r>
              <w:rPr>
                <w:rFonts w:hint="eastAsia"/>
                <w:color w:val="auto"/>
                <w:kern w:val="0"/>
                <w:sz w:val="21"/>
                <w:szCs w:val="21"/>
                <w:highlight w:val="none"/>
                <w:lang w:bidi="ar"/>
              </w:rPr>
              <w:t>≥</w:t>
            </w:r>
            <w:r>
              <w:rPr>
                <w:color w:val="auto"/>
                <w:kern w:val="0"/>
                <w:sz w:val="21"/>
                <w:szCs w:val="21"/>
                <w:highlight w:val="none"/>
                <w:lang w:bidi="ar"/>
              </w:rPr>
              <w:t>60个素材；</w:t>
            </w:r>
          </w:p>
          <w:p w14:paraId="0AEE98C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5、可储存</w:t>
            </w:r>
            <w:r>
              <w:rPr>
                <w:rFonts w:hint="eastAsia"/>
                <w:color w:val="auto"/>
                <w:kern w:val="0"/>
                <w:sz w:val="21"/>
                <w:szCs w:val="21"/>
                <w:highlight w:val="none"/>
                <w:lang w:bidi="ar"/>
              </w:rPr>
              <w:t>≥</w:t>
            </w:r>
            <w:r>
              <w:rPr>
                <w:color w:val="auto"/>
                <w:kern w:val="0"/>
                <w:sz w:val="21"/>
                <w:szCs w:val="21"/>
                <w:highlight w:val="none"/>
                <w:lang w:bidi="ar"/>
              </w:rPr>
              <w:t>60个重演场景，用于储存多步场景和单步场景；</w:t>
            </w:r>
          </w:p>
          <w:p w14:paraId="31DE8A9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6、U盘可备份控台数据，并支持重新导入到控台使用，同型号控台数据可共享；</w:t>
            </w:r>
          </w:p>
          <w:p w14:paraId="2625D82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7、内置RDM功能，可通过控制台，直接修改灯具地址码</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15067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407CD7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BFD5F9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89E6C8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5BB685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14路4KW电源直通箱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C4B241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1、供电：≥400A犀牛插，三相AC380V±10％，频率50Hz±5</w:t>
            </w:r>
            <w:r>
              <w:rPr>
                <w:rFonts w:hint="eastAsia"/>
                <w:color w:val="auto"/>
                <w:kern w:val="0"/>
                <w:sz w:val="21"/>
                <w:szCs w:val="21"/>
                <w:highlight w:val="none"/>
                <w:lang w:bidi="ar"/>
              </w:rPr>
              <w:t>%</w:t>
            </w:r>
            <w:r>
              <w:rPr>
                <w:color w:val="auto"/>
                <w:kern w:val="0"/>
                <w:sz w:val="21"/>
                <w:szCs w:val="21"/>
                <w:highlight w:val="none"/>
                <w:lang w:bidi="ar"/>
              </w:rPr>
              <w:t>；</w:t>
            </w:r>
          </w:p>
          <w:p w14:paraId="4D35E0F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2、输出功率：≥14路×4KW，带三相独立电压监测；</w:t>
            </w:r>
          </w:p>
          <w:p w14:paraId="0B095C7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3、防火防震板标准机柜，带LED夜视照明系统</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9B097B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187639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08501CD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44EDAD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70FD4D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灯钩/保险绳</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2E9707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灯钩/保险绳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B2488B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CA2173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20</w:t>
            </w:r>
          </w:p>
        </w:tc>
      </w:tr>
      <w:tr w14:paraId="2B20B4D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005FD8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B5571E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遮光帘窗帘布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7AB050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16米宽*6米高</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032C22">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FE2E38">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9</w:t>
            </w:r>
            <w:r>
              <w:rPr>
                <w:color w:val="auto"/>
                <w:kern w:val="0"/>
                <w:sz w:val="21"/>
                <w:szCs w:val="21"/>
                <w:highlight w:val="none"/>
                <w:lang w:bidi="ar"/>
              </w:rPr>
              <w:t>6</w:t>
            </w:r>
          </w:p>
        </w:tc>
      </w:tr>
      <w:tr w14:paraId="63F99E7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9A3CEA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EC947C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电动窗帘电机含轨道</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070074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功能介绍：缓起缓停、宽电压供电、手拉启动、自动设置行程、第三行程点、停电手拉、布料反弹修正、遇阻即停；控制方式：RS485，干触点；额定电压：100～240V；额定电流：0.37A；额定功率：42W；额定扭矩：2N；运行速度：14cm/s载重：100KG运行噪音：＜26dB电源线：五芯强电含16米轨道。</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7CAF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D1E59C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488E46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A21929">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（七）</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803EF02">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控制室及其他</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9110646">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1AE6357">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F56CAD">
            <w:pPr>
              <w:widowControl/>
              <w:spacing w:line="288" w:lineRule="auto"/>
              <w:ind w:firstLine="0" w:firstLineChars="0"/>
              <w:jc w:val="center"/>
              <w:rPr>
                <w:b/>
                <w:bCs/>
                <w:color w:val="auto"/>
                <w:sz w:val="21"/>
                <w:szCs w:val="21"/>
                <w:highlight w:val="none"/>
              </w:rPr>
            </w:pPr>
          </w:p>
        </w:tc>
      </w:tr>
      <w:tr w14:paraId="07982F5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DF8492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B70C54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操作台</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1066E10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2工位</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7CE3F0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47916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71F44F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B0DEE0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89223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椅子</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5DF3DB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梯形钢架，强承重。座椅</w:t>
            </w:r>
            <w:r>
              <w:rPr>
                <w:rFonts w:hint="eastAsia"/>
                <w:color w:val="auto"/>
                <w:kern w:val="0"/>
                <w:sz w:val="21"/>
                <w:szCs w:val="21"/>
                <w:highlight w:val="none"/>
                <w:lang w:bidi="ar"/>
              </w:rPr>
              <w:t>≥</w:t>
            </w:r>
            <w:r>
              <w:rPr>
                <w:color w:val="auto"/>
                <w:kern w:val="0"/>
                <w:sz w:val="21"/>
                <w:szCs w:val="21"/>
                <w:highlight w:val="none"/>
                <w:lang w:bidi="ar"/>
              </w:rPr>
              <w:t>51*43，总高大于等于90cm。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FDAE49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把</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D8C8E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0685049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3AC163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79AACEE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舞台演讲台席</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751A1E8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多层实木，圆角工艺，底座加厚，预留线孔，散热通风，适合多场景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98579F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张</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6343A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4C5883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DF8362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0703B7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电脑</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54C1A7A">
            <w:pPr>
              <w:widowControl/>
              <w:spacing w:line="288" w:lineRule="auto"/>
              <w:ind w:firstLine="0" w:firstLineChars="0"/>
              <w:jc w:val="left"/>
              <w:textAlignment w:val="center"/>
              <w:rPr>
                <w:color w:val="auto"/>
                <w:sz w:val="21"/>
                <w:szCs w:val="21"/>
                <w:highlight w:val="none"/>
              </w:rPr>
            </w:pPr>
            <w:r>
              <w:rPr>
                <w:rFonts w:hint="eastAsia"/>
                <w:color w:val="auto"/>
                <w:kern w:val="0"/>
                <w:sz w:val="21"/>
                <w:szCs w:val="21"/>
                <w:highlight w:val="none"/>
                <w:lang w:bidi="ar"/>
              </w:rPr>
              <w:t>≥</w:t>
            </w:r>
            <w:r>
              <w:rPr>
                <w:color w:val="auto"/>
                <w:kern w:val="0"/>
                <w:sz w:val="21"/>
                <w:szCs w:val="21"/>
                <w:highlight w:val="none"/>
                <w:lang w:bidi="ar"/>
              </w:rPr>
              <w:t>I7（十三代）、</w:t>
            </w:r>
            <w:r>
              <w:rPr>
                <w:rFonts w:hint="eastAsia"/>
                <w:color w:val="auto"/>
                <w:kern w:val="0"/>
                <w:sz w:val="21"/>
                <w:szCs w:val="21"/>
                <w:highlight w:val="none"/>
                <w:lang w:bidi="ar"/>
              </w:rPr>
              <w:t>≥</w:t>
            </w:r>
            <w:r>
              <w:rPr>
                <w:color w:val="auto"/>
                <w:kern w:val="0"/>
                <w:sz w:val="21"/>
                <w:szCs w:val="21"/>
                <w:highlight w:val="none"/>
                <w:lang w:bidi="ar"/>
              </w:rPr>
              <w:t>16G、</w:t>
            </w:r>
            <w:r>
              <w:rPr>
                <w:rFonts w:hint="eastAsia"/>
                <w:color w:val="auto"/>
                <w:kern w:val="0"/>
                <w:sz w:val="21"/>
                <w:szCs w:val="21"/>
                <w:highlight w:val="none"/>
                <w:lang w:bidi="ar"/>
              </w:rPr>
              <w:t>≥</w:t>
            </w:r>
            <w:r>
              <w:rPr>
                <w:color w:val="auto"/>
                <w:kern w:val="0"/>
                <w:sz w:val="21"/>
                <w:szCs w:val="21"/>
                <w:highlight w:val="none"/>
                <w:lang w:bidi="ar"/>
              </w:rPr>
              <w:t>512GSSD、独立显卡</w:t>
            </w:r>
            <w:r>
              <w:rPr>
                <w:rFonts w:hint="eastAsia"/>
                <w:color w:val="auto"/>
                <w:kern w:val="0"/>
                <w:sz w:val="21"/>
                <w:szCs w:val="21"/>
                <w:highlight w:val="none"/>
                <w:lang w:bidi="ar"/>
              </w:rPr>
              <w:t>≥</w:t>
            </w:r>
            <w:r>
              <w:rPr>
                <w:color w:val="auto"/>
                <w:kern w:val="0"/>
                <w:sz w:val="21"/>
                <w:szCs w:val="21"/>
                <w:highlight w:val="none"/>
                <w:lang w:bidi="ar"/>
              </w:rPr>
              <w:t>2G、23.8液晶显示器键盘鼠标。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88F60E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5CCFF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373F17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AC6487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500C933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监听音箱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0BA2C8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1、频率响应：65Hz-20kHz(±3dB)；</w:t>
            </w:r>
          </w:p>
          <w:p w14:paraId="6027B6F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2、低音FH0501H-1(5")；</w:t>
            </w:r>
          </w:p>
          <w:p w14:paraId="27F0ED1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3、高音FE015(3/4"dome)；</w:t>
            </w:r>
          </w:p>
          <w:p w14:paraId="7851A4F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4、最大声压级(@1m)：107dB(对)；</w:t>
            </w:r>
          </w:p>
          <w:p w14:paraId="04F6CE8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5、额定功率LF：</w:t>
            </w:r>
            <w:r>
              <w:rPr>
                <w:rFonts w:hint="eastAsia"/>
                <w:color w:val="auto"/>
                <w:kern w:val="0"/>
                <w:sz w:val="21"/>
                <w:szCs w:val="21"/>
                <w:highlight w:val="none"/>
                <w:lang w:bidi="ar"/>
              </w:rPr>
              <w:t>≥</w:t>
            </w:r>
            <w:r>
              <w:rPr>
                <w:color w:val="auto"/>
                <w:kern w:val="0"/>
                <w:sz w:val="21"/>
                <w:szCs w:val="21"/>
                <w:highlight w:val="none"/>
                <w:lang w:bidi="ar"/>
              </w:rPr>
              <w:t>50W</w:t>
            </w:r>
            <w:r>
              <w:rPr>
                <w:rFonts w:hint="eastAsia"/>
                <w:color w:val="auto"/>
                <w:kern w:val="0"/>
                <w:sz w:val="21"/>
                <w:szCs w:val="21"/>
                <w:highlight w:val="none"/>
                <w:lang w:eastAsia="zh-CN" w:bidi="ar"/>
              </w:rPr>
              <w:t>，</w:t>
            </w:r>
            <w:r>
              <w:rPr>
                <w:color w:val="auto"/>
                <w:kern w:val="0"/>
                <w:sz w:val="21"/>
                <w:szCs w:val="21"/>
                <w:highlight w:val="none"/>
                <w:lang w:bidi="ar"/>
              </w:rPr>
              <w:t>HF：</w:t>
            </w:r>
            <w:r>
              <w:rPr>
                <w:rFonts w:hint="eastAsia"/>
                <w:color w:val="auto"/>
                <w:kern w:val="0"/>
                <w:sz w:val="21"/>
                <w:szCs w:val="21"/>
                <w:highlight w:val="none"/>
                <w:lang w:bidi="ar"/>
              </w:rPr>
              <w:t>≥</w:t>
            </w:r>
            <w:r>
              <w:rPr>
                <w:color w:val="auto"/>
                <w:kern w:val="0"/>
                <w:sz w:val="21"/>
                <w:szCs w:val="21"/>
                <w:highlight w:val="none"/>
                <w:lang w:bidi="ar"/>
              </w:rPr>
              <w:t>20W；</w:t>
            </w:r>
          </w:p>
          <w:p w14:paraId="79CA7D1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6、音乐功率LF：</w:t>
            </w:r>
            <w:r>
              <w:rPr>
                <w:rFonts w:hint="eastAsia"/>
                <w:color w:val="auto"/>
                <w:kern w:val="0"/>
                <w:sz w:val="21"/>
                <w:szCs w:val="21"/>
                <w:highlight w:val="none"/>
                <w:lang w:bidi="ar"/>
              </w:rPr>
              <w:t>≥</w:t>
            </w:r>
            <w:r>
              <w:rPr>
                <w:color w:val="auto"/>
                <w:kern w:val="0"/>
                <w:sz w:val="21"/>
                <w:szCs w:val="21"/>
                <w:highlight w:val="none"/>
                <w:lang w:bidi="ar"/>
              </w:rPr>
              <w:t>100W</w:t>
            </w:r>
            <w:r>
              <w:rPr>
                <w:rFonts w:hint="eastAsia"/>
                <w:color w:val="auto"/>
                <w:kern w:val="0"/>
                <w:sz w:val="21"/>
                <w:szCs w:val="21"/>
                <w:highlight w:val="none"/>
                <w:lang w:eastAsia="zh-CN" w:bidi="ar"/>
              </w:rPr>
              <w:t>，</w:t>
            </w:r>
            <w:r>
              <w:rPr>
                <w:color w:val="auto"/>
                <w:kern w:val="0"/>
                <w:sz w:val="21"/>
                <w:szCs w:val="21"/>
                <w:highlight w:val="none"/>
                <w:lang w:bidi="ar"/>
              </w:rPr>
              <w:t>HF：</w:t>
            </w:r>
            <w:r>
              <w:rPr>
                <w:rFonts w:hint="eastAsia"/>
                <w:color w:val="auto"/>
                <w:kern w:val="0"/>
                <w:sz w:val="21"/>
                <w:szCs w:val="21"/>
                <w:highlight w:val="none"/>
                <w:lang w:bidi="ar"/>
              </w:rPr>
              <w:t>≥</w:t>
            </w:r>
            <w:r>
              <w:rPr>
                <w:color w:val="auto"/>
                <w:kern w:val="0"/>
                <w:sz w:val="21"/>
                <w:szCs w:val="21"/>
                <w:highlight w:val="none"/>
                <w:lang w:bidi="ar"/>
              </w:rPr>
              <w:t>40W；</w:t>
            </w:r>
          </w:p>
          <w:p w14:paraId="6A7D8AB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7、总谐波失真(音箱)：50Hz-100Hz&lt;2%100Hz-20kHz&lt;1%；</w:t>
            </w:r>
          </w:p>
          <w:p w14:paraId="5CAECA4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8、功率失真（T.H.D）THD：0.05%@1kHz；</w:t>
            </w:r>
          </w:p>
          <w:p w14:paraId="4170949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9、输入连接器：XLR(XLR+1/4"TRS)；</w:t>
            </w:r>
          </w:p>
          <w:p w14:paraId="078D58C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10、输入灵敏度：0dBv；</w:t>
            </w:r>
          </w:p>
          <w:p w14:paraId="24B1D56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11、输入阻抗：10kΩ；</w:t>
            </w:r>
          </w:p>
          <w:p w14:paraId="0FDC969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12、分频点：2.2kHz。</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D9D663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3D838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00BB95C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867BC0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80EB69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监听耳机</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3FD784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1、封闭式耳机；2、输入功率≥200MW；3、频响范围18-20000HZ；3、灵敏度≥110dbSPL/V；4、阻抗32欧。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97509F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9BE9B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0355510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0BC59D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88E6C0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耳光室改造</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725B6B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1、原有两侧墙面拆除，拆除后墙面修复，符合LED轨道移动到耳房掩藏；</w:t>
            </w:r>
          </w:p>
          <w:p w14:paraId="01CC19A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2、墙面乳胶漆、地面、顶面、墙面修复和装饰面修补等；</w:t>
            </w:r>
          </w:p>
          <w:p w14:paraId="2352579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3、此会议厅布线、安装设备对装修破坏的修补、恢复等。</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BD5560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项</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08CF05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284AE3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8E2BAC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4BEC63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舞台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602FC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固定主舞台结构与台阶舞台面积98.6m</w:t>
            </w:r>
            <w:r>
              <w:rPr>
                <w:color w:val="auto"/>
                <w:kern w:val="0"/>
                <w:sz w:val="21"/>
                <w:szCs w:val="21"/>
                <w:highlight w:val="none"/>
                <w:vertAlign w:val="superscript"/>
                <w:lang w:bidi="ar"/>
              </w:rPr>
              <w:t>2</w:t>
            </w:r>
            <w:r>
              <w:rPr>
                <w:color w:val="auto"/>
                <w:kern w:val="0"/>
                <w:sz w:val="21"/>
                <w:szCs w:val="21"/>
                <w:highlight w:val="none"/>
                <w:lang w:bidi="ar"/>
              </w:rPr>
              <w:t>，高0.3m，两侧设台阶，采用钢架结构，上铺</w:t>
            </w:r>
            <w:r>
              <w:rPr>
                <w:rFonts w:hint="eastAsia"/>
                <w:color w:val="auto"/>
                <w:kern w:val="0"/>
                <w:sz w:val="21"/>
                <w:szCs w:val="21"/>
                <w:highlight w:val="none"/>
                <w:lang w:val="en-US" w:eastAsia="zh-CN" w:bidi="ar"/>
              </w:rPr>
              <w:t>ENF级</w:t>
            </w:r>
            <w:r>
              <w:rPr>
                <w:color w:val="auto"/>
                <w:kern w:val="0"/>
                <w:sz w:val="21"/>
                <w:szCs w:val="21"/>
                <w:highlight w:val="none"/>
                <w:lang w:bidi="ar"/>
              </w:rPr>
              <w:t>实木地板</w:t>
            </w:r>
            <w:r>
              <w:rPr>
                <w:rFonts w:hint="eastAsia"/>
                <w:color w:val="auto"/>
                <w:kern w:val="0"/>
                <w:sz w:val="21"/>
                <w:szCs w:val="21"/>
                <w:highlight w:val="none"/>
                <w:lang w:eastAsia="zh-CN" w:bidi="ar"/>
              </w:rPr>
              <w:t>（</w:t>
            </w:r>
            <w:r>
              <w:rPr>
                <w:rFonts w:hint="eastAsia"/>
                <w:color w:val="auto"/>
                <w:kern w:val="0"/>
                <w:sz w:val="21"/>
                <w:szCs w:val="21"/>
                <w:highlight w:val="none"/>
                <w:lang w:val="en-US" w:eastAsia="zh-CN" w:bidi="ar"/>
              </w:rPr>
              <w:t>下铺ENF级木工板</w:t>
            </w:r>
            <w:r>
              <w:rPr>
                <w:rFonts w:hint="eastAsia"/>
                <w:color w:val="auto"/>
                <w:kern w:val="0"/>
                <w:sz w:val="21"/>
                <w:szCs w:val="21"/>
                <w:highlight w:val="none"/>
                <w:lang w:eastAsia="zh-CN" w:bidi="ar"/>
              </w:rPr>
              <w:t>）</w:t>
            </w:r>
            <w:r>
              <w:rPr>
                <w:color w:val="auto"/>
                <w:kern w:val="0"/>
                <w:sz w:val="21"/>
                <w:szCs w:val="21"/>
                <w:highlight w:val="none"/>
                <w:lang w:bidi="ar"/>
              </w:rPr>
              <w:t>；台阶方管焊接防锈处理，上铺实木地板。</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728D88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项</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F85F61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FC906D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97A3798">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（八）</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635F78E">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控制中心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D3B7A72">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D5F215D">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B6A353">
            <w:pPr>
              <w:widowControl/>
              <w:spacing w:line="288" w:lineRule="auto"/>
              <w:ind w:firstLine="0" w:firstLineChars="0"/>
              <w:jc w:val="center"/>
              <w:rPr>
                <w:b/>
                <w:bCs/>
                <w:color w:val="auto"/>
                <w:sz w:val="21"/>
                <w:szCs w:val="21"/>
                <w:highlight w:val="none"/>
              </w:rPr>
            </w:pPr>
          </w:p>
        </w:tc>
      </w:tr>
      <w:tr w14:paraId="7AFA59F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18A8B3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345F0B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不间断电源</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A5B4D38">
            <w:pPr>
              <w:widowControl/>
              <w:spacing w:line="288" w:lineRule="auto"/>
              <w:ind w:firstLine="0" w:firstLineChars="0"/>
              <w:jc w:val="left"/>
              <w:textAlignment w:val="center"/>
              <w:rPr>
                <w:color w:val="auto"/>
                <w:sz w:val="21"/>
                <w:szCs w:val="21"/>
                <w:highlight w:val="none"/>
              </w:rPr>
            </w:pPr>
            <w:r>
              <w:rPr>
                <w:rFonts w:hint="eastAsia"/>
                <w:color w:val="auto"/>
                <w:kern w:val="0"/>
                <w:sz w:val="21"/>
                <w:szCs w:val="21"/>
                <w:highlight w:val="none"/>
                <w:lang w:bidi="ar"/>
              </w:rPr>
              <w:t>≥</w:t>
            </w:r>
            <w:r>
              <w:rPr>
                <w:color w:val="auto"/>
                <w:kern w:val="0"/>
                <w:sz w:val="21"/>
                <w:szCs w:val="21"/>
                <w:highlight w:val="none"/>
                <w:lang w:bidi="ar"/>
              </w:rPr>
              <w:t>6KVA/5400W液晶显示屏在线式机房服务器智能稳压断电备用电源</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7E0496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7D69E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B9975E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E72E27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122D7AB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物联网会务管理平台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D6C68F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1、用户管理以及权限管理：系统管理员能够通过钉钉、企业微信等通讯软件同步组织架构，能够设置自动同步，当用户存在多个角色时，可配置角色权限；</w:t>
            </w:r>
          </w:p>
          <w:p w14:paraId="13E8B68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2、会议信息发布，可通过信息发布屏实时显示当前的会议信息；</w:t>
            </w:r>
          </w:p>
          <w:p w14:paraId="11916F1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3、会议资料的上传管理，至少支持常见图片格式（JPG、PNG、BMP等）、常见音视频格式（MP3、WAV、MP4、AVI等）、Office文档格式（Word、Excel、PPT等）和PDF文档等；</w:t>
            </w:r>
          </w:p>
          <w:p w14:paraId="4243B89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根据会议提醒策略，能够自定义选择通知方式，方式包含在软件内通过发送消息通知、通过短信通知、通过邮件通知，以及通过钉钉消息通知等。能够自定义选择通知节点，包含会议邀请、会议变更、会议审核、会议开始、会议取消和会议结束等；</w:t>
            </w:r>
          </w:p>
          <w:p w14:paraId="751F442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5、时间轴式快速发起预约会议，可发布会议主题、参会人员、抄送提醒；支持会前5-15分钟提醒，可设置重复次数；</w:t>
            </w:r>
          </w:p>
          <w:p w14:paraId="6775584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6、支持消息签到、单元一键签到、移动端扫码签到；</w:t>
            </w:r>
          </w:p>
          <w:p w14:paraId="522760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7、每个会议均可产出纪要结果，方便记录每次会议的讨论重点，大大提高了会议质量；</w:t>
            </w:r>
          </w:p>
          <w:p w14:paraId="43C2C7A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8、支持增减会议室，可一键查看及管理会议室使用情况；</w:t>
            </w:r>
          </w:p>
          <w:p w14:paraId="4925089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9、支持远程一键开关会议设备，强切会议发言单元；支持发言单元音频均衡调节，可设置男声或女声模式；</w:t>
            </w:r>
          </w:p>
          <w:p w14:paraId="7727159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10、支持多种音频格式存储，可设置为会议进场离场背景音乐；</w:t>
            </w:r>
          </w:p>
          <w:p w14:paraId="7CDE5D7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11、支持Windows、Mac、Linux和Android多种平台接入管理；</w:t>
            </w:r>
          </w:p>
          <w:p w14:paraId="4FB7A9F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12、由会议发起人启用会议服务内容，包括茶水、资料、纸笔、技术员等。</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2E46FD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1D3EE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5C0CC5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59A34B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4DA81B6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服务器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89D016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1、19寸标准机架式</w:t>
            </w:r>
            <w:r>
              <w:rPr>
                <w:rFonts w:hint="eastAsia"/>
                <w:color w:val="auto"/>
                <w:kern w:val="0"/>
                <w:sz w:val="21"/>
                <w:szCs w:val="21"/>
                <w:highlight w:val="none"/>
                <w:lang w:val="en-US" w:eastAsia="zh-CN" w:bidi="ar"/>
              </w:rPr>
              <w:t>不高于</w:t>
            </w:r>
            <w:r>
              <w:rPr>
                <w:color w:val="auto"/>
                <w:kern w:val="0"/>
                <w:sz w:val="21"/>
                <w:szCs w:val="21"/>
                <w:highlight w:val="none"/>
                <w:lang w:bidi="ar"/>
              </w:rPr>
              <w:t>4U服务器，内置8.9寸LCD显示屏；</w:t>
            </w:r>
          </w:p>
          <w:p w14:paraId="74A4B7A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2、机箱内置全功能键盘和触摸板，隐藏式设计；</w:t>
            </w:r>
          </w:p>
          <w:p w14:paraId="26CC71C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w:t>
            </w:r>
            <w:r>
              <w:rPr>
                <w:rFonts w:hint="eastAsia"/>
                <w:color w:val="auto"/>
                <w:kern w:val="0"/>
                <w:sz w:val="21"/>
                <w:szCs w:val="21"/>
                <w:highlight w:val="none"/>
                <w:lang w:val="en-US" w:eastAsia="zh-CN" w:bidi="ar"/>
              </w:rPr>
              <w:t>不低于</w:t>
            </w:r>
            <w:r>
              <w:rPr>
                <w:color w:val="auto"/>
                <w:kern w:val="0"/>
                <w:sz w:val="21"/>
                <w:szCs w:val="21"/>
                <w:highlight w:val="none"/>
                <w:lang w:bidi="ar"/>
              </w:rPr>
              <w:t>INTEL XEON E3-1230v5 ；</w:t>
            </w:r>
          </w:p>
          <w:p w14:paraId="5A2707D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4、硬盘：硬盘容量≥1TB SATA接口硬盘，内存： 内存容量≥16G；</w:t>
            </w:r>
          </w:p>
          <w:p w14:paraId="2D2343D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5、主机电源：额定功率≥500W ATX电源，AC220V  50/60HZ；</w:t>
            </w:r>
          </w:p>
          <w:p w14:paraId="00EA3EA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6、操作平台：windows专业版/LINUX；</w:t>
            </w:r>
          </w:p>
          <w:p w14:paraId="03FDEFF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7、扩展硬盘位：支持3.5寸硬盘位≥4，2.5寸硬盘位≥2，前置硬盘位支持热插拔。</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1F1C14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4CC0F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C99B3C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11BCCF43">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A1B7DD4">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二、309报告厅</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37C45F19">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281A317">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2A91518F">
            <w:pPr>
              <w:widowControl/>
              <w:spacing w:line="288" w:lineRule="auto"/>
              <w:ind w:firstLine="0" w:firstLineChars="0"/>
              <w:jc w:val="center"/>
              <w:rPr>
                <w:color w:val="auto"/>
                <w:sz w:val="21"/>
                <w:szCs w:val="21"/>
                <w:highlight w:val="none"/>
              </w:rPr>
            </w:pPr>
          </w:p>
        </w:tc>
      </w:tr>
      <w:tr w14:paraId="531660A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21C4A4">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（一）</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8F136DF">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显示系统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F2981F6">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678CF09">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84604B">
            <w:pPr>
              <w:widowControl/>
              <w:spacing w:line="288" w:lineRule="auto"/>
              <w:ind w:firstLine="0" w:firstLineChars="0"/>
              <w:jc w:val="center"/>
              <w:rPr>
                <w:color w:val="auto"/>
                <w:sz w:val="21"/>
                <w:szCs w:val="21"/>
                <w:highlight w:val="none"/>
              </w:rPr>
            </w:pPr>
          </w:p>
        </w:tc>
      </w:tr>
      <w:tr w14:paraId="64560B2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68B89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7F4121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LED显示屏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BF46A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▲1、像素点间距：≤1.25mm，像素密度≥640000点/㎡，含钢结构等配套产品，屏体净</w:t>
            </w:r>
            <w:r>
              <w:rPr>
                <w:rFonts w:hint="eastAsia"/>
                <w:color w:val="auto"/>
                <w:kern w:val="0"/>
                <w:sz w:val="21"/>
                <w:szCs w:val="21"/>
                <w:highlight w:val="none"/>
                <w:lang w:bidi="ar"/>
              </w:rPr>
              <w:t>长</w:t>
            </w:r>
            <w:r>
              <w:rPr>
                <w:color w:val="auto"/>
                <w:kern w:val="0"/>
                <w:sz w:val="21"/>
                <w:szCs w:val="21"/>
                <w:highlight w:val="none"/>
                <w:lang w:bidi="ar"/>
              </w:rPr>
              <w:t>≥6</w:t>
            </w:r>
            <w:r>
              <w:rPr>
                <w:rFonts w:hint="eastAsia"/>
                <w:color w:val="auto"/>
                <w:kern w:val="0"/>
                <w:sz w:val="21"/>
                <w:szCs w:val="21"/>
                <w:highlight w:val="none"/>
                <w:lang w:bidi="ar"/>
              </w:rPr>
              <w:t>.4</w:t>
            </w:r>
            <w:r>
              <w:rPr>
                <w:color w:val="auto"/>
                <w:kern w:val="0"/>
                <w:sz w:val="21"/>
                <w:szCs w:val="21"/>
                <w:highlight w:val="none"/>
                <w:lang w:bidi="ar"/>
              </w:rPr>
              <w:t>米，屏体净宽≥1.</w:t>
            </w:r>
            <w:r>
              <w:rPr>
                <w:rFonts w:hint="eastAsia"/>
                <w:color w:val="auto"/>
                <w:kern w:val="0"/>
                <w:sz w:val="21"/>
                <w:szCs w:val="21"/>
                <w:highlight w:val="none"/>
                <w:lang w:bidi="ar"/>
              </w:rPr>
              <w:t>76</w:t>
            </w:r>
            <w:r>
              <w:rPr>
                <w:color w:val="auto"/>
                <w:kern w:val="0"/>
                <w:sz w:val="21"/>
                <w:szCs w:val="21"/>
                <w:highlight w:val="none"/>
                <w:lang w:bidi="ar"/>
              </w:rPr>
              <w:t>米，合计面积≥1</w:t>
            </w:r>
            <w:r>
              <w:rPr>
                <w:rFonts w:hint="eastAsia"/>
                <w:color w:val="auto"/>
                <w:kern w:val="0"/>
                <w:sz w:val="21"/>
                <w:szCs w:val="21"/>
                <w:highlight w:val="none"/>
                <w:lang w:bidi="ar"/>
              </w:rPr>
              <w:t>1.26</w:t>
            </w:r>
            <w:r>
              <w:rPr>
                <w:color w:val="auto"/>
                <w:kern w:val="0"/>
                <w:sz w:val="21"/>
                <w:szCs w:val="21"/>
                <w:highlight w:val="none"/>
                <w:lang w:bidi="ar"/>
              </w:rPr>
              <w:t>㎡；</w:t>
            </w:r>
          </w:p>
          <w:p w14:paraId="7FA69F2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2、平均无故障工作时间≥100000h，故障恢复时间≤5m</w:t>
            </w:r>
            <w:r>
              <w:rPr>
                <w:rFonts w:hint="eastAsia"/>
                <w:color w:val="auto"/>
                <w:kern w:val="0"/>
                <w:sz w:val="21"/>
                <w:szCs w:val="21"/>
                <w:highlight w:val="none"/>
                <w:lang w:bidi="ar"/>
              </w:rPr>
              <w:t>in</w:t>
            </w:r>
            <w:r>
              <w:rPr>
                <w:color w:val="auto"/>
                <w:kern w:val="0"/>
                <w:sz w:val="21"/>
                <w:szCs w:val="21"/>
                <w:highlight w:val="none"/>
                <w:lang w:bidi="ar"/>
              </w:rPr>
              <w:t>；</w:t>
            </w:r>
          </w:p>
          <w:p w14:paraId="42331FA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3、显示屏亮度≥850cd/㎡，对比度≥12000：1，色温2000K-15000K可调；</w:t>
            </w:r>
          </w:p>
          <w:p w14:paraId="7082B67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4、水平/垂直角度≥176°，刷新频率≥3800Hz，换帧频率：50Hz&amp;60Hz&amp;120Hz；</w:t>
            </w:r>
          </w:p>
          <w:p w14:paraId="64736C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5、亮度均匀性：</w:t>
            </w:r>
            <w:r>
              <w:rPr>
                <w:rFonts w:hint="eastAsia"/>
                <w:color w:val="auto"/>
                <w:kern w:val="0"/>
                <w:sz w:val="21"/>
                <w:szCs w:val="21"/>
                <w:highlight w:val="none"/>
                <w:lang w:val="en-US" w:eastAsia="zh-CN" w:bidi="ar"/>
              </w:rPr>
              <w:t>不低于</w:t>
            </w:r>
            <w:r>
              <w:rPr>
                <w:color w:val="auto"/>
                <w:kern w:val="0"/>
                <w:sz w:val="21"/>
                <w:szCs w:val="21"/>
                <w:highlight w:val="none"/>
                <w:lang w:bidi="ar"/>
              </w:rPr>
              <w:t>99.7%，色度均匀性：-0.0008Cx，-0.0004Cy；</w:t>
            </w:r>
          </w:p>
          <w:p w14:paraId="759DA95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6、平整度≤0.03mm，单元拼接间隙≤0.02mm；</w:t>
            </w:r>
          </w:p>
          <w:p w14:paraId="2D1780E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7、箱体为压铸铝或镁铝合金材质，箱体背板为一次性整体压铸成型，背板和后盖均为压铸铝或镁铝合金材质，全金属自然散热结构，静音无风扇；</w:t>
            </w:r>
          </w:p>
          <w:p w14:paraId="2F366E1B">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8、支持智能节电功能，开启智能节电功能比没有开启节能50%以上；LED显示屏符合GB21520-2015能效一级；</w:t>
            </w:r>
          </w:p>
          <w:p w14:paraId="5436ACB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9、箱体安全性：抗拉强度≥270Mpa，屈服强度≥180Mmp，硬度≥80HBS；</w:t>
            </w:r>
          </w:p>
          <w:p w14:paraId="4FB0A93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10、LED显示屏通过光生物安全测试和蓝光安全检测，无危害；</w:t>
            </w:r>
          </w:p>
          <w:p w14:paraId="1497A94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11、屏体承重钢结构采用Q235-B钢，化学成分及力学性能应符合《碳素结构钢》及《低合金高强度结构钢》（GB/T1591-2018）规定的要求</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FAEDD9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1C95B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bidi="ar"/>
              </w:rPr>
              <w:t>1.26</w:t>
            </w:r>
          </w:p>
        </w:tc>
      </w:tr>
      <w:tr w14:paraId="501027E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3BC8AB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5AF519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LED视频处理器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0813E2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1、单台具备不少于16路千兆网口输出，带载能力可达1040万像素、最宽16384像素、最高8192像素，网口带载没有矩形带载限制，支持自由走线，最大化提高网口带载利用率；</w:t>
            </w:r>
          </w:p>
          <w:p w14:paraId="00275D9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2、拥有完备的视频输入接口：≥1路HDMI2.0，≥1路DP1.2，≥4路HDMI1.3；</w:t>
            </w:r>
          </w:p>
          <w:p w14:paraId="498E987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3、支持HDR输出，能够极大地增强显示屏的画质，使画面色彩更加真实生动，细节更加清晰；</w:t>
            </w:r>
          </w:p>
          <w:p w14:paraId="4701BBE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4、支持多画面同时显示，不少于6画面的任意布局，至少包含2路4K画面+4路2K画面；</w:t>
            </w:r>
          </w:p>
          <w:p w14:paraId="63E94A8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5、支持OSD字幕功能，字幕背景，内容可通过软件自定义编辑；</w:t>
            </w:r>
          </w:p>
          <w:p w14:paraId="1A7371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6、支持高位深信号输入源输入，可支持8bit、10bit、12bit信号输入；</w:t>
            </w:r>
          </w:p>
          <w:p w14:paraId="61A42D8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7、支持伴随音频和独立音频功能，输入接口支持音频伴随输入，输出音频支持随信号切换而切换，音量大小可调节；</w:t>
            </w:r>
          </w:p>
          <w:p w14:paraId="44A15CD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8、支持场景预设功能，可创建不低于10个用户场景作为模板保存，方便直接调用；</w:t>
            </w:r>
          </w:p>
          <w:p w14:paraId="1365F7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9、支持对输入信号进行分辨率自定义，最大可支持4096*2160@60信号输入，并向下兼容4K*1K,2K等；</w:t>
            </w:r>
          </w:p>
          <w:p w14:paraId="2E74D87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10、为保证系统兼容性和稳定性，需与LED显示屏相同品牌</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D871E6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A0A266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DB6018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2D40BD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607F93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配电柜</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FE117E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智能最高配电20KW</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0CEDDD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8385A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99FBF1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1FA623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39F71C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65寸液晶高清显示器（含壁挂支架）</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9DE9D0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1、显示尺寸：≥65寸，显示比例：16：9，显示技术：DLED背光源，液晶屏屏体达到A级标准，分辨率：3840×2160，色彩度</w:t>
            </w:r>
            <w:r>
              <w:rPr>
                <w:rFonts w:hint="eastAsia"/>
                <w:color w:val="auto"/>
                <w:kern w:val="0"/>
                <w:sz w:val="21"/>
                <w:szCs w:val="21"/>
                <w:highlight w:val="none"/>
                <w:lang w:bidi="ar"/>
              </w:rPr>
              <w:t>≥</w:t>
            </w:r>
            <w:r>
              <w:rPr>
                <w:color w:val="auto"/>
                <w:kern w:val="0"/>
                <w:sz w:val="21"/>
                <w:szCs w:val="21"/>
                <w:highlight w:val="none"/>
                <w:lang w:bidi="ar"/>
              </w:rPr>
              <w:t>1.07B(10bit)；亮度：</w:t>
            </w:r>
            <w:r>
              <w:rPr>
                <w:rFonts w:hint="eastAsia"/>
                <w:color w:val="auto"/>
                <w:kern w:val="0"/>
                <w:sz w:val="21"/>
                <w:szCs w:val="21"/>
                <w:highlight w:val="none"/>
                <w:lang w:bidi="ar"/>
              </w:rPr>
              <w:t>≥</w:t>
            </w:r>
            <w:r>
              <w:rPr>
                <w:color w:val="auto"/>
                <w:kern w:val="0"/>
                <w:sz w:val="21"/>
                <w:szCs w:val="21"/>
                <w:highlight w:val="none"/>
                <w:lang w:bidi="ar"/>
              </w:rPr>
              <w:t>350cd/m²，对比度：</w:t>
            </w:r>
            <w:r>
              <w:rPr>
                <w:rFonts w:hint="eastAsia"/>
                <w:color w:val="auto"/>
                <w:kern w:val="0"/>
                <w:sz w:val="21"/>
                <w:szCs w:val="21"/>
                <w:highlight w:val="none"/>
                <w:lang w:bidi="ar"/>
              </w:rPr>
              <w:t>≥</w:t>
            </w:r>
            <w:r>
              <w:rPr>
                <w:color w:val="auto"/>
                <w:kern w:val="0"/>
                <w:sz w:val="21"/>
                <w:szCs w:val="21"/>
                <w:highlight w:val="none"/>
                <w:lang w:bidi="ar"/>
              </w:rPr>
              <w:t>5000：1TYP，最佳视角：水平178度垂直178度；</w:t>
            </w:r>
          </w:p>
          <w:p w14:paraId="059DDA8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2、触摸技术：≥40点红外触摸，系统属性搭载Windows，</w:t>
            </w:r>
            <w:r>
              <w:rPr>
                <w:rFonts w:hint="eastAsia"/>
                <w:color w:val="auto"/>
                <w:kern w:val="0"/>
                <w:sz w:val="21"/>
                <w:szCs w:val="21"/>
                <w:highlight w:val="none"/>
                <w:lang w:bidi="ar"/>
              </w:rPr>
              <w:t>≥</w:t>
            </w:r>
            <w:r>
              <w:rPr>
                <w:color w:val="auto"/>
                <w:kern w:val="0"/>
                <w:sz w:val="21"/>
                <w:szCs w:val="21"/>
                <w:highlight w:val="none"/>
                <w:lang w:bidi="ar"/>
              </w:rPr>
              <w:t>I5，内存：</w:t>
            </w:r>
            <w:r>
              <w:rPr>
                <w:rFonts w:hint="eastAsia"/>
                <w:color w:val="auto"/>
                <w:kern w:val="0"/>
                <w:sz w:val="21"/>
                <w:szCs w:val="21"/>
                <w:highlight w:val="none"/>
                <w:lang w:bidi="ar"/>
              </w:rPr>
              <w:t>≥</w:t>
            </w:r>
            <w:r>
              <w:rPr>
                <w:color w:val="auto"/>
                <w:kern w:val="0"/>
                <w:sz w:val="21"/>
                <w:szCs w:val="21"/>
                <w:highlight w:val="none"/>
                <w:lang w:bidi="ar"/>
              </w:rPr>
              <w:t>4GDDR3，硬盘：</w:t>
            </w:r>
            <w:r>
              <w:rPr>
                <w:rFonts w:hint="eastAsia"/>
                <w:color w:val="auto"/>
                <w:kern w:val="0"/>
                <w:sz w:val="21"/>
                <w:szCs w:val="21"/>
                <w:highlight w:val="none"/>
                <w:lang w:bidi="ar"/>
              </w:rPr>
              <w:t>≥</w:t>
            </w:r>
            <w:r>
              <w:rPr>
                <w:color w:val="auto"/>
                <w:kern w:val="0"/>
                <w:sz w:val="21"/>
                <w:szCs w:val="21"/>
                <w:highlight w:val="none"/>
                <w:lang w:bidi="ar"/>
              </w:rPr>
              <w:t>128G固态；</w:t>
            </w:r>
          </w:p>
          <w:p w14:paraId="7B42817C">
            <w:pPr>
              <w:widowControl/>
              <w:spacing w:line="288" w:lineRule="auto"/>
              <w:ind w:firstLine="0" w:firstLineChars="0"/>
              <w:jc w:val="left"/>
              <w:textAlignment w:val="center"/>
              <w:rPr>
                <w:rFonts w:hint="eastAsia"/>
                <w:b/>
                <w:bCs/>
                <w:color w:val="auto"/>
                <w:kern w:val="0"/>
                <w:sz w:val="21"/>
                <w:szCs w:val="21"/>
                <w:highlight w:val="none"/>
                <w:lang w:bidi="ar"/>
              </w:rPr>
            </w:pPr>
            <w:r>
              <w:rPr>
                <w:b/>
                <w:bCs/>
                <w:color w:val="auto"/>
                <w:kern w:val="0"/>
                <w:sz w:val="21"/>
                <w:szCs w:val="21"/>
                <w:highlight w:val="none"/>
                <w:lang w:bidi="ar"/>
              </w:rPr>
              <w:t>▲3、内置自检维护工具，可一键进行快速自检，检测完成后支持导出诊断报告；支持设置预警条件，达到对应条件时触发预警行为</w:t>
            </w:r>
            <w:r>
              <w:rPr>
                <w:rFonts w:hint="eastAsia"/>
                <w:b/>
                <w:bCs/>
                <w:color w:val="auto"/>
                <w:kern w:val="0"/>
                <w:sz w:val="21"/>
                <w:szCs w:val="21"/>
                <w:highlight w:val="none"/>
                <w:lang w:bidi="ar"/>
              </w:rPr>
              <w:t>（提供</w:t>
            </w:r>
            <w:r>
              <w:rPr>
                <w:b/>
                <w:bCs/>
                <w:color w:val="auto"/>
                <w:kern w:val="0"/>
                <w:sz w:val="21"/>
                <w:szCs w:val="21"/>
                <w:highlight w:val="none"/>
                <w:lang w:bidi="ar"/>
              </w:rPr>
              <w:t>第三方检测认证机构出具的检测报告复印件</w:t>
            </w:r>
            <w:r>
              <w:rPr>
                <w:rFonts w:hint="eastAsia"/>
                <w:b/>
                <w:bCs/>
                <w:color w:val="auto"/>
                <w:kern w:val="0"/>
                <w:sz w:val="21"/>
                <w:szCs w:val="21"/>
                <w:highlight w:val="none"/>
                <w:lang w:bidi="ar"/>
              </w:rPr>
              <w:t>并加盖公章）</w:t>
            </w:r>
            <w:r>
              <w:rPr>
                <w:b/>
                <w:bCs/>
                <w:color w:val="auto"/>
                <w:kern w:val="0"/>
                <w:sz w:val="21"/>
                <w:szCs w:val="21"/>
                <w:highlight w:val="none"/>
                <w:lang w:bidi="ar"/>
              </w:rPr>
              <w:t>；</w:t>
            </w:r>
          </w:p>
          <w:p w14:paraId="40539FC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4、产品具备在不关闭整机电源的情况下一键关闭和开启液晶屏背光，实现功耗降低超过80%。</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E85CEA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944BD0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6A89E0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F25882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BBB308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无线投屏协作系统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86CAA27">
            <w:pPr>
              <w:widowControl/>
              <w:numPr>
                <w:ilvl w:val="0"/>
                <w:numId w:val="11"/>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支持多布局显示，可根据场景需求选择如整屏显示，画中画，2分屏，3分屏，4分屏；</w:t>
            </w:r>
          </w:p>
          <w:p w14:paraId="7E71A258">
            <w:pPr>
              <w:widowControl/>
              <w:numPr>
                <w:ilvl w:val="0"/>
                <w:numId w:val="11"/>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支持Windows、MAC、Android、iOS、鸿蒙、国产麒麟等主流操作平台；</w:t>
            </w:r>
          </w:p>
          <w:p w14:paraId="28746ADD">
            <w:pPr>
              <w:widowControl/>
              <w:numPr>
                <w:ilvl w:val="0"/>
                <w:numId w:val="11"/>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支持HDMI2.0，输出最大分辨率不低于3840x2160@60Hz；</w:t>
            </w:r>
          </w:p>
          <w:p w14:paraId="48CF47BB">
            <w:pPr>
              <w:widowControl/>
              <w:numPr>
                <w:ilvl w:val="0"/>
                <w:numId w:val="11"/>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支持扩展桌面、白板批注、反向控制等功能；</w:t>
            </w:r>
          </w:p>
          <w:p w14:paraId="2F7808C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5、提供CEC、WebGUI、Telnet、RS232控制方式，支持第三方中控。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555813B">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98A9F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50F0A8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A5826E7">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（二）</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642485B">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专业扩声系统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F31D67F">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4AA2516">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ED6B3D">
            <w:pPr>
              <w:widowControl/>
              <w:spacing w:line="288" w:lineRule="auto"/>
              <w:ind w:firstLine="0" w:firstLineChars="0"/>
              <w:jc w:val="center"/>
              <w:rPr>
                <w:color w:val="auto"/>
                <w:sz w:val="21"/>
                <w:szCs w:val="21"/>
                <w:highlight w:val="none"/>
              </w:rPr>
            </w:pPr>
          </w:p>
        </w:tc>
      </w:tr>
      <w:tr w14:paraId="763B9FE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6E1702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D008AE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线性阵列声柱（150W)</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7F0A6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1、防护等级：≥IP55；</w:t>
            </w:r>
          </w:p>
          <w:p w14:paraId="1743C29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2、频率范围(-10dB)：不劣于75~15000(Hz)；</w:t>
            </w:r>
          </w:p>
          <w:p w14:paraId="243E1C5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3、灵敏度：≥91dB；</w:t>
            </w:r>
          </w:p>
          <w:p w14:paraId="3822AF4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4、最大声压级：≥119dB；</w:t>
            </w:r>
          </w:p>
          <w:p w14:paraId="43B681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5、水平覆盖角度范围：120±10°；</w:t>
            </w:r>
          </w:p>
          <w:p w14:paraId="27FB129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6、垂直覆盖角度范围：60±5°；</w:t>
            </w:r>
          </w:p>
          <w:p w14:paraId="5988B6A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7、额定功率：≥150W；</w:t>
            </w:r>
          </w:p>
          <w:p w14:paraId="4CC18F7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8、单元规格：≥4x4.5英寸全频单元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F0F57C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B136C0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r>
      <w:tr w14:paraId="013C1DE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B4CA19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70ED01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四通道专业功放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6DE1B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322EFE4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41563C2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3、模拟信号输入通道数量≥4路，数字信号输入通道数量≥8路，数字信号支持菊花链传输；</w:t>
            </w:r>
          </w:p>
          <w:p w14:paraId="4D5861A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4、扬声器通道数量≥4路；</w:t>
            </w:r>
          </w:p>
          <w:p w14:paraId="41AF37E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5、单通道功率≥300W，设备总功率≥1200W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0C1A12">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C0EFCA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2E868F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291983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22FACA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返听线性阵列声柱（150W)</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7A50BB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1、防护等级≥IP55；</w:t>
            </w:r>
          </w:p>
          <w:p w14:paraId="67514B4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2、频率范围(-10dB)不劣于：75~15000(Hz)；</w:t>
            </w:r>
          </w:p>
          <w:p w14:paraId="25CF9A9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3、灵敏度≥91dB；</w:t>
            </w:r>
          </w:p>
          <w:p w14:paraId="79134BC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4、最大声压级≥119dB；</w:t>
            </w:r>
          </w:p>
          <w:p w14:paraId="36B3D7D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5、水平覆盖角度范围：120±10°；</w:t>
            </w:r>
          </w:p>
          <w:p w14:paraId="56FE2FB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6、垂直覆盖角度范围：60±5°；</w:t>
            </w:r>
          </w:p>
          <w:p w14:paraId="683DCF5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7、额定功率≥150W；</w:t>
            </w:r>
          </w:p>
          <w:p w14:paraId="2EC9DA2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8、单元规格≥4x4.5英寸全频单元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1145D0F">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90011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927C81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20F996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02C5DB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专业双声道功放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A0239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1397509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2AB585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3、总谐波失真+噪声（THD+N）&lt;0.04%，动态范围≥100dB(A)；</w:t>
            </w:r>
          </w:p>
          <w:p w14:paraId="49C3643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4、模拟信号输入通道数量≥2路，数字信号输入通道数量≥8路，数字信号支持菊花链传输；</w:t>
            </w:r>
          </w:p>
          <w:p w14:paraId="55ACECA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5、单通道功率≥600W，设备总功率≥1200W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7E248E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E9E81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2C6A28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0FB822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B441EB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数字调音台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99188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14路输入通道（8路话放，2个立体声TRS，1个USB立体声播放）；</w:t>
            </w:r>
          </w:p>
          <w:p w14:paraId="609270F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6路输出通道（6路XLR，2个立体声TRS监听）；</w:t>
            </w:r>
          </w:p>
          <w:p w14:paraId="3FF5A5F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8个DCA和</w:t>
            </w:r>
            <w:r>
              <w:rPr>
                <w:rFonts w:hint="eastAsia"/>
                <w:color w:val="auto"/>
                <w:kern w:val="0"/>
                <w:sz w:val="21"/>
                <w:szCs w:val="21"/>
                <w:highlight w:val="none"/>
                <w:lang w:bidi="ar"/>
              </w:rPr>
              <w:t>≥</w:t>
            </w:r>
            <w:r>
              <w:rPr>
                <w:color w:val="auto"/>
                <w:kern w:val="0"/>
                <w:sz w:val="21"/>
                <w:szCs w:val="21"/>
                <w:highlight w:val="none"/>
                <w:lang w:bidi="ar"/>
              </w:rPr>
              <w:t>8个静音编组；</w:t>
            </w:r>
          </w:p>
          <w:p w14:paraId="674E487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7英寸彩色触摸屏控制，配合数据轮调整参数；</w:t>
            </w:r>
          </w:p>
          <w:p w14:paraId="33648FE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4个高品质立体声效果处理器：混响、回声、延时、合唱等50个工厂预设，50个用户设置和1个音调校正（可以分配到任何单声道输入通道）；</w:t>
            </w:r>
          </w:p>
          <w:p w14:paraId="0034935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6、支持WiFi无线iOS/Android控制；多轨录音及回放。</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86F42C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F4BC54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9B5BD5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0FEC36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A68675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数字音频处理器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B4E23C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1、支持自动话筒混音模块，支持自动反馈抑制模块；</w:t>
            </w:r>
          </w:p>
          <w:p w14:paraId="19349E8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2、支持跨平台（IOS、Android、Windows、MacOS）平台软件实时远程控制，并支持中文GUI界面；</w:t>
            </w:r>
          </w:p>
          <w:p w14:paraId="7F91C1D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3、支持定时控制，支持房间组合设置，支持逻辑控制；</w:t>
            </w:r>
          </w:p>
          <w:p w14:paraId="3B5010C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4、支持扬声器动态低音功能；</w:t>
            </w:r>
          </w:p>
          <w:p w14:paraId="2DE20C8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5、支持中控控制(RS232&amp;SoIP)；</w:t>
            </w:r>
          </w:p>
          <w:p w14:paraId="5BF53FD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6、支持控制面板分区控制及场景/音源切换；</w:t>
            </w:r>
          </w:p>
          <w:p w14:paraId="31DF3AB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7、内置信号发生器可生成正弦波、粉红噪声、白噪声及扫频；</w:t>
            </w:r>
          </w:p>
          <w:p w14:paraId="6CB542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8、支持静音强切；</w:t>
            </w:r>
          </w:p>
          <w:p w14:paraId="0005F90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9、模拟通道数量≥10进4出；</w:t>
            </w:r>
          </w:p>
          <w:p w14:paraId="033FA34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0</w:t>
            </w:r>
            <w:r>
              <w:rPr>
                <w:color w:val="auto"/>
                <w:kern w:val="0"/>
                <w:sz w:val="21"/>
                <w:szCs w:val="21"/>
                <w:highlight w:val="none"/>
                <w:lang w:bidi="ar"/>
              </w:rPr>
              <w:t>、延时能力≥43</w:t>
            </w:r>
            <w:r>
              <w:rPr>
                <w:rFonts w:hint="eastAsia"/>
                <w:color w:val="auto"/>
                <w:kern w:val="0"/>
                <w:sz w:val="21"/>
                <w:szCs w:val="21"/>
                <w:highlight w:val="none"/>
                <w:lang w:val="en-US" w:eastAsia="zh-CN" w:bidi="ar"/>
              </w:rPr>
              <w:t xml:space="preserve"> m</w:t>
            </w:r>
            <w:r>
              <w:rPr>
                <w:color w:val="auto"/>
                <w:kern w:val="0"/>
                <w:sz w:val="21"/>
                <w:szCs w:val="21"/>
                <w:highlight w:val="none"/>
                <w:lang w:bidi="ar"/>
              </w:rPr>
              <w:t>s；</w:t>
            </w:r>
          </w:p>
          <w:p w14:paraId="10FFF57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1</w:t>
            </w:r>
            <w:r>
              <w:rPr>
                <w:color w:val="auto"/>
                <w:kern w:val="0"/>
                <w:sz w:val="21"/>
                <w:szCs w:val="21"/>
                <w:highlight w:val="none"/>
                <w:lang w:bidi="ar"/>
              </w:rPr>
              <w:t>、输入至输出音频延迟≤1.05ms，声学回声消除模块(AEC)通道≥8路；</w:t>
            </w:r>
          </w:p>
          <w:p w14:paraId="3595F6F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bidi="ar"/>
              </w:rPr>
              <w:t>2</w:t>
            </w:r>
            <w:r>
              <w:rPr>
                <w:color w:val="auto"/>
                <w:kern w:val="0"/>
                <w:sz w:val="21"/>
                <w:szCs w:val="21"/>
                <w:highlight w:val="none"/>
                <w:lang w:bidi="ar"/>
              </w:rPr>
              <w:t>、可实现多台DSP级联扩展使用，在1个编辑调试界面内运行。</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1EBEE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187E3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7DB9BC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158660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1D5C09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数字电源时序器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0873D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1、支持插孔独立开关；</w:t>
            </w:r>
          </w:p>
          <w:p w14:paraId="348D29C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2、支持监控电流总电压；</w:t>
            </w:r>
          </w:p>
          <w:p w14:paraId="42D5A61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3、支持插孔顺序上下电，定时，延时开关机重启；</w:t>
            </w:r>
          </w:p>
          <w:p w14:paraId="160FF0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4、带过流过压预警和设定5、支持电压显示；</w:t>
            </w:r>
          </w:p>
          <w:p w14:paraId="6531C0A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6、支持每路控制；开放协议，可通过网络或485或232方式对接；</w:t>
            </w:r>
          </w:p>
          <w:p w14:paraId="770966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7、额定输入输出电压220VAC/50HZ；</w:t>
            </w:r>
          </w:p>
          <w:p w14:paraId="51DF74E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8、总输出电流</w:t>
            </w:r>
            <w:r>
              <w:rPr>
                <w:rFonts w:hint="eastAsia"/>
                <w:color w:val="auto"/>
                <w:kern w:val="0"/>
                <w:sz w:val="21"/>
                <w:szCs w:val="21"/>
                <w:highlight w:val="none"/>
                <w:lang w:bidi="ar"/>
              </w:rPr>
              <w:t>≥</w:t>
            </w:r>
            <w:r>
              <w:rPr>
                <w:color w:val="auto"/>
                <w:kern w:val="0"/>
                <w:sz w:val="21"/>
                <w:szCs w:val="21"/>
                <w:highlight w:val="none"/>
                <w:lang w:bidi="ar"/>
              </w:rPr>
              <w:t>12路输出最大30A；</w:t>
            </w:r>
          </w:p>
          <w:p w14:paraId="72A407A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9、单路输出电流最大13A；</w:t>
            </w:r>
          </w:p>
          <w:p w14:paraId="06B37A5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10、静态功耗</w:t>
            </w:r>
            <w:r>
              <w:rPr>
                <w:rFonts w:hint="eastAsia"/>
                <w:color w:val="auto"/>
                <w:kern w:val="0"/>
                <w:sz w:val="21"/>
                <w:szCs w:val="21"/>
                <w:highlight w:val="none"/>
                <w:lang w:val="en-US" w:eastAsia="zh-CN" w:bidi="ar"/>
              </w:rPr>
              <w:t>不高于</w:t>
            </w:r>
            <w:r>
              <w:rPr>
                <w:color w:val="auto"/>
                <w:kern w:val="0"/>
                <w:sz w:val="21"/>
                <w:szCs w:val="21"/>
                <w:highlight w:val="none"/>
                <w:lang w:bidi="ar"/>
              </w:rPr>
              <w:t>7W；</w:t>
            </w:r>
          </w:p>
          <w:p w14:paraId="2BEE7B3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11、电源通道</w:t>
            </w:r>
            <w:r>
              <w:rPr>
                <w:rFonts w:hint="eastAsia"/>
                <w:color w:val="auto"/>
                <w:kern w:val="0"/>
                <w:sz w:val="21"/>
                <w:szCs w:val="21"/>
                <w:highlight w:val="none"/>
                <w:lang w:bidi="ar"/>
              </w:rPr>
              <w:t>≥</w:t>
            </w:r>
            <w:r>
              <w:rPr>
                <w:color w:val="auto"/>
                <w:kern w:val="0"/>
                <w:sz w:val="21"/>
                <w:szCs w:val="21"/>
                <w:highlight w:val="none"/>
                <w:lang w:bidi="ar"/>
              </w:rPr>
              <w:t>12路。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D41135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FCD1D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89BC9A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50B987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3083A9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数字无线手持话筒（1拖2）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0D65DB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1、UHF频段捷变频分集式无线手持话筒系统；</w:t>
            </w:r>
          </w:p>
          <w:p w14:paraId="301F5F8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243F54E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13EB081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3C8B6C6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5E9F0E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22A0FB9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4EFC9C8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06755E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504637E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10、工作距离：一般≥100米；</w:t>
            </w:r>
          </w:p>
          <w:p w14:paraId="2556934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0D4C0BA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12、手持发射机：射频高功率输出≤30mW，低功率输出≥10mW，动圈式收音头≥120°心形指向性。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DB3BC1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EE3C4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5D38185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C3E58F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9</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C18E03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汇报席话筒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43A99B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与会议话筒同档次；</w:t>
            </w:r>
          </w:p>
          <w:p w14:paraId="3B6E8A9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短杆</w:t>
            </w:r>
            <w:r>
              <w:rPr>
                <w:color w:val="auto"/>
                <w:kern w:val="0"/>
                <w:sz w:val="21"/>
                <w:szCs w:val="21"/>
                <w:highlight w:val="none"/>
                <w:lang w:bidi="ar"/>
              </w:rPr>
              <w:t>话筒；</w:t>
            </w:r>
          </w:p>
          <w:p w14:paraId="7AA1C5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2、指向特性：心型单指向性；</w:t>
            </w:r>
          </w:p>
          <w:p w14:paraId="2B9E1A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3、频率响应：100Hz～16000Hz；</w:t>
            </w:r>
          </w:p>
          <w:p w14:paraId="5CF50D7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5、开路灵敏度：-43dB；</w:t>
            </w:r>
          </w:p>
          <w:p w14:paraId="15007B7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6、阻抗：≥250Ω；</w:t>
            </w:r>
          </w:p>
          <w:p w14:paraId="0872DFB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7、最大输入声压级：≥1</w:t>
            </w:r>
            <w:r>
              <w:rPr>
                <w:rFonts w:hint="eastAsia"/>
                <w:color w:val="auto"/>
                <w:kern w:val="0"/>
                <w:sz w:val="21"/>
                <w:szCs w:val="21"/>
                <w:highlight w:val="none"/>
                <w:lang w:bidi="ar"/>
              </w:rPr>
              <w:t>3</w:t>
            </w:r>
            <w:r>
              <w:rPr>
                <w:color w:val="auto"/>
                <w:kern w:val="0"/>
                <w:sz w:val="21"/>
                <w:szCs w:val="21"/>
                <w:highlight w:val="none"/>
                <w:lang w:bidi="ar"/>
              </w:rPr>
              <w:t>0dB；</w:t>
            </w:r>
          </w:p>
          <w:p w14:paraId="1107F1B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8、信噪比：&gt;65dB；</w:t>
            </w:r>
          </w:p>
          <w:p w14:paraId="5A2DB4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9、幻象供电：48V；</w:t>
            </w:r>
          </w:p>
          <w:p w14:paraId="17BAA02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10、开关：按钮式控制开启/静音。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A99682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32E71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A381BE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3D6ACB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10</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99B164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会议系统控制主机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F23547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1、支持双机热备份模式功能，可把主机设为热备份模式级联进行系统备份；</w:t>
            </w:r>
          </w:p>
          <w:p w14:paraId="372852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2、具备“手拉手”连接和环路连接多种方式，便于安装和维护；</w:t>
            </w:r>
          </w:p>
          <w:p w14:paraId="75C4E7D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3、主机可支持分别调节每个会议单元的输出增益，并可设定设置音频调节锁定；</w:t>
            </w:r>
          </w:p>
          <w:p w14:paraId="3B214C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4、内置环境噪音消除器、数字均衡电路、自适应反馈抑器，可有效消除本地噪声，大幅提升会场声压级，有效防止啸叫；</w:t>
            </w:r>
          </w:p>
          <w:p w14:paraId="5357B42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5、采用6芯DIN带双屏蔽线缆或超六类带屏蔽网线连接，有效防止线路电磁干扰；</w:t>
            </w:r>
          </w:p>
          <w:p w14:paraId="3DD5FBE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4.3英寸真彩色触摸屏，内嵌式Linux系统，中文操作界面；</w:t>
            </w:r>
          </w:p>
          <w:p w14:paraId="10F7A5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7、可触摸设置会议模式、系统音量调节、话筒管理、单元编号、摄像机参数、视像跟踪设置和灯环设置等功能；</w:t>
            </w:r>
          </w:p>
          <w:p w14:paraId="10CD731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8、会议模式：自由模式、轮替模式、限制模式、声控模式、PTT模式、VIP模式；</w:t>
            </w:r>
          </w:p>
          <w:p w14:paraId="5C7157B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9、具有USB录音功能，可对会议进行录音；</w:t>
            </w:r>
          </w:p>
          <w:p w14:paraId="0855A9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10、频率响应：20Hz～20kHz；</w:t>
            </w:r>
          </w:p>
          <w:p w14:paraId="60F7828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11、总谐波失真：小于0.1%。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D80053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C14E0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B6B221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513B51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8B80BA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手拉手桌面话筒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2CB2B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1、GSM抗扰，免受移动电话的干扰；</w:t>
            </w:r>
          </w:p>
          <w:p w14:paraId="270290E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2、话筒灵敏度可独立调节，针对不同发言者的声音特点调节音量；</w:t>
            </w:r>
          </w:p>
          <w:p w14:paraId="2A1D1A8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3、话筒可调仰角范围≥60°；</w:t>
            </w:r>
          </w:p>
          <w:p w14:paraId="77CF3DC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4、话筒类型：短杆方管电容话筒，</w:t>
            </w:r>
            <w:r>
              <w:rPr>
                <w:rFonts w:hint="eastAsia"/>
                <w:color w:val="auto"/>
                <w:kern w:val="0"/>
                <w:sz w:val="21"/>
                <w:szCs w:val="21"/>
                <w:highlight w:val="none"/>
                <w:lang w:bidi="ar"/>
              </w:rPr>
              <w:t>≥</w:t>
            </w:r>
            <w:r>
              <w:rPr>
                <w:color w:val="auto"/>
                <w:kern w:val="0"/>
                <w:sz w:val="21"/>
                <w:szCs w:val="21"/>
                <w:highlight w:val="none"/>
                <w:lang w:bidi="ar"/>
              </w:rPr>
              <w:t>20mm音头；</w:t>
            </w:r>
          </w:p>
          <w:p w14:paraId="65AD736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5、指向性：超心型；</w:t>
            </w:r>
          </w:p>
          <w:p w14:paraId="381F494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6、灵敏度：-30dB(±1dB)；</w:t>
            </w:r>
          </w:p>
          <w:p w14:paraId="37B3EB4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7、频率响应：20Hz至20kHz；</w:t>
            </w:r>
          </w:p>
          <w:p w14:paraId="6C83F1B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8、动态范围：≥120dB；</w:t>
            </w:r>
          </w:p>
          <w:p w14:paraId="00A0714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9、信噪比：≥79dB，A计权；</w:t>
            </w:r>
          </w:p>
          <w:p w14:paraId="7F60A1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10、等效噪声：≤15dB；</w:t>
            </w:r>
          </w:p>
          <w:p w14:paraId="18B0999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11、最大输入声压级：≥130dBSPL</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FD7E7D8">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0956B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9</w:t>
            </w:r>
          </w:p>
        </w:tc>
      </w:tr>
      <w:tr w14:paraId="289EAC3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AB6B319">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（三）</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4B9FDE6D">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集中控制及视频矩阵</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15E4584E">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E713532">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4CFEEE">
            <w:pPr>
              <w:widowControl/>
              <w:spacing w:line="288" w:lineRule="auto"/>
              <w:ind w:firstLine="0" w:firstLineChars="0"/>
              <w:jc w:val="center"/>
              <w:rPr>
                <w:color w:val="auto"/>
                <w:sz w:val="21"/>
                <w:szCs w:val="21"/>
                <w:highlight w:val="none"/>
              </w:rPr>
            </w:pPr>
          </w:p>
        </w:tc>
      </w:tr>
      <w:tr w14:paraId="0B8CF0A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5B00F6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B06706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多媒体智能IOT平台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4DDB60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1、不少于2个总线接口；</w:t>
            </w:r>
          </w:p>
          <w:p w14:paraId="409F544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2、不少于2个10/100LAN接口；</w:t>
            </w:r>
          </w:p>
          <w:p w14:paraId="32A775B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3、不少于8个数字I/O端口；</w:t>
            </w:r>
          </w:p>
          <w:p w14:paraId="0B11B4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4、不少于8路RS232双向端口；</w:t>
            </w:r>
          </w:p>
          <w:p w14:paraId="0D5BAD2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5、不少于8路红外/串行输出端口；</w:t>
            </w:r>
          </w:p>
          <w:p w14:paraId="6E0B931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6、不少于8路弱电继电器端口；</w:t>
            </w:r>
          </w:p>
          <w:p w14:paraId="0048AE4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7、具有内置网页服务器功能；</w:t>
            </w:r>
          </w:p>
          <w:p w14:paraId="5A427C5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8、具有支持HTML及JAVA的功能；</w:t>
            </w:r>
          </w:p>
          <w:p w14:paraId="5DB2BD9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9、具有可将触摸屏界面变成网页的功能；</w:t>
            </w:r>
          </w:p>
          <w:p w14:paraId="71F29C8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10、具备4G物联网功能，实现远程状态查询、周边环境控制。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688287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A4B93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EC37C4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69F234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E88F10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中控编程</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D4CA69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根据用户需求及会议场景内可控设备数量工程师现场编写程序含灯光回路控制、电动窗帘控制、音视频场景模式控制，可根据用户习惯编制定制化程序软件。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8A8BC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6D9C1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5DD474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BBD5F9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1292FC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拼接矩阵</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B9DC7C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1、支持矩阵无缝切换；</w:t>
            </w:r>
          </w:p>
          <w:p w14:paraId="4FC5B3F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w:t>
            </w:r>
            <w:r>
              <w:rPr>
                <w:rFonts w:hint="eastAsia"/>
                <w:color w:val="auto"/>
                <w:kern w:val="0"/>
                <w:sz w:val="21"/>
                <w:szCs w:val="21"/>
                <w:highlight w:val="none"/>
                <w:lang w:bidi="ar"/>
              </w:rPr>
              <w:t>≥</w:t>
            </w:r>
            <w:r>
              <w:rPr>
                <w:color w:val="auto"/>
                <w:kern w:val="0"/>
                <w:sz w:val="21"/>
                <w:szCs w:val="21"/>
                <w:highlight w:val="none"/>
                <w:lang w:bidi="ar"/>
              </w:rPr>
              <w:t>8路HDMI输入，</w:t>
            </w:r>
            <w:r>
              <w:rPr>
                <w:rFonts w:hint="eastAsia"/>
                <w:color w:val="auto"/>
                <w:kern w:val="0"/>
                <w:sz w:val="21"/>
                <w:szCs w:val="21"/>
                <w:highlight w:val="none"/>
                <w:lang w:bidi="ar"/>
              </w:rPr>
              <w:t>≥</w:t>
            </w:r>
            <w:r>
              <w:rPr>
                <w:color w:val="auto"/>
                <w:kern w:val="0"/>
                <w:sz w:val="21"/>
                <w:szCs w:val="21"/>
                <w:highlight w:val="none"/>
                <w:lang w:bidi="ar"/>
              </w:rPr>
              <w:t>8路HDMI输出，</w:t>
            </w:r>
            <w:r>
              <w:rPr>
                <w:rFonts w:hint="eastAsia"/>
                <w:color w:val="auto"/>
                <w:kern w:val="0"/>
                <w:sz w:val="21"/>
                <w:szCs w:val="21"/>
                <w:highlight w:val="none"/>
                <w:lang w:bidi="ar"/>
              </w:rPr>
              <w:t>≥</w:t>
            </w:r>
            <w:r>
              <w:rPr>
                <w:color w:val="auto"/>
                <w:kern w:val="0"/>
                <w:sz w:val="21"/>
                <w:szCs w:val="21"/>
                <w:highlight w:val="none"/>
                <w:lang w:bidi="ar"/>
              </w:rPr>
              <w:t>8路3.5mm音频独立输出；</w:t>
            </w:r>
          </w:p>
          <w:p w14:paraId="04412B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3、支持电视墙拼接功能；</w:t>
            </w:r>
          </w:p>
          <w:p w14:paraId="058394D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4、输出支持画面分割功能；</w:t>
            </w:r>
          </w:p>
          <w:p w14:paraId="06CE257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5、支持输入输出信号状态监测功能。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529CBA2">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CA26C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5610BA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3120DE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3FF407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有线控制终端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67CA74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1、至少10英寸有线嵌墙式触摸屏；</w:t>
            </w:r>
          </w:p>
          <w:p w14:paraId="1A4319E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2、物理分辨率不小于1280x800；</w:t>
            </w:r>
          </w:p>
          <w:p w14:paraId="26F9CCE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3、显示比例16：10；</w:t>
            </w:r>
          </w:p>
          <w:p w14:paraId="2D6EDB4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4、存储：不劣于2GB内存，不劣于16GB闪存；</w:t>
            </w:r>
          </w:p>
          <w:p w14:paraId="6BE6C76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5、至少1个USB2.0接口，至少1个RJ-45以太网口。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9C8B44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1307B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637496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B81992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C93D51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无线控制屏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79C21F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1、处理器主频：</w:t>
            </w:r>
            <w:r>
              <w:rPr>
                <w:rFonts w:hint="eastAsia"/>
                <w:color w:val="auto"/>
                <w:kern w:val="0"/>
                <w:sz w:val="21"/>
                <w:szCs w:val="21"/>
                <w:highlight w:val="none"/>
                <w:lang w:bidi="ar"/>
              </w:rPr>
              <w:t>≥</w:t>
            </w:r>
            <w:r>
              <w:rPr>
                <w:color w:val="auto"/>
                <w:kern w:val="0"/>
                <w:sz w:val="21"/>
                <w:szCs w:val="21"/>
                <w:highlight w:val="none"/>
                <w:lang w:bidi="ar"/>
              </w:rPr>
              <w:t>2×A762.27GHz+6×A551.88GHz、6GB+128GB；</w:t>
            </w:r>
          </w:p>
          <w:p w14:paraId="69F330A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w:t>
            </w:r>
            <w:r>
              <w:rPr>
                <w:rFonts w:hint="eastAsia"/>
                <w:color w:val="auto"/>
                <w:kern w:val="0"/>
                <w:sz w:val="21"/>
                <w:szCs w:val="21"/>
                <w:highlight w:val="none"/>
                <w:lang w:bidi="ar"/>
              </w:rPr>
              <w:t>≥</w:t>
            </w:r>
            <w:r>
              <w:rPr>
                <w:color w:val="auto"/>
                <w:kern w:val="0"/>
                <w:sz w:val="21"/>
                <w:szCs w:val="21"/>
                <w:highlight w:val="none"/>
                <w:lang w:bidi="ar"/>
              </w:rPr>
              <w:t>2.27GHz；</w:t>
            </w:r>
          </w:p>
          <w:p w14:paraId="0010A4A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3、处理器核心：</w:t>
            </w:r>
            <w:r>
              <w:rPr>
                <w:rFonts w:hint="eastAsia"/>
                <w:color w:val="auto"/>
                <w:kern w:val="0"/>
                <w:sz w:val="21"/>
                <w:szCs w:val="21"/>
                <w:highlight w:val="none"/>
                <w:lang w:bidi="ar"/>
              </w:rPr>
              <w:t>≥</w:t>
            </w:r>
            <w:r>
              <w:rPr>
                <w:color w:val="auto"/>
                <w:kern w:val="0"/>
                <w:sz w:val="21"/>
                <w:szCs w:val="21"/>
                <w:highlight w:val="none"/>
                <w:lang w:bidi="ar"/>
              </w:rPr>
              <w:t>八核；</w:t>
            </w:r>
          </w:p>
          <w:p w14:paraId="28CB298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4、屏幕尺寸</w:t>
            </w:r>
            <w:r>
              <w:rPr>
                <w:rFonts w:hint="eastAsia"/>
                <w:color w:val="auto"/>
                <w:kern w:val="0"/>
                <w:sz w:val="21"/>
                <w:szCs w:val="21"/>
                <w:highlight w:val="none"/>
                <w:lang w:bidi="ar"/>
              </w:rPr>
              <w:t>≥</w:t>
            </w:r>
            <w:r>
              <w:rPr>
                <w:color w:val="auto"/>
                <w:kern w:val="0"/>
                <w:sz w:val="21"/>
                <w:szCs w:val="21"/>
                <w:highlight w:val="none"/>
                <w:lang w:bidi="ar"/>
              </w:rPr>
              <w:t>11.5英寸；</w:t>
            </w:r>
          </w:p>
          <w:p w14:paraId="77E9180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5、屏幕分辨率：2000x1200。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CD0F25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4D8B7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22DA64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4F48347">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（四）</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0878591">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会议预约发布系统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244E8A2">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99EBEFB">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7ACA060">
            <w:pPr>
              <w:widowControl/>
              <w:spacing w:line="288" w:lineRule="auto"/>
              <w:ind w:firstLine="0" w:firstLineChars="0"/>
              <w:jc w:val="center"/>
              <w:rPr>
                <w:color w:val="auto"/>
                <w:sz w:val="21"/>
                <w:szCs w:val="21"/>
                <w:highlight w:val="none"/>
              </w:rPr>
            </w:pPr>
          </w:p>
        </w:tc>
      </w:tr>
      <w:tr w14:paraId="41F7082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5C6BAA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A5FB41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信息发布终端（会议发布）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898D56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高清显示：</w:t>
            </w:r>
            <w:r>
              <w:rPr>
                <w:rFonts w:hint="eastAsia"/>
                <w:color w:val="auto"/>
                <w:kern w:val="0"/>
                <w:sz w:val="21"/>
                <w:szCs w:val="21"/>
                <w:highlight w:val="none"/>
                <w:lang w:bidi="ar"/>
              </w:rPr>
              <w:t>≥</w:t>
            </w:r>
            <w:r>
              <w:rPr>
                <w:color w:val="auto"/>
                <w:kern w:val="0"/>
                <w:sz w:val="21"/>
                <w:szCs w:val="21"/>
                <w:highlight w:val="none"/>
                <w:lang w:bidi="ar"/>
              </w:rPr>
              <w:t>21.5寸原装A+级高分辨率IPS面板；</w:t>
            </w:r>
          </w:p>
          <w:p w14:paraId="15D72D2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物理分辨率：≥1920*1080；</w:t>
            </w:r>
          </w:p>
          <w:p w14:paraId="09E9525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.硬件配置：嵌入式四核64位处理器，CPU主频≥1.8Ghz；运行内存≥2GB，存储空间≥16G；</w:t>
            </w:r>
          </w:p>
          <w:p w14:paraId="71CD46C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声音输出：内置2*2W高保真喇叭输出；</w:t>
            </w:r>
          </w:p>
          <w:p w14:paraId="7616180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网络支持：10/100M自适应以太网卡，支持 802.11b/g/n的WIFI无线网卡,支持扩展全网通4G网络模块；</w:t>
            </w:r>
          </w:p>
          <w:p w14:paraId="664279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数据接口：RJ45以太网接口≥1个，USB接口≥2个，TF卡扩展插槽≥1个；</w:t>
            </w:r>
          </w:p>
          <w:p w14:paraId="5B6A2A4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w:t>
            </w:r>
            <w:r>
              <w:rPr>
                <w:rFonts w:hint="eastAsia"/>
                <w:color w:val="auto"/>
                <w:kern w:val="0"/>
                <w:sz w:val="21"/>
                <w:szCs w:val="21"/>
                <w:highlight w:val="none"/>
                <w:lang w:bidi="ar"/>
              </w:rPr>
              <w:t>、</w:t>
            </w:r>
            <w:r>
              <w:rPr>
                <w:color w:val="auto"/>
                <w:kern w:val="0"/>
                <w:sz w:val="21"/>
                <w:szCs w:val="21"/>
                <w:highlight w:val="none"/>
                <w:lang w:bidi="ar"/>
              </w:rPr>
              <w:t>供电方式：12V DC供电；</w:t>
            </w:r>
          </w:p>
          <w:p w14:paraId="517ED51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w:t>
            </w:r>
            <w:r>
              <w:rPr>
                <w:rFonts w:hint="eastAsia"/>
                <w:color w:val="auto"/>
                <w:kern w:val="0"/>
                <w:sz w:val="21"/>
                <w:szCs w:val="21"/>
                <w:highlight w:val="none"/>
                <w:lang w:bidi="ar"/>
              </w:rPr>
              <w:t>、</w:t>
            </w:r>
            <w:r>
              <w:rPr>
                <w:color w:val="auto"/>
                <w:kern w:val="0"/>
                <w:sz w:val="21"/>
                <w:szCs w:val="21"/>
                <w:highlight w:val="none"/>
                <w:lang w:bidi="ar"/>
              </w:rPr>
              <w:t>安装方式：支持壁挂安装，嵌入式安装和桌面安装。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C7B41E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B2B4E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8E29E2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059B8D">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（五）</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A09D4C6">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会议录播系统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A71975A">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EC35CDF">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DA135A4">
            <w:pPr>
              <w:widowControl/>
              <w:spacing w:line="288" w:lineRule="auto"/>
              <w:ind w:firstLine="0" w:firstLineChars="0"/>
              <w:jc w:val="center"/>
              <w:rPr>
                <w:color w:val="auto"/>
                <w:sz w:val="21"/>
                <w:szCs w:val="21"/>
                <w:highlight w:val="none"/>
              </w:rPr>
            </w:pPr>
          </w:p>
        </w:tc>
      </w:tr>
      <w:tr w14:paraId="08446E2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8B0243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08CF52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4K互动录播主机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C041EC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1、录播主机必须支持会议录制、视频会议、互动终端、可编中控、无缝矩阵、音频处理六大功能于一体；</w:t>
            </w:r>
          </w:p>
          <w:p w14:paraId="639038E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2、视频</w:t>
            </w:r>
            <w:r>
              <w:rPr>
                <w:rFonts w:hint="eastAsia"/>
                <w:color w:val="auto"/>
                <w:kern w:val="0"/>
                <w:sz w:val="21"/>
                <w:szCs w:val="21"/>
                <w:highlight w:val="none"/>
                <w:lang w:val="en-US" w:eastAsia="zh-CN" w:bidi="ar"/>
              </w:rPr>
              <w:t>接</w:t>
            </w:r>
            <w:r>
              <w:rPr>
                <w:color w:val="auto"/>
                <w:kern w:val="0"/>
                <w:sz w:val="21"/>
                <w:szCs w:val="21"/>
                <w:highlight w:val="none"/>
                <w:lang w:bidi="ar"/>
              </w:rPr>
              <w:t>入：支持不少于8路输入接口（3G/HD-SDI输入≥4路、≥2路HDMI输入接口，其中1路支持4K输入，≥2路VGA/分量复用输入）；</w:t>
            </w:r>
          </w:p>
          <w:p w14:paraId="1005EF0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3、视频输出：不少于3路高清输出（≥2路HDMI输出，1路支持4K输出；≥1路VGA1080P输出）；</w:t>
            </w:r>
          </w:p>
          <w:p w14:paraId="2FA07C7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4、音频端口：≥2路MIC输入（支持幻象供电），线路输入/输出：≥3/3。</w:t>
            </w:r>
          </w:p>
          <w:p w14:paraId="2521FEA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5、控制端口：≥5路RS232/485，≥2路IR；≥2路IO；≥4USB（可USB外置光驱进行音视频实时刻录，键盘鼠标操作GUI管理界面，U盘文件下载）；≥1路LAN；</w:t>
            </w:r>
          </w:p>
          <w:p w14:paraId="03B8CFC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6、存储：≥2T硬盘存储；</w:t>
            </w:r>
          </w:p>
          <w:p w14:paraId="1D96911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85707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371AC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EB2DD5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43CE3F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B9FA9E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4K会议摄像机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6F14CA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1、成像元器件：≥1/2.5英寸CMOS传感器；</w:t>
            </w:r>
          </w:p>
          <w:p w14:paraId="4611268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2、传感器有效像素：不低于850万像素；</w:t>
            </w:r>
          </w:p>
          <w:p w14:paraId="54626F0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3、光学变焦：不低于</w:t>
            </w:r>
            <w:r>
              <w:rPr>
                <w:rFonts w:hint="eastAsia"/>
                <w:color w:val="auto"/>
                <w:kern w:val="0"/>
                <w:sz w:val="21"/>
                <w:szCs w:val="21"/>
                <w:highlight w:val="none"/>
                <w:lang w:bidi="ar"/>
              </w:rPr>
              <w:t>20</w:t>
            </w:r>
            <w:r>
              <w:rPr>
                <w:color w:val="auto"/>
                <w:kern w:val="0"/>
                <w:sz w:val="21"/>
                <w:szCs w:val="21"/>
                <w:highlight w:val="none"/>
                <w:lang w:bidi="ar"/>
              </w:rPr>
              <w:t>倍；</w:t>
            </w:r>
          </w:p>
          <w:p w14:paraId="2687D96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4、视频输出：3G-SDIx1、HDMIx1、LANx1。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C513F1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D1C55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47593D1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9820411">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（六）</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0E7A3DB">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灯光系统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3624A42">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D451F0A">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0EFE23">
            <w:pPr>
              <w:widowControl/>
              <w:spacing w:line="288" w:lineRule="auto"/>
              <w:ind w:firstLine="0" w:firstLineChars="0"/>
              <w:jc w:val="center"/>
              <w:rPr>
                <w:color w:val="auto"/>
                <w:sz w:val="21"/>
                <w:szCs w:val="21"/>
                <w:highlight w:val="none"/>
              </w:rPr>
            </w:pPr>
          </w:p>
        </w:tc>
      </w:tr>
      <w:tr w14:paraId="105FEE9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27808E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D84D14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嵌入式LED电动翻转面板会议灯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46FAC50">
            <w:pPr>
              <w:widowControl/>
              <w:numPr>
                <w:ilvl w:val="0"/>
                <w:numId w:val="12"/>
              </w:numPr>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功率：</w:t>
            </w:r>
            <w:r>
              <w:rPr>
                <w:rFonts w:hint="eastAsia"/>
                <w:color w:val="auto"/>
                <w:kern w:val="0"/>
                <w:sz w:val="21"/>
                <w:szCs w:val="21"/>
                <w:highlight w:val="none"/>
                <w:lang w:bidi="ar"/>
              </w:rPr>
              <w:t>≥</w:t>
            </w:r>
            <w:r>
              <w:rPr>
                <w:color w:val="auto"/>
                <w:kern w:val="0"/>
                <w:sz w:val="21"/>
                <w:szCs w:val="21"/>
                <w:highlight w:val="none"/>
                <w:lang w:bidi="ar"/>
              </w:rPr>
              <w:t>300W；</w:t>
            </w:r>
          </w:p>
          <w:p w14:paraId="1366BE6E">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2</w:t>
            </w:r>
            <w:r>
              <w:rPr>
                <w:color w:val="auto"/>
                <w:kern w:val="0"/>
                <w:sz w:val="21"/>
                <w:szCs w:val="21"/>
                <w:highlight w:val="none"/>
                <w:lang w:bidi="ar"/>
              </w:rPr>
              <w:t>、光源：高显高亮LED贴片灯珠；</w:t>
            </w:r>
          </w:p>
          <w:p w14:paraId="07B8DA90">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3</w:t>
            </w:r>
            <w:r>
              <w:rPr>
                <w:color w:val="auto"/>
                <w:kern w:val="0"/>
                <w:sz w:val="21"/>
                <w:szCs w:val="21"/>
                <w:highlight w:val="none"/>
                <w:lang w:bidi="ar"/>
              </w:rPr>
              <w:t>、显色指数：Ra≥90；</w:t>
            </w:r>
          </w:p>
          <w:p w14:paraId="130AC352">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4</w:t>
            </w:r>
            <w:r>
              <w:rPr>
                <w:color w:val="auto"/>
                <w:kern w:val="0"/>
                <w:sz w:val="21"/>
                <w:szCs w:val="21"/>
                <w:highlight w:val="none"/>
                <w:lang w:bidi="ar"/>
              </w:rPr>
              <w:t>、光束角度：</w:t>
            </w:r>
            <w:r>
              <w:rPr>
                <w:rFonts w:hint="eastAsia"/>
                <w:color w:val="auto"/>
                <w:kern w:val="0"/>
                <w:sz w:val="21"/>
                <w:szCs w:val="21"/>
                <w:highlight w:val="none"/>
                <w:lang w:bidi="ar"/>
              </w:rPr>
              <w:t>≥</w:t>
            </w:r>
            <w:r>
              <w:rPr>
                <w:color w:val="auto"/>
                <w:kern w:val="0"/>
                <w:sz w:val="21"/>
                <w:szCs w:val="21"/>
                <w:highlight w:val="none"/>
                <w:lang w:bidi="ar"/>
              </w:rPr>
              <w:t>120°；高显高亮LED贴片灯珠</w:t>
            </w:r>
          </w:p>
          <w:p w14:paraId="0B21DE2E">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5</w:t>
            </w:r>
            <w:r>
              <w:rPr>
                <w:color w:val="auto"/>
                <w:kern w:val="0"/>
                <w:sz w:val="21"/>
                <w:szCs w:val="21"/>
                <w:highlight w:val="none"/>
                <w:lang w:bidi="ar"/>
              </w:rPr>
              <w:t>、色温：3200K/5600K可选；</w:t>
            </w:r>
          </w:p>
          <w:p w14:paraId="0062B268">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6</w:t>
            </w:r>
            <w:r>
              <w:rPr>
                <w:color w:val="auto"/>
                <w:kern w:val="0"/>
                <w:sz w:val="21"/>
                <w:szCs w:val="21"/>
                <w:highlight w:val="none"/>
                <w:lang w:bidi="ar"/>
              </w:rPr>
              <w:t>、中心照度：≥644Lux/3米；</w:t>
            </w:r>
          </w:p>
          <w:p w14:paraId="4D4043B9">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7</w:t>
            </w:r>
            <w:r>
              <w:rPr>
                <w:color w:val="auto"/>
                <w:kern w:val="0"/>
                <w:sz w:val="21"/>
                <w:szCs w:val="21"/>
                <w:highlight w:val="none"/>
                <w:lang w:bidi="ar"/>
              </w:rPr>
              <w:t>、翻转角度：电动调节翻转0～60度；</w:t>
            </w:r>
          </w:p>
          <w:p w14:paraId="72BF2F27">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8</w:t>
            </w:r>
            <w:r>
              <w:rPr>
                <w:color w:val="auto"/>
                <w:kern w:val="0"/>
                <w:sz w:val="21"/>
                <w:szCs w:val="21"/>
                <w:highlight w:val="none"/>
                <w:lang w:bidi="ar"/>
              </w:rPr>
              <w:t>、调焦：采用电动马达传送皮带翻转调焦；</w:t>
            </w:r>
          </w:p>
          <w:p w14:paraId="017B3B4C">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val="en-US" w:eastAsia="zh-CN" w:bidi="ar"/>
              </w:rPr>
              <w:t>9</w:t>
            </w:r>
            <w:r>
              <w:rPr>
                <w:color w:val="auto"/>
                <w:kern w:val="0"/>
                <w:sz w:val="21"/>
                <w:szCs w:val="21"/>
                <w:highlight w:val="none"/>
                <w:lang w:bidi="ar"/>
              </w:rPr>
              <w:t>、调光：DMX512调光模式，独立电子线性调光，</w:t>
            </w:r>
            <w:r>
              <w:rPr>
                <w:rFonts w:hint="eastAsia"/>
                <w:color w:val="auto"/>
                <w:kern w:val="0"/>
                <w:sz w:val="21"/>
                <w:szCs w:val="21"/>
                <w:highlight w:val="none"/>
                <w:lang w:bidi="ar"/>
              </w:rPr>
              <w:t>≥</w:t>
            </w:r>
            <w:r>
              <w:rPr>
                <w:color w:val="auto"/>
                <w:kern w:val="0"/>
                <w:sz w:val="21"/>
                <w:szCs w:val="21"/>
                <w:highlight w:val="none"/>
                <w:lang w:bidi="ar"/>
              </w:rPr>
              <w:t>65535位级别的曲线调光模式；</w:t>
            </w:r>
          </w:p>
          <w:p w14:paraId="039FDD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val="en-US" w:eastAsia="zh-CN" w:bidi="ar"/>
              </w:rPr>
              <w:t>0</w:t>
            </w:r>
            <w:r>
              <w:rPr>
                <w:color w:val="auto"/>
                <w:kern w:val="0"/>
                <w:sz w:val="21"/>
                <w:szCs w:val="21"/>
                <w:highlight w:val="none"/>
                <w:lang w:bidi="ar"/>
              </w:rPr>
              <w:t>、冷却系统：铝型材散热器，无风机设计</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45BC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4DAD2F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8</w:t>
            </w:r>
          </w:p>
        </w:tc>
      </w:tr>
      <w:tr w14:paraId="7531C5B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C2A937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109FC3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嵌入式LED面板会议灯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D760595">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1、功率：</w:t>
            </w:r>
            <w:r>
              <w:rPr>
                <w:rFonts w:hint="eastAsia"/>
                <w:color w:val="auto"/>
                <w:kern w:val="0"/>
                <w:sz w:val="21"/>
                <w:szCs w:val="21"/>
                <w:highlight w:val="none"/>
                <w:lang w:bidi="ar"/>
              </w:rPr>
              <w:t>≥</w:t>
            </w:r>
            <w:r>
              <w:rPr>
                <w:color w:val="auto"/>
                <w:kern w:val="0"/>
                <w:sz w:val="21"/>
                <w:szCs w:val="21"/>
                <w:highlight w:val="none"/>
                <w:lang w:bidi="ar"/>
              </w:rPr>
              <w:t>300W；</w:t>
            </w:r>
          </w:p>
          <w:p w14:paraId="424A6F52">
            <w:pPr>
              <w:widowControl/>
              <w:spacing w:line="288" w:lineRule="auto"/>
              <w:ind w:firstLine="0" w:firstLineChars="0"/>
              <w:jc w:val="left"/>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bidi="ar"/>
              </w:rPr>
              <w:t>2、</w:t>
            </w:r>
            <w:r>
              <w:rPr>
                <w:color w:val="auto"/>
                <w:kern w:val="0"/>
                <w:sz w:val="21"/>
                <w:szCs w:val="21"/>
                <w:highlight w:val="none"/>
                <w:lang w:bidi="ar"/>
              </w:rPr>
              <w:t>光源规格：投光角度：</w:t>
            </w:r>
            <w:r>
              <w:rPr>
                <w:rFonts w:hint="eastAsia"/>
                <w:color w:val="auto"/>
                <w:kern w:val="0"/>
                <w:sz w:val="21"/>
                <w:szCs w:val="21"/>
                <w:highlight w:val="none"/>
                <w:lang w:bidi="ar"/>
              </w:rPr>
              <w:t>≥</w:t>
            </w:r>
            <w:r>
              <w:rPr>
                <w:color w:val="auto"/>
                <w:kern w:val="0"/>
                <w:sz w:val="21"/>
                <w:szCs w:val="21"/>
                <w:highlight w:val="none"/>
                <w:lang w:bidi="ar"/>
              </w:rPr>
              <w:t>120°；高显高亮LED贴片灯珠</w:t>
            </w:r>
            <w:r>
              <w:rPr>
                <w:rFonts w:hint="eastAsia"/>
                <w:color w:val="auto"/>
                <w:kern w:val="0"/>
                <w:sz w:val="21"/>
                <w:szCs w:val="21"/>
                <w:highlight w:val="none"/>
                <w:lang w:eastAsia="zh-CN" w:bidi="ar"/>
              </w:rPr>
              <w:t>；</w:t>
            </w:r>
          </w:p>
          <w:p w14:paraId="3853C8B7">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3</w:t>
            </w:r>
            <w:r>
              <w:rPr>
                <w:color w:val="auto"/>
                <w:kern w:val="0"/>
                <w:sz w:val="21"/>
                <w:szCs w:val="21"/>
                <w:highlight w:val="none"/>
                <w:lang w:bidi="ar"/>
              </w:rPr>
              <w:t>、光源寿命：≥20000小时；</w:t>
            </w:r>
          </w:p>
          <w:p w14:paraId="0089DF77">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4</w:t>
            </w:r>
            <w:r>
              <w:rPr>
                <w:color w:val="auto"/>
                <w:kern w:val="0"/>
                <w:sz w:val="21"/>
                <w:szCs w:val="21"/>
                <w:highlight w:val="none"/>
                <w:lang w:bidi="ar"/>
              </w:rPr>
              <w:t>、色温：3200K±150K-5600K±150K；</w:t>
            </w:r>
          </w:p>
          <w:p w14:paraId="266D6B75">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5</w:t>
            </w:r>
            <w:r>
              <w:rPr>
                <w:color w:val="auto"/>
                <w:kern w:val="0"/>
                <w:sz w:val="21"/>
                <w:szCs w:val="21"/>
                <w:highlight w:val="none"/>
                <w:lang w:bidi="ar"/>
              </w:rPr>
              <w:t>、显性指数：Ra＞90，发光均匀，亮度高；</w:t>
            </w:r>
          </w:p>
          <w:p w14:paraId="28F6B0E7">
            <w:pPr>
              <w:widowControl/>
              <w:spacing w:line="288" w:lineRule="auto"/>
              <w:ind w:firstLine="0" w:firstLineChars="0"/>
              <w:jc w:val="left"/>
              <w:textAlignment w:val="center"/>
              <w:rPr>
                <w:rFonts w:hint="eastAsia"/>
                <w:color w:val="auto"/>
                <w:kern w:val="0"/>
                <w:sz w:val="21"/>
                <w:szCs w:val="21"/>
                <w:highlight w:val="none"/>
                <w:lang w:bidi="ar"/>
              </w:rPr>
            </w:pPr>
            <w:r>
              <w:rPr>
                <w:rFonts w:hint="eastAsia"/>
                <w:color w:val="auto"/>
                <w:kern w:val="0"/>
                <w:sz w:val="21"/>
                <w:szCs w:val="21"/>
                <w:highlight w:val="none"/>
                <w:lang w:bidi="ar"/>
              </w:rPr>
              <w:t>6</w:t>
            </w:r>
            <w:r>
              <w:rPr>
                <w:color w:val="auto"/>
                <w:kern w:val="0"/>
                <w:sz w:val="21"/>
                <w:szCs w:val="21"/>
                <w:highlight w:val="none"/>
                <w:lang w:bidi="ar"/>
              </w:rPr>
              <w:t>、控制协议：不少于三种协议，包含支持手动旋钮直接调光，同时兼容DMX512和RDM协议，可通过电信号远距离修改灯具的数值；</w:t>
            </w:r>
          </w:p>
          <w:p w14:paraId="3BB3339C">
            <w:pPr>
              <w:widowControl/>
              <w:spacing w:line="288" w:lineRule="auto"/>
              <w:ind w:firstLine="0" w:firstLineChars="0"/>
              <w:jc w:val="left"/>
              <w:textAlignment w:val="center"/>
              <w:rPr>
                <w:color w:val="auto"/>
                <w:sz w:val="21"/>
                <w:szCs w:val="21"/>
                <w:highlight w:val="none"/>
              </w:rPr>
            </w:pPr>
            <w:r>
              <w:rPr>
                <w:rFonts w:hint="eastAsia"/>
                <w:color w:val="auto"/>
                <w:kern w:val="0"/>
                <w:sz w:val="21"/>
                <w:szCs w:val="21"/>
                <w:highlight w:val="none"/>
                <w:lang w:bidi="ar"/>
              </w:rPr>
              <w:t>7</w:t>
            </w:r>
            <w:r>
              <w:rPr>
                <w:color w:val="auto"/>
                <w:kern w:val="0"/>
                <w:sz w:val="21"/>
                <w:szCs w:val="21"/>
                <w:highlight w:val="none"/>
                <w:lang w:bidi="ar"/>
              </w:rPr>
              <w:t>、散热系统：无风机自然散热设计，纯静音</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6B7FA5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D040C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r>
      <w:tr w14:paraId="2E38FB7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4C8EA5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09829B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8路信号放大器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A181B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1、路数：≥8路三芯输出，≥8路独立的变压器供电设计，每路输入/输出均带光电隔离，信号放大功能；</w:t>
            </w:r>
          </w:p>
          <w:p w14:paraId="5F9610B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2、面板设计：输入/输出端口后置设计，前面板带有信号指示灯；</w:t>
            </w:r>
          </w:p>
          <w:p w14:paraId="5FA6051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3、安装要求：支持标准型网络机柜安装</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02259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5FB458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57B1C9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8A4D08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60074E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DMX专业控制台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EDF4B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1、信号输出：≥1024个DMX控制通道，≥4路光电隔离信号输出；</w:t>
            </w:r>
          </w:p>
          <w:p w14:paraId="463E6C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2、内置图形轨迹发生器，</w:t>
            </w:r>
            <w:r>
              <w:rPr>
                <w:rFonts w:hint="eastAsia"/>
                <w:color w:val="auto"/>
                <w:kern w:val="0"/>
                <w:sz w:val="21"/>
                <w:szCs w:val="21"/>
                <w:highlight w:val="none"/>
                <w:lang w:bidi="ar"/>
              </w:rPr>
              <w:t>≥</w:t>
            </w:r>
            <w:r>
              <w:rPr>
                <w:color w:val="auto"/>
                <w:kern w:val="0"/>
                <w:sz w:val="21"/>
                <w:szCs w:val="21"/>
                <w:highlight w:val="none"/>
                <w:lang w:bidi="ar"/>
              </w:rPr>
              <w:t>135个内置图形；</w:t>
            </w:r>
          </w:p>
          <w:p w14:paraId="1C153F1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3、每个场景可保存图形数量</w:t>
            </w:r>
            <w:r>
              <w:rPr>
                <w:rFonts w:hint="eastAsia"/>
                <w:color w:val="auto"/>
                <w:kern w:val="0"/>
                <w:sz w:val="21"/>
                <w:szCs w:val="21"/>
                <w:highlight w:val="none"/>
                <w:lang w:bidi="ar"/>
              </w:rPr>
              <w:t>≥</w:t>
            </w:r>
            <w:r>
              <w:rPr>
                <w:color w:val="auto"/>
                <w:kern w:val="0"/>
                <w:sz w:val="21"/>
                <w:szCs w:val="21"/>
                <w:highlight w:val="none"/>
                <w:lang w:bidi="ar"/>
              </w:rPr>
              <w:t>5个，同时可运行图形数量</w:t>
            </w:r>
            <w:r>
              <w:rPr>
                <w:rFonts w:hint="eastAsia"/>
                <w:color w:val="auto"/>
                <w:kern w:val="0"/>
                <w:sz w:val="21"/>
                <w:szCs w:val="21"/>
                <w:highlight w:val="none"/>
                <w:lang w:bidi="ar"/>
              </w:rPr>
              <w:t>≥</w:t>
            </w:r>
            <w:r>
              <w:rPr>
                <w:color w:val="auto"/>
                <w:kern w:val="0"/>
                <w:sz w:val="21"/>
                <w:szCs w:val="21"/>
                <w:highlight w:val="none"/>
                <w:lang w:bidi="ar"/>
              </w:rPr>
              <w:t>10个；</w:t>
            </w:r>
          </w:p>
          <w:p w14:paraId="6AB1BC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4、可储存</w:t>
            </w:r>
            <w:r>
              <w:rPr>
                <w:rFonts w:hint="eastAsia"/>
                <w:color w:val="auto"/>
                <w:kern w:val="0"/>
                <w:sz w:val="21"/>
                <w:szCs w:val="21"/>
                <w:highlight w:val="none"/>
                <w:lang w:bidi="ar"/>
              </w:rPr>
              <w:t>≥</w:t>
            </w:r>
            <w:r>
              <w:rPr>
                <w:color w:val="auto"/>
                <w:kern w:val="0"/>
                <w:sz w:val="21"/>
                <w:szCs w:val="21"/>
                <w:highlight w:val="none"/>
                <w:lang w:bidi="ar"/>
              </w:rPr>
              <w:t>60个素材；</w:t>
            </w:r>
          </w:p>
          <w:p w14:paraId="32B24F2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5、可储存</w:t>
            </w:r>
            <w:r>
              <w:rPr>
                <w:rFonts w:hint="eastAsia"/>
                <w:color w:val="auto"/>
                <w:kern w:val="0"/>
                <w:sz w:val="21"/>
                <w:szCs w:val="21"/>
                <w:highlight w:val="none"/>
                <w:lang w:bidi="ar"/>
              </w:rPr>
              <w:t>≥</w:t>
            </w:r>
            <w:r>
              <w:rPr>
                <w:color w:val="auto"/>
                <w:kern w:val="0"/>
                <w:sz w:val="21"/>
                <w:szCs w:val="21"/>
                <w:highlight w:val="none"/>
                <w:lang w:bidi="ar"/>
              </w:rPr>
              <w:t>60个重演场景，用于储存多步场景和单步场景；</w:t>
            </w:r>
          </w:p>
          <w:p w14:paraId="320B95D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6、U盘可备份控台数据，并支持重新导入到控台使用，同型号控台数据可共享；</w:t>
            </w:r>
          </w:p>
          <w:p w14:paraId="7E26F9A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7、内置RDM功能，可通过控制台，直接修改灯具地址码</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57EFF0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F259A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69B399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F11F56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89B83C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14路4KW电源直通箱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3F5E14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1、供电：≥400A犀牛插，三相AC380V±10％，频率50Hz±5</w:t>
            </w:r>
            <w:r>
              <w:rPr>
                <w:rFonts w:hint="eastAsia"/>
                <w:color w:val="auto"/>
                <w:kern w:val="0"/>
                <w:sz w:val="21"/>
                <w:szCs w:val="21"/>
                <w:highlight w:val="none"/>
                <w:lang w:bidi="ar"/>
              </w:rPr>
              <w:t>%</w:t>
            </w:r>
            <w:r>
              <w:rPr>
                <w:color w:val="auto"/>
                <w:kern w:val="0"/>
                <w:sz w:val="21"/>
                <w:szCs w:val="21"/>
                <w:highlight w:val="none"/>
                <w:lang w:bidi="ar"/>
              </w:rPr>
              <w:t>；</w:t>
            </w:r>
          </w:p>
          <w:p w14:paraId="587F42D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2、输出功率：≥14路×4KW，带三相独立电压监测；</w:t>
            </w:r>
          </w:p>
          <w:p w14:paraId="7ED2C96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3、防火防震板标准机柜，带LED夜视照明系统</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779906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853E7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25C850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583B81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B848A7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灯钩/保险绳</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32C69F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灯钩/保险绳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135D4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696DDF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14</w:t>
            </w:r>
          </w:p>
        </w:tc>
      </w:tr>
      <w:tr w14:paraId="1615ACB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52FB74A">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（七）</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8AE5397">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控制室</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A9999AC">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916C87">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A39630">
            <w:pPr>
              <w:widowControl/>
              <w:spacing w:line="288" w:lineRule="auto"/>
              <w:ind w:firstLine="0" w:firstLineChars="0"/>
              <w:jc w:val="center"/>
              <w:rPr>
                <w:color w:val="auto"/>
                <w:sz w:val="21"/>
                <w:szCs w:val="21"/>
                <w:highlight w:val="none"/>
              </w:rPr>
            </w:pPr>
          </w:p>
        </w:tc>
      </w:tr>
      <w:tr w14:paraId="6B8FF55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FAD880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06889C5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操作台</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7D6EF0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2工位。尺寸：长1250mm*宽mm*高750mm；加厚冷轧钢板</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8333DF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76ACC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5AE60F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DD8196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54CD61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椅子</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5A31D09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梯形钢架，强承重。座椅</w:t>
            </w:r>
            <w:r>
              <w:rPr>
                <w:rFonts w:hint="eastAsia"/>
                <w:color w:val="auto"/>
                <w:kern w:val="0"/>
                <w:sz w:val="21"/>
                <w:szCs w:val="21"/>
                <w:highlight w:val="none"/>
                <w:lang w:bidi="ar"/>
              </w:rPr>
              <w:t>≥</w:t>
            </w:r>
            <w:r>
              <w:rPr>
                <w:color w:val="auto"/>
                <w:kern w:val="0"/>
                <w:sz w:val="21"/>
                <w:szCs w:val="21"/>
                <w:highlight w:val="none"/>
                <w:lang w:bidi="ar"/>
              </w:rPr>
              <w:t>51*43，总高</w:t>
            </w:r>
            <w:r>
              <w:rPr>
                <w:rFonts w:hint="eastAsia"/>
                <w:color w:val="auto"/>
                <w:kern w:val="0"/>
                <w:sz w:val="21"/>
                <w:szCs w:val="21"/>
                <w:highlight w:val="none"/>
                <w:lang w:bidi="ar"/>
              </w:rPr>
              <w:t>≥</w:t>
            </w:r>
            <w:r>
              <w:rPr>
                <w:color w:val="auto"/>
                <w:kern w:val="0"/>
                <w:sz w:val="21"/>
                <w:szCs w:val="21"/>
                <w:highlight w:val="none"/>
                <w:lang w:bidi="ar"/>
              </w:rPr>
              <w:t>90cm。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36D4A2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把</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20D24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B28CF6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5ECF12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4B5F9D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电脑</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1AE752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I7（十三代）、</w:t>
            </w:r>
            <w:r>
              <w:rPr>
                <w:rFonts w:hint="eastAsia"/>
                <w:color w:val="auto"/>
                <w:kern w:val="0"/>
                <w:sz w:val="21"/>
                <w:szCs w:val="21"/>
                <w:highlight w:val="none"/>
                <w:lang w:bidi="ar"/>
              </w:rPr>
              <w:t>≥</w:t>
            </w:r>
            <w:r>
              <w:rPr>
                <w:color w:val="auto"/>
                <w:kern w:val="0"/>
                <w:sz w:val="21"/>
                <w:szCs w:val="21"/>
                <w:highlight w:val="none"/>
                <w:lang w:bidi="ar"/>
              </w:rPr>
              <w:t>16G、</w:t>
            </w:r>
            <w:r>
              <w:rPr>
                <w:rFonts w:hint="eastAsia"/>
                <w:color w:val="auto"/>
                <w:kern w:val="0"/>
                <w:sz w:val="21"/>
                <w:szCs w:val="21"/>
                <w:highlight w:val="none"/>
                <w:lang w:bidi="ar"/>
              </w:rPr>
              <w:t>≥</w:t>
            </w:r>
            <w:r>
              <w:rPr>
                <w:color w:val="auto"/>
                <w:kern w:val="0"/>
                <w:sz w:val="21"/>
                <w:szCs w:val="21"/>
                <w:highlight w:val="none"/>
                <w:lang w:bidi="ar"/>
              </w:rPr>
              <w:t>512GSSD、独立显卡</w:t>
            </w:r>
            <w:r>
              <w:rPr>
                <w:rFonts w:hint="eastAsia"/>
                <w:color w:val="auto"/>
                <w:kern w:val="0"/>
                <w:sz w:val="21"/>
                <w:szCs w:val="21"/>
                <w:highlight w:val="none"/>
                <w:lang w:bidi="ar"/>
              </w:rPr>
              <w:t>≥</w:t>
            </w:r>
            <w:r>
              <w:rPr>
                <w:color w:val="auto"/>
                <w:kern w:val="0"/>
                <w:sz w:val="21"/>
                <w:szCs w:val="21"/>
                <w:highlight w:val="none"/>
                <w:lang w:bidi="ar"/>
              </w:rPr>
              <w:t>2G、23.8液晶显示器键盘鼠标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7E230C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2C752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7A98498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FFA545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B00FBD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监听音箱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F7F807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1、频率响应：65Hz-20kHz(±3dB)；</w:t>
            </w:r>
          </w:p>
          <w:p w14:paraId="7F79F5C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2、低音FH0501H-1(5")；</w:t>
            </w:r>
          </w:p>
          <w:p w14:paraId="72A94D7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3、高音FE015(3/4"dome)；</w:t>
            </w:r>
          </w:p>
          <w:p w14:paraId="2D8C4DE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4、最大声压级(@1m)：107dB(对)；</w:t>
            </w:r>
          </w:p>
          <w:p w14:paraId="0756F6F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5、额定功率LF：</w:t>
            </w:r>
            <w:r>
              <w:rPr>
                <w:rFonts w:hint="eastAsia"/>
                <w:color w:val="auto"/>
                <w:kern w:val="0"/>
                <w:sz w:val="21"/>
                <w:szCs w:val="21"/>
                <w:highlight w:val="none"/>
                <w:lang w:bidi="ar"/>
              </w:rPr>
              <w:t>≥</w:t>
            </w:r>
            <w:r>
              <w:rPr>
                <w:color w:val="auto"/>
                <w:kern w:val="0"/>
                <w:sz w:val="21"/>
                <w:szCs w:val="21"/>
                <w:highlight w:val="none"/>
                <w:lang w:bidi="ar"/>
              </w:rPr>
              <w:t>50W</w:t>
            </w:r>
            <w:r>
              <w:rPr>
                <w:rFonts w:hint="eastAsia"/>
                <w:color w:val="auto"/>
                <w:kern w:val="0"/>
                <w:sz w:val="21"/>
                <w:szCs w:val="21"/>
                <w:highlight w:val="none"/>
                <w:lang w:eastAsia="zh-CN" w:bidi="ar"/>
              </w:rPr>
              <w:t>，</w:t>
            </w:r>
            <w:r>
              <w:rPr>
                <w:color w:val="auto"/>
                <w:kern w:val="0"/>
                <w:sz w:val="21"/>
                <w:szCs w:val="21"/>
                <w:highlight w:val="none"/>
                <w:lang w:bidi="ar"/>
              </w:rPr>
              <w:t>HF：</w:t>
            </w:r>
            <w:r>
              <w:rPr>
                <w:rFonts w:hint="eastAsia"/>
                <w:color w:val="auto"/>
                <w:kern w:val="0"/>
                <w:sz w:val="21"/>
                <w:szCs w:val="21"/>
                <w:highlight w:val="none"/>
                <w:lang w:bidi="ar"/>
              </w:rPr>
              <w:t>≥</w:t>
            </w:r>
            <w:r>
              <w:rPr>
                <w:color w:val="auto"/>
                <w:kern w:val="0"/>
                <w:sz w:val="21"/>
                <w:szCs w:val="21"/>
                <w:highlight w:val="none"/>
                <w:lang w:bidi="ar"/>
              </w:rPr>
              <w:t>20W；</w:t>
            </w:r>
          </w:p>
          <w:p w14:paraId="34C10A4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6、音乐功率LF：</w:t>
            </w:r>
            <w:r>
              <w:rPr>
                <w:rFonts w:hint="eastAsia"/>
                <w:color w:val="auto"/>
                <w:kern w:val="0"/>
                <w:sz w:val="21"/>
                <w:szCs w:val="21"/>
                <w:highlight w:val="none"/>
                <w:lang w:bidi="ar"/>
              </w:rPr>
              <w:t>≥</w:t>
            </w:r>
            <w:r>
              <w:rPr>
                <w:color w:val="auto"/>
                <w:kern w:val="0"/>
                <w:sz w:val="21"/>
                <w:szCs w:val="21"/>
                <w:highlight w:val="none"/>
                <w:lang w:bidi="ar"/>
              </w:rPr>
              <w:t>100W</w:t>
            </w:r>
            <w:r>
              <w:rPr>
                <w:rFonts w:hint="eastAsia"/>
                <w:color w:val="auto"/>
                <w:kern w:val="0"/>
                <w:sz w:val="21"/>
                <w:szCs w:val="21"/>
                <w:highlight w:val="none"/>
                <w:lang w:eastAsia="zh-CN" w:bidi="ar"/>
              </w:rPr>
              <w:t>，</w:t>
            </w:r>
            <w:r>
              <w:rPr>
                <w:color w:val="auto"/>
                <w:kern w:val="0"/>
                <w:sz w:val="21"/>
                <w:szCs w:val="21"/>
                <w:highlight w:val="none"/>
                <w:lang w:bidi="ar"/>
              </w:rPr>
              <w:t>HF：</w:t>
            </w:r>
            <w:r>
              <w:rPr>
                <w:rFonts w:hint="eastAsia"/>
                <w:color w:val="auto"/>
                <w:kern w:val="0"/>
                <w:sz w:val="21"/>
                <w:szCs w:val="21"/>
                <w:highlight w:val="none"/>
                <w:lang w:bidi="ar"/>
              </w:rPr>
              <w:t>≥</w:t>
            </w:r>
            <w:r>
              <w:rPr>
                <w:color w:val="auto"/>
                <w:kern w:val="0"/>
                <w:sz w:val="21"/>
                <w:szCs w:val="21"/>
                <w:highlight w:val="none"/>
                <w:lang w:bidi="ar"/>
              </w:rPr>
              <w:t>40W；</w:t>
            </w:r>
          </w:p>
          <w:p w14:paraId="328EF22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7、总谐波失真(音箱)：50Hz-100Hz&lt;2%100Hz-20kHz&lt;1%；</w:t>
            </w:r>
          </w:p>
          <w:p w14:paraId="41E96D0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8、功率失真（T.H.D）THD：0.05%@1kHz；</w:t>
            </w:r>
          </w:p>
          <w:p w14:paraId="36DEBAB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9、输入连接器：XLR(XLR+1/4"TRS)；</w:t>
            </w:r>
          </w:p>
          <w:p w14:paraId="75D1811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10、输入灵敏度：0dBv；</w:t>
            </w:r>
          </w:p>
          <w:p w14:paraId="30D1A3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11、输入阻抗：10kΩ；</w:t>
            </w:r>
          </w:p>
          <w:p w14:paraId="16C3341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12、分频点：2.2kHz。</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BB18A9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4C2BE5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0BBD3D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C7AB961">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536FADD">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三、310小会议室</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316CBC23">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D5C994C">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632466F">
            <w:pPr>
              <w:widowControl/>
              <w:spacing w:line="288" w:lineRule="auto"/>
              <w:ind w:firstLine="0" w:firstLineChars="0"/>
              <w:jc w:val="center"/>
              <w:rPr>
                <w:color w:val="auto"/>
                <w:sz w:val="21"/>
                <w:szCs w:val="21"/>
                <w:highlight w:val="none"/>
              </w:rPr>
            </w:pPr>
          </w:p>
        </w:tc>
      </w:tr>
      <w:tr w14:paraId="3A4E554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84A9377">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（一）</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086ECD6">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显示系统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4E35F21">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59F065">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819F4A">
            <w:pPr>
              <w:widowControl/>
              <w:spacing w:line="288" w:lineRule="auto"/>
              <w:ind w:firstLine="0" w:firstLineChars="0"/>
              <w:jc w:val="center"/>
              <w:rPr>
                <w:b/>
                <w:bCs/>
                <w:color w:val="auto"/>
                <w:sz w:val="21"/>
                <w:szCs w:val="21"/>
                <w:highlight w:val="none"/>
              </w:rPr>
            </w:pPr>
          </w:p>
        </w:tc>
      </w:tr>
      <w:tr w14:paraId="3B90656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6CA472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912866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短焦激光投影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5CD12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1、采用纯激光光源技术，光源为激光二极管，光源寿命≥20,000小时；</w:t>
            </w:r>
          </w:p>
          <w:p w14:paraId="1AF9FBD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2、显示系统采用3LCD技术，液晶板尺寸：</w:t>
            </w:r>
            <w:r>
              <w:rPr>
                <w:rFonts w:hint="eastAsia"/>
                <w:color w:val="auto"/>
                <w:kern w:val="0"/>
                <w:sz w:val="21"/>
                <w:szCs w:val="21"/>
                <w:highlight w:val="none"/>
                <w:lang w:bidi="ar"/>
              </w:rPr>
              <w:t>≥</w:t>
            </w:r>
            <w:r>
              <w:rPr>
                <w:color w:val="auto"/>
                <w:kern w:val="0"/>
                <w:sz w:val="21"/>
                <w:szCs w:val="21"/>
                <w:highlight w:val="none"/>
                <w:lang w:bidi="ar"/>
              </w:rPr>
              <w:t>0.64英寸*3；</w:t>
            </w:r>
          </w:p>
          <w:p w14:paraId="341236F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3、中心亮度：≥5</w:t>
            </w:r>
            <w:r>
              <w:rPr>
                <w:rFonts w:hint="eastAsia"/>
                <w:color w:val="auto"/>
                <w:kern w:val="0"/>
                <w:sz w:val="21"/>
                <w:szCs w:val="21"/>
                <w:highlight w:val="none"/>
                <w:lang w:val="en-US" w:eastAsia="zh-CN" w:bidi="ar"/>
              </w:rPr>
              <w:t>5</w:t>
            </w:r>
            <w:r>
              <w:rPr>
                <w:color w:val="auto"/>
                <w:kern w:val="0"/>
                <w:sz w:val="21"/>
                <w:szCs w:val="21"/>
                <w:highlight w:val="none"/>
                <w:lang w:bidi="ar"/>
              </w:rPr>
              <w:t>00流明；</w:t>
            </w:r>
          </w:p>
          <w:p w14:paraId="237AADE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4、单LCD液晶面板分辨率：≥1920*1200；支持4K/60p（4096*2160）信号输入；投影机镜头变焦倍数：≥1.6倍；</w:t>
            </w:r>
          </w:p>
          <w:p w14:paraId="0BE45B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5、透射比：0.51：1/0.62：1/0.73：1/0.83：1；</w:t>
            </w:r>
          </w:p>
          <w:p w14:paraId="0C68463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6、镜头位移支持水平方向：-15%-+15%，垂直方向：-35%-+55%；</w:t>
            </w:r>
          </w:p>
          <w:p w14:paraId="008CC12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7、对比度：≥3,000,000：1。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DBF207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7A82B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1853E0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37E78C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C20B38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幕布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44618D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1、增益要求亮度系数：0.8≤β＜1.12；</w:t>
            </w:r>
          </w:p>
          <w:p w14:paraId="43DB230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2、可视角度≥150度；</w:t>
            </w:r>
          </w:p>
          <w:p w14:paraId="50D1269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3、屏幕解析率</w:t>
            </w:r>
            <w:r>
              <w:rPr>
                <w:rFonts w:hint="eastAsia"/>
                <w:color w:val="auto"/>
                <w:kern w:val="0"/>
                <w:sz w:val="21"/>
                <w:szCs w:val="21"/>
                <w:highlight w:val="none"/>
                <w:lang w:bidi="ar"/>
              </w:rPr>
              <w:t>≥</w:t>
            </w:r>
            <w:r>
              <w:rPr>
                <w:color w:val="auto"/>
                <w:kern w:val="0"/>
                <w:sz w:val="21"/>
                <w:szCs w:val="21"/>
                <w:highlight w:val="none"/>
                <w:lang w:bidi="ar"/>
              </w:rPr>
              <w:t>125线/mm；</w:t>
            </w:r>
          </w:p>
          <w:p w14:paraId="2825C94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4、防火等级不低于B2级；</w:t>
            </w:r>
          </w:p>
          <w:p w14:paraId="64BD760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5、尺寸≥130寸</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F34AD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DF760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C025B7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FA6DCE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6D95E2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无线投屏协作系统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84A54C3">
            <w:pPr>
              <w:widowControl/>
              <w:numPr>
                <w:ilvl w:val="0"/>
                <w:numId w:val="13"/>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支持多布局显示，可根据场景需求选择如整屏显示，画中画，2分屏，3分屏，4分屏；</w:t>
            </w:r>
          </w:p>
          <w:p w14:paraId="1279664D">
            <w:pPr>
              <w:widowControl/>
              <w:numPr>
                <w:ilvl w:val="0"/>
                <w:numId w:val="13"/>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支持Windows、MAC、Android、iOS、鸿蒙、国产麒麟等主流操作平台；</w:t>
            </w:r>
          </w:p>
          <w:p w14:paraId="3D512F4C">
            <w:pPr>
              <w:widowControl/>
              <w:numPr>
                <w:ilvl w:val="0"/>
                <w:numId w:val="13"/>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支持HDMI2.0，输出最大分辨率不低于3840x2160@60Hz；</w:t>
            </w:r>
          </w:p>
          <w:p w14:paraId="3A263246">
            <w:pPr>
              <w:widowControl/>
              <w:numPr>
                <w:ilvl w:val="0"/>
                <w:numId w:val="13"/>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支持扩展桌面、白板批注、反向控制等功能；</w:t>
            </w:r>
          </w:p>
          <w:p w14:paraId="55AA58B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5、提供CEC、WebGUI、Telnet、RS232控制方式，支持第三方中控。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D48E5FE">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A9615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18CE5F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9E763FD">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（二）</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688189D">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专业扩声系统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47EA251">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E5E1096">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CF286F">
            <w:pPr>
              <w:widowControl/>
              <w:spacing w:line="288" w:lineRule="auto"/>
              <w:ind w:firstLine="0" w:firstLineChars="0"/>
              <w:jc w:val="center"/>
              <w:rPr>
                <w:b/>
                <w:bCs/>
                <w:color w:val="auto"/>
                <w:sz w:val="21"/>
                <w:szCs w:val="21"/>
                <w:highlight w:val="none"/>
              </w:rPr>
            </w:pPr>
          </w:p>
        </w:tc>
      </w:tr>
      <w:tr w14:paraId="5545CC0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A74F6F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4EBD22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线性阵列声柱（150W)</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D144C5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1、防护等级：≥IP55；</w:t>
            </w:r>
          </w:p>
          <w:p w14:paraId="476653A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2、频率范围(-10dB)：不劣于75~15000(Hz)；</w:t>
            </w:r>
          </w:p>
          <w:p w14:paraId="307CF83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3、灵敏度：≥91dB；</w:t>
            </w:r>
          </w:p>
          <w:p w14:paraId="2F37075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4、最大声压级：≥119dB；</w:t>
            </w:r>
          </w:p>
          <w:p w14:paraId="39BE47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5、水平覆盖角度范围：120±10°；</w:t>
            </w:r>
          </w:p>
          <w:p w14:paraId="22B12D0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6、垂直覆盖角度范围：60±5°；</w:t>
            </w:r>
          </w:p>
          <w:p w14:paraId="14976D4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7、额定功率：≥150W；</w:t>
            </w:r>
          </w:p>
          <w:p w14:paraId="4D25A44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8、单元规格：≥4x4.5英寸全频单元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124B23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B24F6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r>
      <w:tr w14:paraId="2325F43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37CD83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822040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四通道专业功放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0E5964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0C11F9F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1E20452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3、模拟信号输入通道数量≥4路，数字信号输入通道数量≥8路，数字信号支持菊花链传输；</w:t>
            </w:r>
          </w:p>
          <w:p w14:paraId="391C87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4、扬声器通道数量≥4路；</w:t>
            </w:r>
          </w:p>
          <w:p w14:paraId="17BF26A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5、单通道功率≥300W，设备总功率≥1200W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E1B5BEF">
            <w:pPr>
              <w:widowControl/>
              <w:spacing w:line="288" w:lineRule="auto"/>
              <w:ind w:firstLine="0" w:firstLineChars="0"/>
              <w:jc w:val="center"/>
              <w:textAlignment w:val="center"/>
              <w:rPr>
                <w:rFonts w:hint="eastAsia"/>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0BEEF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449398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97E049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D5E6AB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数字音频处理器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F685B5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1、支持自动话筒混音模块，支持自动反馈抑制模块；</w:t>
            </w:r>
          </w:p>
          <w:p w14:paraId="1F3A4B4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2、支持跨平台（IOS、Android、Windows、MacOS）平台软件实时远程控制，并支持中文GUI界面；</w:t>
            </w:r>
          </w:p>
          <w:p w14:paraId="05F38EC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3、支持定时控制，支持房间组合设置，支持逻辑控制；</w:t>
            </w:r>
          </w:p>
          <w:p w14:paraId="37DB80E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4、支持扬声器动态低音功能；</w:t>
            </w:r>
          </w:p>
          <w:p w14:paraId="27CBC6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5、支持中控控制(RS232&amp;SoIP)；</w:t>
            </w:r>
          </w:p>
          <w:p w14:paraId="7F5A6CE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6、支持控制面板分区控制及场景/音源切换；</w:t>
            </w:r>
          </w:p>
          <w:p w14:paraId="6BDDFB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7、内置信号发生器可生成正弦波、粉红噪声、白噪声及扫频；</w:t>
            </w:r>
          </w:p>
          <w:p w14:paraId="4A9C1C2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8、支持静音强切；</w:t>
            </w:r>
          </w:p>
          <w:p w14:paraId="666055E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9、模拟通道数量≥10进4出；</w:t>
            </w:r>
          </w:p>
          <w:p w14:paraId="7851311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0</w:t>
            </w:r>
            <w:r>
              <w:rPr>
                <w:color w:val="auto"/>
                <w:kern w:val="0"/>
                <w:sz w:val="21"/>
                <w:szCs w:val="21"/>
                <w:highlight w:val="none"/>
                <w:lang w:bidi="ar"/>
              </w:rPr>
              <w:t>、延时能力≥43</w:t>
            </w:r>
            <w:r>
              <w:rPr>
                <w:rFonts w:hint="eastAsia"/>
                <w:color w:val="auto"/>
                <w:kern w:val="0"/>
                <w:sz w:val="21"/>
                <w:szCs w:val="21"/>
                <w:highlight w:val="none"/>
                <w:lang w:val="en-US" w:eastAsia="zh-CN" w:bidi="ar"/>
              </w:rPr>
              <w:t xml:space="preserve"> m</w:t>
            </w:r>
            <w:r>
              <w:rPr>
                <w:color w:val="auto"/>
                <w:kern w:val="0"/>
                <w:sz w:val="21"/>
                <w:szCs w:val="21"/>
                <w:highlight w:val="none"/>
                <w:lang w:bidi="ar"/>
              </w:rPr>
              <w:t>s；</w:t>
            </w:r>
          </w:p>
          <w:p w14:paraId="277D518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1</w:t>
            </w:r>
            <w:r>
              <w:rPr>
                <w:color w:val="auto"/>
                <w:kern w:val="0"/>
                <w:sz w:val="21"/>
                <w:szCs w:val="21"/>
                <w:highlight w:val="none"/>
                <w:lang w:bidi="ar"/>
              </w:rPr>
              <w:t>、输入至输出音频延迟≤1.05ms，声学回声消除模块(AEC)通道≥8路；</w:t>
            </w:r>
          </w:p>
          <w:p w14:paraId="214D946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bidi="ar"/>
              </w:rPr>
              <w:t>2</w:t>
            </w:r>
            <w:r>
              <w:rPr>
                <w:color w:val="auto"/>
                <w:kern w:val="0"/>
                <w:sz w:val="21"/>
                <w:szCs w:val="21"/>
                <w:highlight w:val="none"/>
                <w:lang w:bidi="ar"/>
              </w:rPr>
              <w:t>、可实现多台DSP级联扩展使用，在1个编辑调试界面内运行。</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39D314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C092B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A111F7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5BACFC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07389A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数字电源时序器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737CC4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1、支持插孔独立开关；</w:t>
            </w:r>
          </w:p>
          <w:p w14:paraId="204F82A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2、支持监控电流总电压；</w:t>
            </w:r>
          </w:p>
          <w:p w14:paraId="6BF4F12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3、支持插孔顺序上下电，定时，延时开关机重启；</w:t>
            </w:r>
          </w:p>
          <w:p w14:paraId="10BFD0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4、带过流过压预警和设定</w:t>
            </w:r>
            <w:r>
              <w:rPr>
                <w:rFonts w:hint="eastAsia"/>
                <w:color w:val="auto"/>
                <w:kern w:val="0"/>
                <w:sz w:val="21"/>
                <w:szCs w:val="21"/>
                <w:highlight w:val="none"/>
                <w:lang w:bidi="ar"/>
              </w:rPr>
              <w:t>；</w:t>
            </w:r>
          </w:p>
          <w:p w14:paraId="26FDB4A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5、支持电压显示；</w:t>
            </w:r>
          </w:p>
          <w:p w14:paraId="4447C7B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6、支持每路控制；开放协议，可通过网络或485或232方式对接；</w:t>
            </w:r>
          </w:p>
          <w:p w14:paraId="35320B1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7、额定输入输出电压220VAC/50HZ；</w:t>
            </w:r>
          </w:p>
          <w:p w14:paraId="7608BDF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8、总输出电流12路输出最大30A；</w:t>
            </w:r>
          </w:p>
          <w:p w14:paraId="2501612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9、单路输出电流最大13A；</w:t>
            </w:r>
          </w:p>
          <w:p w14:paraId="2F9E650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10、静态功耗</w:t>
            </w:r>
            <w:r>
              <w:rPr>
                <w:rFonts w:hint="eastAsia"/>
                <w:color w:val="auto"/>
                <w:kern w:val="0"/>
                <w:sz w:val="21"/>
                <w:szCs w:val="21"/>
                <w:highlight w:val="none"/>
                <w:lang w:val="en-US" w:eastAsia="zh-CN" w:bidi="ar"/>
              </w:rPr>
              <w:t>不高于</w:t>
            </w:r>
            <w:r>
              <w:rPr>
                <w:color w:val="auto"/>
                <w:kern w:val="0"/>
                <w:sz w:val="21"/>
                <w:szCs w:val="21"/>
                <w:highlight w:val="none"/>
                <w:lang w:bidi="ar"/>
              </w:rPr>
              <w:t>7W；</w:t>
            </w:r>
          </w:p>
          <w:p w14:paraId="68548F4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11、电源通道</w:t>
            </w:r>
            <w:r>
              <w:rPr>
                <w:rFonts w:hint="eastAsia"/>
                <w:color w:val="auto"/>
                <w:kern w:val="0"/>
                <w:sz w:val="21"/>
                <w:szCs w:val="21"/>
                <w:highlight w:val="none"/>
                <w:lang w:bidi="ar"/>
              </w:rPr>
              <w:t>≥</w:t>
            </w:r>
            <w:r>
              <w:rPr>
                <w:color w:val="auto"/>
                <w:kern w:val="0"/>
                <w:sz w:val="21"/>
                <w:szCs w:val="21"/>
                <w:highlight w:val="none"/>
                <w:lang w:bidi="ar"/>
              </w:rPr>
              <w:t>12路。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F953C9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4AF8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CB233B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09884D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050A3A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数字无线手持话筒（1拖2）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B84D9F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1、UHF频段捷变频分集式无线手持话筒系统；</w:t>
            </w:r>
          </w:p>
          <w:p w14:paraId="3A4C664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63C376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59B15D7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4145BED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2B6309D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2743FE1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37004FE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562EBD6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12B95C7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10、工作距离：一般≥100米；</w:t>
            </w:r>
          </w:p>
          <w:p w14:paraId="0653DA8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3CB6992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12、手持发射机：射频高功率输出≤30mW，低功率输出≥10mW，动圈式收音头≥120°心形指向性。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5999F2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D4130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7B09E5C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6E0457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80416B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会议系统控制主机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397BC1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1、支持双机热备份模式功能，可把主机设为热备份模式级联进行系统备份；</w:t>
            </w:r>
          </w:p>
          <w:p w14:paraId="33E22A9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2、具备“手拉手”连接和环路连接多种方式，便于安装和维护；</w:t>
            </w:r>
          </w:p>
          <w:p w14:paraId="6385F75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3、主机可支持分别调节每个会议单元的输出增益，并可设定设置音频调节锁定；</w:t>
            </w:r>
          </w:p>
          <w:p w14:paraId="5218436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4、内置环境噪音消除器、数字均衡电路、自适应反馈抑器，可有效消除本地噪声，大幅提升会场声压级，有效防止啸叫；</w:t>
            </w:r>
          </w:p>
          <w:p w14:paraId="27BAC9C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5、采用6芯DIN带双屏蔽线缆或超六类带屏蔽网线连接，有效防止线路电磁干扰；</w:t>
            </w:r>
          </w:p>
          <w:p w14:paraId="5B0986B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4.3英寸真彩色触摸屏，内嵌式Linux系统，中文操作界面；</w:t>
            </w:r>
          </w:p>
          <w:p w14:paraId="375C28B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7、可触摸设置会议模式、系统音量调节、话筒管理、单元编号、摄像机参数、视像跟踪设置和灯环设置等功能；</w:t>
            </w:r>
          </w:p>
          <w:p w14:paraId="029B6F5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8、会议模式：自由模式、轮替模式、限制模式、声控模式、PTT模式、VIP模式；</w:t>
            </w:r>
          </w:p>
          <w:p w14:paraId="450B485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9、具有USB录音功能，可对会议进行录音；</w:t>
            </w:r>
          </w:p>
          <w:p w14:paraId="09A1E2E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10、频率响应：20Hz～20kHz；</w:t>
            </w:r>
          </w:p>
          <w:p w14:paraId="3A914B7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11、总谐波失真：小于0.1%。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B30948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49629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9E0C3A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E41260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7</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DCF543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手拉手桌面话筒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188A89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1、GSM抗扰，免受移动电话的干扰；</w:t>
            </w:r>
          </w:p>
          <w:p w14:paraId="06F6CDA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2、话筒灵敏度可独立调节，针对不同发言者的声音特点调节音量；</w:t>
            </w:r>
          </w:p>
          <w:p w14:paraId="08CA245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3、话筒可调仰角范围≥60°；</w:t>
            </w:r>
          </w:p>
          <w:p w14:paraId="33A94B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4、话筒类型：短杆方管电容话筒，20mm音头；</w:t>
            </w:r>
          </w:p>
          <w:p w14:paraId="0D7CCA0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5、指向性：超心型；</w:t>
            </w:r>
          </w:p>
          <w:p w14:paraId="0D30549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6、灵敏度：-30dB(±1dB)；</w:t>
            </w:r>
          </w:p>
          <w:p w14:paraId="6D3359F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7、频率响应：20Hz至20kHz；</w:t>
            </w:r>
          </w:p>
          <w:p w14:paraId="48E8C71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8、动态范围：≥120dB；</w:t>
            </w:r>
          </w:p>
          <w:p w14:paraId="39946D5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9、信噪比：≥79dB，A计权；</w:t>
            </w:r>
          </w:p>
          <w:p w14:paraId="36805F9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110、等效噪声：≤15dB；</w:t>
            </w:r>
          </w:p>
          <w:p w14:paraId="0F7FD22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11、最大输入声压级：≥130dBSPL</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803651">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6FACF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23</w:t>
            </w:r>
          </w:p>
        </w:tc>
      </w:tr>
      <w:tr w14:paraId="7EB8865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42C3B0F">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（三）</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0250331A">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集中控制及视频矩阵</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58086CB2">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F0570FB">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4B6CFBE">
            <w:pPr>
              <w:widowControl/>
              <w:spacing w:line="288" w:lineRule="auto"/>
              <w:ind w:firstLine="0" w:firstLineChars="0"/>
              <w:jc w:val="center"/>
              <w:rPr>
                <w:b/>
                <w:bCs/>
                <w:color w:val="auto"/>
                <w:sz w:val="21"/>
                <w:szCs w:val="21"/>
                <w:highlight w:val="none"/>
              </w:rPr>
            </w:pPr>
          </w:p>
        </w:tc>
      </w:tr>
      <w:tr w14:paraId="60B0070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F93785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5DC20B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多媒体智能IOT平台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B1B5B5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1、不少于2个总线接口；</w:t>
            </w:r>
          </w:p>
          <w:p w14:paraId="407D09E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2、不少于2个10/100LAN接口；</w:t>
            </w:r>
          </w:p>
          <w:p w14:paraId="6470786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3、不少于8个数字I/O端口；</w:t>
            </w:r>
          </w:p>
          <w:p w14:paraId="69111EC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4、不少于8路RS232双向端口；</w:t>
            </w:r>
          </w:p>
          <w:p w14:paraId="54902F7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5、不少于8路红外/串行输出端口；</w:t>
            </w:r>
          </w:p>
          <w:p w14:paraId="6E38973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6、不少于8路弱电继电器端口；</w:t>
            </w:r>
          </w:p>
          <w:p w14:paraId="16645BE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7、具有内置网页服务器功能；</w:t>
            </w:r>
          </w:p>
          <w:p w14:paraId="3C18AC4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8、具有支持HTML及JAVA的功能；</w:t>
            </w:r>
          </w:p>
          <w:p w14:paraId="0F7641B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9、具有可将触摸屏界面变成网页的功能；</w:t>
            </w:r>
          </w:p>
          <w:p w14:paraId="353DEC9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10、具备4G物联网功能，实现远程状态查询、周边环境控制。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7370C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A1B07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92E91C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651FDF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2CBB4A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中控编程</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D5C7B6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根据用户需求及会议场景内可控设备数量工程师现场编写程序含灯光回路控制、电动窗帘控制、音视频场景模式控制，可根据用户习惯编制定制化程序软件。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2AA8D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CC591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078540F1">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95279E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59317A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拼接矩阵</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993852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1、支持矩阵无缝切换；</w:t>
            </w:r>
          </w:p>
          <w:p w14:paraId="7CC4B29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w:t>
            </w:r>
            <w:r>
              <w:rPr>
                <w:rFonts w:hint="eastAsia"/>
                <w:color w:val="auto"/>
                <w:kern w:val="0"/>
                <w:sz w:val="21"/>
                <w:szCs w:val="21"/>
                <w:highlight w:val="none"/>
                <w:lang w:bidi="ar"/>
              </w:rPr>
              <w:t>≥</w:t>
            </w:r>
            <w:r>
              <w:rPr>
                <w:color w:val="auto"/>
                <w:kern w:val="0"/>
                <w:sz w:val="21"/>
                <w:szCs w:val="21"/>
                <w:highlight w:val="none"/>
                <w:lang w:bidi="ar"/>
              </w:rPr>
              <w:t>8路HDMI输入，</w:t>
            </w:r>
            <w:r>
              <w:rPr>
                <w:rFonts w:hint="eastAsia"/>
                <w:color w:val="auto"/>
                <w:kern w:val="0"/>
                <w:sz w:val="21"/>
                <w:szCs w:val="21"/>
                <w:highlight w:val="none"/>
                <w:lang w:bidi="ar"/>
              </w:rPr>
              <w:t>≥</w:t>
            </w:r>
            <w:r>
              <w:rPr>
                <w:color w:val="auto"/>
                <w:kern w:val="0"/>
                <w:sz w:val="21"/>
                <w:szCs w:val="21"/>
                <w:highlight w:val="none"/>
                <w:lang w:bidi="ar"/>
              </w:rPr>
              <w:t>8路HDMI输出，</w:t>
            </w:r>
            <w:r>
              <w:rPr>
                <w:rFonts w:hint="eastAsia"/>
                <w:color w:val="auto"/>
                <w:kern w:val="0"/>
                <w:sz w:val="21"/>
                <w:szCs w:val="21"/>
                <w:highlight w:val="none"/>
                <w:lang w:bidi="ar"/>
              </w:rPr>
              <w:t>≥</w:t>
            </w:r>
            <w:r>
              <w:rPr>
                <w:color w:val="auto"/>
                <w:kern w:val="0"/>
                <w:sz w:val="21"/>
                <w:szCs w:val="21"/>
                <w:highlight w:val="none"/>
                <w:lang w:bidi="ar"/>
              </w:rPr>
              <w:t>8路3.5mm音频独立输出；</w:t>
            </w:r>
          </w:p>
          <w:p w14:paraId="5AF19DB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3、支持电视墙拼接功能；</w:t>
            </w:r>
          </w:p>
          <w:p w14:paraId="16546C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4、输出支持画面分割功能；</w:t>
            </w:r>
          </w:p>
          <w:p w14:paraId="624210F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5、支持输入输出信号状态监测功能。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E29B299">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2B81B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1EE2EB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952315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AF420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有线控制终端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35E5A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1、至少10英寸有线嵌墙式触摸屏；</w:t>
            </w:r>
          </w:p>
          <w:p w14:paraId="28F3D4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2、物理分辨率不小于1280x800；</w:t>
            </w:r>
          </w:p>
          <w:p w14:paraId="74F0396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3、显示比例16：10；</w:t>
            </w:r>
          </w:p>
          <w:p w14:paraId="608D978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4、存储：不劣于2GB内存，不劣于16GB闪存；</w:t>
            </w:r>
          </w:p>
          <w:p w14:paraId="7FBFCFF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5、至少1个USB2.0接口，至少1个RJ-45以太网口。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7BA64C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B7507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B5A340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736BD8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35D65B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无线控制屏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A66354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1、处理器主频：</w:t>
            </w:r>
            <w:r>
              <w:rPr>
                <w:rFonts w:hint="eastAsia"/>
                <w:color w:val="auto"/>
                <w:kern w:val="0"/>
                <w:sz w:val="21"/>
                <w:szCs w:val="21"/>
                <w:highlight w:val="none"/>
                <w:lang w:bidi="ar"/>
              </w:rPr>
              <w:t>≥</w:t>
            </w:r>
            <w:r>
              <w:rPr>
                <w:color w:val="auto"/>
                <w:kern w:val="0"/>
                <w:sz w:val="21"/>
                <w:szCs w:val="21"/>
                <w:highlight w:val="none"/>
                <w:lang w:bidi="ar"/>
              </w:rPr>
              <w:t>2×A762.27GHz+6×A551.88GHz、</w:t>
            </w:r>
            <w:r>
              <w:rPr>
                <w:rFonts w:hint="eastAsia"/>
                <w:color w:val="auto"/>
                <w:kern w:val="0"/>
                <w:sz w:val="21"/>
                <w:szCs w:val="21"/>
                <w:highlight w:val="none"/>
                <w:lang w:bidi="ar"/>
              </w:rPr>
              <w:t>≥</w:t>
            </w:r>
            <w:r>
              <w:rPr>
                <w:color w:val="auto"/>
                <w:kern w:val="0"/>
                <w:sz w:val="21"/>
                <w:szCs w:val="21"/>
                <w:highlight w:val="none"/>
                <w:lang w:bidi="ar"/>
              </w:rPr>
              <w:t>6GB+128GB；</w:t>
            </w:r>
          </w:p>
          <w:p w14:paraId="112FFBB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w:t>
            </w:r>
            <w:r>
              <w:rPr>
                <w:rFonts w:hint="eastAsia"/>
                <w:color w:val="auto"/>
                <w:kern w:val="0"/>
                <w:sz w:val="21"/>
                <w:szCs w:val="21"/>
                <w:highlight w:val="none"/>
                <w:lang w:bidi="ar"/>
              </w:rPr>
              <w:t>≥</w:t>
            </w:r>
            <w:r>
              <w:rPr>
                <w:color w:val="auto"/>
                <w:kern w:val="0"/>
                <w:sz w:val="21"/>
                <w:szCs w:val="21"/>
                <w:highlight w:val="none"/>
                <w:lang w:bidi="ar"/>
              </w:rPr>
              <w:t>2.27GHz；</w:t>
            </w:r>
          </w:p>
          <w:p w14:paraId="5306899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3、处理器核心：</w:t>
            </w:r>
            <w:r>
              <w:rPr>
                <w:rFonts w:hint="eastAsia"/>
                <w:color w:val="auto"/>
                <w:kern w:val="0"/>
                <w:sz w:val="21"/>
                <w:szCs w:val="21"/>
                <w:highlight w:val="none"/>
                <w:lang w:bidi="ar"/>
              </w:rPr>
              <w:t>≥</w:t>
            </w:r>
            <w:r>
              <w:rPr>
                <w:color w:val="auto"/>
                <w:kern w:val="0"/>
                <w:sz w:val="21"/>
                <w:szCs w:val="21"/>
                <w:highlight w:val="none"/>
                <w:lang w:bidi="ar"/>
              </w:rPr>
              <w:t>八核；</w:t>
            </w:r>
          </w:p>
          <w:p w14:paraId="70472D6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4、屏幕尺寸</w:t>
            </w:r>
            <w:r>
              <w:rPr>
                <w:rFonts w:hint="eastAsia"/>
                <w:color w:val="auto"/>
                <w:kern w:val="0"/>
                <w:sz w:val="21"/>
                <w:szCs w:val="21"/>
                <w:highlight w:val="none"/>
                <w:lang w:bidi="ar"/>
              </w:rPr>
              <w:t>≥</w:t>
            </w:r>
            <w:r>
              <w:rPr>
                <w:color w:val="auto"/>
                <w:kern w:val="0"/>
                <w:sz w:val="21"/>
                <w:szCs w:val="21"/>
                <w:highlight w:val="none"/>
                <w:lang w:bidi="ar"/>
              </w:rPr>
              <w:t>11.5英寸；</w:t>
            </w:r>
          </w:p>
          <w:p w14:paraId="2F281CD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5、屏幕分辨率：2000x1200。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57BC1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82F19C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A09363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513AE4">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（四）</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F918ECD">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会议预约发布系统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54D9E06">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32BAFF2">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05E452">
            <w:pPr>
              <w:widowControl/>
              <w:spacing w:line="288" w:lineRule="auto"/>
              <w:ind w:firstLine="0" w:firstLineChars="0"/>
              <w:jc w:val="center"/>
              <w:rPr>
                <w:b/>
                <w:bCs/>
                <w:color w:val="auto"/>
                <w:sz w:val="21"/>
                <w:szCs w:val="21"/>
                <w:highlight w:val="none"/>
              </w:rPr>
            </w:pPr>
          </w:p>
        </w:tc>
      </w:tr>
      <w:tr w14:paraId="5DC7DBC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6366B7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0BA6F4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信息发布终端（会议发布）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4C1813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高清显示：</w:t>
            </w:r>
            <w:r>
              <w:rPr>
                <w:rFonts w:hint="eastAsia"/>
                <w:color w:val="auto"/>
                <w:kern w:val="0"/>
                <w:sz w:val="21"/>
                <w:szCs w:val="21"/>
                <w:highlight w:val="none"/>
                <w:lang w:bidi="ar"/>
              </w:rPr>
              <w:t>≥</w:t>
            </w:r>
            <w:r>
              <w:rPr>
                <w:color w:val="auto"/>
                <w:kern w:val="0"/>
                <w:sz w:val="21"/>
                <w:szCs w:val="21"/>
                <w:highlight w:val="none"/>
                <w:lang w:bidi="ar"/>
              </w:rPr>
              <w:t>21.5寸原装A+级高分辨率IPS面板；</w:t>
            </w:r>
          </w:p>
          <w:p w14:paraId="0220063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物理分辨率：≥1920*1080；</w:t>
            </w:r>
          </w:p>
          <w:p w14:paraId="7AE0C4B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.硬件配置：嵌入式四核64位处理器，CPU主频≥1.8Ghz；运行内存≥2GB，存储空间≥16G；</w:t>
            </w:r>
          </w:p>
          <w:p w14:paraId="36460A3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声音输出：内置2*2W高保真喇叭输出；</w:t>
            </w:r>
          </w:p>
          <w:p w14:paraId="558A740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网络支持：10/100M自适应以太网卡，支持 802.11b/g/n的WIFI无线网卡,支持扩展全网通4G网络模块；</w:t>
            </w:r>
          </w:p>
          <w:p w14:paraId="2447D88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数据接口：RJ45以太网接口≥1个，USB接口≥2个，TF卡扩展插槽≥1个；</w:t>
            </w:r>
          </w:p>
          <w:p w14:paraId="088E8A9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w:t>
            </w:r>
            <w:r>
              <w:rPr>
                <w:rFonts w:hint="eastAsia"/>
                <w:color w:val="auto"/>
                <w:kern w:val="0"/>
                <w:sz w:val="21"/>
                <w:szCs w:val="21"/>
                <w:highlight w:val="none"/>
                <w:lang w:bidi="ar"/>
              </w:rPr>
              <w:t>、</w:t>
            </w:r>
            <w:r>
              <w:rPr>
                <w:color w:val="auto"/>
                <w:kern w:val="0"/>
                <w:sz w:val="21"/>
                <w:szCs w:val="21"/>
                <w:highlight w:val="none"/>
                <w:lang w:bidi="ar"/>
              </w:rPr>
              <w:t>供电方式：12V DC供电；</w:t>
            </w:r>
          </w:p>
          <w:p w14:paraId="306D06A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w:t>
            </w:r>
            <w:r>
              <w:rPr>
                <w:rFonts w:hint="eastAsia"/>
                <w:color w:val="auto"/>
                <w:kern w:val="0"/>
                <w:sz w:val="21"/>
                <w:szCs w:val="21"/>
                <w:highlight w:val="none"/>
                <w:lang w:bidi="ar"/>
              </w:rPr>
              <w:t>、</w:t>
            </w:r>
            <w:r>
              <w:rPr>
                <w:color w:val="auto"/>
                <w:kern w:val="0"/>
                <w:sz w:val="21"/>
                <w:szCs w:val="21"/>
                <w:highlight w:val="none"/>
                <w:lang w:bidi="ar"/>
              </w:rPr>
              <w:t>安装方式：支持壁挂安装，嵌入式安装和桌面安装。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8D9F41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D1341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B45448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0471C98">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（五）</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BC9CE14">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会议录播系统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886E240">
            <w:pPr>
              <w:widowControl/>
              <w:spacing w:line="288" w:lineRule="auto"/>
              <w:ind w:firstLine="0" w:firstLineChars="0"/>
              <w:jc w:val="left"/>
              <w:rPr>
                <w:b/>
                <w:bCs/>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2277DD">
            <w:pPr>
              <w:widowControl/>
              <w:spacing w:line="288" w:lineRule="auto"/>
              <w:ind w:firstLine="0" w:firstLineChars="0"/>
              <w:jc w:val="center"/>
              <w:rPr>
                <w:b/>
                <w:bCs/>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1B7A61">
            <w:pPr>
              <w:widowControl/>
              <w:spacing w:line="288" w:lineRule="auto"/>
              <w:ind w:firstLine="0" w:firstLineChars="0"/>
              <w:jc w:val="center"/>
              <w:rPr>
                <w:b/>
                <w:bCs/>
                <w:color w:val="auto"/>
                <w:sz w:val="21"/>
                <w:szCs w:val="21"/>
                <w:highlight w:val="none"/>
              </w:rPr>
            </w:pPr>
          </w:p>
        </w:tc>
      </w:tr>
      <w:tr w14:paraId="60C94D9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E26F17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E71FE1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4K互动录播主机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CDF53C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1、录播主机必须支持会议录制、视频会议、互动终端、可编中控、无缝矩阵、音频处理六大功能于一体；</w:t>
            </w:r>
          </w:p>
          <w:p w14:paraId="721D017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2、视频视入：支持不少于8路输入接口（3G/HD-SDI输入≥4路、≥2路HDMI输入接口，其中1路支持4K输入，≥2路VGA/分量复用输入）；</w:t>
            </w:r>
          </w:p>
          <w:p w14:paraId="785FAE7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3、视频输出：不少于3路高清输出（≥2路HDMI输出，1路支持4K输出；≥1路VGA1080P输出）；</w:t>
            </w:r>
          </w:p>
          <w:p w14:paraId="0596DD4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4、音频端口：≥2路MIC输入（支持幻象供电），线路输入/输出：≥3/3。</w:t>
            </w:r>
          </w:p>
          <w:p w14:paraId="62C817D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5、控制端口：≥5路RS232/485，≥2路IR；≥2路IO；≥4USB（可USB外置光驱进行音视频实时刻录，键盘鼠标操作GUI管理界面，U盘文件下载）；≥1路LAN；</w:t>
            </w:r>
          </w:p>
          <w:p w14:paraId="16D3D9A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6、存储：≥2T硬盘存储；</w:t>
            </w:r>
          </w:p>
          <w:p w14:paraId="35BCE5A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A0E300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F56BF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D47407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964B56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2C534B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4K会议摄像机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45B926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1、成像元器件≥1/2.5英寸CMOS传感器；</w:t>
            </w:r>
          </w:p>
          <w:p w14:paraId="747C138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2、传感器有效像素：不低于850万像素；</w:t>
            </w:r>
          </w:p>
          <w:p w14:paraId="4ED8B95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3、光学变焦：不低于12倍；</w:t>
            </w:r>
          </w:p>
          <w:p w14:paraId="5392BE9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4、视频输出：3G-SDIx1、HDMIx1、LANx1。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CC29C4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23C4D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2F9884E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6B1173">
            <w:pPr>
              <w:widowControl/>
              <w:spacing w:line="288" w:lineRule="auto"/>
              <w:ind w:firstLine="0" w:firstLineChars="0"/>
              <w:jc w:val="center"/>
              <w:textAlignment w:val="center"/>
              <w:rPr>
                <w:b/>
                <w:bCs/>
                <w:color w:val="auto"/>
                <w:sz w:val="21"/>
                <w:szCs w:val="21"/>
                <w:highlight w:val="none"/>
              </w:rPr>
            </w:pPr>
            <w:r>
              <w:rPr>
                <w:b/>
                <w:bCs/>
                <w:color w:val="auto"/>
                <w:kern w:val="0"/>
                <w:sz w:val="21"/>
                <w:szCs w:val="21"/>
                <w:highlight w:val="none"/>
                <w:lang w:bidi="ar"/>
              </w:rPr>
              <w:t>（六）</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9A3041D">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控制室</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0039BB5">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F32443E">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660416">
            <w:pPr>
              <w:widowControl/>
              <w:spacing w:line="288" w:lineRule="auto"/>
              <w:ind w:firstLine="0" w:firstLineChars="0"/>
              <w:jc w:val="center"/>
              <w:rPr>
                <w:color w:val="auto"/>
                <w:sz w:val="21"/>
                <w:szCs w:val="21"/>
                <w:highlight w:val="none"/>
              </w:rPr>
            </w:pPr>
          </w:p>
        </w:tc>
      </w:tr>
      <w:tr w14:paraId="43FE940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1BDD43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4B5509C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操作台</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7A43210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2工位。尺寸：长1250mm*宽mm*高750mm；加厚冷轧钢板</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0026880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D87EA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23FA15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9C2004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4788571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椅子</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1C710F4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梯形钢架，强承重。座椅</w:t>
            </w:r>
            <w:r>
              <w:rPr>
                <w:rFonts w:hint="eastAsia"/>
                <w:color w:val="auto"/>
                <w:kern w:val="0"/>
                <w:sz w:val="21"/>
                <w:szCs w:val="21"/>
                <w:highlight w:val="none"/>
                <w:lang w:bidi="ar"/>
              </w:rPr>
              <w:t>≥</w:t>
            </w:r>
            <w:r>
              <w:rPr>
                <w:color w:val="auto"/>
                <w:kern w:val="0"/>
                <w:sz w:val="21"/>
                <w:szCs w:val="21"/>
                <w:highlight w:val="none"/>
                <w:lang w:bidi="ar"/>
              </w:rPr>
              <w:t>51*43，总高大于等于90cm。</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9C0140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把</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2C8A2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0B2B98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6A44DF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52B27E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电脑</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83F02F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I7（十三代）、</w:t>
            </w:r>
            <w:r>
              <w:rPr>
                <w:rFonts w:hint="eastAsia"/>
                <w:color w:val="auto"/>
                <w:kern w:val="0"/>
                <w:sz w:val="21"/>
                <w:szCs w:val="21"/>
                <w:highlight w:val="none"/>
                <w:lang w:bidi="ar"/>
              </w:rPr>
              <w:t>≥</w:t>
            </w:r>
            <w:r>
              <w:rPr>
                <w:color w:val="auto"/>
                <w:kern w:val="0"/>
                <w:sz w:val="21"/>
                <w:szCs w:val="21"/>
                <w:highlight w:val="none"/>
                <w:lang w:bidi="ar"/>
              </w:rPr>
              <w:t>16G、</w:t>
            </w:r>
            <w:r>
              <w:rPr>
                <w:rFonts w:hint="eastAsia"/>
                <w:color w:val="auto"/>
                <w:kern w:val="0"/>
                <w:sz w:val="21"/>
                <w:szCs w:val="21"/>
                <w:highlight w:val="none"/>
                <w:lang w:bidi="ar"/>
              </w:rPr>
              <w:t>≥</w:t>
            </w:r>
            <w:r>
              <w:rPr>
                <w:color w:val="auto"/>
                <w:kern w:val="0"/>
                <w:sz w:val="21"/>
                <w:szCs w:val="21"/>
                <w:highlight w:val="none"/>
                <w:lang w:bidi="ar"/>
              </w:rPr>
              <w:t>512GSSD、独立显卡</w:t>
            </w:r>
            <w:r>
              <w:rPr>
                <w:rFonts w:hint="eastAsia"/>
                <w:color w:val="auto"/>
                <w:kern w:val="0"/>
                <w:sz w:val="21"/>
                <w:szCs w:val="21"/>
                <w:highlight w:val="none"/>
                <w:lang w:bidi="ar"/>
              </w:rPr>
              <w:t>≥</w:t>
            </w:r>
            <w:r>
              <w:rPr>
                <w:color w:val="auto"/>
                <w:kern w:val="0"/>
                <w:sz w:val="21"/>
                <w:szCs w:val="21"/>
                <w:highlight w:val="none"/>
                <w:lang w:bidi="ar"/>
              </w:rPr>
              <w:t>2G、23.8液晶显示器键盘鼠标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7E7C9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E2DB1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3BC730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11760FA1">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3D9BAFA3">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四、313小会议室</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8E58C2A">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3BC35C08">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591D46E">
            <w:pPr>
              <w:widowControl/>
              <w:spacing w:line="288" w:lineRule="auto"/>
              <w:ind w:firstLine="0" w:firstLineChars="0"/>
              <w:jc w:val="center"/>
              <w:rPr>
                <w:color w:val="auto"/>
                <w:sz w:val="21"/>
                <w:szCs w:val="21"/>
                <w:highlight w:val="none"/>
              </w:rPr>
            </w:pPr>
          </w:p>
        </w:tc>
      </w:tr>
      <w:tr w14:paraId="1714085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050B5B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（一）</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DD3E34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显示系统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A41C68A">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8C39498">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4DBD38">
            <w:pPr>
              <w:widowControl/>
              <w:spacing w:line="288" w:lineRule="auto"/>
              <w:ind w:firstLine="0" w:firstLineChars="0"/>
              <w:jc w:val="center"/>
              <w:rPr>
                <w:color w:val="auto"/>
                <w:sz w:val="21"/>
                <w:szCs w:val="21"/>
                <w:highlight w:val="none"/>
              </w:rPr>
            </w:pPr>
          </w:p>
        </w:tc>
      </w:tr>
      <w:tr w14:paraId="5932F43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B81F4D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F93662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短焦激光投影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941D4C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1、采用纯激光光源技术，光源为激光二极管，光源寿命≥20,000小时；</w:t>
            </w:r>
          </w:p>
          <w:p w14:paraId="3E15AB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2、显示系统采用3LCD技术，液晶板尺寸：</w:t>
            </w:r>
            <w:r>
              <w:rPr>
                <w:rFonts w:hint="eastAsia"/>
                <w:color w:val="auto"/>
                <w:kern w:val="0"/>
                <w:sz w:val="21"/>
                <w:szCs w:val="21"/>
                <w:highlight w:val="none"/>
                <w:lang w:bidi="ar"/>
              </w:rPr>
              <w:t>≥</w:t>
            </w:r>
            <w:r>
              <w:rPr>
                <w:color w:val="auto"/>
                <w:kern w:val="0"/>
                <w:sz w:val="21"/>
                <w:szCs w:val="21"/>
                <w:highlight w:val="none"/>
                <w:lang w:bidi="ar"/>
              </w:rPr>
              <w:t>0.64英寸*3；</w:t>
            </w:r>
          </w:p>
          <w:p w14:paraId="50C2BDA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3、中心亮度：≥5</w:t>
            </w:r>
            <w:r>
              <w:rPr>
                <w:rFonts w:hint="eastAsia"/>
                <w:color w:val="auto"/>
                <w:kern w:val="0"/>
                <w:sz w:val="21"/>
                <w:szCs w:val="21"/>
                <w:highlight w:val="none"/>
                <w:lang w:val="en-US" w:eastAsia="zh-CN" w:bidi="ar"/>
              </w:rPr>
              <w:t>5</w:t>
            </w:r>
            <w:r>
              <w:rPr>
                <w:color w:val="auto"/>
                <w:kern w:val="0"/>
                <w:sz w:val="21"/>
                <w:szCs w:val="21"/>
                <w:highlight w:val="none"/>
                <w:lang w:bidi="ar"/>
              </w:rPr>
              <w:t>00流明；</w:t>
            </w:r>
          </w:p>
          <w:p w14:paraId="0935AFA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4、单LCD液晶面板分辨率：≥1920*1200；支持4K/60p（4096*2160）信号输入；投影机镜头变焦倍数：≥1.6倍；</w:t>
            </w:r>
          </w:p>
          <w:p w14:paraId="7B21624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5、透射比：0.51：1/0.62：1/0.73：1/0.83：1；</w:t>
            </w:r>
          </w:p>
          <w:p w14:paraId="54F5131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6、镜头位移支持水平方向：-15%-+15%，垂直方向：-35%-+55%；</w:t>
            </w:r>
          </w:p>
          <w:p w14:paraId="6433AA8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7、对比度：≥3,000,000：1。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B1F1F1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A9953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F526AD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D797EB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3883B4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幕布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F2E0FF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1、增益要求亮度系数：0.8≤β＜1.12；</w:t>
            </w:r>
          </w:p>
          <w:p w14:paraId="0ADCFAB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2、可视角度≥150度；</w:t>
            </w:r>
          </w:p>
          <w:p w14:paraId="4640556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3、屏幕解析率</w:t>
            </w:r>
            <w:r>
              <w:rPr>
                <w:rFonts w:hint="eastAsia"/>
                <w:color w:val="auto"/>
                <w:kern w:val="0"/>
                <w:sz w:val="21"/>
                <w:szCs w:val="21"/>
                <w:highlight w:val="none"/>
                <w:lang w:bidi="ar"/>
              </w:rPr>
              <w:t>≥</w:t>
            </w:r>
            <w:r>
              <w:rPr>
                <w:color w:val="auto"/>
                <w:kern w:val="0"/>
                <w:sz w:val="21"/>
                <w:szCs w:val="21"/>
                <w:highlight w:val="none"/>
                <w:lang w:bidi="ar"/>
              </w:rPr>
              <w:t>125线/mm；</w:t>
            </w:r>
          </w:p>
          <w:p w14:paraId="38862C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4、防火等级不低于B2级；</w:t>
            </w:r>
          </w:p>
          <w:p w14:paraId="777B868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5、尺寸≥150寸。</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39A616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40774D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C1957C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D87B5D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C3DC0D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无线投屏协作系统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1A39FF6">
            <w:pPr>
              <w:widowControl/>
              <w:numPr>
                <w:ilvl w:val="0"/>
                <w:numId w:val="14"/>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支持多布局显示，可根据场景需求选择如整屏显示，画中画，2分屏，3分屏，4分屏；</w:t>
            </w:r>
          </w:p>
          <w:p w14:paraId="31BD10B7">
            <w:pPr>
              <w:widowControl/>
              <w:numPr>
                <w:ilvl w:val="0"/>
                <w:numId w:val="14"/>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支持Windows、MAC、Android、iOS、鸿蒙、国产麒麟等主流操作平台；</w:t>
            </w:r>
          </w:p>
          <w:p w14:paraId="4C060F54">
            <w:pPr>
              <w:widowControl/>
              <w:numPr>
                <w:ilvl w:val="0"/>
                <w:numId w:val="14"/>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支持HDMI2.0，输出最大分辨率不低于3840x2160@60Hz；</w:t>
            </w:r>
          </w:p>
          <w:p w14:paraId="44653BD5">
            <w:pPr>
              <w:widowControl/>
              <w:numPr>
                <w:ilvl w:val="0"/>
                <w:numId w:val="14"/>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支持扩展桌面、白板批注、反向控制等功能；</w:t>
            </w:r>
          </w:p>
          <w:p w14:paraId="2B9C66E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5、提供CEC、WebGUI、Telnet、RS232控制方式，支持第三方中控。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946E2FB">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83AA65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779342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99060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（二）</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9ABCF6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专业扩声系统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BBA1ABB">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A531A03">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35D50F">
            <w:pPr>
              <w:widowControl/>
              <w:spacing w:line="288" w:lineRule="auto"/>
              <w:ind w:firstLine="0" w:firstLineChars="0"/>
              <w:jc w:val="center"/>
              <w:rPr>
                <w:color w:val="auto"/>
                <w:sz w:val="21"/>
                <w:szCs w:val="21"/>
                <w:highlight w:val="none"/>
              </w:rPr>
            </w:pPr>
          </w:p>
        </w:tc>
      </w:tr>
      <w:tr w14:paraId="6268316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3BD174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ECD429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线性阵列声柱（150W)</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D3021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1、防护等级：≥IP55；</w:t>
            </w:r>
          </w:p>
          <w:p w14:paraId="01C19DC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2、频率范围(-10dB)：不劣于75~15000(Hz)；</w:t>
            </w:r>
          </w:p>
          <w:p w14:paraId="3F68292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3、灵敏度：≥91dB；</w:t>
            </w:r>
          </w:p>
          <w:p w14:paraId="23A2D9A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4、最大声压级：≥119dB；</w:t>
            </w:r>
          </w:p>
          <w:p w14:paraId="40D4CB5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5、水平覆盖角度范围：120±10°；</w:t>
            </w:r>
          </w:p>
          <w:p w14:paraId="3CA6E00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6、垂直覆盖角度范围：60±5°；</w:t>
            </w:r>
          </w:p>
          <w:p w14:paraId="3E0EBC7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7、额定功率：≥150W；</w:t>
            </w:r>
          </w:p>
          <w:p w14:paraId="0F91279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8、单元规格：≥4x4.5英寸全频单元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247B65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B3F52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r>
      <w:tr w14:paraId="2965B9D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36D9AC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759FB6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四通道专业功放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149FD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1F296D2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37479A2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3、模拟信号输入通道数量≥4路，数字信号输入通道数量≥8路，数字信号支持菊花链传输；</w:t>
            </w:r>
          </w:p>
          <w:p w14:paraId="2686DC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4、扬声器通道数量≥4路；</w:t>
            </w:r>
          </w:p>
          <w:p w14:paraId="58BE96D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5、单通道功率≥300W，设备总功率≥1200W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CB8DB6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34D71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1DBAB2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62D4DF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401655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数字音频处理器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E42A04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1、支持自动话筒混音模块，支持自动反馈抑制模块；</w:t>
            </w:r>
          </w:p>
          <w:p w14:paraId="1AEA7A1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2、支持跨平台（IOS、Android、Windows、MacOS）平台软件实时远程控制，并支持中文GUI界面；</w:t>
            </w:r>
          </w:p>
          <w:p w14:paraId="7DEDB36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3、支持定时控制，支持房间组合设置，支持逻辑控制；</w:t>
            </w:r>
          </w:p>
          <w:p w14:paraId="53CDC15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4、支持扬声器动态低音功能；</w:t>
            </w:r>
          </w:p>
          <w:p w14:paraId="5320594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5、支持中控控制(RS232&amp;SoIP)；</w:t>
            </w:r>
          </w:p>
          <w:p w14:paraId="47446E0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6、支持控制面板分区控制及场景/音源切换；</w:t>
            </w:r>
          </w:p>
          <w:p w14:paraId="2606B9D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7、内置信号发生器可生成正弦波、粉红噪声、白噪声及扫频；</w:t>
            </w:r>
          </w:p>
          <w:p w14:paraId="5725D47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8、支持静音强切；</w:t>
            </w:r>
          </w:p>
          <w:p w14:paraId="6DC9199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9、模拟通道数量≥10进4出；</w:t>
            </w:r>
          </w:p>
          <w:p w14:paraId="65E3400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0</w:t>
            </w:r>
            <w:r>
              <w:rPr>
                <w:color w:val="auto"/>
                <w:kern w:val="0"/>
                <w:sz w:val="21"/>
                <w:szCs w:val="21"/>
                <w:highlight w:val="none"/>
                <w:lang w:bidi="ar"/>
              </w:rPr>
              <w:t>、延时能力≥43</w:t>
            </w:r>
            <w:r>
              <w:rPr>
                <w:rFonts w:hint="eastAsia"/>
                <w:color w:val="auto"/>
                <w:kern w:val="0"/>
                <w:sz w:val="21"/>
                <w:szCs w:val="21"/>
                <w:highlight w:val="none"/>
                <w:lang w:val="en-US" w:eastAsia="zh-CN" w:bidi="ar"/>
              </w:rPr>
              <w:t xml:space="preserve"> m</w:t>
            </w:r>
            <w:r>
              <w:rPr>
                <w:color w:val="auto"/>
                <w:kern w:val="0"/>
                <w:sz w:val="21"/>
                <w:szCs w:val="21"/>
                <w:highlight w:val="none"/>
                <w:lang w:bidi="ar"/>
              </w:rPr>
              <w:t>s；</w:t>
            </w:r>
          </w:p>
          <w:p w14:paraId="34950A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1</w:t>
            </w:r>
            <w:r>
              <w:rPr>
                <w:color w:val="auto"/>
                <w:kern w:val="0"/>
                <w:sz w:val="21"/>
                <w:szCs w:val="21"/>
                <w:highlight w:val="none"/>
                <w:lang w:bidi="ar"/>
              </w:rPr>
              <w:t>、输入至输出音频延迟≤1.05ms，声学回声消除模块(AEC)通道≥8路；</w:t>
            </w:r>
          </w:p>
          <w:p w14:paraId="2EF4F3A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bidi="ar"/>
              </w:rPr>
              <w:t>2</w:t>
            </w:r>
            <w:r>
              <w:rPr>
                <w:color w:val="auto"/>
                <w:kern w:val="0"/>
                <w:sz w:val="21"/>
                <w:szCs w:val="21"/>
                <w:highlight w:val="none"/>
                <w:lang w:bidi="ar"/>
              </w:rPr>
              <w:t>、可实现多台DSP级联扩展使用，在1个编辑调试界面内运行。</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C867BC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3E764A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C98F86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0B1501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10173D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数字电源时序器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6D3394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1、支持插孔独立开关；</w:t>
            </w:r>
          </w:p>
          <w:p w14:paraId="7A8B903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2、支持监控电流总电压；</w:t>
            </w:r>
          </w:p>
          <w:p w14:paraId="3D0F048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3、支持插孔顺序上下电，定时，延时开关机重启；</w:t>
            </w:r>
          </w:p>
          <w:p w14:paraId="06CCD7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4、带过流过压预警和设定</w:t>
            </w:r>
            <w:r>
              <w:rPr>
                <w:rFonts w:hint="eastAsia"/>
                <w:color w:val="auto"/>
                <w:kern w:val="0"/>
                <w:sz w:val="21"/>
                <w:szCs w:val="21"/>
                <w:highlight w:val="none"/>
                <w:lang w:bidi="ar"/>
              </w:rPr>
              <w:t>；</w:t>
            </w:r>
          </w:p>
          <w:p w14:paraId="652538C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5、支持电压显示；</w:t>
            </w:r>
          </w:p>
          <w:p w14:paraId="419AA08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6、支持每路控制；开放协议，可通过网络或485或232方式对接；</w:t>
            </w:r>
          </w:p>
          <w:p w14:paraId="762AA1B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7、额定输入输出电压220VAC/50HZ；</w:t>
            </w:r>
          </w:p>
          <w:p w14:paraId="3F3C617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8、总输出电流12路输出最大30A；</w:t>
            </w:r>
          </w:p>
          <w:p w14:paraId="58D790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9、单路输出电流最大13A；</w:t>
            </w:r>
          </w:p>
          <w:p w14:paraId="7A0CE10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10、静态功耗</w:t>
            </w:r>
            <w:r>
              <w:rPr>
                <w:rFonts w:hint="eastAsia"/>
                <w:color w:val="auto"/>
                <w:kern w:val="0"/>
                <w:sz w:val="21"/>
                <w:szCs w:val="21"/>
                <w:highlight w:val="none"/>
                <w:lang w:val="en-US" w:eastAsia="zh-CN" w:bidi="ar"/>
              </w:rPr>
              <w:t>不高于</w:t>
            </w:r>
            <w:r>
              <w:rPr>
                <w:color w:val="auto"/>
                <w:kern w:val="0"/>
                <w:sz w:val="21"/>
                <w:szCs w:val="21"/>
                <w:highlight w:val="none"/>
                <w:lang w:bidi="ar"/>
              </w:rPr>
              <w:t>7W；</w:t>
            </w:r>
          </w:p>
          <w:p w14:paraId="5FA46FF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11、电源通道</w:t>
            </w:r>
            <w:r>
              <w:rPr>
                <w:rFonts w:hint="eastAsia"/>
                <w:color w:val="auto"/>
                <w:kern w:val="0"/>
                <w:sz w:val="21"/>
                <w:szCs w:val="21"/>
                <w:highlight w:val="none"/>
                <w:lang w:bidi="ar"/>
              </w:rPr>
              <w:t>≥</w:t>
            </w:r>
            <w:r>
              <w:rPr>
                <w:color w:val="auto"/>
                <w:kern w:val="0"/>
                <w:sz w:val="21"/>
                <w:szCs w:val="21"/>
                <w:highlight w:val="none"/>
                <w:lang w:bidi="ar"/>
              </w:rPr>
              <w:t>12路。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64A6D3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4716E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271A98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DA609A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DE5336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数字无线手持话筒（1拖2）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7D94D4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1、UHF频段捷变频分集式无线手持话筒系统；</w:t>
            </w:r>
          </w:p>
          <w:p w14:paraId="325C2E0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2C19334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3F99799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789EAFA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599DE6F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4AA69C1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720C4F9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76912EF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7E06877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10、工作距离：一般≥100米；</w:t>
            </w:r>
          </w:p>
          <w:p w14:paraId="0BB523C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2145769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12、手持发射机：射频高功率输出≤30mW，低功率输出≥10mW，动圈式收音头≥120°心形指向性。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7A71B3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3F65F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622E5D3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C1A5FB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0C36BD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汇报席话筒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9C12F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与会议话筒同档次；</w:t>
            </w:r>
          </w:p>
          <w:p w14:paraId="5A9625F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短杆</w:t>
            </w:r>
            <w:r>
              <w:rPr>
                <w:color w:val="auto"/>
                <w:kern w:val="0"/>
                <w:sz w:val="21"/>
                <w:szCs w:val="21"/>
                <w:highlight w:val="none"/>
                <w:lang w:bidi="ar"/>
              </w:rPr>
              <w:t>话筒；</w:t>
            </w:r>
          </w:p>
          <w:p w14:paraId="1B60FD1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2、指向特性：心型单指向性；</w:t>
            </w:r>
          </w:p>
          <w:p w14:paraId="747B0F4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3、频率响应：100Hz～16000Hz；</w:t>
            </w:r>
          </w:p>
          <w:p w14:paraId="377669C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5、开路灵敏度：-43dB；</w:t>
            </w:r>
          </w:p>
          <w:p w14:paraId="336B387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6、阻抗：≥250Ω；</w:t>
            </w:r>
          </w:p>
          <w:p w14:paraId="2CC2538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7、最大输入声压级：≥1</w:t>
            </w:r>
            <w:r>
              <w:rPr>
                <w:rFonts w:hint="eastAsia"/>
                <w:color w:val="auto"/>
                <w:kern w:val="0"/>
                <w:sz w:val="21"/>
                <w:szCs w:val="21"/>
                <w:highlight w:val="none"/>
                <w:lang w:bidi="ar"/>
              </w:rPr>
              <w:t>3</w:t>
            </w:r>
            <w:r>
              <w:rPr>
                <w:color w:val="auto"/>
                <w:kern w:val="0"/>
                <w:sz w:val="21"/>
                <w:szCs w:val="21"/>
                <w:highlight w:val="none"/>
                <w:lang w:bidi="ar"/>
              </w:rPr>
              <w:t>0dB；</w:t>
            </w:r>
          </w:p>
          <w:p w14:paraId="5E197A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8、信噪比：&gt;65dB；</w:t>
            </w:r>
          </w:p>
          <w:p w14:paraId="7180B1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9、幻象供电：48V；</w:t>
            </w:r>
          </w:p>
          <w:p w14:paraId="7C7E3E0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10、开关：按钮式控制开启/静音。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F25642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D976F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B6CCB9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A7914D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（三）</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28E1834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集中控制及视频矩阵</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CBFBF47">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E1BDBB2">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39DC498">
            <w:pPr>
              <w:widowControl/>
              <w:spacing w:line="288" w:lineRule="auto"/>
              <w:ind w:firstLine="0" w:firstLineChars="0"/>
              <w:jc w:val="center"/>
              <w:rPr>
                <w:color w:val="auto"/>
                <w:sz w:val="21"/>
                <w:szCs w:val="21"/>
                <w:highlight w:val="none"/>
              </w:rPr>
            </w:pPr>
          </w:p>
        </w:tc>
      </w:tr>
      <w:tr w14:paraId="1B6DE83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F7B2A9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D97891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多媒体智能IOT平台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20E3FCB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1、不少于2个总线接口；</w:t>
            </w:r>
          </w:p>
          <w:p w14:paraId="375E3A5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2、不少于2个10/100LAN接口；</w:t>
            </w:r>
          </w:p>
          <w:p w14:paraId="529FAC5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3、不少于8个数字I/O端口；</w:t>
            </w:r>
          </w:p>
          <w:p w14:paraId="49D86EB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4、不少于8路RS232双向端口；</w:t>
            </w:r>
          </w:p>
          <w:p w14:paraId="5D4A448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5、不少于8路红外/串行输出端口；</w:t>
            </w:r>
          </w:p>
          <w:p w14:paraId="1DD2DEA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6、不少于8路弱电继电器端口；</w:t>
            </w:r>
          </w:p>
          <w:p w14:paraId="4801360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7、具有内置网页服务器功能；</w:t>
            </w:r>
          </w:p>
          <w:p w14:paraId="0F8157C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8、具有支持HTML及JAVA的功能；</w:t>
            </w:r>
          </w:p>
          <w:p w14:paraId="0669740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9、具有可将触摸屏界面变成网页的功能；</w:t>
            </w:r>
          </w:p>
          <w:p w14:paraId="380C81E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10、具备4G物联网功能，实现远程状态查询、周边环境控制。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3BEAC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C7D7F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C37CC0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1B7319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CA8274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中控编程</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7D10CC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根据用户需求及会议场景内可控设备数量工程师现场编写程序含灯光回路控制、电动窗帘控制、音视频场景模式控制，可根据用户习惯编制定制化程序软件。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863767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105D9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3A662B9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108D1D3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66DB2B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拼接矩阵</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A50827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1、支持矩阵无缝切换；</w:t>
            </w:r>
          </w:p>
          <w:p w14:paraId="60B0FC0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w:t>
            </w:r>
            <w:r>
              <w:rPr>
                <w:rFonts w:hint="eastAsia"/>
                <w:color w:val="auto"/>
                <w:kern w:val="0"/>
                <w:sz w:val="21"/>
                <w:szCs w:val="21"/>
                <w:highlight w:val="none"/>
                <w:lang w:bidi="ar"/>
              </w:rPr>
              <w:t>≥</w:t>
            </w:r>
            <w:r>
              <w:rPr>
                <w:color w:val="auto"/>
                <w:kern w:val="0"/>
                <w:sz w:val="21"/>
                <w:szCs w:val="21"/>
                <w:highlight w:val="none"/>
                <w:lang w:bidi="ar"/>
              </w:rPr>
              <w:t>8路HDMI输入，</w:t>
            </w:r>
            <w:r>
              <w:rPr>
                <w:rFonts w:hint="eastAsia"/>
                <w:color w:val="auto"/>
                <w:kern w:val="0"/>
                <w:sz w:val="21"/>
                <w:szCs w:val="21"/>
                <w:highlight w:val="none"/>
                <w:lang w:bidi="ar"/>
              </w:rPr>
              <w:t>≥</w:t>
            </w:r>
            <w:r>
              <w:rPr>
                <w:color w:val="auto"/>
                <w:kern w:val="0"/>
                <w:sz w:val="21"/>
                <w:szCs w:val="21"/>
                <w:highlight w:val="none"/>
                <w:lang w:bidi="ar"/>
              </w:rPr>
              <w:t>8路HDMI输出，</w:t>
            </w:r>
            <w:r>
              <w:rPr>
                <w:rFonts w:hint="eastAsia"/>
                <w:color w:val="auto"/>
                <w:kern w:val="0"/>
                <w:sz w:val="21"/>
                <w:szCs w:val="21"/>
                <w:highlight w:val="none"/>
                <w:lang w:bidi="ar"/>
              </w:rPr>
              <w:t>≥</w:t>
            </w:r>
            <w:r>
              <w:rPr>
                <w:color w:val="auto"/>
                <w:kern w:val="0"/>
                <w:sz w:val="21"/>
                <w:szCs w:val="21"/>
                <w:highlight w:val="none"/>
                <w:lang w:bidi="ar"/>
              </w:rPr>
              <w:t>8路3.5mm音频独立输出；</w:t>
            </w:r>
          </w:p>
          <w:p w14:paraId="69ABD8F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3、支持电视墙拼接功能；</w:t>
            </w:r>
          </w:p>
          <w:p w14:paraId="6F27FC7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4、输出支持画面分割功能；</w:t>
            </w:r>
          </w:p>
          <w:p w14:paraId="5066EE8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5、支持输入输出信号状态监测功能。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A1E241E">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F9D25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E192CE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E98D89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56824D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有线控制终端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30F7CC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1、至少10英寸有线嵌墙式触摸屏；</w:t>
            </w:r>
          </w:p>
          <w:p w14:paraId="27466E1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2、物理分辨率不小于1280x800；</w:t>
            </w:r>
          </w:p>
          <w:p w14:paraId="6F749D1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3、显示比例16：10；</w:t>
            </w:r>
          </w:p>
          <w:p w14:paraId="5E0F98A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4、存储：不劣于2GB内存，不劣于16GB闪存；</w:t>
            </w:r>
          </w:p>
          <w:p w14:paraId="6A97DB8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5、至少1个USB2.0接口，至少1个RJ-45以太网口。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FA9125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72815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6FCC180">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737566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F3A29C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无线控制屏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D69F3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1、处理器主频：</w:t>
            </w:r>
            <w:r>
              <w:rPr>
                <w:rFonts w:hint="eastAsia"/>
                <w:color w:val="auto"/>
                <w:kern w:val="0"/>
                <w:sz w:val="21"/>
                <w:szCs w:val="21"/>
                <w:highlight w:val="none"/>
                <w:lang w:bidi="ar"/>
              </w:rPr>
              <w:t>≥</w:t>
            </w:r>
            <w:r>
              <w:rPr>
                <w:color w:val="auto"/>
                <w:kern w:val="0"/>
                <w:sz w:val="21"/>
                <w:szCs w:val="21"/>
                <w:highlight w:val="none"/>
                <w:lang w:bidi="ar"/>
              </w:rPr>
              <w:t>2×A762.27GHz+6×A551.88GHz、</w:t>
            </w:r>
            <w:r>
              <w:rPr>
                <w:rFonts w:hint="eastAsia"/>
                <w:color w:val="auto"/>
                <w:kern w:val="0"/>
                <w:sz w:val="21"/>
                <w:szCs w:val="21"/>
                <w:highlight w:val="none"/>
                <w:lang w:bidi="ar"/>
              </w:rPr>
              <w:t>≥</w:t>
            </w:r>
            <w:r>
              <w:rPr>
                <w:color w:val="auto"/>
                <w:kern w:val="0"/>
                <w:sz w:val="21"/>
                <w:szCs w:val="21"/>
                <w:highlight w:val="none"/>
                <w:lang w:bidi="ar"/>
              </w:rPr>
              <w:t>6GB+128GB；</w:t>
            </w:r>
          </w:p>
          <w:p w14:paraId="6ADAB0D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w:t>
            </w:r>
            <w:r>
              <w:rPr>
                <w:rFonts w:hint="eastAsia"/>
                <w:color w:val="auto"/>
                <w:kern w:val="0"/>
                <w:sz w:val="21"/>
                <w:szCs w:val="21"/>
                <w:highlight w:val="none"/>
                <w:lang w:bidi="ar"/>
              </w:rPr>
              <w:t>≥</w:t>
            </w:r>
            <w:r>
              <w:rPr>
                <w:color w:val="auto"/>
                <w:kern w:val="0"/>
                <w:sz w:val="21"/>
                <w:szCs w:val="21"/>
                <w:highlight w:val="none"/>
                <w:lang w:bidi="ar"/>
              </w:rPr>
              <w:t>2.27GHz；</w:t>
            </w:r>
          </w:p>
          <w:p w14:paraId="56CB231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3、处理器核心：</w:t>
            </w:r>
            <w:r>
              <w:rPr>
                <w:rFonts w:hint="eastAsia"/>
                <w:color w:val="auto"/>
                <w:kern w:val="0"/>
                <w:sz w:val="21"/>
                <w:szCs w:val="21"/>
                <w:highlight w:val="none"/>
                <w:lang w:bidi="ar"/>
              </w:rPr>
              <w:t>≥</w:t>
            </w:r>
            <w:r>
              <w:rPr>
                <w:color w:val="auto"/>
                <w:kern w:val="0"/>
                <w:sz w:val="21"/>
                <w:szCs w:val="21"/>
                <w:highlight w:val="none"/>
                <w:lang w:bidi="ar"/>
              </w:rPr>
              <w:t>八核；</w:t>
            </w:r>
          </w:p>
          <w:p w14:paraId="08A09F8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4、屏幕尺寸：</w:t>
            </w:r>
            <w:r>
              <w:rPr>
                <w:rFonts w:hint="eastAsia"/>
                <w:color w:val="auto"/>
                <w:kern w:val="0"/>
                <w:sz w:val="21"/>
                <w:szCs w:val="21"/>
                <w:highlight w:val="none"/>
                <w:lang w:bidi="ar"/>
              </w:rPr>
              <w:t>≥</w:t>
            </w:r>
            <w:r>
              <w:rPr>
                <w:color w:val="auto"/>
                <w:kern w:val="0"/>
                <w:sz w:val="21"/>
                <w:szCs w:val="21"/>
                <w:highlight w:val="none"/>
                <w:lang w:bidi="ar"/>
              </w:rPr>
              <w:t>11.5英寸；</w:t>
            </w:r>
          </w:p>
          <w:p w14:paraId="0B91F2E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5、屏幕分辨率：2000x1200。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EBDFC3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3B7A0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0913FF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37C7C5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（四）</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0C1D77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会议预约发布系统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8D84B4D">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59ECD70">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757F30">
            <w:pPr>
              <w:widowControl/>
              <w:spacing w:line="288" w:lineRule="auto"/>
              <w:ind w:firstLine="0" w:firstLineChars="0"/>
              <w:jc w:val="center"/>
              <w:rPr>
                <w:color w:val="auto"/>
                <w:sz w:val="21"/>
                <w:szCs w:val="21"/>
                <w:highlight w:val="none"/>
              </w:rPr>
            </w:pPr>
          </w:p>
        </w:tc>
      </w:tr>
      <w:tr w14:paraId="242AA18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3EEFC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4686FC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信息发布终端（会议发布）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FAF58C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高清显示：</w:t>
            </w:r>
            <w:r>
              <w:rPr>
                <w:rFonts w:hint="eastAsia"/>
                <w:color w:val="auto"/>
                <w:kern w:val="0"/>
                <w:sz w:val="21"/>
                <w:szCs w:val="21"/>
                <w:highlight w:val="none"/>
                <w:lang w:bidi="ar"/>
              </w:rPr>
              <w:t>≥</w:t>
            </w:r>
            <w:r>
              <w:rPr>
                <w:color w:val="auto"/>
                <w:kern w:val="0"/>
                <w:sz w:val="21"/>
                <w:szCs w:val="21"/>
                <w:highlight w:val="none"/>
                <w:lang w:bidi="ar"/>
              </w:rPr>
              <w:t>21.5寸原装A+级高分辨率IPS面板；</w:t>
            </w:r>
          </w:p>
          <w:p w14:paraId="5B8ED77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物理分辨率：≥1920*1080；</w:t>
            </w:r>
          </w:p>
          <w:p w14:paraId="377D2C4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.硬件配置：嵌入式四核64位处理器，CPU主频≥1.8Ghz；运行内存≥2GB，存储空间≥16G；</w:t>
            </w:r>
          </w:p>
          <w:p w14:paraId="2FB23F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声音输出：内置2*2W高保真喇叭输出；</w:t>
            </w:r>
          </w:p>
          <w:p w14:paraId="553EF7B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网络支持：10/100M自适应以太网卡，支持 802.11b/g/n的WIFI无线网卡,支持扩展全网通4G网络模块；</w:t>
            </w:r>
          </w:p>
          <w:p w14:paraId="28EC458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数据接口：RJ45以太网接口≥1个，USB接口≥2个，TF卡扩展插槽≥1个；</w:t>
            </w:r>
          </w:p>
          <w:p w14:paraId="7D2978E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w:t>
            </w:r>
            <w:r>
              <w:rPr>
                <w:rFonts w:hint="eastAsia"/>
                <w:color w:val="auto"/>
                <w:kern w:val="0"/>
                <w:sz w:val="21"/>
                <w:szCs w:val="21"/>
                <w:highlight w:val="none"/>
                <w:lang w:bidi="ar"/>
              </w:rPr>
              <w:t>、</w:t>
            </w:r>
            <w:r>
              <w:rPr>
                <w:color w:val="auto"/>
                <w:kern w:val="0"/>
                <w:sz w:val="21"/>
                <w:szCs w:val="21"/>
                <w:highlight w:val="none"/>
                <w:lang w:bidi="ar"/>
              </w:rPr>
              <w:t>供电方式：12V DC供电；</w:t>
            </w:r>
          </w:p>
          <w:p w14:paraId="434B256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w:t>
            </w:r>
            <w:r>
              <w:rPr>
                <w:rFonts w:hint="eastAsia"/>
                <w:color w:val="auto"/>
                <w:kern w:val="0"/>
                <w:sz w:val="21"/>
                <w:szCs w:val="21"/>
                <w:highlight w:val="none"/>
                <w:lang w:bidi="ar"/>
              </w:rPr>
              <w:t>、</w:t>
            </w:r>
            <w:r>
              <w:rPr>
                <w:color w:val="auto"/>
                <w:kern w:val="0"/>
                <w:sz w:val="21"/>
                <w:szCs w:val="21"/>
                <w:highlight w:val="none"/>
                <w:lang w:bidi="ar"/>
              </w:rPr>
              <w:t>安装方式：支持壁挂安装，嵌入式安装和桌面安装。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A1536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5D1ED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0BC268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6BCBB3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（五）</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19EAB73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会议录播以及视频会议系统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5AD2CE3">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6B80FE8">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09689F">
            <w:pPr>
              <w:widowControl/>
              <w:spacing w:line="288" w:lineRule="auto"/>
              <w:ind w:firstLine="0" w:firstLineChars="0"/>
              <w:jc w:val="center"/>
              <w:rPr>
                <w:color w:val="auto"/>
                <w:sz w:val="21"/>
                <w:szCs w:val="21"/>
                <w:highlight w:val="none"/>
              </w:rPr>
            </w:pPr>
          </w:p>
        </w:tc>
      </w:tr>
      <w:tr w14:paraId="5B52313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0AEB3D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1F758E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4K互动录播主机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04013C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1、录播主机必须支持会议录制、视频会议、互动终端、可编中控、无缝矩阵、音频处理六大功能于一体；</w:t>
            </w:r>
          </w:p>
          <w:p w14:paraId="5D43542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2、视频视入：支持不少于8路输入接口（3G/HD-SDI输入≥4路、≥2路HDMI输入接口，其中1路支持4K输入，≥2路VGA/分量复用输入）；</w:t>
            </w:r>
          </w:p>
          <w:p w14:paraId="4F29D0C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3、视频输出：不少于3路高清输出（≥2路HDMI输出，1路支持4K输出；≥1路VGA1080P输出）；</w:t>
            </w:r>
          </w:p>
          <w:p w14:paraId="5980629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4、音频端口：≥2路MIC输入（支持幻象供电），线路输入/输出：≥3/3。</w:t>
            </w:r>
          </w:p>
          <w:p w14:paraId="50DFA75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5、控制端口：≥5路RS232/485，≥2路IR；≥2路IO；≥4USB（可USB外置光驱进行音视频实时刻录，键盘鼠标操作GUI管理界面，U盘文件下载）；≥1路LAN；</w:t>
            </w:r>
          </w:p>
          <w:p w14:paraId="2B3301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6、存储：≥2T硬盘存储；</w:t>
            </w:r>
          </w:p>
          <w:p w14:paraId="6C8687E8">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BBC61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A9A0A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12D97B2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7B1030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1A9269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4K会议摄像机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813933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1、成像元器件：≥1/2.5英寸 CMOS传感器；</w:t>
            </w:r>
          </w:p>
          <w:p w14:paraId="77E28F1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2、传感器有效像素：不低于850万像素；</w:t>
            </w:r>
          </w:p>
          <w:p w14:paraId="1E14BEA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3、光学变焦：不低于12倍；</w:t>
            </w:r>
          </w:p>
          <w:p w14:paraId="764FF75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4、视频输出：3G-SDIx1、HDMIx1、LANx1。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BE9154A">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D22AD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092E54CC">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206414D6">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0CAE2FCB">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五、314小会议室</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424D053">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3B5270B0">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15FD0925">
            <w:pPr>
              <w:widowControl/>
              <w:spacing w:line="288" w:lineRule="auto"/>
              <w:ind w:firstLine="0" w:firstLineChars="0"/>
              <w:jc w:val="center"/>
              <w:rPr>
                <w:color w:val="auto"/>
                <w:sz w:val="21"/>
                <w:szCs w:val="21"/>
                <w:highlight w:val="none"/>
              </w:rPr>
            </w:pPr>
          </w:p>
        </w:tc>
      </w:tr>
      <w:tr w14:paraId="1D637CB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D4D783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（一）</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03B1E4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显示系统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E8E10E3">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D1C06EB">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FB08B7A">
            <w:pPr>
              <w:widowControl/>
              <w:spacing w:line="288" w:lineRule="auto"/>
              <w:ind w:firstLine="0" w:firstLineChars="0"/>
              <w:jc w:val="center"/>
              <w:rPr>
                <w:color w:val="auto"/>
                <w:sz w:val="21"/>
                <w:szCs w:val="21"/>
                <w:highlight w:val="none"/>
              </w:rPr>
            </w:pPr>
          </w:p>
        </w:tc>
      </w:tr>
      <w:tr w14:paraId="292DE84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A7FD5E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EB6340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短焦激光投影</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25DA8A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1、采用纯激光光源技术，光源为激光二极管，光源寿命≥20,000小时；</w:t>
            </w:r>
          </w:p>
          <w:p w14:paraId="05ECB84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2、显示系统采用3LCD技术，液晶板尺寸：</w:t>
            </w:r>
            <w:r>
              <w:rPr>
                <w:rFonts w:hint="eastAsia"/>
                <w:color w:val="auto"/>
                <w:kern w:val="0"/>
                <w:sz w:val="21"/>
                <w:szCs w:val="21"/>
                <w:highlight w:val="none"/>
                <w:lang w:bidi="ar"/>
              </w:rPr>
              <w:t>≥</w:t>
            </w:r>
            <w:r>
              <w:rPr>
                <w:color w:val="auto"/>
                <w:kern w:val="0"/>
                <w:sz w:val="21"/>
                <w:szCs w:val="21"/>
                <w:highlight w:val="none"/>
                <w:lang w:bidi="ar"/>
              </w:rPr>
              <w:t>0.64英寸*3；</w:t>
            </w:r>
          </w:p>
          <w:p w14:paraId="0B1B6D8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3、中心亮度：≥5</w:t>
            </w:r>
            <w:r>
              <w:rPr>
                <w:rFonts w:hint="eastAsia"/>
                <w:color w:val="auto"/>
                <w:kern w:val="0"/>
                <w:sz w:val="21"/>
                <w:szCs w:val="21"/>
                <w:highlight w:val="none"/>
                <w:lang w:val="en-US" w:eastAsia="zh-CN" w:bidi="ar"/>
              </w:rPr>
              <w:t>5</w:t>
            </w:r>
            <w:r>
              <w:rPr>
                <w:color w:val="auto"/>
                <w:kern w:val="0"/>
                <w:sz w:val="21"/>
                <w:szCs w:val="21"/>
                <w:highlight w:val="none"/>
                <w:lang w:bidi="ar"/>
              </w:rPr>
              <w:t>00流明；</w:t>
            </w:r>
          </w:p>
          <w:p w14:paraId="69DFDCB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4、单LCD液晶面板分辨率：≥1920*1200；支持4K/60p（4096*2160）信号输入；投影机镜头变焦倍数：≥1.6倍；</w:t>
            </w:r>
          </w:p>
          <w:p w14:paraId="421C5BA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5、透射比：0.51：1/0.62：1/0.73：1/0.83：1；</w:t>
            </w:r>
          </w:p>
          <w:p w14:paraId="2D02681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6、镜头位移支持水平方向：-15%-+15%，垂直方向：-35%-+55%；</w:t>
            </w:r>
          </w:p>
          <w:p w14:paraId="2AFFB9F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7、对比度：≥3,000,000：1。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D0AB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C17D7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5F7362F">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C6264A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3E62BB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幕布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7C3CDE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1、增益要求亮度系数：0.8≤β＜1.12；</w:t>
            </w:r>
          </w:p>
          <w:p w14:paraId="32F3B9B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2、可视角度≥150度；</w:t>
            </w:r>
          </w:p>
          <w:p w14:paraId="4E3AD6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3、屏幕解析率</w:t>
            </w:r>
            <w:r>
              <w:rPr>
                <w:rFonts w:hint="eastAsia"/>
                <w:color w:val="auto"/>
                <w:kern w:val="0"/>
                <w:sz w:val="21"/>
                <w:szCs w:val="21"/>
                <w:highlight w:val="none"/>
                <w:lang w:bidi="ar"/>
              </w:rPr>
              <w:t>≥</w:t>
            </w:r>
            <w:r>
              <w:rPr>
                <w:color w:val="auto"/>
                <w:kern w:val="0"/>
                <w:sz w:val="21"/>
                <w:szCs w:val="21"/>
                <w:highlight w:val="none"/>
                <w:lang w:bidi="ar"/>
              </w:rPr>
              <w:t>125线/mm；</w:t>
            </w:r>
          </w:p>
          <w:p w14:paraId="74A3BC9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4、防火等级不低于B2级；</w:t>
            </w:r>
          </w:p>
          <w:p w14:paraId="448CD9C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5、尺寸≥150寸。</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D7474E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B1AC3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12154C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C54172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81A7F0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无线投屏协作系统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EE5EC33">
            <w:pPr>
              <w:widowControl/>
              <w:numPr>
                <w:ilvl w:val="0"/>
                <w:numId w:val="15"/>
              </w:numPr>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支持多布局显示，可根据场景需求选择如整屏显示，画中画，2分屏，3分屏，4分屏；</w:t>
            </w:r>
          </w:p>
          <w:p w14:paraId="55327324">
            <w:pPr>
              <w:widowControl/>
              <w:numPr>
                <w:ilvl w:val="0"/>
                <w:numId w:val="15"/>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支持Windows、MAC、Android、iOS、鸿蒙、国产麒麟等主流操作平台；</w:t>
            </w:r>
          </w:p>
          <w:p w14:paraId="4F0A1152">
            <w:pPr>
              <w:widowControl/>
              <w:numPr>
                <w:ilvl w:val="0"/>
                <w:numId w:val="15"/>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支持HDMI2.0，输出最大分辨率不低于3840x2160@60Hz；</w:t>
            </w:r>
          </w:p>
          <w:p w14:paraId="4D447EE8">
            <w:pPr>
              <w:widowControl/>
              <w:numPr>
                <w:ilvl w:val="0"/>
                <w:numId w:val="15"/>
              </w:numPr>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支持扩展桌面、白板批注、反向控制等功能；</w:t>
            </w:r>
          </w:p>
          <w:p w14:paraId="215E4F6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5、提供CEC、WebGUI、Telnet、RS232控制方式，支持第三方中控。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7C1DB7C">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8E6F3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B065594">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5A05363">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（二）</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B5A106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专业扩声系统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E8E21EF">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678E51">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424689">
            <w:pPr>
              <w:widowControl/>
              <w:spacing w:line="288" w:lineRule="auto"/>
              <w:ind w:firstLine="0" w:firstLineChars="0"/>
              <w:jc w:val="center"/>
              <w:rPr>
                <w:color w:val="auto"/>
                <w:sz w:val="21"/>
                <w:szCs w:val="21"/>
                <w:highlight w:val="none"/>
              </w:rPr>
            </w:pPr>
          </w:p>
        </w:tc>
      </w:tr>
      <w:tr w14:paraId="064D9EE3">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BD26E4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AD393D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线性阵列声柱（150W)</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23F1A9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1、防护等级：≥IP55；</w:t>
            </w:r>
          </w:p>
          <w:p w14:paraId="441EFD9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2、频率范围(-10dB)：不劣于75~15000(Hz)；</w:t>
            </w:r>
          </w:p>
          <w:p w14:paraId="7B650F0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3、灵敏度：≥91dB；</w:t>
            </w:r>
          </w:p>
          <w:p w14:paraId="62958D2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4、最大声压级：≥119dB；</w:t>
            </w:r>
          </w:p>
          <w:p w14:paraId="5106C79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5、水平覆盖角度范围：120±10°；</w:t>
            </w:r>
          </w:p>
          <w:p w14:paraId="11A6195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6、垂直覆盖角度范围：60±5°；</w:t>
            </w:r>
          </w:p>
          <w:p w14:paraId="49BE7C1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7、额定功率：≥150W；</w:t>
            </w:r>
          </w:p>
          <w:p w14:paraId="43C7C02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8、单元规格：≥4x4.5英寸全频单元</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CB723C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只</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5E45E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r>
      <w:tr w14:paraId="660E541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345314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741A06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四通道专业功放</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3EF8E5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1、支持双通道桥接模式；</w:t>
            </w:r>
          </w:p>
          <w:p w14:paraId="22661F5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2、支持自动待机、支持静音强切、背面板旋钮支持输出电平控制；</w:t>
            </w:r>
          </w:p>
          <w:p w14:paraId="3B34964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3、模拟信号输入通道数量≥4路，数字信号输入通道数量≥8路，数字信号支持菊花链传输；</w:t>
            </w:r>
          </w:p>
          <w:p w14:paraId="5A03F1D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4、扬声器通道数量≥4路；</w:t>
            </w:r>
          </w:p>
          <w:p w14:paraId="0B807B7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5、单通道功率≥300W，设备总功率≥1200W</w:t>
            </w:r>
            <w:r>
              <w:rPr>
                <w:b/>
                <w:bCs/>
                <w:color w:val="auto"/>
                <w:kern w:val="0"/>
                <w:sz w:val="21"/>
                <w:szCs w:val="21"/>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5565FF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8908B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5839F0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3769D2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974C83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数字音频处理器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0EB511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1、支持自动话筒混音模块，支持自动反馈抑制模块；</w:t>
            </w:r>
          </w:p>
          <w:p w14:paraId="14C5A1B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2、支持跨平台（IOS、Android、Windows、MacOS）平台软件实时远程控制，并支持中文GUI界面；</w:t>
            </w:r>
          </w:p>
          <w:p w14:paraId="52CA82E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3、支持定时控制，支持房间组合设置，支持逻辑控制；</w:t>
            </w:r>
          </w:p>
          <w:p w14:paraId="4F7C6E3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4、支持扬声器动态低音功能；</w:t>
            </w:r>
          </w:p>
          <w:p w14:paraId="4BB26B6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5、支持中控控制(RS232&amp;SoIP)；</w:t>
            </w:r>
          </w:p>
          <w:p w14:paraId="36E69E0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6、支持控制面板分区控制及场景/音源切换；</w:t>
            </w:r>
          </w:p>
          <w:p w14:paraId="427EC4C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7、内置信号发生器可生成正弦波、粉红噪声、白噪声及扫频；</w:t>
            </w:r>
          </w:p>
          <w:p w14:paraId="7FC36E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8、支持静音强切；</w:t>
            </w:r>
          </w:p>
          <w:p w14:paraId="07F2EF3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9、模拟通道数量≥10进4出；</w:t>
            </w:r>
          </w:p>
          <w:p w14:paraId="295547F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0</w:t>
            </w:r>
            <w:r>
              <w:rPr>
                <w:color w:val="auto"/>
                <w:kern w:val="0"/>
                <w:sz w:val="21"/>
                <w:szCs w:val="21"/>
                <w:highlight w:val="none"/>
                <w:lang w:bidi="ar"/>
              </w:rPr>
              <w:t>、延时能力≥43</w:t>
            </w:r>
            <w:r>
              <w:rPr>
                <w:rFonts w:hint="eastAsia"/>
                <w:color w:val="auto"/>
                <w:kern w:val="0"/>
                <w:sz w:val="21"/>
                <w:szCs w:val="21"/>
                <w:highlight w:val="none"/>
                <w:lang w:val="en-US" w:eastAsia="zh-CN" w:bidi="ar"/>
              </w:rPr>
              <w:t xml:space="preserve"> m</w:t>
            </w:r>
            <w:r>
              <w:rPr>
                <w:color w:val="auto"/>
                <w:kern w:val="0"/>
                <w:sz w:val="21"/>
                <w:szCs w:val="21"/>
                <w:highlight w:val="none"/>
                <w:lang w:bidi="ar"/>
              </w:rPr>
              <w:t>s；</w:t>
            </w:r>
          </w:p>
          <w:p w14:paraId="27731A5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1</w:t>
            </w:r>
            <w:r>
              <w:rPr>
                <w:color w:val="auto"/>
                <w:kern w:val="0"/>
                <w:sz w:val="21"/>
                <w:szCs w:val="21"/>
                <w:highlight w:val="none"/>
                <w:lang w:bidi="ar"/>
              </w:rPr>
              <w:t>、输入至输出音频延迟≤1.05ms，声学回声消除模块(AEC)通道≥8路；</w:t>
            </w:r>
          </w:p>
          <w:p w14:paraId="5DE56369">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w:t>
            </w:r>
            <w:r>
              <w:rPr>
                <w:rFonts w:hint="eastAsia"/>
                <w:color w:val="auto"/>
                <w:kern w:val="0"/>
                <w:sz w:val="21"/>
                <w:szCs w:val="21"/>
                <w:highlight w:val="none"/>
                <w:lang w:bidi="ar"/>
              </w:rPr>
              <w:t>2</w:t>
            </w:r>
            <w:r>
              <w:rPr>
                <w:color w:val="auto"/>
                <w:kern w:val="0"/>
                <w:sz w:val="21"/>
                <w:szCs w:val="21"/>
                <w:highlight w:val="none"/>
                <w:lang w:bidi="ar"/>
              </w:rPr>
              <w:t>、可实现多台DSP级联扩展使用，在1个编辑调试界面内运行。</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5B11C5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4BEEC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73B3C08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52242A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343091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数字电源时序器</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04A2AB1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1、支持插孔独立开关；</w:t>
            </w:r>
          </w:p>
          <w:p w14:paraId="25F045C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2、支持监控电流总电压；</w:t>
            </w:r>
          </w:p>
          <w:p w14:paraId="33D49A3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3、支持插孔顺序上下电，定时，延时开关机重启；</w:t>
            </w:r>
          </w:p>
          <w:p w14:paraId="4C933429">
            <w:pPr>
              <w:widowControl/>
              <w:spacing w:line="288"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4、带过流过压预警和设定</w:t>
            </w:r>
          </w:p>
          <w:p w14:paraId="702400F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5、支持电压显示；</w:t>
            </w:r>
          </w:p>
          <w:p w14:paraId="5A08173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6、支持每路控制；开放协议，可通过网络或485或232方式对接；</w:t>
            </w:r>
          </w:p>
          <w:p w14:paraId="2CE12E4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7、额定输入输出电压220VAC/50HZ；</w:t>
            </w:r>
          </w:p>
          <w:p w14:paraId="2E61830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8、总输出电流12路输出最大30A；</w:t>
            </w:r>
          </w:p>
          <w:p w14:paraId="6BB1BD0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9、单路输出电流最大13A；</w:t>
            </w:r>
          </w:p>
          <w:p w14:paraId="1CA32B3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10、静态功耗</w:t>
            </w:r>
            <w:r>
              <w:rPr>
                <w:rFonts w:hint="eastAsia"/>
                <w:color w:val="auto"/>
                <w:kern w:val="0"/>
                <w:sz w:val="21"/>
                <w:szCs w:val="21"/>
                <w:highlight w:val="none"/>
                <w:lang w:val="en-US" w:eastAsia="zh-CN" w:bidi="ar"/>
              </w:rPr>
              <w:t>不高于</w:t>
            </w:r>
            <w:r>
              <w:rPr>
                <w:color w:val="auto"/>
                <w:kern w:val="0"/>
                <w:sz w:val="21"/>
                <w:szCs w:val="21"/>
                <w:highlight w:val="none"/>
                <w:lang w:bidi="ar"/>
              </w:rPr>
              <w:t>7W；</w:t>
            </w:r>
          </w:p>
          <w:p w14:paraId="2AB6EB9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11、电源通道</w:t>
            </w:r>
            <w:r>
              <w:rPr>
                <w:rFonts w:hint="eastAsia"/>
                <w:color w:val="auto"/>
                <w:kern w:val="0"/>
                <w:sz w:val="21"/>
                <w:szCs w:val="21"/>
                <w:highlight w:val="none"/>
                <w:lang w:bidi="ar"/>
              </w:rPr>
              <w:t>≥</w:t>
            </w:r>
            <w:r>
              <w:rPr>
                <w:color w:val="auto"/>
                <w:kern w:val="0"/>
                <w:sz w:val="21"/>
                <w:szCs w:val="21"/>
                <w:highlight w:val="none"/>
                <w:lang w:bidi="ar"/>
              </w:rPr>
              <w:t>12路。</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48088D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3B1E20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4F9982AD">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EA7501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505762CF">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数字无线手持话筒（1拖2）</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90FFA6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1、UHF频段捷变频分集式无线手持话筒系统；</w:t>
            </w:r>
          </w:p>
          <w:p w14:paraId="5AC2649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2、动圈式高质量收音头；</w:t>
            </w:r>
          </w:p>
          <w:p w14:paraId="70BAEFC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3、两枚天线真分集接收，接收器带输出衰减≥12dB开关；</w:t>
            </w:r>
          </w:p>
          <w:p w14:paraId="14DB1C5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4、发射器设有高/低输出功率控制开关；</w:t>
            </w:r>
          </w:p>
          <w:p w14:paraId="3F8A8C5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5、调制方法：FM调频；</w:t>
            </w:r>
          </w:p>
          <w:p w14:paraId="535DDDA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6、额定频偏：±40kHz；</w:t>
            </w:r>
          </w:p>
          <w:p w14:paraId="68F705D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7、射频灵敏度：≥20dBµV于调噪比≤60dB(50Ω终端)；</w:t>
            </w:r>
          </w:p>
          <w:p w14:paraId="37AEAAD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8、动态范围：&gt;110dB；</w:t>
            </w:r>
          </w:p>
          <w:p w14:paraId="6045B4D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9、失真：&lt;1%；</w:t>
            </w:r>
          </w:p>
          <w:p w14:paraId="65AD92D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10、工作距离：一般≥100米；</w:t>
            </w:r>
          </w:p>
          <w:p w14:paraId="6EB21E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11、频响：100Hz～15kHz；</w:t>
            </w:r>
          </w:p>
          <w:p w14:paraId="3BFE074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12、手持发射机：射频高功率输出≤30mW，低功率输出≥10mW，动圈式收音头≥120°心形指向性。</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EE8C71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32C32D">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r>
      <w:tr w14:paraId="32EEC34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DA33CEC">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6</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1843D36">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汇报席话筒</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0A3417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与会议话筒同档次；</w:t>
            </w:r>
          </w:p>
          <w:p w14:paraId="4F3CCBF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短杆</w:t>
            </w:r>
            <w:r>
              <w:rPr>
                <w:color w:val="auto"/>
                <w:kern w:val="0"/>
                <w:sz w:val="21"/>
                <w:szCs w:val="21"/>
                <w:highlight w:val="none"/>
                <w:lang w:bidi="ar"/>
              </w:rPr>
              <w:t>话筒；</w:t>
            </w:r>
          </w:p>
          <w:p w14:paraId="3707A32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2、指向特性：心型单指向性；</w:t>
            </w:r>
          </w:p>
          <w:p w14:paraId="07DE1A8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3、频率响应：100Hz～16000Hz；</w:t>
            </w:r>
          </w:p>
          <w:p w14:paraId="2CBFE0A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5、开路灵敏度：-43dB；</w:t>
            </w:r>
          </w:p>
          <w:p w14:paraId="5B35D29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6、阻抗：≥250Ω；</w:t>
            </w:r>
          </w:p>
          <w:p w14:paraId="53853FA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7、最大输入声压级：≥1</w:t>
            </w:r>
            <w:r>
              <w:rPr>
                <w:rFonts w:hint="eastAsia"/>
                <w:color w:val="auto"/>
                <w:kern w:val="0"/>
                <w:sz w:val="21"/>
                <w:szCs w:val="21"/>
                <w:highlight w:val="none"/>
                <w:lang w:bidi="ar"/>
              </w:rPr>
              <w:t>3</w:t>
            </w:r>
            <w:r>
              <w:rPr>
                <w:color w:val="auto"/>
                <w:kern w:val="0"/>
                <w:sz w:val="21"/>
                <w:szCs w:val="21"/>
                <w:highlight w:val="none"/>
                <w:lang w:bidi="ar"/>
              </w:rPr>
              <w:t>0dB；</w:t>
            </w:r>
          </w:p>
          <w:p w14:paraId="59467B8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8、信噪比：&gt;65dB；</w:t>
            </w:r>
          </w:p>
          <w:p w14:paraId="778F8F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9、幻象供电：48V；</w:t>
            </w:r>
          </w:p>
          <w:p w14:paraId="6F8DFB4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10、开关：按钮式控制开启/静音。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F992B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F61E0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0E35EE6">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9EFCA7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（三）</w:t>
            </w:r>
          </w:p>
        </w:tc>
        <w:tc>
          <w:tcPr>
            <w:tcW w:w="3374" w:type="dxa"/>
            <w:tcBorders>
              <w:top w:val="single" w:color="000000" w:sz="4" w:space="0"/>
              <w:left w:val="single" w:color="000000" w:sz="4" w:space="0"/>
              <w:bottom w:val="single" w:color="000000" w:sz="4" w:space="0"/>
              <w:right w:val="single" w:color="000000" w:sz="4" w:space="0"/>
            </w:tcBorders>
            <w:noWrap/>
            <w:vAlign w:val="center"/>
          </w:tcPr>
          <w:p w14:paraId="1C322B1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集中控制及视频矩阵</w:t>
            </w:r>
          </w:p>
        </w:tc>
        <w:tc>
          <w:tcPr>
            <w:tcW w:w="10688" w:type="dxa"/>
            <w:tcBorders>
              <w:top w:val="single" w:color="000000" w:sz="4" w:space="0"/>
              <w:left w:val="single" w:color="000000" w:sz="4" w:space="0"/>
              <w:bottom w:val="single" w:color="000000" w:sz="4" w:space="0"/>
              <w:right w:val="single" w:color="000000" w:sz="4" w:space="0"/>
            </w:tcBorders>
            <w:noWrap/>
            <w:vAlign w:val="center"/>
          </w:tcPr>
          <w:p w14:paraId="4BD4687F">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5F4E0A9">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A7E8781">
            <w:pPr>
              <w:widowControl/>
              <w:spacing w:line="288" w:lineRule="auto"/>
              <w:ind w:firstLine="0" w:firstLineChars="0"/>
              <w:jc w:val="center"/>
              <w:rPr>
                <w:color w:val="auto"/>
                <w:sz w:val="21"/>
                <w:szCs w:val="21"/>
                <w:highlight w:val="none"/>
              </w:rPr>
            </w:pPr>
          </w:p>
        </w:tc>
      </w:tr>
      <w:tr w14:paraId="294FDBE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4AEA88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2ACAE814">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多媒体智能IOT平台</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585ED75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1、不少于2个总线接口；</w:t>
            </w:r>
          </w:p>
          <w:p w14:paraId="08121C2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2、不少于2个10/100LAN接口；</w:t>
            </w:r>
          </w:p>
          <w:p w14:paraId="3D83A10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3、不少于8个数字I/O端口；</w:t>
            </w:r>
          </w:p>
          <w:p w14:paraId="3863986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4、不少于8路RS232双向端口；</w:t>
            </w:r>
          </w:p>
          <w:p w14:paraId="4504CF1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5、不少于8路红外/串行输出端口；</w:t>
            </w:r>
          </w:p>
          <w:p w14:paraId="4285FC05">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6、不少于8路弱电继电器端口；</w:t>
            </w:r>
          </w:p>
          <w:p w14:paraId="788F693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7、具有内置网页服务器功能；</w:t>
            </w:r>
          </w:p>
          <w:p w14:paraId="10F32A2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8、具有支持HTML及JAVA的功能；</w:t>
            </w:r>
          </w:p>
          <w:p w14:paraId="15D0AE1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9、具有可将触摸屏界面变成网页的功能；</w:t>
            </w:r>
          </w:p>
          <w:p w14:paraId="46F0100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10、具备4G物联网功能，实现远程状态查询、周边环境控制。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5B207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E1CA30">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0567C26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6AA1C3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3767D880">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中控编程</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6BA2D25">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根据用户需求及会议场景内可控设备数量工程师现场编写程序含灯光回路控制、电动窗帘控制、音视频场景模式控制，可根据用户习惯编制定制化程序软件。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3D0EE1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17CAC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1E694C8">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59FE9B4F">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0714C5D7">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拼接矩阵</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10AF3F8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1、支持矩阵无缝切换；</w:t>
            </w:r>
          </w:p>
          <w:p w14:paraId="0BEE992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2、支持</w:t>
            </w:r>
            <w:r>
              <w:rPr>
                <w:rFonts w:hint="eastAsia"/>
                <w:color w:val="auto"/>
                <w:kern w:val="0"/>
                <w:sz w:val="21"/>
                <w:szCs w:val="21"/>
                <w:highlight w:val="none"/>
                <w:lang w:bidi="ar"/>
              </w:rPr>
              <w:t>≥</w:t>
            </w:r>
            <w:r>
              <w:rPr>
                <w:color w:val="auto"/>
                <w:kern w:val="0"/>
                <w:sz w:val="21"/>
                <w:szCs w:val="21"/>
                <w:highlight w:val="none"/>
                <w:lang w:bidi="ar"/>
              </w:rPr>
              <w:t>8路HDMI输入，</w:t>
            </w:r>
            <w:r>
              <w:rPr>
                <w:rFonts w:hint="eastAsia"/>
                <w:color w:val="auto"/>
                <w:kern w:val="0"/>
                <w:sz w:val="21"/>
                <w:szCs w:val="21"/>
                <w:highlight w:val="none"/>
                <w:lang w:bidi="ar"/>
              </w:rPr>
              <w:t>≥</w:t>
            </w:r>
            <w:r>
              <w:rPr>
                <w:color w:val="auto"/>
                <w:kern w:val="0"/>
                <w:sz w:val="21"/>
                <w:szCs w:val="21"/>
                <w:highlight w:val="none"/>
                <w:lang w:bidi="ar"/>
              </w:rPr>
              <w:t>8路HDMI输出，</w:t>
            </w:r>
            <w:r>
              <w:rPr>
                <w:rFonts w:hint="eastAsia"/>
                <w:color w:val="auto"/>
                <w:kern w:val="0"/>
                <w:sz w:val="21"/>
                <w:szCs w:val="21"/>
                <w:highlight w:val="none"/>
                <w:lang w:bidi="ar"/>
              </w:rPr>
              <w:t>≥</w:t>
            </w:r>
            <w:r>
              <w:rPr>
                <w:color w:val="auto"/>
                <w:kern w:val="0"/>
                <w:sz w:val="21"/>
                <w:szCs w:val="21"/>
                <w:highlight w:val="none"/>
                <w:lang w:bidi="ar"/>
              </w:rPr>
              <w:t>8路3.5mm音频独立输出；</w:t>
            </w:r>
          </w:p>
          <w:p w14:paraId="1BE5A93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3、支持电视墙拼接功能；</w:t>
            </w:r>
          </w:p>
          <w:p w14:paraId="2555648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4、输出支持画面分割功能；</w:t>
            </w:r>
          </w:p>
          <w:p w14:paraId="000B9E0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5、支持输入输出信号状态监测功能。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BEC3B3">
            <w:pPr>
              <w:widowControl/>
              <w:spacing w:line="288" w:lineRule="auto"/>
              <w:ind w:firstLine="0" w:firstLineChars="0"/>
              <w:jc w:val="center"/>
              <w:textAlignment w:val="center"/>
              <w:rPr>
                <w:color w:val="auto"/>
                <w:sz w:val="21"/>
                <w:szCs w:val="21"/>
                <w:highlight w:val="none"/>
              </w:rPr>
            </w:pPr>
            <w:r>
              <w:rPr>
                <w:rFonts w:hint="eastAsia"/>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5A2255">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C5758F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10957F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4</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5208C7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有线控制终端</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4AB075D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10英寸有线嵌墙式触摸屏；</w:t>
            </w:r>
          </w:p>
          <w:p w14:paraId="6E245CB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2、物理分辨率不小于1280x800；</w:t>
            </w:r>
          </w:p>
          <w:p w14:paraId="60605332">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3、显示比例16：10；</w:t>
            </w:r>
          </w:p>
          <w:p w14:paraId="72709F09">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4、存储：不劣于2GB内存，不劣于16GB闪存；</w:t>
            </w:r>
          </w:p>
          <w:p w14:paraId="76135F5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5、至少1个USB2.0接口，至少1个RJ-45以太网口。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9C11EE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D4D89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6EDA61D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FC4E03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5</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B82867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无线控制屏</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BB359C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1、处理器主频：</w:t>
            </w:r>
            <w:r>
              <w:rPr>
                <w:rFonts w:hint="eastAsia"/>
                <w:color w:val="auto"/>
                <w:kern w:val="0"/>
                <w:sz w:val="21"/>
                <w:szCs w:val="21"/>
                <w:highlight w:val="none"/>
                <w:lang w:bidi="ar"/>
              </w:rPr>
              <w:t>≥</w:t>
            </w:r>
            <w:r>
              <w:rPr>
                <w:color w:val="auto"/>
                <w:kern w:val="0"/>
                <w:sz w:val="21"/>
                <w:szCs w:val="21"/>
                <w:highlight w:val="none"/>
                <w:lang w:bidi="ar"/>
              </w:rPr>
              <w:t>2×A762.27GHz+6×A551.88GHz、</w:t>
            </w:r>
            <w:r>
              <w:rPr>
                <w:rFonts w:hint="eastAsia"/>
                <w:color w:val="auto"/>
                <w:kern w:val="0"/>
                <w:sz w:val="21"/>
                <w:szCs w:val="21"/>
                <w:highlight w:val="none"/>
                <w:lang w:bidi="ar"/>
              </w:rPr>
              <w:t>≥</w:t>
            </w:r>
            <w:r>
              <w:rPr>
                <w:color w:val="auto"/>
                <w:kern w:val="0"/>
                <w:sz w:val="21"/>
                <w:szCs w:val="21"/>
                <w:highlight w:val="none"/>
                <w:lang w:bidi="ar"/>
              </w:rPr>
              <w:t>6GB+128GB；</w:t>
            </w:r>
          </w:p>
          <w:p w14:paraId="20D0F5B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2、频率：</w:t>
            </w:r>
            <w:r>
              <w:rPr>
                <w:rFonts w:hint="eastAsia"/>
                <w:color w:val="auto"/>
                <w:kern w:val="0"/>
                <w:sz w:val="21"/>
                <w:szCs w:val="21"/>
                <w:highlight w:val="none"/>
                <w:lang w:bidi="ar"/>
              </w:rPr>
              <w:t>≥</w:t>
            </w:r>
            <w:r>
              <w:rPr>
                <w:color w:val="auto"/>
                <w:kern w:val="0"/>
                <w:sz w:val="21"/>
                <w:szCs w:val="21"/>
                <w:highlight w:val="none"/>
                <w:lang w:bidi="ar"/>
              </w:rPr>
              <w:t>2.27GHz；</w:t>
            </w:r>
          </w:p>
          <w:p w14:paraId="57DD39A8">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3、处理器核心：</w:t>
            </w:r>
            <w:r>
              <w:rPr>
                <w:rFonts w:hint="eastAsia"/>
                <w:color w:val="auto"/>
                <w:kern w:val="0"/>
                <w:sz w:val="21"/>
                <w:szCs w:val="21"/>
                <w:highlight w:val="none"/>
                <w:lang w:bidi="ar"/>
              </w:rPr>
              <w:t>≥</w:t>
            </w:r>
            <w:r>
              <w:rPr>
                <w:color w:val="auto"/>
                <w:kern w:val="0"/>
                <w:sz w:val="21"/>
                <w:szCs w:val="21"/>
                <w:highlight w:val="none"/>
                <w:lang w:bidi="ar"/>
              </w:rPr>
              <w:t>八核；</w:t>
            </w:r>
          </w:p>
          <w:p w14:paraId="3AF9522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4、屏幕尺寸</w:t>
            </w:r>
            <w:r>
              <w:rPr>
                <w:rFonts w:hint="eastAsia"/>
                <w:color w:val="auto"/>
                <w:kern w:val="0"/>
                <w:sz w:val="21"/>
                <w:szCs w:val="21"/>
                <w:highlight w:val="none"/>
                <w:lang w:bidi="ar"/>
              </w:rPr>
              <w:t>≥</w:t>
            </w:r>
            <w:r>
              <w:rPr>
                <w:color w:val="auto"/>
                <w:kern w:val="0"/>
                <w:sz w:val="21"/>
                <w:szCs w:val="21"/>
                <w:highlight w:val="none"/>
                <w:lang w:bidi="ar"/>
              </w:rPr>
              <w:t>11.5英寸；</w:t>
            </w:r>
          </w:p>
          <w:p w14:paraId="57E0D2BD">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5、屏幕分辨率：2000x1200。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F591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4F89B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29C6F9B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4B6A2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（四）</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C45013A">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会议预约发布系统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8BAACBC">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F8E0CFE">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A84349">
            <w:pPr>
              <w:widowControl/>
              <w:spacing w:line="288" w:lineRule="auto"/>
              <w:ind w:firstLine="0" w:firstLineChars="0"/>
              <w:jc w:val="center"/>
              <w:rPr>
                <w:color w:val="auto"/>
                <w:sz w:val="21"/>
                <w:szCs w:val="21"/>
                <w:highlight w:val="none"/>
              </w:rPr>
            </w:pPr>
          </w:p>
        </w:tc>
      </w:tr>
      <w:tr w14:paraId="7ADE079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582BA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424BF2DC">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信息发布终端（会议发布）</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5E3E3E1">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w:t>
            </w:r>
            <w:r>
              <w:rPr>
                <w:rFonts w:hint="eastAsia"/>
                <w:color w:val="auto"/>
                <w:kern w:val="0"/>
                <w:sz w:val="21"/>
                <w:szCs w:val="21"/>
                <w:highlight w:val="none"/>
                <w:lang w:bidi="ar"/>
              </w:rPr>
              <w:t>、</w:t>
            </w:r>
            <w:r>
              <w:rPr>
                <w:color w:val="auto"/>
                <w:kern w:val="0"/>
                <w:sz w:val="21"/>
                <w:szCs w:val="21"/>
                <w:highlight w:val="none"/>
                <w:lang w:bidi="ar"/>
              </w:rPr>
              <w:t>高清显示：</w:t>
            </w:r>
            <w:r>
              <w:rPr>
                <w:rFonts w:hint="eastAsia"/>
                <w:color w:val="auto"/>
                <w:kern w:val="0"/>
                <w:sz w:val="21"/>
                <w:szCs w:val="21"/>
                <w:highlight w:val="none"/>
                <w:lang w:bidi="ar"/>
              </w:rPr>
              <w:t>≥</w:t>
            </w:r>
            <w:r>
              <w:rPr>
                <w:color w:val="auto"/>
                <w:kern w:val="0"/>
                <w:sz w:val="21"/>
                <w:szCs w:val="21"/>
                <w:highlight w:val="none"/>
                <w:lang w:bidi="ar"/>
              </w:rPr>
              <w:t>21.5寸原装A+级高分辨率IPS面板；</w:t>
            </w:r>
          </w:p>
          <w:p w14:paraId="691720F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w:t>
            </w:r>
            <w:r>
              <w:rPr>
                <w:rFonts w:hint="eastAsia"/>
                <w:color w:val="auto"/>
                <w:kern w:val="0"/>
                <w:sz w:val="21"/>
                <w:szCs w:val="21"/>
                <w:highlight w:val="none"/>
                <w:lang w:bidi="ar"/>
              </w:rPr>
              <w:t>、</w:t>
            </w:r>
            <w:r>
              <w:rPr>
                <w:color w:val="auto"/>
                <w:kern w:val="0"/>
                <w:sz w:val="21"/>
                <w:szCs w:val="21"/>
                <w:highlight w:val="none"/>
                <w:lang w:bidi="ar"/>
              </w:rPr>
              <w:t>物理分辨率：≥1920*1080；</w:t>
            </w:r>
          </w:p>
          <w:p w14:paraId="44757F5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w:t>
            </w:r>
            <w:r>
              <w:rPr>
                <w:rFonts w:hint="eastAsia"/>
                <w:color w:val="auto"/>
                <w:kern w:val="0"/>
                <w:sz w:val="21"/>
                <w:szCs w:val="21"/>
                <w:highlight w:val="none"/>
                <w:lang w:bidi="ar"/>
              </w:rPr>
              <w:t>、</w:t>
            </w:r>
            <w:r>
              <w:rPr>
                <w:color w:val="auto"/>
                <w:kern w:val="0"/>
                <w:sz w:val="21"/>
                <w:szCs w:val="21"/>
                <w:highlight w:val="none"/>
                <w:lang w:bidi="ar"/>
              </w:rPr>
              <w:t>.硬件配置：嵌入式四核64位处理器，CPU主频≥1.8Ghz；运行内存≥2GB，存储空间≥16G；</w:t>
            </w:r>
          </w:p>
          <w:p w14:paraId="5019FC14">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w:t>
            </w:r>
            <w:r>
              <w:rPr>
                <w:rFonts w:hint="eastAsia"/>
                <w:color w:val="auto"/>
                <w:kern w:val="0"/>
                <w:sz w:val="21"/>
                <w:szCs w:val="21"/>
                <w:highlight w:val="none"/>
                <w:lang w:bidi="ar"/>
              </w:rPr>
              <w:t>、</w:t>
            </w:r>
            <w:r>
              <w:rPr>
                <w:color w:val="auto"/>
                <w:kern w:val="0"/>
                <w:sz w:val="21"/>
                <w:szCs w:val="21"/>
                <w:highlight w:val="none"/>
                <w:lang w:bidi="ar"/>
              </w:rPr>
              <w:t>声音输出：内置2*2W高保真喇叭输出；</w:t>
            </w:r>
          </w:p>
          <w:p w14:paraId="3E0748F6">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w:t>
            </w:r>
            <w:r>
              <w:rPr>
                <w:rFonts w:hint="eastAsia"/>
                <w:color w:val="auto"/>
                <w:kern w:val="0"/>
                <w:sz w:val="21"/>
                <w:szCs w:val="21"/>
                <w:highlight w:val="none"/>
                <w:lang w:bidi="ar"/>
              </w:rPr>
              <w:t>、</w:t>
            </w:r>
            <w:r>
              <w:rPr>
                <w:color w:val="auto"/>
                <w:kern w:val="0"/>
                <w:sz w:val="21"/>
                <w:szCs w:val="21"/>
                <w:highlight w:val="none"/>
                <w:lang w:bidi="ar"/>
              </w:rPr>
              <w:t>网络支持：10/100M自适应以太网卡，支持 802.11b/g/n的WIFI无线网卡,支持扩展全网通4G网络模块；</w:t>
            </w:r>
          </w:p>
          <w:p w14:paraId="29BC786D">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w:t>
            </w:r>
            <w:r>
              <w:rPr>
                <w:rFonts w:hint="eastAsia"/>
                <w:color w:val="auto"/>
                <w:kern w:val="0"/>
                <w:sz w:val="21"/>
                <w:szCs w:val="21"/>
                <w:highlight w:val="none"/>
                <w:lang w:bidi="ar"/>
              </w:rPr>
              <w:t>、</w:t>
            </w:r>
            <w:r>
              <w:rPr>
                <w:color w:val="auto"/>
                <w:kern w:val="0"/>
                <w:sz w:val="21"/>
                <w:szCs w:val="21"/>
                <w:highlight w:val="none"/>
                <w:lang w:bidi="ar"/>
              </w:rPr>
              <w:t>数据接口：RJ45以太网接口≥1个，USB接口≥2个，TF卡扩展插槽≥1个；</w:t>
            </w:r>
          </w:p>
          <w:p w14:paraId="3856D0A0">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7</w:t>
            </w:r>
            <w:r>
              <w:rPr>
                <w:rFonts w:hint="eastAsia"/>
                <w:color w:val="auto"/>
                <w:kern w:val="0"/>
                <w:sz w:val="21"/>
                <w:szCs w:val="21"/>
                <w:highlight w:val="none"/>
                <w:lang w:bidi="ar"/>
              </w:rPr>
              <w:t>、</w:t>
            </w:r>
            <w:r>
              <w:rPr>
                <w:color w:val="auto"/>
                <w:kern w:val="0"/>
                <w:sz w:val="21"/>
                <w:szCs w:val="21"/>
                <w:highlight w:val="none"/>
                <w:lang w:bidi="ar"/>
              </w:rPr>
              <w:t>供电方式：12V DC供电；</w:t>
            </w:r>
          </w:p>
          <w:p w14:paraId="4E81B80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8</w:t>
            </w:r>
            <w:r>
              <w:rPr>
                <w:rFonts w:hint="eastAsia"/>
                <w:color w:val="auto"/>
                <w:kern w:val="0"/>
                <w:sz w:val="21"/>
                <w:szCs w:val="21"/>
                <w:highlight w:val="none"/>
                <w:lang w:bidi="ar"/>
              </w:rPr>
              <w:t>、</w:t>
            </w:r>
            <w:r>
              <w:rPr>
                <w:color w:val="auto"/>
                <w:kern w:val="0"/>
                <w:sz w:val="21"/>
                <w:szCs w:val="21"/>
                <w:highlight w:val="none"/>
                <w:lang w:bidi="ar"/>
              </w:rPr>
              <w:t>安装方式：支持壁挂安装，嵌入式安装和桌面安装。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10E74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2F93C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D840E9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064A0F9">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（五）</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C859CBE">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会议录播系统</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6CBB1561">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5828B5A">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BD69E6">
            <w:pPr>
              <w:widowControl/>
              <w:spacing w:line="288" w:lineRule="auto"/>
              <w:ind w:firstLine="0" w:firstLineChars="0"/>
              <w:jc w:val="center"/>
              <w:rPr>
                <w:color w:val="auto"/>
                <w:sz w:val="21"/>
                <w:szCs w:val="21"/>
                <w:highlight w:val="none"/>
              </w:rPr>
            </w:pPr>
          </w:p>
        </w:tc>
      </w:tr>
      <w:tr w14:paraId="71D5CE4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2681FE8">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A9D68A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4K互动录播主机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5D9E42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1、录播主机必须支持会议录制、视频会议、互动终端、可编中控、无缝矩阵、音频处理六大功能于一体；</w:t>
            </w:r>
          </w:p>
          <w:p w14:paraId="525A4AD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2、视频视入：支持不少于8路输入接口（3G/HD-SDI输入≥4路、≥2路HDMI输入接口，其中1路支持4K输入，≥2路VGA/分量复用输入）；</w:t>
            </w:r>
          </w:p>
          <w:p w14:paraId="5097798E">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3、视频输出：不少于3路高清输出（≥2路HDMI输出，1路支持4K输出；≥1路VGA1080P输出）；</w:t>
            </w:r>
          </w:p>
          <w:p w14:paraId="3EAB4067">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4、音频端口：≥2路MIC输入（支持幻象供电），线路输入/输出：≥3/3。</w:t>
            </w:r>
          </w:p>
          <w:p w14:paraId="2DD24D13">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5、控制端口：≥5路RS232/485，≥2路IR；≥2路IO；≥4USB（可USB外置光驱进行音视频实时刻录，键盘鼠标操作GUI管理界面，U盘文件下载）；≥1路LAN；</w:t>
            </w:r>
          </w:p>
          <w:p w14:paraId="2B4D83AB">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6、存储：≥2T硬盘存储；</w:t>
            </w:r>
          </w:p>
          <w:p w14:paraId="649A3723">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7、多平台兼容，主机自带B/S、GUI可视化集控操作界面，支持C/S客户端APP，具备可编程自定义功能，实现WINDWOS、IOS、Android等客户端可视化管理；主机配合AI边缘处理终端可实现更多的中控控制功能且集成开放式软件SDK接口实现二次集成开发。</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F9D29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BB9AD4">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r w14:paraId="57B02239">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58C3637">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2</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67F3102B">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4K会议摄像机</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3335CCAF">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1、成像元器件：≥1/2.5英寸  CMOS传感器；</w:t>
            </w:r>
          </w:p>
          <w:p w14:paraId="389128CC">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2、传感器有效像素：不低于850万像素；</w:t>
            </w:r>
          </w:p>
          <w:p w14:paraId="26E94D6A">
            <w:pPr>
              <w:widowControl/>
              <w:spacing w:line="288" w:lineRule="auto"/>
              <w:ind w:firstLine="0" w:firstLineChars="0"/>
              <w:jc w:val="left"/>
              <w:textAlignment w:val="center"/>
              <w:rPr>
                <w:rFonts w:hint="eastAsia"/>
                <w:color w:val="auto"/>
                <w:kern w:val="0"/>
                <w:sz w:val="21"/>
                <w:szCs w:val="21"/>
                <w:highlight w:val="none"/>
                <w:lang w:bidi="ar"/>
              </w:rPr>
            </w:pPr>
            <w:r>
              <w:rPr>
                <w:color w:val="auto"/>
                <w:kern w:val="0"/>
                <w:sz w:val="21"/>
                <w:szCs w:val="21"/>
                <w:highlight w:val="none"/>
                <w:lang w:bidi="ar"/>
              </w:rPr>
              <w:t>3、光学变焦：不低于12倍；</w:t>
            </w:r>
          </w:p>
          <w:p w14:paraId="71040812">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4、视频输出：3G-SDIx1、HDMIx1、LANx1。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26BE70B">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22AB732">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3</w:t>
            </w:r>
          </w:p>
        </w:tc>
      </w:tr>
      <w:tr w14:paraId="69670477">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08FC46CA">
            <w:pPr>
              <w:widowControl/>
              <w:spacing w:line="288" w:lineRule="auto"/>
              <w:ind w:firstLine="0" w:firstLineChars="0"/>
              <w:jc w:val="center"/>
              <w:rPr>
                <w:color w:val="auto"/>
                <w:sz w:val="21"/>
                <w:szCs w:val="21"/>
                <w:highlight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4ADD9364">
            <w:pPr>
              <w:widowControl/>
              <w:spacing w:line="288" w:lineRule="auto"/>
              <w:ind w:firstLine="0" w:firstLineChars="0"/>
              <w:jc w:val="left"/>
              <w:textAlignment w:val="center"/>
              <w:rPr>
                <w:b/>
                <w:bCs/>
                <w:color w:val="auto"/>
                <w:sz w:val="21"/>
                <w:szCs w:val="21"/>
                <w:highlight w:val="none"/>
              </w:rPr>
            </w:pPr>
            <w:r>
              <w:rPr>
                <w:b/>
                <w:bCs/>
                <w:color w:val="auto"/>
                <w:kern w:val="0"/>
                <w:sz w:val="21"/>
                <w:szCs w:val="21"/>
                <w:highlight w:val="none"/>
                <w:lang w:bidi="ar"/>
              </w:rPr>
              <w:t>六、其他</w:t>
            </w:r>
          </w:p>
        </w:tc>
        <w:tc>
          <w:tcPr>
            <w:tcW w:w="10688"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5BE838B8">
            <w:pPr>
              <w:widowControl/>
              <w:spacing w:line="288" w:lineRule="auto"/>
              <w:ind w:firstLine="0" w:firstLineChars="0"/>
              <w:jc w:val="left"/>
              <w:rPr>
                <w:color w:val="auto"/>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6C3EBC2C">
            <w:pPr>
              <w:widowControl/>
              <w:spacing w:line="288" w:lineRule="auto"/>
              <w:ind w:firstLine="0" w:firstLineChars="0"/>
              <w:jc w:val="center"/>
              <w:rPr>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3F2D9"/>
            <w:noWrap w:val="0"/>
            <w:vAlign w:val="center"/>
          </w:tcPr>
          <w:p w14:paraId="710976DC">
            <w:pPr>
              <w:widowControl/>
              <w:spacing w:line="288" w:lineRule="auto"/>
              <w:ind w:firstLine="0" w:firstLineChars="0"/>
              <w:jc w:val="center"/>
              <w:rPr>
                <w:color w:val="auto"/>
                <w:sz w:val="21"/>
                <w:szCs w:val="21"/>
                <w:highlight w:val="none"/>
              </w:rPr>
            </w:pPr>
          </w:p>
        </w:tc>
      </w:tr>
      <w:tr w14:paraId="609C274E">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8071896">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14:paraId="73EA0ADE">
            <w:pPr>
              <w:widowControl/>
              <w:spacing w:line="288" w:lineRule="auto"/>
              <w:ind w:firstLine="0" w:firstLineChars="0"/>
              <w:jc w:val="left"/>
              <w:textAlignment w:val="center"/>
              <w:rPr>
                <w:rFonts w:hint="eastAsia"/>
                <w:color w:val="auto"/>
                <w:sz w:val="21"/>
                <w:szCs w:val="21"/>
                <w:highlight w:val="none"/>
              </w:rPr>
            </w:pPr>
            <w:r>
              <w:rPr>
                <w:color w:val="auto"/>
                <w:kern w:val="0"/>
                <w:sz w:val="21"/>
                <w:szCs w:val="21"/>
                <w:highlight w:val="none"/>
                <w:lang w:bidi="ar"/>
              </w:rPr>
              <w:t>增加</w:t>
            </w:r>
            <w:r>
              <w:rPr>
                <w:rFonts w:hint="eastAsia"/>
                <w:color w:val="auto"/>
                <w:kern w:val="0"/>
                <w:sz w:val="21"/>
                <w:szCs w:val="21"/>
                <w:highlight w:val="none"/>
                <w:lang w:bidi="ar"/>
              </w:rPr>
              <w:t>隔墙</w:t>
            </w:r>
          </w:p>
        </w:tc>
        <w:tc>
          <w:tcPr>
            <w:tcW w:w="10688" w:type="dxa"/>
            <w:tcBorders>
              <w:top w:val="single" w:color="000000" w:sz="4" w:space="0"/>
              <w:left w:val="single" w:color="000000" w:sz="4" w:space="0"/>
              <w:bottom w:val="single" w:color="000000" w:sz="4" w:space="0"/>
              <w:right w:val="single" w:color="000000" w:sz="4" w:space="0"/>
            </w:tcBorders>
            <w:noWrap w:val="0"/>
            <w:vAlign w:val="center"/>
          </w:tcPr>
          <w:p w14:paraId="7B129711">
            <w:pPr>
              <w:widowControl/>
              <w:spacing w:line="288" w:lineRule="auto"/>
              <w:ind w:firstLine="0" w:firstLineChars="0"/>
              <w:jc w:val="left"/>
              <w:textAlignment w:val="center"/>
              <w:rPr>
                <w:color w:val="auto"/>
                <w:sz w:val="21"/>
                <w:szCs w:val="21"/>
                <w:highlight w:val="none"/>
              </w:rPr>
            </w:pPr>
            <w:r>
              <w:rPr>
                <w:color w:val="auto"/>
                <w:kern w:val="0"/>
                <w:sz w:val="21"/>
                <w:szCs w:val="21"/>
                <w:highlight w:val="none"/>
                <w:lang w:bidi="ar"/>
              </w:rPr>
              <w:t>在313会议室与314会议室之间</w:t>
            </w:r>
            <w:r>
              <w:rPr>
                <w:rFonts w:hint="eastAsia"/>
                <w:color w:val="auto"/>
                <w:kern w:val="0"/>
                <w:sz w:val="21"/>
                <w:szCs w:val="21"/>
                <w:highlight w:val="none"/>
                <w:lang w:bidi="ar"/>
              </w:rPr>
              <w:t>采用轻钢龙骨石膏板装饰隔墙，内侧填充吸音棉做隔音处理</w:t>
            </w:r>
            <w:r>
              <w:rPr>
                <w:color w:val="auto"/>
                <w:kern w:val="0"/>
                <w:sz w:val="21"/>
                <w:szCs w:val="21"/>
                <w:highlight w:val="none"/>
                <w:lang w:bidi="ar"/>
              </w:rPr>
              <w:t>。同时</w:t>
            </w:r>
            <w:r>
              <w:rPr>
                <w:rFonts w:hint="eastAsia"/>
                <w:color w:val="auto"/>
                <w:kern w:val="0"/>
                <w:sz w:val="21"/>
                <w:szCs w:val="21"/>
                <w:highlight w:val="none"/>
                <w:lang w:bidi="ar"/>
              </w:rPr>
              <w:t>墙体</w:t>
            </w:r>
            <w:r>
              <w:rPr>
                <w:color w:val="auto"/>
                <w:kern w:val="0"/>
                <w:sz w:val="21"/>
                <w:szCs w:val="21"/>
                <w:highlight w:val="none"/>
                <w:lang w:bidi="ar"/>
              </w:rPr>
              <w:t>的设计将考虑到美观性，与现有会议室装修风格相协调，确保</w:t>
            </w:r>
            <w:r>
              <w:rPr>
                <w:rFonts w:hint="eastAsia"/>
                <w:color w:val="auto"/>
                <w:kern w:val="0"/>
                <w:sz w:val="21"/>
                <w:szCs w:val="21"/>
                <w:highlight w:val="none"/>
                <w:lang w:bidi="ar"/>
              </w:rPr>
              <w:t>整体</w:t>
            </w:r>
            <w:r>
              <w:rPr>
                <w:color w:val="auto"/>
                <w:kern w:val="0"/>
                <w:sz w:val="21"/>
                <w:szCs w:val="21"/>
                <w:highlight w:val="none"/>
                <w:lang w:bidi="ar"/>
              </w:rPr>
              <w:t>环境的和谐统一。</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53BAE51">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项</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9E4C6E">
            <w:pPr>
              <w:widowControl/>
              <w:spacing w:line="288" w:lineRule="auto"/>
              <w:ind w:firstLine="0" w:firstLineChars="0"/>
              <w:jc w:val="center"/>
              <w:textAlignment w:val="center"/>
              <w:rPr>
                <w:color w:val="auto"/>
                <w:sz w:val="21"/>
                <w:szCs w:val="21"/>
                <w:highlight w:val="none"/>
              </w:rPr>
            </w:pPr>
            <w:r>
              <w:rPr>
                <w:color w:val="auto"/>
                <w:kern w:val="0"/>
                <w:sz w:val="21"/>
                <w:szCs w:val="21"/>
                <w:highlight w:val="none"/>
                <w:lang w:bidi="ar"/>
              </w:rPr>
              <w:t>1</w:t>
            </w:r>
          </w:p>
        </w:tc>
      </w:tr>
    </w:tbl>
    <w:p w14:paraId="58BC26BE">
      <w:pPr>
        <w:pStyle w:val="2"/>
        <w:ind w:left="0" w:leftChars="0" w:firstLine="0" w:firstLineChars="0"/>
        <w:jc w:val="both"/>
        <w:rPr>
          <w:rFonts w:ascii="Times New Roman" w:hAnsi="Times New Roman" w:eastAsia="宋体" w:cs="Times New Roman"/>
          <w:color w:val="auto"/>
          <w:sz w:val="21"/>
          <w:szCs w:val="21"/>
          <w:highlight w:val="none"/>
        </w:rPr>
        <w:sectPr>
          <w:pgSz w:w="20160" w:h="12240" w:orient="landscape"/>
          <w:pgMar w:top="1361" w:right="1349" w:bottom="1440" w:left="1440" w:header="851" w:footer="992" w:gutter="0"/>
          <w:cols w:space="720" w:num="1"/>
          <w:titlePg/>
          <w:docGrid w:type="lines" w:linePitch="337" w:charSpace="0"/>
        </w:sectPr>
      </w:pPr>
    </w:p>
    <w:p w14:paraId="773BCD9C">
      <w:pPr>
        <w:spacing w:line="360" w:lineRule="auto"/>
        <w:rPr>
          <w:b/>
          <w:color w:val="auto"/>
          <w:sz w:val="24"/>
          <w:highlight w:val="none"/>
        </w:rPr>
      </w:pPr>
      <w:r>
        <w:rPr>
          <w:rFonts w:hint="eastAsia"/>
          <w:color w:val="auto"/>
          <w:kern w:val="0"/>
          <w:sz w:val="24"/>
          <w:highlight w:val="none"/>
          <w:lang w:val="en-US" w:eastAsia="zh-CN"/>
        </w:rPr>
        <w:t>7、</w:t>
      </w:r>
      <w:r>
        <w:rPr>
          <w:b/>
          <w:color w:val="auto"/>
          <w:sz w:val="24"/>
          <w:highlight w:val="none"/>
        </w:rPr>
        <w:t>其他</w:t>
      </w:r>
      <w:r>
        <w:rPr>
          <w:rFonts w:hint="eastAsia"/>
          <w:b/>
          <w:bCs/>
          <w:color w:val="auto"/>
          <w:sz w:val="24"/>
          <w:szCs w:val="32"/>
          <w:highlight w:val="none"/>
          <w:lang w:val="en-US" w:eastAsia="zh-CN"/>
        </w:rPr>
        <w:t>要</w:t>
      </w:r>
      <w:r>
        <w:rPr>
          <w:b/>
          <w:color w:val="auto"/>
          <w:sz w:val="24"/>
          <w:highlight w:val="none"/>
        </w:rPr>
        <w:t>求</w:t>
      </w:r>
    </w:p>
    <w:p w14:paraId="2F728D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1．具有独立法人、提供加载统一社会信用代码的营业执照。</w:t>
      </w:r>
    </w:p>
    <w:p w14:paraId="44781BF0">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2．提供公司简介及与本采购类似的近期业绩情况（提供项目合同复印件等相关资料）。</w:t>
      </w:r>
    </w:p>
    <w:p w14:paraId="2DF4AA25">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3．提供公司法人投标委托书原件（需有法人及投标人签字并加盖公章），以及被委托人身份证复印件（投标时投标人需要带上身份证原件备查）。</w:t>
      </w:r>
    </w:p>
    <w:p w14:paraId="63B7C2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4．按本</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所列技术要求报价。报价中应包括单价、复价、总价，并都应为最终成交价。</w:t>
      </w:r>
    </w:p>
    <w:p w14:paraId="750555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5．交货及安装地点为东南大学九龙湖校区，设备的搬运、安装调试等不另行付费。</w:t>
      </w:r>
    </w:p>
    <w:p w14:paraId="1F60A82B">
      <w:pPr>
        <w:spacing w:line="360" w:lineRule="auto"/>
        <w:rPr>
          <w:rFonts w:hint="eastAsia" w:ascii="宋体" w:hAnsi="宋体" w:cs="宋体"/>
          <w:color w:val="auto"/>
          <w:sz w:val="24"/>
          <w:highlight w:val="none"/>
        </w:rPr>
      </w:pPr>
      <w:r>
        <w:rPr>
          <w:rFonts w:hint="eastAsia" w:ascii="宋体" w:hAnsi="宋体" w:cs="宋体"/>
          <w:bCs/>
          <w:color w:val="auto"/>
          <w:szCs w:val="21"/>
          <w:highlight w:val="none"/>
        </w:rPr>
        <w:t>★</w:t>
      </w:r>
      <w:r>
        <w:rPr>
          <w:rFonts w:hint="eastAsia" w:ascii="宋体" w:hAnsi="宋体" w:cs="宋体"/>
          <w:color w:val="auto"/>
          <w:sz w:val="24"/>
          <w:highlight w:val="none"/>
        </w:rPr>
        <w:t>6．交货期：合同签订后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0个</w:t>
      </w:r>
      <w:r>
        <w:rPr>
          <w:rFonts w:hint="eastAsia" w:ascii="宋体" w:hAnsi="宋体" w:cs="宋体"/>
          <w:color w:val="auto"/>
          <w:sz w:val="24"/>
          <w:highlight w:val="none"/>
          <w:lang w:val="en-US" w:eastAsia="zh-CN"/>
        </w:rPr>
        <w:t>日历</w:t>
      </w:r>
      <w:r>
        <w:rPr>
          <w:rFonts w:hint="eastAsia" w:ascii="宋体" w:hAnsi="宋体" w:cs="宋体"/>
          <w:color w:val="auto"/>
          <w:sz w:val="24"/>
          <w:highlight w:val="none"/>
        </w:rPr>
        <w:t>日内设备安装调试合格。</w:t>
      </w:r>
    </w:p>
    <w:p w14:paraId="2EC1B9E9">
      <w:pPr>
        <w:spacing w:line="360" w:lineRule="auto"/>
        <w:rPr>
          <w:rFonts w:hint="eastAsia" w:ascii="宋体" w:hAnsi="宋体" w:cs="宋体"/>
          <w:color w:val="auto"/>
          <w:sz w:val="24"/>
          <w:highlight w:val="none"/>
        </w:rPr>
      </w:pPr>
      <w:r>
        <w:rPr>
          <w:rFonts w:hint="eastAsia" w:ascii="宋体" w:hAnsi="宋体" w:cs="宋体"/>
          <w:bCs/>
          <w:color w:val="auto"/>
          <w:szCs w:val="21"/>
          <w:highlight w:val="none"/>
        </w:rPr>
        <w:t>★</w:t>
      </w:r>
      <w:r>
        <w:rPr>
          <w:rFonts w:hint="eastAsia" w:ascii="宋体" w:hAnsi="宋体" w:cs="宋体"/>
          <w:color w:val="auto"/>
          <w:sz w:val="24"/>
          <w:highlight w:val="none"/>
        </w:rPr>
        <w:t>7．付款方式：合同签订后预付合同价</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%，全部货物到货，按买方要求将货物送到指定地点，并完成设备安装，经验收合格后</w:t>
      </w:r>
      <w:r>
        <w:rPr>
          <w:rFonts w:hint="eastAsia" w:ascii="宋体" w:hAnsi="宋体" w:cs="宋体"/>
          <w:color w:val="auto"/>
          <w:sz w:val="24"/>
          <w:highlight w:val="none"/>
          <w:lang w:val="en-US" w:eastAsia="zh-CN"/>
        </w:rPr>
        <w:t>支付剩余的70%</w:t>
      </w:r>
      <w:r>
        <w:rPr>
          <w:rFonts w:hint="eastAsia" w:ascii="宋体" w:hAnsi="宋体" w:cs="宋体"/>
          <w:color w:val="auto"/>
          <w:sz w:val="24"/>
          <w:highlight w:val="none"/>
        </w:rPr>
        <w:t>。如未能达到合同要求，买方有权退货并要求供应商赔偿损失。项目验收时对整体配置和效果进行验收，结算时需提供整个项目系统的高限额的增值税专用发票。</w:t>
      </w:r>
    </w:p>
    <w:p w14:paraId="313BFEA0">
      <w:pPr>
        <w:spacing w:line="360" w:lineRule="auto"/>
        <w:rPr>
          <w:rFonts w:hint="eastAsia" w:ascii="宋体" w:hAnsi="宋体" w:cs="宋体"/>
          <w:color w:val="auto"/>
          <w:sz w:val="24"/>
          <w:highlight w:val="none"/>
        </w:rPr>
      </w:pPr>
      <w:r>
        <w:rPr>
          <w:rFonts w:hint="eastAsia" w:ascii="宋体" w:hAnsi="宋体" w:cs="宋体"/>
          <w:bCs/>
          <w:color w:val="auto"/>
          <w:szCs w:val="21"/>
          <w:highlight w:val="none"/>
        </w:rPr>
        <w:t>★</w:t>
      </w:r>
      <w:r>
        <w:rPr>
          <w:rFonts w:hint="eastAsia" w:ascii="宋体" w:hAnsi="宋体" w:cs="宋体"/>
          <w:color w:val="auto"/>
          <w:sz w:val="24"/>
          <w:highlight w:val="none"/>
        </w:rPr>
        <w:t>8．投标公司需提供质量保证承诺及维修响应承诺，所有设备和配件质量保证期要求5年及以上全免费上门质保，设备故障报修后3小时内响应，质保期后供货商应负责上门维修。</w:t>
      </w:r>
    </w:p>
    <w:p w14:paraId="229691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9．所有报价及承诺事项须加盖公司印章。</w:t>
      </w:r>
    </w:p>
    <w:p w14:paraId="67AD6E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10．投标人自行承担所有参与投标的有关费用。</w:t>
      </w:r>
    </w:p>
    <w:p w14:paraId="50130697">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11．投标人一旦购买了本次采购文件并参加投标，即被认为接受了本次采购文件的所有条件和规定。</w:t>
      </w:r>
    </w:p>
    <w:p w14:paraId="0C3134FD">
      <w:pPr>
        <w:spacing w:line="360" w:lineRule="auto"/>
        <w:ind w:firstLine="480" w:firstLineChars="200"/>
        <w:rPr>
          <w:color w:val="auto"/>
          <w:sz w:val="24"/>
          <w:highlight w:val="none"/>
        </w:rPr>
      </w:pPr>
    </w:p>
    <w:p w14:paraId="17E04A14">
      <w:pPr>
        <w:pStyle w:val="35"/>
        <w:numPr>
          <w:ilvl w:val="255"/>
          <w:numId w:val="0"/>
        </w:numPr>
        <w:rPr>
          <w:color w:val="auto"/>
          <w:highlight w:val="none"/>
        </w:rPr>
      </w:pPr>
    </w:p>
    <w:p w14:paraId="72F5AF21">
      <w:pPr>
        <w:pStyle w:val="3"/>
        <w:numPr>
          <w:ilvl w:val="0"/>
          <w:numId w:val="16"/>
        </w:numPr>
        <w:rPr>
          <w:rFonts w:ascii="Arial" w:hAnsi="Arial" w:cs="Arial"/>
          <w:color w:val="auto"/>
          <w:highlight w:val="none"/>
        </w:rPr>
        <w:sectPr>
          <w:footerReference r:id="rId15" w:type="default"/>
          <w:pgSz w:w="11906" w:h="16838"/>
          <w:pgMar w:top="1440" w:right="1800" w:bottom="1440" w:left="1600" w:header="851" w:footer="992" w:gutter="0"/>
          <w:cols w:space="0" w:num="1"/>
          <w:docGrid w:type="lines" w:linePitch="312" w:charSpace="0"/>
        </w:sectPr>
      </w:pPr>
      <w:bookmarkStart w:id="54" w:name="_Toc15239"/>
    </w:p>
    <w:p w14:paraId="5E850AF6">
      <w:pPr>
        <w:pStyle w:val="3"/>
        <w:numPr>
          <w:ilvl w:val="0"/>
          <w:numId w:val="16"/>
        </w:numPr>
        <w:spacing w:line="360" w:lineRule="auto"/>
        <w:rPr>
          <w:rFonts w:ascii="Arial" w:hAnsi="Arial" w:cs="Arial"/>
          <w:color w:val="auto"/>
          <w:highlight w:val="none"/>
        </w:rPr>
      </w:pPr>
      <w:r>
        <w:rPr>
          <w:rFonts w:hint="eastAsia" w:ascii="Arial" w:hAnsi="Arial" w:cs="Arial"/>
          <w:color w:val="auto"/>
          <w:highlight w:val="none"/>
        </w:rPr>
        <w:t>合同</w:t>
      </w:r>
      <w:r>
        <w:rPr>
          <w:rFonts w:ascii="Arial" w:hAnsi="Arial" w:cs="Arial"/>
          <w:color w:val="auto"/>
          <w:highlight w:val="none"/>
        </w:rPr>
        <w:t>主要条款及格式</w:t>
      </w:r>
      <w:bookmarkEnd w:id="8"/>
      <w:bookmarkEnd w:id="54"/>
    </w:p>
    <w:p w14:paraId="1978038A">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东南大学物资设备采购合同</w:t>
      </w:r>
    </w:p>
    <w:p w14:paraId="077901CC">
      <w:pPr>
        <w:spacing w:line="360" w:lineRule="auto"/>
        <w:ind w:right="420"/>
        <w:jc w:val="center"/>
        <w:rPr>
          <w:rFonts w:hint="eastAsia" w:ascii="宋体" w:hAnsi="宋体"/>
          <w:b/>
          <w:bCs/>
          <w:color w:val="auto"/>
          <w:kern w:val="44"/>
          <w:szCs w:val="21"/>
          <w:highlight w:val="none"/>
        </w:rPr>
      </w:pPr>
      <w:r>
        <w:rPr>
          <w:rFonts w:hint="eastAsia" w:ascii="宋体" w:hAnsi="宋体"/>
          <w:b/>
          <w:bCs/>
          <w:color w:val="auto"/>
          <w:kern w:val="44"/>
          <w:szCs w:val="21"/>
          <w:highlight w:val="none"/>
        </w:rPr>
        <w:t xml:space="preserve">                             （ 适用内贸 ）              合同编号：</w:t>
      </w:r>
    </w:p>
    <w:p w14:paraId="7CE8F08E">
      <w:pPr>
        <w:spacing w:line="360" w:lineRule="auto"/>
        <w:rPr>
          <w:rFonts w:hint="eastAsia" w:ascii="宋体" w:hAnsi="宋体"/>
          <w:color w:val="auto"/>
          <w:highlight w:val="none"/>
        </w:rPr>
      </w:pPr>
    </w:p>
    <w:p w14:paraId="257AEFF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甲方（采购人）：东南大学</w:t>
      </w:r>
    </w:p>
    <w:p w14:paraId="42E774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乙方（供应商）：                           </w:t>
      </w:r>
    </w:p>
    <w:p w14:paraId="4E88BA67">
      <w:pPr>
        <w:spacing w:line="360" w:lineRule="auto"/>
        <w:rPr>
          <w:rFonts w:hint="eastAsia" w:ascii="宋体" w:hAnsi="宋体"/>
          <w:color w:val="auto"/>
          <w:sz w:val="24"/>
          <w:highlight w:val="none"/>
        </w:rPr>
      </w:pPr>
    </w:p>
    <w:p w14:paraId="64AF884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依据《中华人民共和国民法典》、《中华人民共和国政府采购法》、《中华人民共和国政府采购法实施条例》、《政府采购货物和服务招标投标管理办法》等有关政府采购法律法规的规定，现依照采购结果（采购文件编号：\项目编号：     ），甲乙双方达成如下协议：</w:t>
      </w:r>
    </w:p>
    <w:p w14:paraId="4326C5CD">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第一条 采购标的及价款</w:t>
      </w:r>
    </w:p>
    <w:p w14:paraId="2598E03E">
      <w:pPr>
        <w:wordWrap w:val="0"/>
        <w:spacing w:after="156" w:afterLines="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 本次甲方采购物资设备为</w:t>
      </w:r>
      <w:r>
        <w:rPr>
          <w:rFonts w:hint="eastAsia" w:ascii="宋体" w:hAnsi="宋体"/>
          <w:color w:val="auto"/>
          <w:sz w:val="24"/>
          <w:highlight w:val="none"/>
          <w:u w:val="single"/>
        </w:rPr>
        <w:t xml:space="preserve">              </w:t>
      </w:r>
      <w:r>
        <w:rPr>
          <w:rFonts w:hint="eastAsia" w:ascii="宋体" w:hAnsi="宋体"/>
          <w:color w:val="auto"/>
          <w:sz w:val="24"/>
          <w:highlight w:val="none"/>
        </w:rPr>
        <w:t>，合同总金额含税价人民币大写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元整（¥ </w:t>
      </w:r>
      <w:r>
        <w:rPr>
          <w:rFonts w:hint="eastAsia" w:ascii="宋体" w:hAnsi="宋体"/>
          <w:color w:val="auto"/>
          <w:sz w:val="24"/>
          <w:highlight w:val="none"/>
          <w:u w:val="single"/>
        </w:rPr>
        <w:t xml:space="preserve">      .00  </w:t>
      </w:r>
      <w:r>
        <w:rPr>
          <w:rFonts w:hint="eastAsia" w:ascii="宋体" w:hAnsi="宋体"/>
          <w:color w:val="auto"/>
          <w:sz w:val="24"/>
          <w:highlight w:val="none"/>
        </w:rPr>
        <w:t>元），具体如下列清单所示：</w:t>
      </w:r>
    </w:p>
    <w:tbl>
      <w:tblPr>
        <w:tblStyle w:val="43"/>
        <w:tblpPr w:leftFromText="180" w:rightFromText="180" w:vertAnchor="text" w:horzAnchor="margin" w:tblpY="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9"/>
        <w:gridCol w:w="1785"/>
        <w:gridCol w:w="945"/>
        <w:gridCol w:w="735"/>
        <w:gridCol w:w="1050"/>
        <w:gridCol w:w="1050"/>
        <w:gridCol w:w="1260"/>
      </w:tblGrid>
      <w:tr w14:paraId="592B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14:paraId="081BA589">
            <w:pPr>
              <w:spacing w:line="360" w:lineRule="auto"/>
              <w:jc w:val="center"/>
              <w:rPr>
                <w:rFonts w:hint="eastAsia" w:ascii="宋体" w:hAnsi="宋体"/>
                <w:color w:val="auto"/>
                <w:sz w:val="24"/>
                <w:highlight w:val="none"/>
              </w:rPr>
            </w:pPr>
            <w:r>
              <w:rPr>
                <w:rFonts w:hint="eastAsia" w:ascii="宋体" w:hAnsi="宋体"/>
                <w:color w:val="auto"/>
                <w:sz w:val="24"/>
                <w:highlight w:val="none"/>
              </w:rPr>
              <w:t>物资设备名称</w:t>
            </w:r>
          </w:p>
        </w:tc>
        <w:tc>
          <w:tcPr>
            <w:tcW w:w="819" w:type="dxa"/>
            <w:vAlign w:val="center"/>
          </w:tcPr>
          <w:p w14:paraId="250E2C39">
            <w:pPr>
              <w:spacing w:line="360" w:lineRule="auto"/>
              <w:jc w:val="center"/>
              <w:rPr>
                <w:rFonts w:hint="eastAsia" w:ascii="宋体" w:hAnsi="宋体"/>
                <w:color w:val="auto"/>
                <w:sz w:val="24"/>
                <w:highlight w:val="none"/>
              </w:rPr>
            </w:pPr>
            <w:r>
              <w:rPr>
                <w:rFonts w:hint="eastAsia" w:ascii="宋体" w:hAnsi="宋体"/>
                <w:color w:val="auto"/>
                <w:sz w:val="24"/>
                <w:highlight w:val="none"/>
              </w:rPr>
              <w:t>品牌</w:t>
            </w:r>
          </w:p>
        </w:tc>
        <w:tc>
          <w:tcPr>
            <w:tcW w:w="1785" w:type="dxa"/>
            <w:vAlign w:val="center"/>
          </w:tcPr>
          <w:p w14:paraId="772412A3">
            <w:pPr>
              <w:spacing w:line="360" w:lineRule="auto"/>
              <w:jc w:val="center"/>
              <w:rPr>
                <w:rFonts w:hint="eastAsia" w:ascii="宋体" w:hAnsi="宋体"/>
                <w:color w:val="auto"/>
                <w:sz w:val="24"/>
                <w:highlight w:val="none"/>
              </w:rPr>
            </w:pPr>
            <w:r>
              <w:rPr>
                <w:rFonts w:hint="eastAsia" w:ascii="宋体" w:hAnsi="宋体"/>
                <w:color w:val="auto"/>
                <w:sz w:val="24"/>
                <w:highlight w:val="none"/>
              </w:rPr>
              <w:t>型号、配置</w:t>
            </w:r>
          </w:p>
        </w:tc>
        <w:tc>
          <w:tcPr>
            <w:tcW w:w="945" w:type="dxa"/>
            <w:vAlign w:val="center"/>
          </w:tcPr>
          <w:p w14:paraId="76E83541">
            <w:pPr>
              <w:spacing w:line="360" w:lineRule="auto"/>
              <w:jc w:val="center"/>
              <w:rPr>
                <w:rFonts w:hint="eastAsia" w:ascii="宋体" w:hAnsi="宋体"/>
                <w:color w:val="auto"/>
                <w:sz w:val="24"/>
                <w:highlight w:val="none"/>
              </w:rPr>
            </w:pPr>
            <w:r>
              <w:rPr>
                <w:rFonts w:hint="eastAsia" w:ascii="宋体" w:hAnsi="宋体"/>
                <w:color w:val="auto"/>
                <w:sz w:val="24"/>
                <w:highlight w:val="none"/>
              </w:rPr>
              <w:t>产地</w:t>
            </w:r>
          </w:p>
        </w:tc>
        <w:tc>
          <w:tcPr>
            <w:tcW w:w="735" w:type="dxa"/>
            <w:vAlign w:val="center"/>
          </w:tcPr>
          <w:p w14:paraId="72B2F0B4">
            <w:pPr>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1050" w:type="dxa"/>
            <w:vAlign w:val="center"/>
          </w:tcPr>
          <w:p w14:paraId="51BA037E">
            <w:pPr>
              <w:spacing w:line="360" w:lineRule="auto"/>
              <w:jc w:val="center"/>
              <w:rPr>
                <w:rFonts w:hint="eastAsia" w:ascii="宋体" w:hAnsi="宋体"/>
                <w:color w:val="auto"/>
                <w:sz w:val="24"/>
                <w:highlight w:val="none"/>
              </w:rPr>
            </w:pPr>
            <w:r>
              <w:rPr>
                <w:rFonts w:hint="eastAsia" w:ascii="宋体" w:hAnsi="宋体"/>
                <w:color w:val="auto"/>
                <w:sz w:val="24"/>
                <w:highlight w:val="none"/>
              </w:rPr>
              <w:t>单价</w:t>
            </w:r>
          </w:p>
        </w:tc>
        <w:tc>
          <w:tcPr>
            <w:tcW w:w="1050" w:type="dxa"/>
            <w:vAlign w:val="center"/>
          </w:tcPr>
          <w:p w14:paraId="5E5DF23E">
            <w:pPr>
              <w:spacing w:line="360" w:lineRule="auto"/>
              <w:jc w:val="center"/>
              <w:rPr>
                <w:rFonts w:hint="eastAsia" w:ascii="宋体" w:hAnsi="宋体"/>
                <w:color w:val="auto"/>
                <w:sz w:val="24"/>
                <w:highlight w:val="none"/>
              </w:rPr>
            </w:pPr>
            <w:r>
              <w:rPr>
                <w:rFonts w:hint="eastAsia" w:ascii="宋体" w:hAnsi="宋体"/>
                <w:color w:val="auto"/>
                <w:sz w:val="24"/>
                <w:highlight w:val="none"/>
              </w:rPr>
              <w:t>金额</w:t>
            </w:r>
          </w:p>
        </w:tc>
        <w:tc>
          <w:tcPr>
            <w:tcW w:w="1260" w:type="dxa"/>
            <w:vAlign w:val="center"/>
          </w:tcPr>
          <w:p w14:paraId="7DA09DFA">
            <w:pPr>
              <w:spacing w:line="360" w:lineRule="auto"/>
              <w:jc w:val="center"/>
              <w:rPr>
                <w:rFonts w:hint="eastAsia" w:ascii="宋体" w:hAnsi="宋体"/>
                <w:color w:val="auto"/>
                <w:sz w:val="24"/>
                <w:highlight w:val="none"/>
              </w:rPr>
            </w:pPr>
            <w:r>
              <w:rPr>
                <w:rFonts w:hint="eastAsia" w:ascii="宋体" w:hAnsi="宋体"/>
                <w:color w:val="auto"/>
                <w:sz w:val="24"/>
                <w:highlight w:val="none"/>
              </w:rPr>
              <w:t>具体用户</w:t>
            </w:r>
          </w:p>
        </w:tc>
      </w:tr>
      <w:tr w14:paraId="5D8F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21FD6A02">
            <w:pPr>
              <w:spacing w:line="360" w:lineRule="auto"/>
              <w:rPr>
                <w:rFonts w:hint="eastAsia" w:ascii="宋体" w:hAnsi="宋体"/>
                <w:color w:val="auto"/>
                <w:sz w:val="24"/>
                <w:highlight w:val="none"/>
              </w:rPr>
            </w:pPr>
          </w:p>
        </w:tc>
        <w:tc>
          <w:tcPr>
            <w:tcW w:w="819" w:type="dxa"/>
          </w:tcPr>
          <w:p w14:paraId="14553750">
            <w:pPr>
              <w:spacing w:line="360" w:lineRule="auto"/>
              <w:rPr>
                <w:rFonts w:hint="eastAsia" w:ascii="宋体" w:hAnsi="宋体"/>
                <w:color w:val="auto"/>
                <w:sz w:val="24"/>
                <w:highlight w:val="none"/>
              </w:rPr>
            </w:pPr>
          </w:p>
        </w:tc>
        <w:tc>
          <w:tcPr>
            <w:tcW w:w="1785" w:type="dxa"/>
            <w:vAlign w:val="center"/>
          </w:tcPr>
          <w:p w14:paraId="00D47577">
            <w:pPr>
              <w:spacing w:line="360" w:lineRule="auto"/>
              <w:rPr>
                <w:rFonts w:hint="eastAsia" w:ascii="宋体" w:hAnsi="宋体"/>
                <w:color w:val="auto"/>
                <w:sz w:val="24"/>
                <w:highlight w:val="none"/>
              </w:rPr>
            </w:pPr>
          </w:p>
        </w:tc>
        <w:tc>
          <w:tcPr>
            <w:tcW w:w="945" w:type="dxa"/>
          </w:tcPr>
          <w:p w14:paraId="2EAB2CF8">
            <w:pPr>
              <w:spacing w:line="360" w:lineRule="auto"/>
              <w:rPr>
                <w:rFonts w:hint="eastAsia" w:ascii="宋体" w:hAnsi="宋体"/>
                <w:color w:val="auto"/>
                <w:sz w:val="24"/>
                <w:highlight w:val="none"/>
              </w:rPr>
            </w:pPr>
          </w:p>
        </w:tc>
        <w:tc>
          <w:tcPr>
            <w:tcW w:w="735" w:type="dxa"/>
          </w:tcPr>
          <w:p w14:paraId="3FE4DEBD">
            <w:pPr>
              <w:spacing w:line="360" w:lineRule="auto"/>
              <w:rPr>
                <w:rFonts w:hint="eastAsia" w:ascii="宋体" w:hAnsi="宋体"/>
                <w:color w:val="auto"/>
                <w:sz w:val="24"/>
                <w:highlight w:val="none"/>
              </w:rPr>
            </w:pPr>
          </w:p>
        </w:tc>
        <w:tc>
          <w:tcPr>
            <w:tcW w:w="1050" w:type="dxa"/>
          </w:tcPr>
          <w:p w14:paraId="37E93051">
            <w:pPr>
              <w:spacing w:line="360" w:lineRule="auto"/>
              <w:rPr>
                <w:rFonts w:hint="eastAsia" w:ascii="宋体" w:hAnsi="宋体"/>
                <w:color w:val="auto"/>
                <w:sz w:val="24"/>
                <w:highlight w:val="none"/>
              </w:rPr>
            </w:pPr>
          </w:p>
        </w:tc>
        <w:tc>
          <w:tcPr>
            <w:tcW w:w="1050" w:type="dxa"/>
          </w:tcPr>
          <w:p w14:paraId="4DC1AEE4">
            <w:pPr>
              <w:spacing w:line="360" w:lineRule="auto"/>
              <w:rPr>
                <w:rFonts w:hint="eastAsia" w:ascii="宋体" w:hAnsi="宋体"/>
                <w:color w:val="auto"/>
                <w:sz w:val="24"/>
                <w:highlight w:val="none"/>
              </w:rPr>
            </w:pPr>
          </w:p>
        </w:tc>
        <w:tc>
          <w:tcPr>
            <w:tcW w:w="1260" w:type="dxa"/>
          </w:tcPr>
          <w:p w14:paraId="0C06956C">
            <w:pPr>
              <w:spacing w:line="360" w:lineRule="auto"/>
              <w:rPr>
                <w:rFonts w:hint="eastAsia" w:ascii="宋体" w:hAnsi="宋体"/>
                <w:color w:val="auto"/>
                <w:sz w:val="24"/>
                <w:highlight w:val="none"/>
              </w:rPr>
            </w:pPr>
          </w:p>
        </w:tc>
      </w:tr>
      <w:tr w14:paraId="13D1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3380F0BF">
            <w:pPr>
              <w:spacing w:line="360" w:lineRule="auto"/>
              <w:rPr>
                <w:rFonts w:hint="eastAsia" w:ascii="宋体" w:hAnsi="宋体"/>
                <w:color w:val="auto"/>
                <w:sz w:val="24"/>
                <w:highlight w:val="none"/>
              </w:rPr>
            </w:pPr>
          </w:p>
        </w:tc>
        <w:tc>
          <w:tcPr>
            <w:tcW w:w="819" w:type="dxa"/>
          </w:tcPr>
          <w:p w14:paraId="44B10BB6">
            <w:pPr>
              <w:spacing w:line="360" w:lineRule="auto"/>
              <w:rPr>
                <w:rFonts w:hint="eastAsia" w:ascii="宋体" w:hAnsi="宋体"/>
                <w:color w:val="auto"/>
                <w:sz w:val="24"/>
                <w:highlight w:val="none"/>
              </w:rPr>
            </w:pPr>
          </w:p>
        </w:tc>
        <w:tc>
          <w:tcPr>
            <w:tcW w:w="1785" w:type="dxa"/>
            <w:vAlign w:val="center"/>
          </w:tcPr>
          <w:p w14:paraId="34EAF84A">
            <w:pPr>
              <w:spacing w:line="360" w:lineRule="auto"/>
              <w:rPr>
                <w:rFonts w:hint="eastAsia" w:ascii="宋体" w:hAnsi="宋体"/>
                <w:color w:val="auto"/>
                <w:sz w:val="24"/>
                <w:highlight w:val="none"/>
              </w:rPr>
            </w:pPr>
          </w:p>
        </w:tc>
        <w:tc>
          <w:tcPr>
            <w:tcW w:w="945" w:type="dxa"/>
          </w:tcPr>
          <w:p w14:paraId="5F97B3B7">
            <w:pPr>
              <w:spacing w:line="360" w:lineRule="auto"/>
              <w:rPr>
                <w:rFonts w:hint="eastAsia" w:ascii="宋体" w:hAnsi="宋体"/>
                <w:color w:val="auto"/>
                <w:sz w:val="24"/>
                <w:highlight w:val="none"/>
              </w:rPr>
            </w:pPr>
          </w:p>
        </w:tc>
        <w:tc>
          <w:tcPr>
            <w:tcW w:w="735" w:type="dxa"/>
          </w:tcPr>
          <w:p w14:paraId="75F9B088">
            <w:pPr>
              <w:spacing w:line="360" w:lineRule="auto"/>
              <w:rPr>
                <w:rFonts w:hint="eastAsia" w:ascii="宋体" w:hAnsi="宋体"/>
                <w:color w:val="auto"/>
                <w:sz w:val="24"/>
                <w:highlight w:val="none"/>
              </w:rPr>
            </w:pPr>
          </w:p>
        </w:tc>
        <w:tc>
          <w:tcPr>
            <w:tcW w:w="1050" w:type="dxa"/>
          </w:tcPr>
          <w:p w14:paraId="6CE63C6A">
            <w:pPr>
              <w:spacing w:line="360" w:lineRule="auto"/>
              <w:rPr>
                <w:rFonts w:hint="eastAsia" w:ascii="宋体" w:hAnsi="宋体"/>
                <w:color w:val="auto"/>
                <w:sz w:val="24"/>
                <w:highlight w:val="none"/>
              </w:rPr>
            </w:pPr>
          </w:p>
        </w:tc>
        <w:tc>
          <w:tcPr>
            <w:tcW w:w="1050" w:type="dxa"/>
          </w:tcPr>
          <w:p w14:paraId="1A572E40">
            <w:pPr>
              <w:spacing w:line="360" w:lineRule="auto"/>
              <w:rPr>
                <w:rFonts w:hint="eastAsia" w:ascii="宋体" w:hAnsi="宋体"/>
                <w:color w:val="auto"/>
                <w:sz w:val="24"/>
                <w:highlight w:val="none"/>
              </w:rPr>
            </w:pPr>
          </w:p>
        </w:tc>
        <w:tc>
          <w:tcPr>
            <w:tcW w:w="1260" w:type="dxa"/>
          </w:tcPr>
          <w:p w14:paraId="5AF23720">
            <w:pPr>
              <w:spacing w:line="360" w:lineRule="auto"/>
              <w:rPr>
                <w:rFonts w:hint="eastAsia" w:ascii="宋体" w:hAnsi="宋体"/>
                <w:color w:val="auto"/>
                <w:sz w:val="24"/>
                <w:highlight w:val="none"/>
              </w:rPr>
            </w:pPr>
          </w:p>
        </w:tc>
      </w:tr>
      <w:tr w14:paraId="173E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2B1ED2F7">
            <w:pPr>
              <w:spacing w:line="360" w:lineRule="auto"/>
              <w:rPr>
                <w:rFonts w:hint="eastAsia" w:ascii="宋体" w:hAnsi="宋体"/>
                <w:color w:val="auto"/>
                <w:sz w:val="24"/>
                <w:highlight w:val="none"/>
              </w:rPr>
            </w:pPr>
          </w:p>
        </w:tc>
        <w:tc>
          <w:tcPr>
            <w:tcW w:w="819" w:type="dxa"/>
          </w:tcPr>
          <w:p w14:paraId="2D02F067">
            <w:pPr>
              <w:spacing w:line="360" w:lineRule="auto"/>
              <w:rPr>
                <w:rFonts w:hint="eastAsia" w:ascii="宋体" w:hAnsi="宋体"/>
                <w:color w:val="auto"/>
                <w:sz w:val="24"/>
                <w:highlight w:val="none"/>
              </w:rPr>
            </w:pPr>
          </w:p>
        </w:tc>
        <w:tc>
          <w:tcPr>
            <w:tcW w:w="1785" w:type="dxa"/>
            <w:vAlign w:val="center"/>
          </w:tcPr>
          <w:p w14:paraId="75556D6B">
            <w:pPr>
              <w:spacing w:line="360" w:lineRule="auto"/>
              <w:rPr>
                <w:rFonts w:hint="eastAsia" w:ascii="宋体" w:hAnsi="宋体"/>
                <w:color w:val="auto"/>
                <w:sz w:val="24"/>
                <w:highlight w:val="none"/>
              </w:rPr>
            </w:pPr>
          </w:p>
        </w:tc>
        <w:tc>
          <w:tcPr>
            <w:tcW w:w="945" w:type="dxa"/>
          </w:tcPr>
          <w:p w14:paraId="5CF68B01">
            <w:pPr>
              <w:spacing w:line="360" w:lineRule="auto"/>
              <w:rPr>
                <w:rFonts w:hint="eastAsia" w:ascii="宋体" w:hAnsi="宋体"/>
                <w:color w:val="auto"/>
                <w:sz w:val="24"/>
                <w:highlight w:val="none"/>
              </w:rPr>
            </w:pPr>
          </w:p>
        </w:tc>
        <w:tc>
          <w:tcPr>
            <w:tcW w:w="735" w:type="dxa"/>
          </w:tcPr>
          <w:p w14:paraId="09AFC6ED">
            <w:pPr>
              <w:spacing w:line="360" w:lineRule="auto"/>
              <w:rPr>
                <w:rFonts w:hint="eastAsia" w:ascii="宋体" w:hAnsi="宋体"/>
                <w:color w:val="auto"/>
                <w:sz w:val="24"/>
                <w:highlight w:val="none"/>
              </w:rPr>
            </w:pPr>
          </w:p>
        </w:tc>
        <w:tc>
          <w:tcPr>
            <w:tcW w:w="1050" w:type="dxa"/>
          </w:tcPr>
          <w:p w14:paraId="7A654163">
            <w:pPr>
              <w:spacing w:line="360" w:lineRule="auto"/>
              <w:rPr>
                <w:rFonts w:hint="eastAsia" w:ascii="宋体" w:hAnsi="宋体"/>
                <w:color w:val="auto"/>
                <w:sz w:val="24"/>
                <w:highlight w:val="none"/>
              </w:rPr>
            </w:pPr>
          </w:p>
        </w:tc>
        <w:tc>
          <w:tcPr>
            <w:tcW w:w="1050" w:type="dxa"/>
          </w:tcPr>
          <w:p w14:paraId="35F17942">
            <w:pPr>
              <w:spacing w:line="360" w:lineRule="auto"/>
              <w:rPr>
                <w:rFonts w:hint="eastAsia" w:ascii="宋体" w:hAnsi="宋体"/>
                <w:color w:val="auto"/>
                <w:sz w:val="24"/>
                <w:highlight w:val="none"/>
              </w:rPr>
            </w:pPr>
          </w:p>
        </w:tc>
        <w:tc>
          <w:tcPr>
            <w:tcW w:w="1260" w:type="dxa"/>
          </w:tcPr>
          <w:p w14:paraId="104960E7">
            <w:pPr>
              <w:spacing w:line="360" w:lineRule="auto"/>
              <w:rPr>
                <w:rFonts w:hint="eastAsia" w:ascii="宋体" w:hAnsi="宋体"/>
                <w:color w:val="auto"/>
                <w:sz w:val="24"/>
                <w:highlight w:val="none"/>
              </w:rPr>
            </w:pPr>
          </w:p>
        </w:tc>
      </w:tr>
      <w:tr w14:paraId="707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14:paraId="59DCC384">
            <w:pPr>
              <w:spacing w:line="360" w:lineRule="auto"/>
              <w:jc w:val="center"/>
              <w:rPr>
                <w:rFonts w:hint="eastAsia" w:ascii="宋体" w:hAnsi="宋体"/>
                <w:color w:val="auto"/>
                <w:sz w:val="24"/>
                <w:highlight w:val="none"/>
              </w:rPr>
            </w:pPr>
            <w:r>
              <w:rPr>
                <w:rFonts w:hint="eastAsia" w:ascii="宋体" w:hAnsi="宋体"/>
                <w:color w:val="auto"/>
                <w:sz w:val="24"/>
                <w:highlight w:val="none"/>
              </w:rPr>
              <w:t>合同总金额</w:t>
            </w:r>
          </w:p>
          <w:p w14:paraId="1AF692F6">
            <w:pPr>
              <w:spacing w:line="360" w:lineRule="auto"/>
              <w:jc w:val="center"/>
              <w:rPr>
                <w:rFonts w:hint="eastAsia" w:ascii="宋体" w:hAnsi="宋体"/>
                <w:color w:val="auto"/>
                <w:sz w:val="24"/>
                <w:highlight w:val="none"/>
              </w:rPr>
            </w:pPr>
            <w:r>
              <w:rPr>
                <w:rFonts w:hint="eastAsia" w:ascii="宋体" w:hAnsi="宋体"/>
                <w:color w:val="auto"/>
                <w:sz w:val="24"/>
                <w:highlight w:val="none"/>
              </w:rPr>
              <w:t>（含税）</w:t>
            </w:r>
          </w:p>
        </w:tc>
        <w:tc>
          <w:tcPr>
            <w:tcW w:w="7644" w:type="dxa"/>
            <w:gridSpan w:val="7"/>
            <w:vAlign w:val="center"/>
          </w:tcPr>
          <w:p w14:paraId="4789E47B">
            <w:pPr>
              <w:spacing w:line="360" w:lineRule="auto"/>
              <w:rPr>
                <w:rFonts w:hint="eastAsia" w:ascii="宋体" w:hAnsi="宋体"/>
                <w:color w:val="auto"/>
                <w:sz w:val="24"/>
                <w:highlight w:val="none"/>
              </w:rPr>
            </w:pPr>
            <w:r>
              <w:rPr>
                <w:rFonts w:hint="eastAsia" w:ascii="宋体" w:hAnsi="宋体"/>
                <w:color w:val="auto"/>
                <w:sz w:val="24"/>
                <w:highlight w:val="none"/>
              </w:rPr>
              <w:t>人民币（大写）：             元整 （￥：             元整）</w:t>
            </w:r>
          </w:p>
        </w:tc>
      </w:tr>
    </w:tbl>
    <w:p w14:paraId="5BF20D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  乙方应严格按照本合同约定提供物资设备及相应技术服务，上述列表清单未尽事宜，详见本合同第三条所约定的物资设备技术参数及要求等具体条款。</w:t>
      </w:r>
    </w:p>
    <w:p w14:paraId="5D0362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未经甲方同意，乙方不得变更本合同约定的品牌、型号、配置、产地等任何物资设备的要素。非因甲方原因致使乙方不能严格按照合同约定要素供货的，乙方所提供的替代产品应满足甲方采购需求且不低于本合同约定的相应技术参数，并需经甲方同意。乙方不按本合同约定提交物资设备所产生的任何费用由乙方负责，甲方对由此所引起的任何价格变动不予确认。</w:t>
      </w:r>
    </w:p>
    <w:p w14:paraId="0BF71D23">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第二条 供货方式及时间</w:t>
      </w:r>
    </w:p>
    <w:p w14:paraId="5CF0164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本次采购采用下列方式供货方式乙方送货，完成卸货并搬运至甲方指定地点：</w:t>
      </w:r>
      <w:r>
        <w:rPr>
          <w:rFonts w:hint="eastAsia" w:ascii="宋体" w:hAnsi="宋体"/>
          <w:color w:val="auto"/>
          <w:sz w:val="24"/>
          <w:highlight w:val="none"/>
          <w:u w:val="single"/>
        </w:rPr>
        <w:t>东南大学（     ）校区</w:t>
      </w:r>
      <w:r>
        <w:rPr>
          <w:rFonts w:hint="eastAsia" w:ascii="宋体" w:hAnsi="宋体"/>
          <w:color w:val="auto"/>
          <w:sz w:val="24"/>
          <w:highlight w:val="none"/>
        </w:rPr>
        <w:t>，免费安装、调试完毕方视为交付甲方，在交付甲方之前所供货物毁损、灭失的责任均由乙方承担。</w:t>
      </w:r>
    </w:p>
    <w:p w14:paraId="4304C3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乙方需于</w:t>
      </w:r>
      <w:r>
        <w:rPr>
          <w:rFonts w:hint="eastAsia" w:ascii="宋体" w:hAnsi="宋体"/>
          <w:color w:val="auto"/>
          <w:sz w:val="24"/>
          <w:highlight w:val="none"/>
          <w:u w:val="single"/>
        </w:rPr>
        <w:t xml:space="preserve"> 本合同生效</w:t>
      </w:r>
      <w:r>
        <w:rPr>
          <w:rFonts w:hint="eastAsia" w:ascii="宋体" w:hAnsi="宋体"/>
          <w:color w:val="auto"/>
          <w:sz w:val="24"/>
          <w:highlight w:val="none"/>
        </w:rPr>
        <w:t>/接到</w:t>
      </w:r>
      <w:r>
        <w:rPr>
          <w:rFonts w:hint="eastAsia" w:ascii="宋体" w:hAnsi="宋体"/>
          <w:color w:val="auto"/>
          <w:sz w:val="24"/>
          <w:highlight w:val="none"/>
          <w:u w:val="single"/>
        </w:rPr>
        <w:t xml:space="preserve">甲方供货通知 </w:t>
      </w:r>
      <w:r>
        <w:rPr>
          <w:rFonts w:hint="eastAsia" w:ascii="宋体" w:hAnsi="宋体"/>
          <w:color w:val="auto"/>
          <w:sz w:val="24"/>
          <w:highlight w:val="none"/>
        </w:rPr>
        <w:t>之日起</w:t>
      </w:r>
      <w:r>
        <w:rPr>
          <w:rFonts w:hint="eastAsia" w:ascii="宋体" w:hAnsi="宋体"/>
          <w:color w:val="auto"/>
          <w:sz w:val="24"/>
          <w:highlight w:val="none"/>
          <w:u w:val="single"/>
        </w:rPr>
        <w:t xml:space="preserve">       </w:t>
      </w:r>
      <w:r>
        <w:rPr>
          <w:rFonts w:hint="eastAsia" w:ascii="宋体" w:hAnsi="宋体"/>
          <w:color w:val="auto"/>
          <w:sz w:val="24"/>
          <w:highlight w:val="none"/>
        </w:rPr>
        <w:t>日内完成交货及相应的安装、调试工作，确保所供物资设备符合本合同约定的质量、数量、技术参数及要求，否则将按照合同约定承担违约责任。</w:t>
      </w:r>
    </w:p>
    <w:p w14:paraId="0591341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乙方应采取适当的、符合运输方式的包装、固定方式，避免因包装、固定不当对所供物资设备造成损毁或对甲方使用造成不良影响。</w:t>
      </w:r>
    </w:p>
    <w:p w14:paraId="5450C5C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2.4乙方因履行本合同交货、运输、安装、调试及提供相应的培训、质保期内的维护、保养与技术支持等事项而发生的一切费用，均已包含在合同总价中，由乙方自行承担。</w:t>
      </w:r>
    </w:p>
    <w:p w14:paraId="763FB17E">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质量标准及要求</w:t>
      </w:r>
    </w:p>
    <w:p w14:paraId="464DCE1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乙方所提供的物资设备必须是原厂生产的、全新的、未使用过的(包括零部件)，并完全符合原厂质量检测标准（以说明书为准）和国家质量检测标准以及合同规定的质量规格和性能要求。如物资设备不符合本合同中约定的要求，甲方有权拒绝接收。</w:t>
      </w:r>
    </w:p>
    <w:p w14:paraId="24503B4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乙方应保证甲方在使用由乙方提供的物资设备或物资设备的任何部分（含软件）不受第三方关于侵犯其所有权、专利权、商标权、工业设计权等的指控。如因第三方侵权致使甲方对外承担侵权责任或无法继续使用的，甲方有权向乙方追偿或解除本合同并要求乙方返还全部货款。</w:t>
      </w:r>
    </w:p>
    <w:p w14:paraId="6D2493A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3.3乙方所供物资设备主要技术要求（请以附件形式详细列出）。</w:t>
      </w:r>
    </w:p>
    <w:p w14:paraId="5A5AFD83">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安装、调试与验收</w:t>
      </w:r>
    </w:p>
    <w:p w14:paraId="3B61339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4.1乙方必须在甲方指定的地点免费进行物资设备的安装，安装所需的相应配套设施由乙方自行负责解决，用户提供必须的现场安装条件，并给予必要的配合。如现场安装需特殊条件，乙方应提前通知甲方。</w:t>
      </w:r>
    </w:p>
    <w:p w14:paraId="118B136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4.2安装完成后，乙方应在甲方的监督下进行调试，调试结果符合国家、行业及本合同约定的技术指标方视为符合交付条件。</w:t>
      </w:r>
    </w:p>
    <w:p w14:paraId="18B509C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 乙方应对甲方相关人员正确、合理使用物资设备进行必要的宣讲、技术指导与培训，充分提示注意事项及相关风险。</w:t>
      </w:r>
    </w:p>
    <w:p w14:paraId="05FED35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4.4乙方所提供的物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物资设备安装调试完成后 </w:t>
      </w:r>
      <w:r>
        <w:rPr>
          <w:rFonts w:hint="eastAsia" w:ascii="宋体" w:hAnsi="宋体"/>
          <w:color w:val="auto"/>
          <w:sz w:val="24"/>
          <w:highlight w:val="none"/>
          <w:u w:val="single"/>
        </w:rPr>
        <w:t>25</w:t>
      </w:r>
      <w:r>
        <w:rPr>
          <w:rFonts w:hint="eastAsia" w:ascii="宋体" w:hAnsi="宋体"/>
          <w:color w:val="auto"/>
          <w:sz w:val="24"/>
          <w:highlight w:val="none"/>
        </w:rPr>
        <w:t>个工作日内验收完毕。如特殊货物验收需经专家论证、第三方检测的，则验收合格证明文件以专家论证、第三方检测结果为准。</w:t>
      </w:r>
    </w:p>
    <w:p w14:paraId="2894116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4.5经验收发现物资设备与合同规定不符，甲方有权拒绝接受并向乙方提出索赔。如物资设备在保证期内被证明存在缺陷，包括潜在的缺陷或使用不合适的材料，甲方有权凭有关证明文件向乙方提出索赔。</w:t>
      </w:r>
    </w:p>
    <w:p w14:paraId="4FFB050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4.6物资设备验收后</w:t>
      </w:r>
      <w:r>
        <w:rPr>
          <w:rFonts w:hint="eastAsia" w:ascii="宋体" w:hAnsi="宋体"/>
          <w:color w:val="auto"/>
          <w:sz w:val="24"/>
          <w:highlight w:val="none"/>
          <w:u w:val="single"/>
        </w:rPr>
        <w:t xml:space="preserve">  七 </w:t>
      </w:r>
      <w:r>
        <w:rPr>
          <w:rFonts w:hint="eastAsia" w:ascii="宋体" w:hAnsi="宋体"/>
          <w:color w:val="auto"/>
          <w:sz w:val="24"/>
          <w:highlight w:val="none"/>
        </w:rPr>
        <w:t>个工作日内如甲方发现技术指标异常或提出其他异议的，乙方应在</w:t>
      </w:r>
      <w:r>
        <w:rPr>
          <w:rFonts w:hint="eastAsia" w:ascii="宋体" w:hAnsi="宋体"/>
          <w:color w:val="auto"/>
          <w:sz w:val="24"/>
          <w:highlight w:val="none"/>
          <w:u w:val="single"/>
        </w:rPr>
        <w:t>二</w:t>
      </w:r>
      <w:r>
        <w:rPr>
          <w:rFonts w:hint="eastAsia" w:ascii="宋体" w:hAnsi="宋体"/>
          <w:color w:val="auto"/>
          <w:sz w:val="24"/>
          <w:highlight w:val="none"/>
        </w:rPr>
        <w:t>个工作日内负责解决。</w:t>
      </w:r>
    </w:p>
    <w:p w14:paraId="1CF5F8B4">
      <w:pPr>
        <w:spacing w:line="360" w:lineRule="auto"/>
        <w:ind w:firstLine="480" w:firstLineChars="200"/>
        <w:rPr>
          <w:rFonts w:hint="eastAsia" w:ascii="宋体" w:hAnsi="宋体"/>
          <w:color w:val="auto"/>
          <w:sz w:val="24"/>
          <w:highlight w:val="none"/>
        </w:rPr>
      </w:pPr>
    </w:p>
    <w:p w14:paraId="360DC2C0">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付款条件与方式</w:t>
      </w:r>
    </w:p>
    <w:p w14:paraId="10CC8440">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 xml:space="preserve">5.1本合同采用如下经选择的付款方式：此条款根据采购文件中实际付款方式确定 </w:t>
      </w:r>
    </w:p>
    <w:p w14:paraId="0E8EE55F">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sym w:font="Wingdings 2" w:char="00A3"/>
      </w:r>
      <w:r>
        <w:rPr>
          <w:rFonts w:hint="eastAsia" w:ascii="宋体" w:hAnsi="宋体"/>
          <w:color w:val="auto"/>
          <w:sz w:val="24"/>
          <w:highlight w:val="none"/>
        </w:rPr>
        <w:t>一次性付款：设备安装调试完毕，经双方正式验收合格后30天内，甲方向乙方支付100%的合同款；</w:t>
      </w:r>
    </w:p>
    <w:p w14:paraId="284A2E16">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sym w:font="Wingdings 2" w:char="0052"/>
      </w:r>
      <w:r>
        <w:rPr>
          <w:rFonts w:hint="eastAsia" w:ascii="宋体" w:hAnsi="宋体"/>
          <w:color w:val="auto"/>
          <w:sz w:val="24"/>
          <w:highlight w:val="none"/>
        </w:rPr>
        <w:t>分批付款：合同签订后预付合同价</w:t>
      </w:r>
      <w:r>
        <w:rPr>
          <w:rFonts w:hint="eastAsia" w:ascii="宋体" w:hAnsi="宋体"/>
          <w:color w:val="auto"/>
          <w:sz w:val="24"/>
          <w:highlight w:val="none"/>
          <w:lang w:val="en-US" w:eastAsia="zh-CN"/>
        </w:rPr>
        <w:t>30</w:t>
      </w:r>
      <w:r>
        <w:rPr>
          <w:rFonts w:hint="eastAsia" w:ascii="宋体" w:hAnsi="宋体"/>
          <w:color w:val="auto"/>
          <w:sz w:val="24"/>
          <w:highlight w:val="none"/>
        </w:rPr>
        <w:t>%，全部货物到货，按买方要求将货物送到指定地点，并完成设备安装，经验收合格后</w:t>
      </w:r>
      <w:r>
        <w:rPr>
          <w:rFonts w:hint="eastAsia" w:ascii="宋体" w:hAnsi="宋体"/>
          <w:color w:val="auto"/>
          <w:sz w:val="24"/>
          <w:highlight w:val="none"/>
          <w:lang w:val="en-US" w:eastAsia="zh-CN"/>
        </w:rPr>
        <w:t>支付剩余的70%</w:t>
      </w:r>
      <w:r>
        <w:rPr>
          <w:rFonts w:hint="eastAsia" w:ascii="宋体" w:hAnsi="宋体"/>
          <w:color w:val="auto"/>
          <w:sz w:val="24"/>
          <w:highlight w:val="none"/>
        </w:rPr>
        <w:t>。如未能达到合同要求，买方有权退货并要求供应商赔偿损失。项目验收时对整体配置和效果进行验收，结算时需提供整个项目系统的高限额的增值税专用发票。</w:t>
      </w:r>
    </w:p>
    <w:p w14:paraId="05C087A3">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5.2在达到本合同约定的付款条件后，乙方应向甲方出具正式合法的</w:t>
      </w:r>
      <w:r>
        <w:rPr>
          <w:rFonts w:hint="eastAsia" w:ascii="宋体" w:hAnsi="宋体"/>
          <w:b/>
          <w:color w:val="auto"/>
          <w:sz w:val="24"/>
          <w:highlight w:val="none"/>
        </w:rPr>
        <w:t>全额增值税专用发票（需开具单张高额发票，乙方自行向税务机关申请）</w:t>
      </w:r>
      <w:r>
        <w:rPr>
          <w:rFonts w:hint="eastAsia" w:ascii="宋体" w:hAnsi="宋体"/>
          <w:color w:val="auto"/>
          <w:sz w:val="24"/>
          <w:highlight w:val="none"/>
        </w:rPr>
        <w:t>，在乙方向甲方提出付款申请并提供发票之前，甲方有权拒绝付款。因乙方原因致使甲方未能及时付款所产生的责任由乙方负责，甲方不承担违约责任。</w:t>
      </w:r>
    </w:p>
    <w:p w14:paraId="7E99000D">
      <w:pPr>
        <w:spacing w:line="360" w:lineRule="auto"/>
        <w:ind w:firstLine="439" w:firstLineChars="183"/>
        <w:rPr>
          <w:rFonts w:hint="eastAsia" w:ascii="宋体" w:hAnsi="宋体"/>
          <w:color w:val="auto"/>
          <w:sz w:val="24"/>
          <w:highlight w:val="none"/>
        </w:rPr>
      </w:pPr>
    </w:p>
    <w:p w14:paraId="1C79E42C">
      <w:pPr>
        <w:wordWrap w:val="0"/>
        <w:spacing w:before="156" w:beforeLines="50" w:after="156" w:afterLines="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第六条 售后服务及质量保证金</w:t>
      </w:r>
    </w:p>
    <w:p w14:paraId="1B508DC1">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6.1乙方应按照国家有规定及本次采购文件中有关质量保证和售后服务的承诺执行，采购文件高于国家有关规定的，按照本次采购文件执行。</w:t>
      </w:r>
    </w:p>
    <w:p w14:paraId="222744B2">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6.2本项目免费质保期</w:t>
      </w:r>
      <w:r>
        <w:rPr>
          <w:rFonts w:hint="eastAsia" w:ascii="微软雅黑" w:hAnsi="微软雅黑" w:cs="微软雅黑"/>
          <w:color w:val="auto"/>
          <w:szCs w:val="21"/>
          <w:highlight w:val="none"/>
          <w:u w:val="single"/>
        </w:rPr>
        <w:t xml:space="preserve">     </w:t>
      </w:r>
      <w:r>
        <w:rPr>
          <w:rFonts w:hint="eastAsia" w:ascii="宋体" w:hAnsi="宋体"/>
          <w:color w:val="auto"/>
          <w:sz w:val="24"/>
          <w:highlight w:val="none"/>
        </w:rPr>
        <w:t>年。</w:t>
      </w:r>
    </w:p>
    <w:p w14:paraId="6D37A6C9">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6.3 如在质量保质期内，发生质量或技术问题，乙方应在接到甲方通知____小时内给予响应，并在____小时内到场维修，否则由此造成的损失由乙方承担赔偿责任。如经甲方通知，乙方无正当理由未能及时响应或到场维修，甲方有权自行委托其他第三方进行维修，因此而产生的费用在质量保证金中予以扣除，不足部分有权向乙方追偿。</w:t>
      </w:r>
    </w:p>
    <w:p w14:paraId="48FBB05F">
      <w:pPr>
        <w:spacing w:line="360" w:lineRule="auto"/>
        <w:ind w:firstLine="439" w:firstLineChars="183"/>
        <w:rPr>
          <w:rFonts w:hint="eastAsia" w:ascii="宋体" w:hAnsi="宋体"/>
          <w:color w:val="auto"/>
          <w:sz w:val="24"/>
          <w:highlight w:val="none"/>
        </w:rPr>
      </w:pPr>
    </w:p>
    <w:p w14:paraId="4E0FECB3">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第七条 违约责任</w:t>
      </w:r>
    </w:p>
    <w:p w14:paraId="7767F599">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7.1甲方在乙方将合同清单上的物资设备运达指定地点后</w:t>
      </w:r>
      <w:r>
        <w:rPr>
          <w:rFonts w:hint="eastAsia" w:ascii="宋体" w:hAnsi="宋体"/>
          <w:color w:val="auto"/>
          <w:sz w:val="24"/>
          <w:highlight w:val="none"/>
          <w:u w:val="single"/>
        </w:rPr>
        <w:t>30</w:t>
      </w:r>
      <w:r>
        <w:rPr>
          <w:rFonts w:hint="eastAsia" w:ascii="宋体" w:hAnsi="宋体"/>
          <w:color w:val="auto"/>
          <w:sz w:val="24"/>
          <w:highlight w:val="none"/>
        </w:rPr>
        <w:t>个工作日后无正当理由不接收或不及时验收的，视为甲方违约，甲方应承担因此给乙方造成的损失。</w:t>
      </w:r>
    </w:p>
    <w:p w14:paraId="191B701D">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7.2乙方所交物资设备不符合本合同要求的，甲方有权拒收，乙方应予以更换，因此而导致的延期交货责任，由乙方承担。经更换后仍不符合本合同要求的，甲方有权解除合同，同时乙方应向甲方偿付该合同价款30%的违约金。</w:t>
      </w:r>
    </w:p>
    <w:p w14:paraId="72F056AF">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7.3 甲方无正当理由延期付款的，每逾期一日向乙方承担应付未付价款万分之五的违约金。乙方逾期交付的，每逾期一日向甲方承担合同总价款万分之五的违约金。延期付款或逾期交付超过30日，经另一方催告在合理期限内仍未履行的，另一方有权解除合同。</w:t>
      </w:r>
    </w:p>
    <w:p w14:paraId="30E56C84">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7.4 如因乙方延期交货或延期履行维保义务，致使甲方必须采取其他补救措施，包括但不限于委托其他第三方维修、借用或租赁其他设备等所发生的费用，均由乙方承担。</w:t>
      </w:r>
    </w:p>
    <w:p w14:paraId="4FC8064C">
      <w:pPr>
        <w:spacing w:line="360" w:lineRule="auto"/>
        <w:ind w:firstLine="439" w:firstLineChars="183"/>
        <w:rPr>
          <w:rFonts w:hint="eastAsia" w:ascii="宋体" w:hAnsi="宋体"/>
          <w:color w:val="auto"/>
          <w:sz w:val="24"/>
          <w:highlight w:val="none"/>
        </w:rPr>
      </w:pPr>
    </w:p>
    <w:p w14:paraId="668AFF91">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第八条 合同解除与终止</w:t>
      </w:r>
    </w:p>
    <w:p w14:paraId="5033ED0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 本合同签订后，任何一方无正当理由均不得单方解除合同，否则应按照本合同总价款的30%承担违约责任。</w:t>
      </w:r>
    </w:p>
    <w:p w14:paraId="5F291F2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54D5D70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任何一方由于下列原因而导致不能或暂时不能履行全部或部分合同义务的，不负责任：水灾、火灾、地震、干旱、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0699D36F">
      <w:pPr>
        <w:spacing w:line="360" w:lineRule="auto"/>
        <w:ind w:firstLine="480" w:firstLineChars="200"/>
        <w:rPr>
          <w:rFonts w:hint="eastAsia" w:ascii="宋体" w:hAnsi="宋体"/>
          <w:color w:val="auto"/>
          <w:sz w:val="24"/>
          <w:highlight w:val="none"/>
        </w:rPr>
      </w:pPr>
    </w:p>
    <w:p w14:paraId="795240B6">
      <w:pPr>
        <w:wordWrap w:val="0"/>
        <w:spacing w:before="156" w:beforeLines="50" w:after="156" w:afterLines="50"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第九条 其他</w:t>
      </w:r>
    </w:p>
    <w:p w14:paraId="2F622E3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9.1 若因本合同签订、履行、解除、终止而发生争议的，由甲、乙双方友好协商解决，若协商不成，协商不成的，任何一方可向合同签订地有管辖权的人民法院提起诉讼。</w:t>
      </w:r>
    </w:p>
    <w:p w14:paraId="620F35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9.2 有关本采购项目的采购文件以及相关函件（如澄清函、确认函等）、供应商投标文件均构成本合同不可分割的一部分，与本合同具有同等法律效力。</w:t>
      </w:r>
    </w:p>
    <w:p w14:paraId="36A678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9.3 本合同未尽事宜及变更，应由甲乙双方另行签订书面补充协议确定。</w:t>
      </w:r>
    </w:p>
    <w:p w14:paraId="6EFADB5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9.4 本合同于   年    月    日签订于东南大学四牌楼校区。</w:t>
      </w:r>
    </w:p>
    <w:p w14:paraId="6AD720AF">
      <w:pPr>
        <w:spacing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t>9.5本合同一式陆份，经双方签字并盖章后即时生效。甲方执伍份，乙方执壹份，具有同等效力。</w:t>
      </w:r>
    </w:p>
    <w:p w14:paraId="0355747E">
      <w:pPr>
        <w:pStyle w:val="39"/>
        <w:spacing w:line="360" w:lineRule="auto"/>
        <w:rPr>
          <w:rFonts w:hint="eastAsia"/>
          <w:color w:val="auto"/>
          <w:szCs w:val="20"/>
          <w:highlight w:val="none"/>
        </w:rPr>
      </w:pPr>
    </w:p>
    <w:p w14:paraId="3256DCFB">
      <w:pPr>
        <w:pStyle w:val="39"/>
        <w:spacing w:line="360" w:lineRule="auto"/>
        <w:rPr>
          <w:rFonts w:hint="eastAsia"/>
          <w:color w:val="auto"/>
          <w:szCs w:val="20"/>
          <w:highlight w:val="none"/>
        </w:rPr>
      </w:pPr>
      <w:r>
        <w:rPr>
          <w:color w:val="auto"/>
          <w:szCs w:val="20"/>
          <w:highlight w:val="none"/>
        </w:rPr>
        <w:t>甲方</w:t>
      </w:r>
      <w:r>
        <w:rPr>
          <w:rFonts w:hint="eastAsia"/>
          <w:color w:val="auto"/>
          <w:szCs w:val="20"/>
          <w:highlight w:val="none"/>
        </w:rPr>
        <w:t>：东南大学</w:t>
      </w:r>
      <w:r>
        <w:rPr>
          <w:color w:val="auto"/>
          <w:szCs w:val="20"/>
          <w:highlight w:val="none"/>
        </w:rPr>
        <w:t>     </w:t>
      </w:r>
      <w:r>
        <w:rPr>
          <w:rFonts w:hint="eastAsia"/>
          <w:color w:val="auto"/>
          <w:szCs w:val="20"/>
          <w:highlight w:val="none"/>
        </w:rPr>
        <w:t xml:space="preserve">  </w:t>
      </w:r>
      <w:r>
        <w:rPr>
          <w:color w:val="auto"/>
          <w:szCs w:val="20"/>
          <w:highlight w:val="none"/>
        </w:rPr>
        <w:t>  </w:t>
      </w:r>
      <w:r>
        <w:rPr>
          <w:rFonts w:hint="eastAsia"/>
          <w:color w:val="auto"/>
          <w:szCs w:val="20"/>
          <w:highlight w:val="none"/>
        </w:rPr>
        <w:t xml:space="preserve">          </w:t>
      </w:r>
      <w:r>
        <w:rPr>
          <w:color w:val="auto"/>
          <w:szCs w:val="20"/>
          <w:highlight w:val="none"/>
        </w:rPr>
        <w:t>乙方</w:t>
      </w:r>
      <w:r>
        <w:rPr>
          <w:rFonts w:hint="eastAsia"/>
          <w:color w:val="auto"/>
          <w:szCs w:val="20"/>
          <w:highlight w:val="none"/>
        </w:rPr>
        <w:t>：</w:t>
      </w:r>
    </w:p>
    <w:p w14:paraId="11B237A8">
      <w:pPr>
        <w:pStyle w:val="39"/>
        <w:spacing w:line="360" w:lineRule="auto"/>
        <w:rPr>
          <w:rFonts w:hint="eastAsia"/>
          <w:color w:val="auto"/>
          <w:szCs w:val="20"/>
          <w:highlight w:val="none"/>
        </w:rPr>
      </w:pPr>
      <w:r>
        <w:rPr>
          <w:rFonts w:hint="eastAsia"/>
          <w:color w:val="auto"/>
          <w:szCs w:val="20"/>
          <w:highlight w:val="none"/>
        </w:rPr>
        <w:t>（盖合同专用章或单位公章）             （盖合同章或单位公章）</w:t>
      </w:r>
    </w:p>
    <w:p w14:paraId="6C13E8A6">
      <w:pPr>
        <w:pStyle w:val="39"/>
        <w:spacing w:line="360" w:lineRule="auto"/>
        <w:rPr>
          <w:rFonts w:hint="eastAsia"/>
          <w:color w:val="auto"/>
          <w:szCs w:val="20"/>
          <w:highlight w:val="none"/>
        </w:rPr>
      </w:pPr>
      <w:r>
        <w:rPr>
          <w:rFonts w:hint="eastAsia"/>
          <w:color w:val="auto"/>
          <w:szCs w:val="20"/>
          <w:highlight w:val="none"/>
        </w:rPr>
        <w:t>法定代表人或项目负责人（签字）：          法定代表人或委托代理人</w:t>
      </w:r>
      <w:r>
        <w:rPr>
          <w:color w:val="auto"/>
          <w:szCs w:val="20"/>
          <w:highlight w:val="none"/>
        </w:rPr>
        <w:t>（签字）：</w:t>
      </w:r>
      <w:r>
        <w:rPr>
          <w:rFonts w:hint="eastAsia"/>
          <w:color w:val="auto"/>
          <w:szCs w:val="20"/>
          <w:highlight w:val="none"/>
        </w:rPr>
        <w:t xml:space="preserve">                                   </w:t>
      </w:r>
    </w:p>
    <w:p w14:paraId="678465DE">
      <w:pPr>
        <w:pStyle w:val="39"/>
        <w:spacing w:before="0" w:beforeAutospacing="0" w:after="0" w:afterAutospacing="0" w:line="360" w:lineRule="auto"/>
        <w:rPr>
          <w:rFonts w:hint="eastAsia"/>
          <w:color w:val="auto"/>
          <w:szCs w:val="20"/>
          <w:highlight w:val="none"/>
        </w:rPr>
      </w:pPr>
      <w:r>
        <w:rPr>
          <w:rFonts w:hint="eastAsia"/>
          <w:color w:val="auto"/>
          <w:szCs w:val="20"/>
          <w:highlight w:val="none"/>
        </w:rPr>
        <w:t>项目号：</w:t>
      </w:r>
    </w:p>
    <w:p w14:paraId="10FE35E6">
      <w:pPr>
        <w:pStyle w:val="39"/>
        <w:spacing w:line="360" w:lineRule="auto"/>
        <w:rPr>
          <w:rFonts w:hint="eastAsia"/>
          <w:color w:val="auto"/>
          <w:szCs w:val="20"/>
          <w:highlight w:val="none"/>
        </w:rPr>
      </w:pPr>
      <w:r>
        <w:rPr>
          <w:rFonts w:hint="eastAsia"/>
          <w:color w:val="auto"/>
          <w:szCs w:val="20"/>
          <w:highlight w:val="none"/>
        </w:rPr>
        <w:t>经办人和联系电话：                      经办人和联系电话：</w:t>
      </w:r>
    </w:p>
    <w:p w14:paraId="64B268A4">
      <w:pPr>
        <w:pStyle w:val="39"/>
        <w:spacing w:line="360" w:lineRule="auto"/>
        <w:rPr>
          <w:rFonts w:hint="eastAsia"/>
          <w:color w:val="auto"/>
          <w:szCs w:val="20"/>
          <w:highlight w:val="none"/>
        </w:rPr>
      </w:pPr>
      <w:r>
        <w:rPr>
          <w:rFonts w:hint="eastAsia"/>
          <w:color w:val="auto"/>
          <w:szCs w:val="20"/>
          <w:highlight w:val="none"/>
        </w:rPr>
        <w:t>邮   编：                               邮   编：</w:t>
      </w:r>
    </w:p>
    <w:p w14:paraId="19482899">
      <w:pPr>
        <w:pStyle w:val="39"/>
        <w:spacing w:line="360" w:lineRule="auto"/>
        <w:rPr>
          <w:rFonts w:hint="eastAsia"/>
          <w:color w:val="auto"/>
          <w:szCs w:val="20"/>
          <w:highlight w:val="none"/>
        </w:rPr>
      </w:pPr>
      <w:r>
        <w:rPr>
          <w:rFonts w:hint="eastAsia"/>
          <w:color w:val="auto"/>
          <w:szCs w:val="20"/>
          <w:highlight w:val="none"/>
        </w:rPr>
        <w:t>传真号码：                              传真号码：</w:t>
      </w:r>
    </w:p>
    <w:p w14:paraId="20983350">
      <w:pPr>
        <w:pStyle w:val="23"/>
        <w:spacing w:line="360" w:lineRule="auto"/>
        <w:rPr>
          <w:rFonts w:hint="eastAsia" w:hAnsi="宋体"/>
          <w:color w:val="auto"/>
          <w:highlight w:val="none"/>
        </w:rPr>
      </w:pPr>
      <w:r>
        <w:rPr>
          <w:rFonts w:hint="eastAsia" w:hAnsi="宋体"/>
          <w:color w:val="auto"/>
          <w:highlight w:val="none"/>
        </w:rPr>
        <w:t>开户银行：</w:t>
      </w:r>
      <w:r>
        <w:rPr>
          <w:rFonts w:hint="eastAsia" w:hAnsi="宋体"/>
          <w:color w:val="auto"/>
          <w:szCs w:val="27"/>
          <w:highlight w:val="none"/>
        </w:rPr>
        <w:t>建行南京市四牌楼</w:t>
      </w:r>
      <w:r>
        <w:rPr>
          <w:rFonts w:hint="eastAsia" w:hAnsi="宋体"/>
          <w:bCs/>
          <w:color w:val="auto"/>
          <w:highlight w:val="none"/>
        </w:rPr>
        <w:t>支行</w:t>
      </w:r>
      <w:r>
        <w:rPr>
          <w:rFonts w:hint="eastAsia" w:hAnsi="宋体"/>
          <w:color w:val="auto"/>
          <w:highlight w:val="none"/>
        </w:rPr>
        <w:t xml:space="preserve">        开户银行： </w:t>
      </w:r>
    </w:p>
    <w:p w14:paraId="2D596C0F">
      <w:pPr>
        <w:pStyle w:val="23"/>
        <w:spacing w:line="360" w:lineRule="auto"/>
        <w:rPr>
          <w:rFonts w:hint="eastAsia" w:hAnsi="宋体"/>
          <w:color w:val="auto"/>
          <w:highlight w:val="none"/>
        </w:rPr>
      </w:pPr>
      <w:r>
        <w:rPr>
          <w:rFonts w:hint="eastAsia" w:hAnsi="宋体"/>
          <w:color w:val="auto"/>
          <w:highlight w:val="none"/>
        </w:rPr>
        <w:t>户名： 东南大学                   户名：</w:t>
      </w:r>
    </w:p>
    <w:p w14:paraId="209E5698">
      <w:pPr>
        <w:pStyle w:val="23"/>
        <w:spacing w:line="360" w:lineRule="auto"/>
        <w:rPr>
          <w:rFonts w:hint="eastAsia" w:hAnsi="宋体"/>
          <w:color w:val="auto"/>
          <w:highlight w:val="none"/>
        </w:rPr>
      </w:pPr>
      <w:r>
        <w:rPr>
          <w:rFonts w:hint="eastAsia" w:hAnsi="宋体"/>
          <w:color w:val="auto"/>
          <w:highlight w:val="none"/>
        </w:rPr>
        <w:t>账号：</w:t>
      </w:r>
      <w:r>
        <w:rPr>
          <w:rFonts w:hint="eastAsia" w:hAnsi="宋体"/>
          <w:color w:val="auto"/>
          <w:szCs w:val="27"/>
          <w:highlight w:val="none"/>
        </w:rPr>
        <w:t>32001594138059123456</w:t>
      </w:r>
      <w:r>
        <w:rPr>
          <w:rFonts w:hint="eastAsia" w:hAnsi="宋体"/>
          <w:color w:val="auto"/>
          <w:highlight w:val="none"/>
        </w:rPr>
        <w:t xml:space="preserve">                  账号： </w:t>
      </w:r>
    </w:p>
    <w:p w14:paraId="26CBA1B2">
      <w:pPr>
        <w:pStyle w:val="39"/>
        <w:spacing w:line="360" w:lineRule="auto"/>
        <w:rPr>
          <w:rFonts w:hint="eastAsia"/>
          <w:color w:val="auto"/>
          <w:highlight w:val="none"/>
        </w:rPr>
      </w:pPr>
      <w:r>
        <w:rPr>
          <w:rFonts w:hint="eastAsia"/>
          <w:color w:val="auto"/>
          <w:highlight w:val="none"/>
        </w:rPr>
        <w:t>税号：12100000466006770Q                税号：</w:t>
      </w:r>
    </w:p>
    <w:p w14:paraId="4A4E1C0A">
      <w:pPr>
        <w:pStyle w:val="39"/>
        <w:spacing w:line="360" w:lineRule="auto"/>
        <w:rPr>
          <w:rFonts w:hint="eastAsia"/>
          <w:color w:val="auto"/>
          <w:highlight w:val="none"/>
        </w:rPr>
      </w:pPr>
      <w:r>
        <w:rPr>
          <w:rFonts w:hint="eastAsia"/>
          <w:color w:val="auto"/>
          <w:highlight w:val="none"/>
        </w:rPr>
        <w:t>地址：南京市四牌楼2号                  地址：</w:t>
      </w:r>
    </w:p>
    <w:p w14:paraId="048BCB80">
      <w:pPr>
        <w:pStyle w:val="39"/>
        <w:spacing w:line="360" w:lineRule="auto"/>
        <w:rPr>
          <w:rFonts w:hint="eastAsia"/>
          <w:color w:val="auto"/>
          <w:highlight w:val="none"/>
        </w:rPr>
      </w:pPr>
      <w:r>
        <w:rPr>
          <w:rFonts w:hint="eastAsia"/>
          <w:color w:val="auto"/>
          <w:highlight w:val="none"/>
        </w:rPr>
        <w:t>电话：025-83792462                      电话：</w:t>
      </w:r>
    </w:p>
    <w:p w14:paraId="476DB705">
      <w:pPr>
        <w:spacing w:line="360" w:lineRule="auto"/>
        <w:rPr>
          <w:color w:val="auto"/>
          <w:highlight w:val="none"/>
        </w:rPr>
      </w:pPr>
    </w:p>
    <w:p w14:paraId="796336C1">
      <w:pPr>
        <w:spacing w:line="360" w:lineRule="auto"/>
        <w:rPr>
          <w:color w:val="auto"/>
          <w:highlight w:val="none"/>
        </w:rPr>
      </w:pPr>
    </w:p>
    <w:p w14:paraId="27397176">
      <w:pPr>
        <w:spacing w:line="360" w:lineRule="auto"/>
        <w:rPr>
          <w:color w:val="auto"/>
          <w:highlight w:val="none"/>
        </w:rPr>
      </w:pPr>
    </w:p>
    <w:p w14:paraId="7A8F3B75">
      <w:pPr>
        <w:pStyle w:val="39"/>
        <w:spacing w:line="360" w:lineRule="auto"/>
        <w:rPr>
          <w:rFonts w:hint="eastAsia"/>
          <w:color w:val="auto"/>
          <w:highlight w:val="none"/>
        </w:rPr>
      </w:pPr>
    </w:p>
    <w:p w14:paraId="0FB2B184">
      <w:pPr>
        <w:widowControl/>
        <w:spacing w:line="360" w:lineRule="auto"/>
        <w:rPr>
          <w:rFonts w:hint="eastAsia" w:ascii="宋体" w:hAnsi="宋体"/>
          <w:color w:val="auto"/>
          <w:kern w:val="0"/>
          <w:szCs w:val="21"/>
          <w:highlight w:val="none"/>
        </w:rPr>
      </w:pPr>
    </w:p>
    <w:p w14:paraId="435011D7">
      <w:pPr>
        <w:rPr>
          <w:color w:val="auto"/>
          <w:highlight w:val="none"/>
        </w:rPr>
      </w:pPr>
    </w:p>
    <w:p w14:paraId="16AF6C8E">
      <w:pPr>
        <w:pStyle w:val="54"/>
        <w:rPr>
          <w:color w:val="auto"/>
          <w:highlight w:val="none"/>
        </w:rPr>
      </w:pPr>
    </w:p>
    <w:p w14:paraId="7D5F3385">
      <w:pPr>
        <w:pStyle w:val="3"/>
        <w:numPr>
          <w:ilvl w:val="0"/>
          <w:numId w:val="0"/>
        </w:numPr>
        <w:rPr>
          <w:rFonts w:ascii="Arial" w:hAnsi="Arial" w:cs="Arial"/>
          <w:color w:val="auto"/>
          <w:highlight w:val="none"/>
        </w:rPr>
        <w:sectPr>
          <w:pgSz w:w="11906" w:h="16838"/>
          <w:pgMar w:top="1440" w:right="1800" w:bottom="1440" w:left="1600" w:header="851" w:footer="992" w:gutter="0"/>
          <w:cols w:space="0" w:num="1"/>
          <w:docGrid w:type="lines" w:linePitch="312" w:charSpace="0"/>
        </w:sectPr>
      </w:pPr>
      <w:bookmarkStart w:id="55" w:name="_Toc6328"/>
    </w:p>
    <w:p w14:paraId="61829CB6">
      <w:pPr>
        <w:pStyle w:val="3"/>
        <w:numPr>
          <w:ilvl w:val="0"/>
          <w:numId w:val="0"/>
        </w:numPr>
        <w:rPr>
          <w:rFonts w:ascii="Arial" w:hAnsi="Arial" w:cs="Arial"/>
          <w:color w:val="auto"/>
          <w:highlight w:val="none"/>
        </w:rPr>
      </w:pPr>
      <w:r>
        <w:rPr>
          <w:rFonts w:ascii="Arial" w:hAnsi="Arial" w:cs="Arial"/>
          <w:color w:val="auto"/>
          <w:highlight w:val="none"/>
        </w:rPr>
        <w:t xml:space="preserve">第六章 </w:t>
      </w:r>
      <w:r>
        <w:rPr>
          <w:rFonts w:hint="eastAsia" w:ascii="Arial" w:hAnsi="Arial" w:cs="Arial"/>
          <w:color w:val="auto"/>
          <w:highlight w:val="none"/>
        </w:rPr>
        <w:t>投标文件格式及</w:t>
      </w:r>
      <w:r>
        <w:rPr>
          <w:rFonts w:ascii="Arial" w:hAnsi="Arial" w:cs="Arial"/>
          <w:color w:val="auto"/>
          <w:highlight w:val="none"/>
        </w:rPr>
        <w:t>附件</w:t>
      </w:r>
      <w:bookmarkEnd w:id="55"/>
    </w:p>
    <w:p w14:paraId="470D86FC">
      <w:pPr>
        <w:widowControl/>
        <w:adjustRightInd w:val="0"/>
        <w:spacing w:line="240" w:lineRule="atLeast"/>
        <w:jc w:val="left"/>
        <w:rPr>
          <w:rFonts w:ascii="Arial" w:hAnsi="Arial" w:cs="Arial"/>
          <w:b/>
          <w:bCs/>
          <w:color w:val="auto"/>
          <w:szCs w:val="21"/>
          <w:highlight w:val="none"/>
        </w:rPr>
      </w:pPr>
    </w:p>
    <w:p w14:paraId="3D58DAB3">
      <w:pPr>
        <w:spacing w:line="440" w:lineRule="exact"/>
        <w:rPr>
          <w:rFonts w:ascii="Arial" w:hAnsi="Arial" w:eastAsia="黑体" w:cs="Arial"/>
          <w:color w:val="auto"/>
          <w:sz w:val="20"/>
          <w:szCs w:val="20"/>
          <w:highlight w:val="none"/>
        </w:rPr>
      </w:pPr>
    </w:p>
    <w:p w14:paraId="51D98226">
      <w:pPr>
        <w:spacing w:line="440" w:lineRule="exact"/>
        <w:rPr>
          <w:rFonts w:ascii="Arial" w:hAnsi="Arial" w:eastAsia="黑体" w:cs="Arial"/>
          <w:color w:val="auto"/>
          <w:sz w:val="20"/>
          <w:szCs w:val="20"/>
          <w:highlight w:val="none"/>
        </w:rPr>
      </w:pPr>
    </w:p>
    <w:p w14:paraId="57C83B2E">
      <w:pPr>
        <w:spacing w:line="440" w:lineRule="exact"/>
        <w:rPr>
          <w:rFonts w:ascii="Arial" w:hAnsi="Arial" w:eastAsia="黑体" w:cs="Arial"/>
          <w:color w:val="auto"/>
          <w:sz w:val="20"/>
          <w:szCs w:val="20"/>
          <w:highlight w:val="none"/>
        </w:rPr>
      </w:pPr>
    </w:p>
    <w:p w14:paraId="3D821D4C">
      <w:pPr>
        <w:spacing w:line="440" w:lineRule="exact"/>
        <w:rPr>
          <w:rFonts w:ascii="Arial" w:hAnsi="Arial" w:eastAsia="黑体" w:cs="Arial"/>
          <w:color w:val="auto"/>
          <w:sz w:val="20"/>
          <w:szCs w:val="20"/>
          <w:highlight w:val="none"/>
        </w:rPr>
      </w:pPr>
    </w:p>
    <w:p w14:paraId="217F2C45">
      <w:pPr>
        <w:spacing w:line="440" w:lineRule="exact"/>
        <w:rPr>
          <w:rFonts w:ascii="Arial" w:hAnsi="Arial" w:eastAsia="黑体" w:cs="Arial"/>
          <w:color w:val="auto"/>
          <w:sz w:val="20"/>
          <w:szCs w:val="20"/>
          <w:highlight w:val="none"/>
        </w:rPr>
      </w:pPr>
    </w:p>
    <w:p w14:paraId="5CC0E82A">
      <w:pPr>
        <w:spacing w:line="440" w:lineRule="exact"/>
        <w:rPr>
          <w:rFonts w:ascii="Arial" w:hAnsi="Arial" w:eastAsia="黑体" w:cs="Arial"/>
          <w:color w:val="auto"/>
          <w:sz w:val="20"/>
          <w:szCs w:val="20"/>
          <w:highlight w:val="none"/>
        </w:rPr>
      </w:pPr>
    </w:p>
    <w:p w14:paraId="3681B1AA">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（项目名称）</w:t>
      </w:r>
    </w:p>
    <w:p w14:paraId="18B5FEDA">
      <w:pPr>
        <w:pStyle w:val="19"/>
        <w:rPr>
          <w:color w:val="auto"/>
          <w:highlight w:val="none"/>
        </w:rPr>
      </w:pPr>
    </w:p>
    <w:p w14:paraId="20E26AB0">
      <w:pPr>
        <w:jc w:val="center"/>
        <w:rPr>
          <w:rFonts w:ascii="Arial" w:hAnsi="Arial" w:eastAsia="黑体" w:cs="Arial"/>
          <w:color w:val="auto"/>
          <w:sz w:val="20"/>
          <w:szCs w:val="20"/>
          <w:highlight w:val="none"/>
        </w:rPr>
      </w:pPr>
    </w:p>
    <w:p w14:paraId="05A1BC7F">
      <w:pPr>
        <w:rPr>
          <w:rFonts w:ascii="Arial" w:hAnsi="Arial" w:eastAsia="黑体" w:cs="Arial"/>
          <w:color w:val="auto"/>
          <w:sz w:val="20"/>
          <w:szCs w:val="20"/>
          <w:highlight w:val="none"/>
        </w:rPr>
      </w:pPr>
    </w:p>
    <w:p w14:paraId="51CE0BED">
      <w:pPr>
        <w:jc w:val="center"/>
        <w:rPr>
          <w:rFonts w:ascii="Arial" w:hAnsi="Arial" w:eastAsia="黑体" w:cs="Arial"/>
          <w:color w:val="auto"/>
          <w:sz w:val="44"/>
          <w:szCs w:val="44"/>
          <w:highlight w:val="none"/>
        </w:rPr>
      </w:pPr>
      <w:r>
        <w:rPr>
          <w:rFonts w:ascii="Arial" w:hAnsi="Arial" w:eastAsia="黑体" w:cs="Arial"/>
          <w:color w:val="auto"/>
          <w:sz w:val="44"/>
          <w:szCs w:val="44"/>
          <w:highlight w:val="none"/>
        </w:rPr>
        <w:t>投标文件</w:t>
      </w:r>
    </w:p>
    <w:p w14:paraId="71BE8653">
      <w:pPr>
        <w:rPr>
          <w:rFonts w:ascii="Arial" w:hAnsi="Arial" w:eastAsia="黑体" w:cs="Arial"/>
          <w:color w:val="auto"/>
          <w:sz w:val="28"/>
          <w:szCs w:val="28"/>
          <w:highlight w:val="none"/>
        </w:rPr>
      </w:pPr>
    </w:p>
    <w:p w14:paraId="73E4DDC4">
      <w:pPr>
        <w:rPr>
          <w:rFonts w:ascii="Arial" w:hAnsi="Arial" w:eastAsia="黑体" w:cs="Arial"/>
          <w:color w:val="auto"/>
          <w:sz w:val="28"/>
          <w:szCs w:val="28"/>
          <w:highlight w:val="none"/>
        </w:rPr>
      </w:pPr>
    </w:p>
    <w:p w14:paraId="09B265C7">
      <w:pPr>
        <w:rPr>
          <w:rFonts w:ascii="Arial" w:hAnsi="Arial" w:eastAsia="黑体" w:cs="Arial"/>
          <w:color w:val="auto"/>
          <w:sz w:val="28"/>
          <w:szCs w:val="28"/>
          <w:highlight w:val="none"/>
        </w:rPr>
      </w:pPr>
    </w:p>
    <w:p w14:paraId="5DDF12BE">
      <w:pPr>
        <w:rPr>
          <w:rFonts w:ascii="Arial" w:hAnsi="Arial" w:eastAsia="黑体" w:cs="Arial"/>
          <w:color w:val="auto"/>
          <w:sz w:val="28"/>
          <w:szCs w:val="28"/>
          <w:highlight w:val="none"/>
        </w:rPr>
      </w:pPr>
    </w:p>
    <w:p w14:paraId="32B59F29">
      <w:pPr>
        <w:rPr>
          <w:rFonts w:ascii="Arial" w:hAnsi="Arial" w:eastAsia="黑体" w:cs="Arial"/>
          <w:color w:val="auto"/>
          <w:sz w:val="28"/>
          <w:szCs w:val="28"/>
          <w:highlight w:val="none"/>
        </w:rPr>
      </w:pPr>
    </w:p>
    <w:p w14:paraId="74249146">
      <w:pPr>
        <w:rPr>
          <w:rFonts w:ascii="Arial" w:hAnsi="Arial" w:eastAsia="黑体" w:cs="Arial"/>
          <w:color w:val="auto"/>
          <w:sz w:val="28"/>
          <w:szCs w:val="28"/>
          <w:highlight w:val="none"/>
        </w:rPr>
      </w:pPr>
    </w:p>
    <w:p w14:paraId="229B8405">
      <w:pPr>
        <w:rPr>
          <w:rFonts w:ascii="Arial" w:hAnsi="Arial" w:eastAsia="黑体" w:cs="Arial"/>
          <w:color w:val="auto"/>
          <w:sz w:val="28"/>
          <w:szCs w:val="28"/>
          <w:highlight w:val="none"/>
        </w:rPr>
      </w:pPr>
    </w:p>
    <w:p w14:paraId="329A1CFB">
      <w:pPr>
        <w:rPr>
          <w:rFonts w:ascii="Arial" w:hAnsi="Arial" w:eastAsia="黑体" w:cs="Arial"/>
          <w:color w:val="auto"/>
          <w:sz w:val="28"/>
          <w:szCs w:val="28"/>
          <w:highlight w:val="none"/>
        </w:rPr>
      </w:pPr>
    </w:p>
    <w:p w14:paraId="533CD9E7">
      <w:pPr>
        <w:jc w:val="center"/>
        <w:rPr>
          <w:rFonts w:ascii="Arial" w:hAnsi="Arial" w:eastAsia="黑体" w:cs="Arial"/>
          <w:color w:val="auto"/>
          <w:sz w:val="28"/>
          <w:szCs w:val="28"/>
          <w:highlight w:val="none"/>
          <w:u w:val="single"/>
        </w:rPr>
      </w:pPr>
      <w:r>
        <w:rPr>
          <w:rFonts w:ascii="Arial" w:hAnsi="Arial" w:eastAsia="黑体" w:cs="Arial"/>
          <w:color w:val="auto"/>
          <w:sz w:val="28"/>
          <w:szCs w:val="28"/>
          <w:highlight w:val="none"/>
        </w:rPr>
        <w:t>投标人：（盖单位章）</w:t>
      </w:r>
    </w:p>
    <w:p w14:paraId="1C502339">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法定代表人或其委托代理人：（签字</w:t>
      </w:r>
      <w:r>
        <w:rPr>
          <w:rFonts w:hint="eastAsia" w:ascii="Arial" w:hAnsi="Arial" w:eastAsia="黑体" w:cs="Arial"/>
          <w:color w:val="auto"/>
          <w:sz w:val="28"/>
          <w:szCs w:val="28"/>
          <w:highlight w:val="none"/>
        </w:rPr>
        <w:t>/签章</w:t>
      </w:r>
      <w:r>
        <w:rPr>
          <w:rFonts w:ascii="Arial" w:hAnsi="Arial" w:eastAsia="黑体" w:cs="Arial"/>
          <w:color w:val="auto"/>
          <w:sz w:val="28"/>
          <w:szCs w:val="28"/>
          <w:highlight w:val="none"/>
        </w:rPr>
        <w:t>）</w:t>
      </w:r>
    </w:p>
    <w:p w14:paraId="26B67251">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年 月  日</w:t>
      </w:r>
    </w:p>
    <w:p w14:paraId="036DF5CF">
      <w:pPr>
        <w:spacing w:before="312" w:beforeLines="100" w:after="312" w:afterLines="100"/>
        <w:jc w:val="center"/>
        <w:rPr>
          <w:rFonts w:ascii="Arial" w:hAnsi="Arial" w:eastAsia="黑体" w:cs="Arial"/>
          <w:color w:val="auto"/>
          <w:sz w:val="32"/>
          <w:szCs w:val="32"/>
          <w:highlight w:val="none"/>
        </w:rPr>
      </w:pPr>
      <w:r>
        <w:rPr>
          <w:rFonts w:ascii="Arial" w:hAnsi="Arial" w:eastAsia="黑体" w:cs="Arial"/>
          <w:color w:val="auto"/>
          <w:sz w:val="32"/>
          <w:szCs w:val="32"/>
          <w:highlight w:val="none"/>
        </w:rPr>
        <w:t>目录</w:t>
      </w:r>
    </w:p>
    <w:p w14:paraId="35FFBE21">
      <w:pPr>
        <w:jc w:val="center"/>
        <w:rPr>
          <w:rFonts w:ascii="Arial" w:hAnsi="Arial" w:eastAsia="黑体" w:cs="Arial"/>
          <w:color w:val="auto"/>
          <w:szCs w:val="21"/>
          <w:highlight w:val="none"/>
        </w:rPr>
      </w:pPr>
      <w:r>
        <w:rPr>
          <w:rFonts w:ascii="Arial" w:hAnsi="Arial" w:eastAsia="黑体" w:cs="Arial"/>
          <w:color w:val="auto"/>
          <w:szCs w:val="21"/>
          <w:highlight w:val="none"/>
        </w:rPr>
        <w:t>（注：供应商根据</w:t>
      </w:r>
      <w:r>
        <w:rPr>
          <w:rFonts w:hint="eastAsia" w:ascii="Arial" w:hAnsi="Arial" w:eastAsia="黑体" w:cs="Arial"/>
          <w:color w:val="auto"/>
          <w:szCs w:val="21"/>
          <w:highlight w:val="none"/>
        </w:rPr>
        <w:t>本章</w:t>
      </w:r>
      <w:r>
        <w:rPr>
          <w:rFonts w:ascii="Arial" w:hAnsi="Arial" w:eastAsia="黑体" w:cs="Arial"/>
          <w:color w:val="auto"/>
          <w:szCs w:val="21"/>
          <w:highlight w:val="none"/>
        </w:rPr>
        <w:t>附件顺序编制投标文件并制作目录（须生成页码））</w:t>
      </w:r>
    </w:p>
    <w:p w14:paraId="259D8D59">
      <w:pPr>
        <w:spacing w:line="440" w:lineRule="exact"/>
        <w:rPr>
          <w:rFonts w:ascii="Arial" w:hAnsi="Arial" w:cs="Arial"/>
          <w:color w:val="auto"/>
          <w:kern w:val="0"/>
          <w:szCs w:val="21"/>
          <w:highlight w:val="none"/>
        </w:rPr>
      </w:pPr>
      <w:r>
        <w:rPr>
          <w:rFonts w:ascii="Arial" w:hAnsi="Arial" w:cs="Arial"/>
          <w:color w:val="auto"/>
          <w:highlight w:val="none"/>
        </w:rPr>
        <w:br w:type="page"/>
      </w:r>
      <w:r>
        <w:rPr>
          <w:rFonts w:ascii="Arial" w:hAnsi="Arial" w:cs="Arial"/>
          <w:b/>
          <w:bCs/>
          <w:color w:val="auto"/>
          <w:kern w:val="0"/>
          <w:szCs w:val="21"/>
          <w:highlight w:val="none"/>
        </w:rPr>
        <w:t>附件一、投标申请及声明格式</w:t>
      </w:r>
    </w:p>
    <w:p w14:paraId="57194815">
      <w:pPr>
        <w:widowControl/>
        <w:spacing w:line="360" w:lineRule="auto"/>
        <w:jc w:val="center"/>
        <w:rPr>
          <w:rFonts w:ascii="Arial" w:hAnsi="Arial" w:cs="Arial"/>
          <w:b/>
          <w:color w:val="auto"/>
          <w:kern w:val="0"/>
          <w:szCs w:val="21"/>
          <w:highlight w:val="none"/>
        </w:rPr>
      </w:pPr>
      <w:r>
        <w:rPr>
          <w:rFonts w:ascii="Arial" w:hAnsi="Arial" w:cs="Arial"/>
          <w:b/>
          <w:color w:val="auto"/>
          <w:kern w:val="0"/>
          <w:sz w:val="36"/>
          <w:szCs w:val="36"/>
          <w:highlight w:val="none"/>
        </w:rPr>
        <w:t>投标申请及声明</w:t>
      </w:r>
    </w:p>
    <w:p w14:paraId="05EBA321">
      <w:pPr>
        <w:widowControl/>
        <w:spacing w:line="400" w:lineRule="exact"/>
        <w:rPr>
          <w:rFonts w:ascii="Arial" w:hAnsi="Arial" w:cs="Arial"/>
          <w:color w:val="auto"/>
          <w:kern w:val="0"/>
          <w:szCs w:val="21"/>
          <w:highlight w:val="none"/>
        </w:rPr>
      </w:pPr>
      <w:r>
        <w:rPr>
          <w:rFonts w:ascii="Arial" w:hAnsi="Arial" w:cs="Arial"/>
          <w:color w:val="auto"/>
          <w:kern w:val="0"/>
          <w:szCs w:val="21"/>
          <w:highlight w:val="none"/>
        </w:rPr>
        <w:t> 致：江苏省设备成套股份有限公司</w:t>
      </w:r>
    </w:p>
    <w:p w14:paraId="661C9BE9">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根据贵方</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w:t>
      </w:r>
      <w:r>
        <w:rPr>
          <w:rFonts w:ascii="Arial" w:hAnsi="Arial" w:cs="Arial"/>
          <w:color w:val="auto"/>
          <w:kern w:val="0"/>
          <w:szCs w:val="21"/>
          <w:highlight w:val="none"/>
        </w:rPr>
        <w:t>项目名称） </w:t>
      </w:r>
      <w:r>
        <w:rPr>
          <w:rFonts w:ascii="Arial" w:hAnsi="Arial" w:cs="Arial"/>
          <w:color w:val="auto"/>
          <w:kern w:val="0"/>
          <w:szCs w:val="21"/>
          <w:highlight w:val="none"/>
          <w:u w:val="single"/>
        </w:rPr>
        <w:t>       </w:t>
      </w:r>
      <w:r>
        <w:rPr>
          <w:rFonts w:ascii="Arial" w:hAnsi="Arial" w:cs="Arial"/>
          <w:color w:val="auto"/>
          <w:kern w:val="0"/>
          <w:szCs w:val="21"/>
          <w:highlight w:val="none"/>
        </w:rPr>
        <w:t>（项目编号）投标邀请，正式授权下述签字人</w:t>
      </w:r>
      <w:r>
        <w:rPr>
          <w:rFonts w:ascii="Arial" w:hAnsi="Arial" w:cs="Arial"/>
          <w:color w:val="auto"/>
          <w:kern w:val="0"/>
          <w:szCs w:val="21"/>
          <w:highlight w:val="none"/>
          <w:u w:val="single"/>
        </w:rPr>
        <w:t>           </w:t>
      </w:r>
      <w:r>
        <w:rPr>
          <w:rFonts w:ascii="Arial" w:hAnsi="Arial" w:cs="Arial"/>
          <w:color w:val="auto"/>
          <w:kern w:val="0"/>
          <w:szCs w:val="21"/>
          <w:highlight w:val="none"/>
        </w:rPr>
        <w:t>(姓名和职务)代表投标人</w:t>
      </w:r>
      <w:r>
        <w:rPr>
          <w:rFonts w:ascii="Arial" w:hAnsi="Arial" w:cs="Arial"/>
          <w:color w:val="auto"/>
          <w:kern w:val="0"/>
          <w:szCs w:val="21"/>
          <w:highlight w:val="none"/>
          <w:u w:val="single"/>
        </w:rPr>
        <w:t>     </w:t>
      </w:r>
      <w:r>
        <w:rPr>
          <w:rFonts w:ascii="Arial" w:hAnsi="Arial" w:cs="Arial"/>
          <w:color w:val="auto"/>
          <w:kern w:val="0"/>
          <w:szCs w:val="21"/>
          <w:highlight w:val="none"/>
        </w:rPr>
        <w:t>（投标人名称），提交投标文件。</w:t>
      </w:r>
    </w:p>
    <w:p w14:paraId="36AEE9FD">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据此函，签字人兹宣布声明和承诺如下：</w:t>
      </w:r>
    </w:p>
    <w:p w14:paraId="04B0BA5E">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1、我们的资格条件完全符合政府采购法和本次招标要求，我们同意并向贵方提供了与投标有关的所有证据和资料。</w:t>
      </w:r>
    </w:p>
    <w:p w14:paraId="7280F97B">
      <w:pPr>
        <w:widowControl/>
        <w:spacing w:line="400" w:lineRule="exact"/>
        <w:ind w:left="1470" w:hanging="1050"/>
        <w:rPr>
          <w:rFonts w:ascii="Arial" w:hAnsi="Arial" w:cs="Arial"/>
          <w:color w:val="auto"/>
          <w:kern w:val="0"/>
          <w:szCs w:val="21"/>
          <w:highlight w:val="none"/>
        </w:rPr>
      </w:pPr>
      <w:r>
        <w:rPr>
          <w:rFonts w:ascii="Arial" w:hAnsi="Arial" w:cs="Arial"/>
          <w:color w:val="auto"/>
          <w:kern w:val="0"/>
          <w:szCs w:val="21"/>
          <w:highlight w:val="none"/>
        </w:rPr>
        <w:t>2、按招标要求，我们的投标总报价</w:t>
      </w:r>
      <w:r>
        <w:rPr>
          <w:rFonts w:hint="eastAsia" w:ascii="Arial" w:hAnsi="Arial" w:cs="Arial"/>
          <w:color w:val="auto"/>
          <w:kern w:val="0"/>
          <w:szCs w:val="21"/>
          <w:highlight w:val="none"/>
        </w:rPr>
        <w:t>详见开标一览表</w:t>
      </w:r>
      <w:r>
        <w:rPr>
          <w:rFonts w:ascii="Arial" w:hAnsi="Arial" w:cs="Arial"/>
          <w:color w:val="auto"/>
          <w:kern w:val="0"/>
          <w:szCs w:val="21"/>
          <w:highlight w:val="none"/>
        </w:rPr>
        <w:t>。</w:t>
      </w:r>
    </w:p>
    <w:p w14:paraId="7DB8218D">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3、本项目交付时间为：</w:t>
      </w:r>
      <w:r>
        <w:rPr>
          <w:rFonts w:ascii="Arial" w:hAnsi="Arial" w:cs="Arial"/>
          <w:color w:val="auto"/>
          <w:kern w:val="0"/>
          <w:szCs w:val="21"/>
          <w:highlight w:val="none"/>
          <w:u w:val="single"/>
        </w:rPr>
        <w:t xml:space="preserve">  满足招标文件要求  </w:t>
      </w:r>
      <w:r>
        <w:rPr>
          <w:rFonts w:ascii="Arial" w:hAnsi="Arial" w:cs="Arial"/>
          <w:color w:val="auto"/>
          <w:kern w:val="0"/>
          <w:szCs w:val="21"/>
          <w:highlight w:val="none"/>
        </w:rPr>
        <w:t>。</w:t>
      </w:r>
    </w:p>
    <w:p w14:paraId="696946C5">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4、我们已详细阅读全部招标文件及其有效补充文件，我们放弃对招标文件任何误解的权利，提交投标文件后，不对招标文件本身提出质疑。</w:t>
      </w:r>
    </w:p>
    <w:p w14:paraId="283D2615">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5、我们同意从规定的开标日期起遵循本投标文件，并在规定的投标有效期期满之前均具有约束力。</w:t>
      </w:r>
    </w:p>
    <w:p w14:paraId="568C9EB4">
      <w:pPr>
        <w:widowControl/>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6</w:t>
      </w:r>
      <w:r>
        <w:rPr>
          <w:rFonts w:ascii="Arial" w:hAnsi="Arial" w:cs="Arial"/>
          <w:color w:val="auto"/>
          <w:kern w:val="0"/>
          <w:szCs w:val="21"/>
          <w:highlight w:val="none"/>
        </w:rPr>
        <w:t>、一旦我方中标，我方将根据招标文件的规定</w:t>
      </w:r>
      <w:r>
        <w:rPr>
          <w:rFonts w:hint="eastAsia" w:ascii="Arial" w:hAnsi="Arial" w:cs="Arial"/>
          <w:color w:val="auto"/>
          <w:kern w:val="0"/>
          <w:szCs w:val="21"/>
          <w:highlight w:val="none"/>
        </w:rPr>
        <w:t>及我方投标承诺</w:t>
      </w:r>
      <w:r>
        <w:rPr>
          <w:rFonts w:ascii="Arial" w:hAnsi="Arial" w:cs="Arial"/>
          <w:color w:val="auto"/>
          <w:kern w:val="0"/>
          <w:szCs w:val="21"/>
          <w:highlight w:val="none"/>
        </w:rPr>
        <w:t>严格履行合同。</w:t>
      </w:r>
    </w:p>
    <w:p w14:paraId="5DF1C171">
      <w:pPr>
        <w:widowControl/>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7</w:t>
      </w:r>
      <w:r>
        <w:rPr>
          <w:rFonts w:ascii="Arial" w:hAnsi="Arial" w:cs="Arial"/>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91AEC43">
      <w:pPr>
        <w:widowControl/>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8</w:t>
      </w:r>
      <w:r>
        <w:rPr>
          <w:rFonts w:ascii="Arial" w:hAnsi="Arial" w:cs="Arial"/>
          <w:color w:val="auto"/>
          <w:kern w:val="0"/>
          <w:szCs w:val="21"/>
          <w:highlight w:val="none"/>
        </w:rPr>
        <w:t>、与本投标有关的正式联系方式为：</w:t>
      </w:r>
    </w:p>
    <w:p w14:paraId="2451AAF7">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地   址：</w:t>
      </w:r>
      <w:r>
        <w:rPr>
          <w:rFonts w:ascii="Arial" w:hAnsi="Arial" w:cs="Arial"/>
          <w:color w:val="auto"/>
          <w:kern w:val="0"/>
          <w:szCs w:val="21"/>
          <w:highlight w:val="none"/>
          <w:u w:val="single"/>
        </w:rPr>
        <w:t>                      </w:t>
      </w:r>
    </w:p>
    <w:p w14:paraId="227342EE">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电   话：</w:t>
      </w:r>
      <w:r>
        <w:rPr>
          <w:rFonts w:ascii="Arial" w:hAnsi="Arial" w:cs="Arial"/>
          <w:color w:val="auto"/>
          <w:kern w:val="0"/>
          <w:szCs w:val="21"/>
          <w:highlight w:val="none"/>
          <w:u w:val="single"/>
        </w:rPr>
        <w:t>                      </w:t>
      </w:r>
    </w:p>
    <w:p w14:paraId="329435F4">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传   真：</w:t>
      </w:r>
      <w:r>
        <w:rPr>
          <w:rFonts w:ascii="Arial" w:hAnsi="Arial" w:cs="Arial"/>
          <w:color w:val="auto"/>
          <w:kern w:val="0"/>
          <w:szCs w:val="21"/>
          <w:highlight w:val="none"/>
          <w:u w:val="single"/>
        </w:rPr>
        <w:t>                      </w:t>
      </w:r>
    </w:p>
    <w:p w14:paraId="47347901">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开户银行：</w:t>
      </w:r>
    </w:p>
    <w:p w14:paraId="740B2CCD">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银行账号：</w:t>
      </w:r>
    </w:p>
    <w:p w14:paraId="7907F228">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投标人授权代表姓名（签字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6D7892D9">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投标人名称：</w:t>
      </w:r>
      <w:r>
        <w:rPr>
          <w:rFonts w:ascii="Arial" w:hAnsi="Arial" w:cs="Arial"/>
          <w:color w:val="auto"/>
          <w:kern w:val="0"/>
          <w:szCs w:val="21"/>
          <w:highlight w:val="none"/>
          <w:u w:val="single"/>
        </w:rPr>
        <w:t>                 </w:t>
      </w:r>
      <w:r>
        <w:rPr>
          <w:rFonts w:ascii="Arial" w:hAnsi="Arial" w:cs="Arial"/>
          <w:color w:val="auto"/>
          <w:kern w:val="0"/>
          <w:szCs w:val="21"/>
          <w:highlight w:val="none"/>
        </w:rPr>
        <w:t>（盖章）</w:t>
      </w:r>
    </w:p>
    <w:p w14:paraId="0AF88934">
      <w:pPr>
        <w:widowControl/>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日    期：</w:t>
      </w:r>
      <w:r>
        <w:rPr>
          <w:rFonts w:ascii="Arial" w:hAnsi="Arial" w:cs="Arial"/>
          <w:color w:val="auto"/>
          <w:kern w:val="0"/>
          <w:szCs w:val="21"/>
          <w:highlight w:val="none"/>
          <w:u w:val="single"/>
        </w:rPr>
        <w:t>     </w:t>
      </w:r>
      <w:r>
        <w:rPr>
          <w:rFonts w:ascii="Arial" w:hAnsi="Arial" w:cs="Arial"/>
          <w:color w:val="auto"/>
          <w:kern w:val="0"/>
          <w:szCs w:val="21"/>
          <w:highlight w:val="none"/>
        </w:rPr>
        <w:t>年</w:t>
      </w:r>
      <w:r>
        <w:rPr>
          <w:rFonts w:ascii="Arial" w:hAnsi="Arial" w:cs="Arial"/>
          <w:color w:val="auto"/>
          <w:kern w:val="0"/>
          <w:szCs w:val="21"/>
          <w:highlight w:val="none"/>
          <w:u w:val="single"/>
        </w:rPr>
        <w:t>    </w:t>
      </w:r>
      <w:r>
        <w:rPr>
          <w:rFonts w:ascii="Arial" w:hAnsi="Arial" w:cs="Arial"/>
          <w:color w:val="auto"/>
          <w:kern w:val="0"/>
          <w:szCs w:val="21"/>
          <w:highlight w:val="none"/>
        </w:rPr>
        <w:t>月</w:t>
      </w:r>
      <w:r>
        <w:rPr>
          <w:rFonts w:ascii="Arial" w:hAnsi="Arial" w:cs="Arial"/>
          <w:color w:val="auto"/>
          <w:kern w:val="0"/>
          <w:szCs w:val="21"/>
          <w:highlight w:val="none"/>
          <w:u w:val="single"/>
        </w:rPr>
        <w:t>    </w:t>
      </w:r>
      <w:r>
        <w:rPr>
          <w:rFonts w:ascii="Arial" w:hAnsi="Arial" w:cs="Arial"/>
          <w:color w:val="auto"/>
          <w:kern w:val="0"/>
          <w:szCs w:val="21"/>
          <w:highlight w:val="none"/>
        </w:rPr>
        <w:t>日</w:t>
      </w:r>
    </w:p>
    <w:p w14:paraId="275A4539">
      <w:pPr>
        <w:widowControl/>
        <w:spacing w:line="360" w:lineRule="auto"/>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附件二、</w:t>
      </w:r>
      <w:r>
        <w:rPr>
          <w:rFonts w:hint="eastAsia" w:ascii="Arial" w:hAnsi="Arial" w:cs="Arial"/>
          <w:b/>
          <w:bCs/>
          <w:color w:val="auto"/>
          <w:kern w:val="0"/>
          <w:szCs w:val="21"/>
          <w:highlight w:val="none"/>
        </w:rPr>
        <w:t>法定代表人授权书</w:t>
      </w:r>
      <w:r>
        <w:rPr>
          <w:rFonts w:ascii="Arial" w:hAnsi="Arial" w:cs="Arial"/>
          <w:b/>
          <w:bCs/>
          <w:color w:val="auto"/>
          <w:kern w:val="0"/>
          <w:szCs w:val="21"/>
          <w:highlight w:val="none"/>
        </w:rPr>
        <w:t>格式</w:t>
      </w:r>
    </w:p>
    <w:p w14:paraId="1B4E982D">
      <w:pPr>
        <w:widowControl/>
        <w:spacing w:line="360" w:lineRule="auto"/>
        <w:ind w:firstLine="720"/>
        <w:jc w:val="center"/>
        <w:rPr>
          <w:rFonts w:ascii="Arial" w:hAnsi="Arial" w:cs="Arial"/>
          <w:color w:val="auto"/>
          <w:kern w:val="0"/>
          <w:sz w:val="36"/>
          <w:szCs w:val="36"/>
          <w:highlight w:val="none"/>
        </w:rPr>
      </w:pPr>
    </w:p>
    <w:p w14:paraId="2B4FF8EF">
      <w:pPr>
        <w:widowControl/>
        <w:spacing w:line="360" w:lineRule="auto"/>
        <w:ind w:firstLine="720"/>
        <w:jc w:val="center"/>
        <w:rPr>
          <w:rFonts w:ascii="Arial" w:hAnsi="Arial" w:cs="Arial"/>
          <w:b/>
          <w:color w:val="auto"/>
          <w:kern w:val="0"/>
          <w:szCs w:val="21"/>
          <w:highlight w:val="none"/>
        </w:rPr>
      </w:pPr>
      <w:r>
        <w:rPr>
          <w:rFonts w:ascii="Arial" w:hAnsi="Arial" w:cs="Arial"/>
          <w:b/>
          <w:color w:val="auto"/>
          <w:kern w:val="0"/>
          <w:sz w:val="36"/>
          <w:szCs w:val="36"/>
          <w:highlight w:val="none"/>
        </w:rPr>
        <w:t>法定代表人授权书</w:t>
      </w:r>
    </w:p>
    <w:p w14:paraId="311B7E10">
      <w:pPr>
        <w:widowControl/>
        <w:spacing w:line="360" w:lineRule="auto"/>
        <w:jc w:val="left"/>
        <w:rPr>
          <w:rFonts w:ascii="Arial" w:hAnsi="Arial" w:cs="Arial"/>
          <w:color w:val="auto"/>
          <w:kern w:val="0"/>
          <w:szCs w:val="21"/>
          <w:highlight w:val="none"/>
        </w:rPr>
      </w:pPr>
    </w:p>
    <w:p w14:paraId="7B18803A">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致：江苏省设备成套股份有限公司</w:t>
      </w:r>
    </w:p>
    <w:p w14:paraId="40093999">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本授权书声明：注册于</w:t>
      </w:r>
      <w:r>
        <w:rPr>
          <w:rFonts w:ascii="Arial" w:hAnsi="Arial" w:cs="Arial"/>
          <w:color w:val="auto"/>
          <w:kern w:val="0"/>
          <w:szCs w:val="21"/>
          <w:highlight w:val="none"/>
          <w:u w:val="single"/>
        </w:rPr>
        <w:t>              </w:t>
      </w:r>
      <w:r>
        <w:rPr>
          <w:rFonts w:ascii="Arial" w:hAnsi="Arial" w:cs="Arial"/>
          <w:color w:val="auto"/>
          <w:kern w:val="0"/>
          <w:szCs w:val="21"/>
          <w:highlight w:val="none"/>
        </w:rPr>
        <w:t>（投标人住址）的</w:t>
      </w:r>
      <w:r>
        <w:rPr>
          <w:rFonts w:ascii="Arial" w:hAnsi="Arial" w:cs="Arial"/>
          <w:color w:val="auto"/>
          <w:kern w:val="0"/>
          <w:szCs w:val="21"/>
          <w:highlight w:val="none"/>
          <w:u w:val="single"/>
        </w:rPr>
        <w:t>           </w:t>
      </w:r>
      <w:r>
        <w:rPr>
          <w:rFonts w:ascii="Arial" w:hAnsi="Arial" w:cs="Arial"/>
          <w:color w:val="auto"/>
          <w:kern w:val="0"/>
          <w:szCs w:val="21"/>
          <w:highlight w:val="none"/>
        </w:rPr>
        <w:t>（投标人名称）法定代表人</w:t>
      </w:r>
      <w:r>
        <w:rPr>
          <w:rFonts w:ascii="Arial" w:hAnsi="Arial" w:cs="Arial"/>
          <w:color w:val="auto"/>
          <w:kern w:val="0"/>
          <w:szCs w:val="21"/>
          <w:highlight w:val="none"/>
          <w:u w:val="single"/>
        </w:rPr>
        <w:t>        </w:t>
      </w:r>
      <w:r>
        <w:rPr>
          <w:rFonts w:ascii="Arial" w:hAnsi="Arial" w:cs="Arial"/>
          <w:color w:val="auto"/>
          <w:kern w:val="0"/>
          <w:szCs w:val="21"/>
          <w:highlight w:val="none"/>
        </w:rPr>
        <w:t>（法定代表人姓名、职务）代表本公司授权在下面签字的</w:t>
      </w:r>
      <w:r>
        <w:rPr>
          <w:rFonts w:ascii="Arial" w:hAnsi="Arial" w:cs="Arial"/>
          <w:color w:val="auto"/>
          <w:kern w:val="0"/>
          <w:szCs w:val="21"/>
          <w:highlight w:val="none"/>
          <w:u w:val="single"/>
        </w:rPr>
        <w:t>        </w:t>
      </w:r>
      <w:r>
        <w:rPr>
          <w:rFonts w:ascii="Arial" w:hAnsi="Arial" w:cs="Arial"/>
          <w:color w:val="auto"/>
          <w:kern w:val="0"/>
          <w:szCs w:val="21"/>
          <w:highlight w:val="none"/>
        </w:rPr>
        <w:t>（投标人代表姓名、职务）为本公司的合法代理人，就贵方组织的</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 xml:space="preserve">    </w:t>
      </w:r>
      <w:r>
        <w:rPr>
          <w:rFonts w:ascii="Arial" w:hAnsi="Arial" w:cs="Arial"/>
          <w:color w:val="auto"/>
          <w:kern w:val="0"/>
          <w:szCs w:val="21"/>
          <w:highlight w:val="none"/>
        </w:rPr>
        <w:t>（项目名称），</w:t>
      </w:r>
      <w:r>
        <w:rPr>
          <w:rFonts w:ascii="Arial" w:hAnsi="Arial" w:cs="Arial"/>
          <w:color w:val="auto"/>
          <w:kern w:val="0"/>
          <w:szCs w:val="21"/>
          <w:highlight w:val="none"/>
          <w:u w:val="single"/>
        </w:rPr>
        <w:t>        </w:t>
      </w:r>
      <w:r>
        <w:rPr>
          <w:rFonts w:ascii="Arial" w:hAnsi="Arial" w:cs="Arial"/>
          <w:color w:val="auto"/>
          <w:kern w:val="0"/>
          <w:szCs w:val="21"/>
          <w:highlight w:val="none"/>
        </w:rPr>
        <w:t>（项目编号）投标，以本公司名义处理一切与之有关的事务。</w:t>
      </w:r>
    </w:p>
    <w:p w14:paraId="388AD786">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本授权书于    年  月  日签字生效，特此声明。</w:t>
      </w:r>
    </w:p>
    <w:p w14:paraId="2331BDAC">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法定代表人签字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p>
    <w:p w14:paraId="530A24A0">
      <w:pPr>
        <w:widowControl/>
        <w:spacing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被</w:t>
      </w:r>
      <w:r>
        <w:rPr>
          <w:rFonts w:ascii="Arial" w:hAnsi="Arial" w:cs="Arial"/>
          <w:color w:val="auto"/>
          <w:kern w:val="0"/>
          <w:szCs w:val="21"/>
          <w:highlight w:val="none"/>
        </w:rPr>
        <w:t>授权人签字</w:t>
      </w:r>
      <w:r>
        <w:rPr>
          <w:rFonts w:hint="eastAsia" w:ascii="Arial" w:hAnsi="Arial" w:cs="Arial"/>
          <w:color w:val="auto"/>
          <w:kern w:val="0"/>
          <w:szCs w:val="21"/>
          <w:highlight w:val="none"/>
        </w:rPr>
        <w:t>或签章</w:t>
      </w:r>
      <w:r>
        <w:rPr>
          <w:rFonts w:ascii="Arial" w:hAnsi="Arial" w:cs="Arial"/>
          <w:color w:val="auto"/>
          <w:kern w:val="0"/>
          <w:szCs w:val="21"/>
          <w:highlight w:val="none"/>
        </w:rPr>
        <w:t>：   </w:t>
      </w:r>
    </w:p>
    <w:p w14:paraId="16AC5719">
      <w:pPr>
        <w:widowControl/>
        <w:spacing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供应商盖章：</w:t>
      </w:r>
      <w:r>
        <w:rPr>
          <w:rFonts w:ascii="Arial" w:hAnsi="Arial" w:cs="Arial"/>
          <w:color w:val="auto"/>
          <w:kern w:val="0"/>
          <w:szCs w:val="21"/>
          <w:highlight w:val="none"/>
        </w:rPr>
        <w:t>                </w:t>
      </w:r>
    </w:p>
    <w:p w14:paraId="4BBA1679">
      <w:pPr>
        <w:widowControl/>
        <w:spacing w:line="360" w:lineRule="auto"/>
        <w:ind w:firstLine="338" w:firstLineChars="161"/>
        <w:jc w:val="left"/>
        <w:rPr>
          <w:rFonts w:ascii="Arial" w:hAnsi="Arial" w:cs="Arial"/>
          <w:color w:val="auto"/>
          <w:kern w:val="0"/>
          <w:szCs w:val="21"/>
          <w:highlight w:val="none"/>
        </w:rPr>
      </w:pPr>
      <w:r>
        <w:rPr>
          <w:rFonts w:ascii="Arial" w:hAnsi="Arial" w:cs="Arial"/>
          <w:color w:val="auto"/>
          <w:kern w:val="0"/>
          <w:szCs w:val="21"/>
          <w:highlight w:val="none"/>
        </w:rPr>
        <w:t>日     期：        年    月    日</w:t>
      </w:r>
    </w:p>
    <w:p w14:paraId="5CA54A4B">
      <w:pPr>
        <w:widowControl/>
        <w:spacing w:line="360" w:lineRule="auto"/>
        <w:ind w:firstLine="840" w:firstLineChars="400"/>
        <w:jc w:val="left"/>
        <w:rPr>
          <w:rFonts w:ascii="Arial" w:hAnsi="Arial" w:cs="Arial"/>
          <w:color w:val="auto"/>
          <w:kern w:val="0"/>
          <w:szCs w:val="21"/>
          <w:highlight w:val="none"/>
        </w:rPr>
      </w:pPr>
    </w:p>
    <w:p w14:paraId="578FFEF4">
      <w:pPr>
        <w:widowControl/>
        <w:spacing w:line="360" w:lineRule="auto"/>
        <w:jc w:val="left"/>
        <w:rPr>
          <w:rFonts w:ascii="Arial" w:hAnsi="Arial" w:cs="Arial"/>
          <w:b/>
          <w:color w:val="auto"/>
          <w:kern w:val="0"/>
          <w:szCs w:val="21"/>
          <w:highlight w:val="none"/>
        </w:rPr>
      </w:pPr>
      <w:r>
        <w:rPr>
          <w:rFonts w:ascii="Arial" w:hAnsi="Arial" w:cs="Arial"/>
          <w:b/>
          <w:color w:val="auto"/>
          <w:kern w:val="0"/>
          <w:szCs w:val="21"/>
          <w:highlight w:val="none"/>
        </w:rPr>
        <w:t>被授权人的身份证的复印件:</w:t>
      </w:r>
    </w:p>
    <w:p w14:paraId="7E262D2E">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40F512C1">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03135E02">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5D0D6C79">
      <w:pPr>
        <w:autoSpaceDE w:val="0"/>
        <w:autoSpaceDN w:val="0"/>
        <w:adjustRightInd w:val="0"/>
        <w:spacing w:line="360" w:lineRule="auto"/>
        <w:rPr>
          <w:rFonts w:ascii="Arial" w:hAnsi="Arial" w:cs="Arial"/>
          <w:color w:val="auto"/>
          <w:highlight w:val="none"/>
        </w:rPr>
      </w:pPr>
      <w:r>
        <w:rPr>
          <w:rFonts w:ascii="Arial" w:hAnsi="Arial" w:cs="Arial"/>
          <w:b/>
          <w:bCs/>
          <w:color w:val="auto"/>
          <w:kern w:val="0"/>
          <w:szCs w:val="21"/>
          <w:highlight w:val="none"/>
        </w:rPr>
        <w:br w:type="page"/>
      </w:r>
      <w:bookmarkStart w:id="56" w:name="_Toc26810"/>
      <w:r>
        <w:rPr>
          <w:rFonts w:ascii="Arial" w:hAnsi="Arial" w:cs="Arial"/>
          <w:b/>
          <w:bCs/>
          <w:color w:val="auto"/>
          <w:kern w:val="0"/>
          <w:szCs w:val="21"/>
          <w:highlight w:val="none"/>
          <w:lang w:val="zh-CN"/>
        </w:rPr>
        <w:t>附件三、</w:t>
      </w:r>
      <w:bookmarkEnd w:id="56"/>
      <w:r>
        <w:rPr>
          <w:rFonts w:hint="eastAsia" w:ascii="Arial" w:hAnsi="Arial" w:cs="Arial"/>
          <w:b/>
          <w:bCs/>
          <w:color w:val="auto"/>
          <w:kern w:val="0"/>
          <w:szCs w:val="21"/>
          <w:highlight w:val="none"/>
        </w:rPr>
        <w:t>开标一览表</w:t>
      </w:r>
    </w:p>
    <w:p w14:paraId="262E75B8">
      <w:pPr>
        <w:autoSpaceDE w:val="0"/>
        <w:autoSpaceDN w:val="0"/>
        <w:adjustRightInd w:val="0"/>
        <w:rPr>
          <w:rFonts w:ascii="Arial" w:hAnsi="Arial" w:cs="Arial"/>
          <w:b/>
          <w:bCs/>
          <w:color w:val="auto"/>
          <w:highlight w:val="none"/>
          <w:lang w:val="zh-CN"/>
        </w:rPr>
      </w:pPr>
    </w:p>
    <w:p w14:paraId="7C148B83">
      <w:pPr>
        <w:jc w:val="center"/>
        <w:rPr>
          <w:rFonts w:ascii="Arial" w:hAnsi="Arial" w:cs="Arial"/>
          <w:b/>
          <w:color w:val="auto"/>
          <w:sz w:val="36"/>
          <w:szCs w:val="36"/>
          <w:highlight w:val="none"/>
        </w:rPr>
      </w:pPr>
      <w:r>
        <w:rPr>
          <w:rFonts w:ascii="Arial" w:hAnsi="Arial" w:cs="Arial"/>
          <w:b/>
          <w:color w:val="auto"/>
          <w:sz w:val="36"/>
          <w:szCs w:val="36"/>
          <w:highlight w:val="none"/>
        </w:rPr>
        <w:t>开标一览表</w:t>
      </w:r>
    </w:p>
    <w:p w14:paraId="2A2BB7E3">
      <w:pPr>
        <w:widowControl/>
        <w:spacing w:line="360" w:lineRule="auto"/>
        <w:jc w:val="center"/>
        <w:rPr>
          <w:rFonts w:ascii="Arial" w:hAnsi="Arial" w:cs="Arial"/>
          <w:color w:val="auto"/>
          <w:kern w:val="0"/>
          <w:sz w:val="24"/>
          <w:highlight w:val="none"/>
        </w:rPr>
      </w:pPr>
      <w:r>
        <w:rPr>
          <w:rFonts w:ascii="Arial" w:hAnsi="Arial" w:cs="Arial"/>
          <w:color w:val="auto"/>
          <w:highlight w:val="none"/>
          <w:lang w:val="zh-CN"/>
        </w:rPr>
        <w:t xml:space="preserve">               </w:t>
      </w:r>
    </w:p>
    <w:p w14:paraId="49911D66">
      <w:pPr>
        <w:pStyle w:val="14"/>
        <w:spacing w:line="440" w:lineRule="exact"/>
        <w:ind w:firstLine="474" w:firstLineChars="225"/>
        <w:rPr>
          <w:rFonts w:ascii="Arial" w:hAnsi="Arial" w:cs="Arial"/>
          <w:color w:val="auto"/>
          <w:sz w:val="21"/>
          <w:szCs w:val="21"/>
          <w:highlight w:val="none"/>
        </w:rPr>
      </w:pPr>
      <w:r>
        <w:rPr>
          <w:rFonts w:ascii="Arial" w:hAnsi="Arial" w:cs="Arial"/>
          <w:color w:val="auto"/>
          <w:sz w:val="21"/>
          <w:szCs w:val="21"/>
          <w:highlight w:val="none"/>
        </w:rPr>
        <w:t>项目名称：                                         项目编号：</w:t>
      </w:r>
    </w:p>
    <w:tbl>
      <w:tblPr>
        <w:tblStyle w:val="43"/>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1469"/>
        <w:gridCol w:w="6156"/>
      </w:tblGrid>
      <w:tr w14:paraId="0778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5062214F">
            <w:pPr>
              <w:pStyle w:val="14"/>
              <w:spacing w:line="440" w:lineRule="exact"/>
              <w:ind w:firstLine="0"/>
              <w:jc w:val="center"/>
              <w:rPr>
                <w:rFonts w:hint="eastAsia" w:ascii="宋体" w:hAnsi="宋体" w:cs="Arial"/>
                <w:color w:val="auto"/>
                <w:sz w:val="21"/>
                <w:szCs w:val="21"/>
                <w:highlight w:val="none"/>
              </w:rPr>
            </w:pPr>
            <w:r>
              <w:rPr>
                <w:rFonts w:ascii="宋体" w:hAnsi="宋体" w:cs="Arial"/>
                <w:color w:val="auto"/>
                <w:sz w:val="21"/>
                <w:szCs w:val="21"/>
                <w:highlight w:val="none"/>
              </w:rPr>
              <w:t>投标总价</w:t>
            </w:r>
          </w:p>
        </w:tc>
        <w:tc>
          <w:tcPr>
            <w:tcW w:w="1469" w:type="dxa"/>
            <w:vAlign w:val="center"/>
          </w:tcPr>
          <w:p w14:paraId="7577A0D2">
            <w:pPr>
              <w:pStyle w:val="14"/>
              <w:spacing w:line="440" w:lineRule="exact"/>
              <w:ind w:firstLine="0"/>
              <w:jc w:val="center"/>
              <w:rPr>
                <w:rFonts w:hint="eastAsia" w:ascii="宋体" w:hAnsi="宋体" w:cs="Arial"/>
                <w:color w:val="auto"/>
                <w:sz w:val="21"/>
                <w:szCs w:val="21"/>
                <w:highlight w:val="none"/>
              </w:rPr>
            </w:pPr>
            <w:r>
              <w:rPr>
                <w:rFonts w:ascii="宋体" w:hAnsi="宋体" w:cs="Arial"/>
                <w:color w:val="auto"/>
                <w:sz w:val="21"/>
                <w:szCs w:val="21"/>
                <w:highlight w:val="none"/>
              </w:rPr>
              <w:t>合计</w:t>
            </w:r>
          </w:p>
        </w:tc>
        <w:tc>
          <w:tcPr>
            <w:tcW w:w="6156" w:type="dxa"/>
            <w:vAlign w:val="center"/>
          </w:tcPr>
          <w:p w14:paraId="331EE14C">
            <w:pPr>
              <w:pStyle w:val="14"/>
              <w:spacing w:line="440" w:lineRule="exact"/>
              <w:ind w:firstLine="0"/>
              <w:rPr>
                <w:rFonts w:hint="eastAsia" w:ascii="宋体" w:hAnsi="宋体" w:cs="Arial"/>
                <w:bCs/>
                <w:color w:val="auto"/>
                <w:sz w:val="21"/>
                <w:szCs w:val="21"/>
                <w:highlight w:val="none"/>
              </w:rPr>
            </w:pPr>
            <w:r>
              <w:rPr>
                <w:rFonts w:ascii="宋体" w:hAnsi="宋体" w:cs="Arial"/>
                <w:color w:val="auto"/>
                <w:sz w:val="21"/>
                <w:szCs w:val="21"/>
                <w:highlight w:val="none"/>
              </w:rPr>
              <w:t>小写：人民币</w:t>
            </w:r>
            <w:r>
              <w:rPr>
                <w:rFonts w:ascii="Arial" w:hAnsi="Arial" w:cs="Arial"/>
                <w:color w:val="auto"/>
                <w:sz w:val="21"/>
                <w:szCs w:val="21"/>
                <w:highlight w:val="none"/>
              </w:rPr>
              <w:t xml:space="preserve"> </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 xml:space="preserve">  </w:t>
            </w:r>
            <w:r>
              <w:rPr>
                <w:rFonts w:ascii="宋体" w:hAnsi="宋体" w:cs="Arial"/>
                <w:color w:val="auto"/>
                <w:sz w:val="21"/>
                <w:szCs w:val="21"/>
                <w:highlight w:val="none"/>
              </w:rPr>
              <w:t xml:space="preserve">    </w:t>
            </w:r>
          </w:p>
          <w:p w14:paraId="3DD8438F">
            <w:pPr>
              <w:pStyle w:val="14"/>
              <w:spacing w:line="440" w:lineRule="exact"/>
              <w:ind w:firstLine="474" w:firstLineChars="225"/>
              <w:rPr>
                <w:rFonts w:hint="eastAsia" w:ascii="宋体" w:hAnsi="宋体" w:cs="Arial"/>
                <w:color w:val="auto"/>
                <w:sz w:val="21"/>
                <w:szCs w:val="21"/>
                <w:highlight w:val="none"/>
              </w:rPr>
            </w:pPr>
          </w:p>
          <w:p w14:paraId="41F55021">
            <w:pPr>
              <w:pStyle w:val="14"/>
              <w:spacing w:line="440" w:lineRule="exact"/>
              <w:ind w:firstLine="0"/>
              <w:rPr>
                <w:rFonts w:hint="eastAsia" w:ascii="宋体" w:hAnsi="宋体" w:cs="Arial"/>
                <w:color w:val="auto"/>
                <w:sz w:val="21"/>
                <w:szCs w:val="21"/>
                <w:highlight w:val="none"/>
              </w:rPr>
            </w:pPr>
            <w:r>
              <w:rPr>
                <w:rFonts w:ascii="宋体" w:hAnsi="宋体" w:cs="Arial"/>
                <w:color w:val="auto"/>
                <w:sz w:val="21"/>
                <w:szCs w:val="21"/>
                <w:highlight w:val="none"/>
              </w:rPr>
              <w:t xml:space="preserve">大写：人民币                    </w:t>
            </w:r>
          </w:p>
        </w:tc>
      </w:tr>
      <w:tr w14:paraId="0A29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3F4AF393">
            <w:pPr>
              <w:pStyle w:val="14"/>
              <w:spacing w:line="440" w:lineRule="exact"/>
              <w:ind w:firstLine="0"/>
              <w:jc w:val="center"/>
              <w:rPr>
                <w:rFonts w:hint="eastAsia" w:ascii="宋体" w:hAnsi="宋体" w:cs="Arial"/>
                <w:color w:val="auto"/>
                <w:sz w:val="21"/>
                <w:szCs w:val="21"/>
                <w:highlight w:val="none"/>
              </w:rPr>
            </w:pPr>
            <w:r>
              <w:rPr>
                <w:rFonts w:ascii="宋体" w:hAnsi="宋体" w:cs="Arial"/>
                <w:color w:val="auto"/>
                <w:sz w:val="21"/>
                <w:szCs w:val="21"/>
                <w:highlight w:val="none"/>
              </w:rPr>
              <w:t>服务时间/交付使用时间</w:t>
            </w:r>
          </w:p>
        </w:tc>
        <w:tc>
          <w:tcPr>
            <w:tcW w:w="7625" w:type="dxa"/>
            <w:gridSpan w:val="2"/>
            <w:vAlign w:val="center"/>
          </w:tcPr>
          <w:p w14:paraId="4AA7A8D8">
            <w:pPr>
              <w:pStyle w:val="14"/>
              <w:tabs>
                <w:tab w:val="left" w:pos="3624"/>
              </w:tabs>
              <w:spacing w:line="440" w:lineRule="exact"/>
              <w:ind w:firstLine="474" w:firstLineChars="225"/>
              <w:rPr>
                <w:rFonts w:hint="eastAsia" w:ascii="宋体" w:hAnsi="宋体" w:cs="Arial"/>
                <w:color w:val="auto"/>
                <w:sz w:val="21"/>
                <w:szCs w:val="21"/>
                <w:highlight w:val="none"/>
                <w:u w:val="single"/>
              </w:rPr>
            </w:pPr>
            <w:r>
              <w:rPr>
                <w:rFonts w:ascii="宋体" w:hAnsi="宋体" w:cs="Arial"/>
                <w:color w:val="auto"/>
                <w:sz w:val="21"/>
                <w:szCs w:val="21"/>
                <w:highlight w:val="none"/>
                <w:u w:val="single"/>
              </w:rPr>
              <w:t>满足招标文件要求。</w:t>
            </w:r>
          </w:p>
        </w:tc>
      </w:tr>
      <w:tr w14:paraId="750B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45590466">
            <w:pPr>
              <w:pStyle w:val="14"/>
              <w:ind w:firstLine="0"/>
              <w:jc w:val="center"/>
              <w:rPr>
                <w:rFonts w:ascii="Arial" w:hAnsi="Arial" w:cs="Arial"/>
                <w:color w:val="auto"/>
                <w:sz w:val="21"/>
                <w:szCs w:val="21"/>
                <w:highlight w:val="none"/>
              </w:rPr>
            </w:pPr>
            <w:r>
              <w:rPr>
                <w:rFonts w:hint="eastAsia" w:ascii="Arial" w:hAnsi="Arial" w:cs="Arial"/>
                <w:color w:val="auto"/>
                <w:sz w:val="21"/>
                <w:szCs w:val="21"/>
                <w:highlight w:val="none"/>
              </w:rPr>
              <w:t>投标标的是否全部由小微企业（含视同小微企业）提供</w:t>
            </w:r>
          </w:p>
        </w:tc>
        <w:tc>
          <w:tcPr>
            <w:tcW w:w="7625" w:type="dxa"/>
            <w:gridSpan w:val="2"/>
            <w:vAlign w:val="center"/>
          </w:tcPr>
          <w:p w14:paraId="62524836">
            <w:pPr>
              <w:pStyle w:val="14"/>
              <w:ind w:firstLine="474" w:firstLineChars="225"/>
              <w:rPr>
                <w:rFonts w:hint="eastAsia" w:ascii="宋体" w:hAnsi="宋体" w:cs="Arial"/>
                <w:color w:val="auto"/>
                <w:sz w:val="21"/>
                <w:szCs w:val="21"/>
                <w:highlight w:val="none"/>
              </w:rPr>
            </w:pPr>
            <w:r>
              <w:rPr>
                <w:rFonts w:ascii="Arial" w:hAnsi="Arial" w:cs="Arial"/>
                <w:color w:val="auto"/>
                <w:sz w:val="21"/>
                <w:szCs w:val="21"/>
                <w:highlight w:val="none"/>
              </w:rPr>
              <w:t>（</w:t>
            </w:r>
            <w:r>
              <w:rPr>
                <w:rFonts w:ascii="Arial" w:hAnsi="Arial" w:cs="Arial"/>
                <w:color w:val="auto"/>
                <w:sz w:val="21"/>
                <w:szCs w:val="21"/>
                <w:highlight w:val="none"/>
                <w:lang w:val="zh-CN"/>
              </w:rPr>
              <w:t>填写“是”或“否</w:t>
            </w:r>
            <w:r>
              <w:rPr>
                <w:rFonts w:ascii="Arial" w:hAnsi="Arial" w:cs="Arial"/>
                <w:color w:val="auto"/>
                <w:sz w:val="21"/>
                <w:szCs w:val="21"/>
                <w:highlight w:val="none"/>
              </w:rPr>
              <w:t>）</w:t>
            </w:r>
          </w:p>
        </w:tc>
      </w:tr>
      <w:tr w14:paraId="242A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2306470">
            <w:pPr>
              <w:pStyle w:val="14"/>
              <w:ind w:firstLine="0"/>
              <w:jc w:val="center"/>
              <w:rPr>
                <w:rFonts w:ascii="Arial" w:hAnsi="Arial" w:cs="Arial"/>
                <w:color w:val="auto"/>
                <w:sz w:val="21"/>
                <w:szCs w:val="21"/>
                <w:highlight w:val="none"/>
              </w:rPr>
            </w:pPr>
            <w:r>
              <w:rPr>
                <w:rFonts w:hint="eastAsia" w:ascii="Arial" w:hAnsi="Arial" w:cs="Arial"/>
                <w:color w:val="auto"/>
                <w:sz w:val="21"/>
                <w:szCs w:val="21"/>
                <w:highlight w:val="none"/>
              </w:rPr>
              <w:t>备注</w:t>
            </w:r>
          </w:p>
        </w:tc>
        <w:tc>
          <w:tcPr>
            <w:tcW w:w="7625" w:type="dxa"/>
            <w:gridSpan w:val="2"/>
            <w:vAlign w:val="center"/>
          </w:tcPr>
          <w:p w14:paraId="4F4AF566">
            <w:pPr>
              <w:pStyle w:val="14"/>
              <w:ind w:firstLine="474" w:firstLineChars="225"/>
              <w:rPr>
                <w:rFonts w:ascii="Arial" w:hAnsi="Arial" w:cs="Arial"/>
                <w:color w:val="auto"/>
                <w:sz w:val="21"/>
                <w:szCs w:val="21"/>
                <w:highlight w:val="none"/>
              </w:rPr>
            </w:pPr>
          </w:p>
        </w:tc>
      </w:tr>
    </w:tbl>
    <w:p w14:paraId="1455FFE0">
      <w:pPr>
        <w:widowControl/>
        <w:spacing w:line="360" w:lineRule="auto"/>
        <w:jc w:val="left"/>
        <w:rPr>
          <w:rFonts w:ascii="Arial" w:hAnsi="Arial" w:cs="Arial"/>
          <w:color w:val="auto"/>
          <w:kern w:val="0"/>
          <w:szCs w:val="21"/>
          <w:highlight w:val="none"/>
        </w:rPr>
      </w:pPr>
    </w:p>
    <w:p w14:paraId="3857ACA1">
      <w:pPr>
        <w:widowControl/>
        <w:spacing w:line="360" w:lineRule="auto"/>
        <w:jc w:val="left"/>
        <w:rPr>
          <w:rFonts w:ascii="Arial" w:hAnsi="Arial" w:cs="Arial"/>
          <w:color w:val="auto"/>
          <w:kern w:val="0"/>
          <w:szCs w:val="21"/>
          <w:highlight w:val="none"/>
        </w:rPr>
      </w:pPr>
    </w:p>
    <w:p w14:paraId="28E87C53">
      <w:pPr>
        <w:widowControl/>
        <w:spacing w:line="360" w:lineRule="auto"/>
        <w:jc w:val="left"/>
        <w:rPr>
          <w:rFonts w:ascii="Arial" w:hAnsi="Arial" w:cs="Arial"/>
          <w:color w:val="auto"/>
          <w:kern w:val="0"/>
          <w:szCs w:val="21"/>
          <w:highlight w:val="none"/>
        </w:rPr>
      </w:pPr>
    </w:p>
    <w:p w14:paraId="284B1858">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3AB7EFD2">
      <w:pPr>
        <w:widowControl/>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7AD81644">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p>
    <w:p w14:paraId="19175D31">
      <w:pPr>
        <w:widowControl/>
        <w:numPr>
          <w:ilvl w:val="0"/>
          <w:numId w:val="17"/>
        </w:numPr>
        <w:spacing w:line="36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本项目仅接受一个价格，不得填报有选择性报价方案。</w:t>
      </w:r>
      <w:r>
        <w:rPr>
          <w:rFonts w:hint="eastAsia" w:ascii="Arial" w:hAnsi="Arial" w:cs="Arial"/>
          <w:b/>
          <w:bCs/>
          <w:color w:val="auto"/>
          <w:kern w:val="0"/>
          <w:szCs w:val="21"/>
          <w:highlight w:val="none"/>
        </w:rPr>
        <w:t>如</w:t>
      </w:r>
      <w:r>
        <w:rPr>
          <w:rFonts w:ascii="Arial" w:hAnsi="Arial" w:cs="Arial"/>
          <w:b/>
          <w:bCs/>
          <w:color w:val="auto"/>
          <w:kern w:val="0"/>
          <w:szCs w:val="21"/>
          <w:highlight w:val="none"/>
        </w:rPr>
        <w:t>有优惠条款须注明，但不得影响报价，影响</w:t>
      </w:r>
      <w:r>
        <w:rPr>
          <w:rFonts w:hint="eastAsia" w:ascii="Arial" w:hAnsi="Arial" w:cs="Arial"/>
          <w:b/>
          <w:bCs/>
          <w:color w:val="auto"/>
          <w:kern w:val="0"/>
          <w:szCs w:val="21"/>
          <w:highlight w:val="none"/>
        </w:rPr>
        <w:t>项目履约交付</w:t>
      </w:r>
      <w:r>
        <w:rPr>
          <w:rFonts w:ascii="Arial" w:hAnsi="Arial" w:cs="Arial"/>
          <w:b/>
          <w:bCs/>
          <w:color w:val="auto"/>
          <w:kern w:val="0"/>
          <w:szCs w:val="21"/>
          <w:highlight w:val="none"/>
        </w:rPr>
        <w:t>。</w:t>
      </w:r>
    </w:p>
    <w:p w14:paraId="56CFF710">
      <w:pPr>
        <w:widowControl/>
        <w:spacing w:line="360" w:lineRule="auto"/>
        <w:ind w:firstLine="420"/>
        <w:jc w:val="left"/>
        <w:rPr>
          <w:b/>
          <w:bCs/>
          <w:color w:val="auto"/>
          <w:kern w:val="0"/>
          <w:szCs w:val="21"/>
          <w:highlight w:val="none"/>
        </w:rPr>
      </w:pPr>
      <w:r>
        <w:rPr>
          <w:rFonts w:ascii="Arial" w:hAnsi="Arial" w:cs="Arial"/>
          <w:b/>
          <w:bCs/>
          <w:color w:val="auto"/>
          <w:kern w:val="0"/>
          <w:szCs w:val="21"/>
          <w:highlight w:val="none"/>
        </w:rPr>
        <w:t>2、</w:t>
      </w:r>
      <w:r>
        <w:rPr>
          <w:b/>
          <w:bCs/>
          <w:color w:val="auto"/>
          <w:szCs w:val="21"/>
          <w:highlight w:val="none"/>
        </w:rPr>
        <w:t>“投标标的是否全部由小微企业提供</w:t>
      </w:r>
      <w:r>
        <w:rPr>
          <w:b/>
          <w:bCs/>
          <w:color w:val="auto"/>
          <w:szCs w:val="21"/>
          <w:highlight w:val="none"/>
          <w:lang w:val="zh-CN"/>
        </w:rPr>
        <w:t>”栏内填写“是”或“否”。如填写“是”，</w:t>
      </w:r>
      <w:r>
        <w:rPr>
          <w:b/>
          <w:bCs/>
          <w:color w:val="auto"/>
          <w:szCs w:val="21"/>
          <w:highlight w:val="none"/>
        </w:rPr>
        <w:t>投标人应按招标文件要求提供《中小企业声明函》、《残疾人福利性单位声明函》、《属于监狱企业的证明文件》。如未按要求提供、填写，不享受价格扣除。</w:t>
      </w:r>
    </w:p>
    <w:p w14:paraId="7883E9E7">
      <w:pPr>
        <w:widowControl/>
        <w:spacing w:line="360" w:lineRule="auto"/>
        <w:jc w:val="left"/>
        <w:rPr>
          <w:rFonts w:ascii="Arial" w:hAnsi="Arial" w:cs="Arial"/>
          <w:b/>
          <w:bCs/>
          <w:color w:val="auto"/>
          <w:kern w:val="0"/>
          <w:szCs w:val="21"/>
          <w:highlight w:val="none"/>
          <w:lang w:val="zh-CN"/>
        </w:rPr>
      </w:pPr>
      <w:bookmarkStart w:id="57" w:name="_Toc12264"/>
      <w:r>
        <w:rPr>
          <w:rFonts w:ascii="Arial" w:hAnsi="Arial" w:cs="Arial"/>
          <w:b/>
          <w:bCs/>
          <w:color w:val="auto"/>
          <w:kern w:val="0"/>
          <w:szCs w:val="21"/>
          <w:highlight w:val="none"/>
          <w:lang w:val="zh-CN"/>
        </w:rPr>
        <w:br w:type="page"/>
      </w:r>
    </w:p>
    <w:p w14:paraId="781A3B2A">
      <w:pPr>
        <w:widowControl/>
        <w:spacing w:line="360" w:lineRule="auto"/>
        <w:jc w:val="left"/>
        <w:rPr>
          <w:rFonts w:ascii="Arial" w:hAnsi="Arial" w:cs="Arial"/>
          <w:b/>
          <w:bCs/>
          <w:color w:val="auto"/>
          <w:kern w:val="0"/>
          <w:szCs w:val="21"/>
          <w:highlight w:val="none"/>
          <w:lang w:val="zh-CN"/>
        </w:rPr>
      </w:pPr>
      <w:r>
        <w:rPr>
          <w:rFonts w:hint="eastAsia" w:ascii="Arial" w:hAnsi="Arial" w:cs="Arial"/>
          <w:b/>
          <w:bCs/>
          <w:color w:val="auto"/>
          <w:kern w:val="0"/>
          <w:szCs w:val="21"/>
          <w:highlight w:val="none"/>
        </w:rPr>
        <w:t>附表</w:t>
      </w:r>
      <w:r>
        <w:rPr>
          <w:rFonts w:hint="eastAsia" w:ascii="Arial" w:hAnsi="Arial" w:cs="Arial"/>
          <w:b/>
          <w:bCs/>
          <w:color w:val="auto"/>
          <w:kern w:val="0"/>
          <w:szCs w:val="21"/>
          <w:highlight w:val="none"/>
          <w:lang w:val="zh-CN"/>
        </w:rPr>
        <w:t>——</w:t>
      </w:r>
      <w:r>
        <w:rPr>
          <w:rFonts w:ascii="Arial" w:hAnsi="Arial" w:cs="Arial"/>
          <w:b/>
          <w:bCs/>
          <w:color w:val="auto"/>
          <w:kern w:val="0"/>
          <w:szCs w:val="21"/>
          <w:highlight w:val="none"/>
          <w:lang w:val="zh-CN"/>
        </w:rPr>
        <w:t>分项报价表格式</w:t>
      </w:r>
      <w:bookmarkEnd w:id="57"/>
    </w:p>
    <w:p w14:paraId="2A916FF4">
      <w:pPr>
        <w:widowControl/>
        <w:adjustRightInd w:val="0"/>
        <w:spacing w:line="240" w:lineRule="atLeast"/>
        <w:jc w:val="left"/>
        <w:rPr>
          <w:rFonts w:ascii="Arial" w:hAnsi="Arial" w:cs="Arial"/>
          <w:b/>
          <w:bCs/>
          <w:color w:val="auto"/>
          <w:kern w:val="0"/>
          <w:highlight w:val="none"/>
          <w:lang w:val="zh-CN"/>
        </w:rPr>
      </w:pPr>
    </w:p>
    <w:p w14:paraId="103800FA">
      <w:pPr>
        <w:widowControl/>
        <w:spacing w:line="360" w:lineRule="auto"/>
        <w:jc w:val="center"/>
        <w:rPr>
          <w:rFonts w:ascii="Arial" w:hAnsi="Arial" w:cs="Arial"/>
          <w:b/>
          <w:color w:val="auto"/>
          <w:kern w:val="0"/>
          <w:sz w:val="36"/>
          <w:szCs w:val="36"/>
          <w:highlight w:val="none"/>
        </w:rPr>
      </w:pPr>
      <w:r>
        <w:rPr>
          <w:rFonts w:ascii="Arial" w:hAnsi="Arial" w:cs="Arial"/>
          <w:b/>
          <w:color w:val="auto"/>
          <w:kern w:val="0"/>
          <w:sz w:val="36"/>
          <w:szCs w:val="36"/>
          <w:highlight w:val="none"/>
        </w:rPr>
        <w:t>分项报价表</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6BB6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571A1715">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193" w:type="dxa"/>
            <w:vAlign w:val="center"/>
          </w:tcPr>
          <w:p w14:paraId="3E1E2CB1">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分项内容</w:t>
            </w:r>
          </w:p>
        </w:tc>
        <w:tc>
          <w:tcPr>
            <w:tcW w:w="1002" w:type="dxa"/>
            <w:vAlign w:val="center"/>
          </w:tcPr>
          <w:p w14:paraId="7CE13FF7">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制造商名称</w:t>
            </w:r>
          </w:p>
        </w:tc>
        <w:tc>
          <w:tcPr>
            <w:tcW w:w="1124" w:type="dxa"/>
            <w:vAlign w:val="center"/>
          </w:tcPr>
          <w:p w14:paraId="25E05C78">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型号规格</w:t>
            </w:r>
          </w:p>
        </w:tc>
        <w:tc>
          <w:tcPr>
            <w:tcW w:w="709" w:type="dxa"/>
            <w:vAlign w:val="center"/>
          </w:tcPr>
          <w:p w14:paraId="05CCF2E4">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08" w:type="dxa"/>
            <w:vAlign w:val="center"/>
          </w:tcPr>
          <w:p w14:paraId="65786B18">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656" w:type="dxa"/>
            <w:vAlign w:val="center"/>
          </w:tcPr>
          <w:p w14:paraId="14CDBB86">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w:t>
            </w:r>
          </w:p>
        </w:tc>
        <w:tc>
          <w:tcPr>
            <w:tcW w:w="812" w:type="dxa"/>
            <w:vAlign w:val="center"/>
          </w:tcPr>
          <w:p w14:paraId="1C7272EE">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合价</w:t>
            </w:r>
          </w:p>
        </w:tc>
        <w:tc>
          <w:tcPr>
            <w:tcW w:w="1630" w:type="dxa"/>
            <w:vAlign w:val="center"/>
          </w:tcPr>
          <w:p w14:paraId="1F23D513">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是否小、微企业产品（货物或服务）</w:t>
            </w:r>
          </w:p>
        </w:tc>
      </w:tr>
      <w:tr w14:paraId="1A0C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CF830EF">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193" w:type="dxa"/>
            <w:vAlign w:val="center"/>
          </w:tcPr>
          <w:p w14:paraId="2199B164">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7DE0C3B1">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5EDBBA5B">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3C604E70">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130316E6">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52F64C14">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6BE48917">
            <w:pPr>
              <w:rPr>
                <w:rFonts w:hint="eastAsia" w:asciiTheme="minorEastAsia" w:hAnsiTheme="minorEastAsia" w:eastAsiaTheme="minorEastAsia" w:cstheme="minorEastAsia"/>
                <w:color w:val="auto"/>
                <w:kern w:val="0"/>
                <w:szCs w:val="21"/>
                <w:highlight w:val="none"/>
              </w:rPr>
            </w:pPr>
          </w:p>
        </w:tc>
        <w:tc>
          <w:tcPr>
            <w:tcW w:w="1630" w:type="dxa"/>
            <w:vAlign w:val="center"/>
          </w:tcPr>
          <w:p w14:paraId="21187542">
            <w:pPr>
              <w:widowControl/>
              <w:rPr>
                <w:rFonts w:hint="eastAsia" w:asciiTheme="minorEastAsia" w:hAnsiTheme="minorEastAsia" w:eastAsiaTheme="minorEastAsia" w:cstheme="minorEastAsia"/>
                <w:color w:val="auto"/>
                <w:kern w:val="0"/>
                <w:szCs w:val="21"/>
                <w:highlight w:val="none"/>
              </w:rPr>
            </w:pPr>
          </w:p>
        </w:tc>
      </w:tr>
      <w:tr w14:paraId="2257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341BD15">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193" w:type="dxa"/>
            <w:vAlign w:val="center"/>
          </w:tcPr>
          <w:p w14:paraId="61962495">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072189DA">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5603F0D3">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11CB1469">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670B7004">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65C4C1E4">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2D7976A8">
            <w:pPr>
              <w:rPr>
                <w:rFonts w:hint="eastAsia" w:asciiTheme="minorEastAsia" w:hAnsiTheme="minorEastAsia" w:eastAsiaTheme="minorEastAsia" w:cstheme="minorEastAsia"/>
                <w:color w:val="auto"/>
                <w:kern w:val="0"/>
                <w:szCs w:val="21"/>
                <w:highlight w:val="none"/>
              </w:rPr>
            </w:pPr>
          </w:p>
        </w:tc>
        <w:tc>
          <w:tcPr>
            <w:tcW w:w="1630" w:type="dxa"/>
            <w:vAlign w:val="center"/>
          </w:tcPr>
          <w:p w14:paraId="46B1E6FB">
            <w:pPr>
              <w:widowControl/>
              <w:rPr>
                <w:rFonts w:hint="eastAsia" w:asciiTheme="minorEastAsia" w:hAnsiTheme="minorEastAsia" w:eastAsiaTheme="minorEastAsia" w:cstheme="minorEastAsia"/>
                <w:color w:val="auto"/>
                <w:kern w:val="0"/>
                <w:szCs w:val="21"/>
                <w:highlight w:val="none"/>
              </w:rPr>
            </w:pPr>
          </w:p>
        </w:tc>
      </w:tr>
      <w:tr w14:paraId="6C48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ADA53F3">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193" w:type="dxa"/>
            <w:vAlign w:val="center"/>
          </w:tcPr>
          <w:p w14:paraId="78C991BB">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272E1225">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56CB7DB0">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2BD451DC">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702A8D2B">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7523D832">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653F4FC4">
            <w:pPr>
              <w:rPr>
                <w:rFonts w:hint="eastAsia" w:asciiTheme="minorEastAsia" w:hAnsiTheme="minorEastAsia" w:eastAsiaTheme="minorEastAsia" w:cstheme="minorEastAsia"/>
                <w:color w:val="auto"/>
                <w:kern w:val="0"/>
                <w:szCs w:val="21"/>
                <w:highlight w:val="none"/>
              </w:rPr>
            </w:pPr>
          </w:p>
        </w:tc>
        <w:tc>
          <w:tcPr>
            <w:tcW w:w="1630" w:type="dxa"/>
            <w:vAlign w:val="center"/>
          </w:tcPr>
          <w:p w14:paraId="4953197C">
            <w:pPr>
              <w:widowControl/>
              <w:rPr>
                <w:rFonts w:hint="eastAsia" w:asciiTheme="minorEastAsia" w:hAnsiTheme="minorEastAsia" w:eastAsiaTheme="minorEastAsia" w:cstheme="minorEastAsia"/>
                <w:color w:val="auto"/>
                <w:kern w:val="0"/>
                <w:szCs w:val="21"/>
                <w:highlight w:val="none"/>
              </w:rPr>
            </w:pPr>
          </w:p>
        </w:tc>
      </w:tr>
      <w:tr w14:paraId="4C0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3811D2B2">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193" w:type="dxa"/>
            <w:vAlign w:val="center"/>
          </w:tcPr>
          <w:p w14:paraId="2BD30101">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4EF5A8B6">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5D17B95B">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3A75F31D">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4EF2FD0B">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28488054">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69990C8C">
            <w:pPr>
              <w:rPr>
                <w:rFonts w:hint="eastAsia" w:asciiTheme="minorEastAsia" w:hAnsiTheme="minorEastAsia" w:eastAsiaTheme="minorEastAsia" w:cstheme="minorEastAsia"/>
                <w:color w:val="auto"/>
                <w:kern w:val="0"/>
                <w:szCs w:val="21"/>
                <w:highlight w:val="none"/>
              </w:rPr>
            </w:pPr>
          </w:p>
        </w:tc>
        <w:tc>
          <w:tcPr>
            <w:tcW w:w="1630" w:type="dxa"/>
            <w:vAlign w:val="center"/>
          </w:tcPr>
          <w:p w14:paraId="7403F6B2">
            <w:pPr>
              <w:widowControl/>
              <w:rPr>
                <w:rFonts w:hint="eastAsia" w:asciiTheme="minorEastAsia" w:hAnsiTheme="minorEastAsia" w:eastAsiaTheme="minorEastAsia" w:cstheme="minorEastAsia"/>
                <w:color w:val="auto"/>
                <w:kern w:val="0"/>
                <w:szCs w:val="21"/>
                <w:highlight w:val="none"/>
              </w:rPr>
            </w:pPr>
          </w:p>
        </w:tc>
      </w:tr>
      <w:tr w14:paraId="0B63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3A0DED3A">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193" w:type="dxa"/>
            <w:vAlign w:val="center"/>
          </w:tcPr>
          <w:p w14:paraId="35D950BB">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68A6F37F">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51E09EF5">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79116CA8">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4C7E36F1">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1CACCAC3">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46002A4A">
            <w:pPr>
              <w:rPr>
                <w:rFonts w:hint="eastAsia" w:asciiTheme="minorEastAsia" w:hAnsiTheme="minorEastAsia" w:eastAsiaTheme="minorEastAsia" w:cstheme="minorEastAsia"/>
                <w:color w:val="auto"/>
                <w:kern w:val="0"/>
                <w:szCs w:val="21"/>
                <w:highlight w:val="none"/>
              </w:rPr>
            </w:pPr>
          </w:p>
        </w:tc>
        <w:tc>
          <w:tcPr>
            <w:tcW w:w="1630" w:type="dxa"/>
            <w:vAlign w:val="center"/>
          </w:tcPr>
          <w:p w14:paraId="5D90F732">
            <w:pPr>
              <w:widowControl/>
              <w:rPr>
                <w:rFonts w:hint="eastAsia" w:asciiTheme="minorEastAsia" w:hAnsiTheme="minorEastAsia" w:eastAsiaTheme="minorEastAsia" w:cstheme="minorEastAsia"/>
                <w:color w:val="auto"/>
                <w:kern w:val="0"/>
                <w:szCs w:val="21"/>
                <w:highlight w:val="none"/>
              </w:rPr>
            </w:pPr>
          </w:p>
        </w:tc>
      </w:tr>
      <w:tr w14:paraId="2DF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7FC9FD2">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193" w:type="dxa"/>
            <w:vAlign w:val="center"/>
          </w:tcPr>
          <w:p w14:paraId="50C903DC">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002" w:type="dxa"/>
            <w:vAlign w:val="center"/>
          </w:tcPr>
          <w:p w14:paraId="7758E6A2">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29475177">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18B89C40">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3A56E8C1">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29551333">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36DA6643">
            <w:pPr>
              <w:rPr>
                <w:rFonts w:hint="eastAsia" w:asciiTheme="minorEastAsia" w:hAnsiTheme="minorEastAsia" w:eastAsiaTheme="minorEastAsia" w:cstheme="minorEastAsia"/>
                <w:color w:val="auto"/>
                <w:kern w:val="0"/>
                <w:szCs w:val="21"/>
                <w:highlight w:val="none"/>
              </w:rPr>
            </w:pPr>
          </w:p>
        </w:tc>
        <w:tc>
          <w:tcPr>
            <w:tcW w:w="1630" w:type="dxa"/>
            <w:vAlign w:val="center"/>
          </w:tcPr>
          <w:p w14:paraId="1ACC9FCF">
            <w:pPr>
              <w:widowControl/>
              <w:rPr>
                <w:rFonts w:hint="eastAsia" w:asciiTheme="minorEastAsia" w:hAnsiTheme="minorEastAsia" w:eastAsiaTheme="minorEastAsia" w:cstheme="minorEastAsia"/>
                <w:color w:val="auto"/>
                <w:kern w:val="0"/>
                <w:szCs w:val="21"/>
                <w:highlight w:val="none"/>
              </w:rPr>
            </w:pPr>
          </w:p>
        </w:tc>
      </w:tr>
      <w:tr w14:paraId="0FD6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8442237">
            <w:pPr>
              <w:widowControl/>
              <w:rPr>
                <w:rFonts w:hint="eastAsia" w:asciiTheme="minorEastAsia" w:hAnsiTheme="minorEastAsia" w:eastAsiaTheme="minorEastAsia" w:cstheme="minorEastAsia"/>
                <w:color w:val="auto"/>
                <w:kern w:val="0"/>
                <w:szCs w:val="21"/>
                <w:highlight w:val="none"/>
              </w:rPr>
            </w:pPr>
          </w:p>
        </w:tc>
        <w:tc>
          <w:tcPr>
            <w:tcW w:w="1193" w:type="dxa"/>
            <w:vAlign w:val="center"/>
          </w:tcPr>
          <w:p w14:paraId="43E2C1F2">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38ACE391">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27C0597D">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43533683">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53AE8DC2">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7C58837A">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475776F9">
            <w:pPr>
              <w:widowControl/>
              <w:rPr>
                <w:rFonts w:hint="eastAsia" w:asciiTheme="minorEastAsia" w:hAnsiTheme="minorEastAsia" w:eastAsiaTheme="minorEastAsia" w:cstheme="minorEastAsia"/>
                <w:color w:val="auto"/>
                <w:kern w:val="0"/>
                <w:szCs w:val="21"/>
                <w:highlight w:val="none"/>
              </w:rPr>
            </w:pPr>
          </w:p>
        </w:tc>
        <w:tc>
          <w:tcPr>
            <w:tcW w:w="1630" w:type="dxa"/>
            <w:vAlign w:val="center"/>
          </w:tcPr>
          <w:p w14:paraId="5994B577">
            <w:pPr>
              <w:widowControl/>
              <w:rPr>
                <w:rFonts w:hint="eastAsia" w:asciiTheme="minorEastAsia" w:hAnsiTheme="minorEastAsia" w:eastAsiaTheme="minorEastAsia" w:cstheme="minorEastAsia"/>
                <w:color w:val="auto"/>
                <w:kern w:val="0"/>
                <w:szCs w:val="21"/>
                <w:highlight w:val="none"/>
              </w:rPr>
            </w:pPr>
          </w:p>
        </w:tc>
      </w:tr>
      <w:tr w14:paraId="3B68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5821445">
            <w:pPr>
              <w:widowControl/>
              <w:rPr>
                <w:rFonts w:hint="eastAsia" w:asciiTheme="minorEastAsia" w:hAnsiTheme="minorEastAsia" w:eastAsiaTheme="minorEastAsia" w:cstheme="minorEastAsia"/>
                <w:color w:val="auto"/>
                <w:kern w:val="0"/>
                <w:szCs w:val="21"/>
                <w:highlight w:val="none"/>
              </w:rPr>
            </w:pPr>
          </w:p>
        </w:tc>
        <w:tc>
          <w:tcPr>
            <w:tcW w:w="1193" w:type="dxa"/>
            <w:vAlign w:val="center"/>
          </w:tcPr>
          <w:p w14:paraId="0125D1DE">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0AF602A0">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2627DB17">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395F69C1">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418D51A8">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0D18F696">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038315F2">
            <w:pPr>
              <w:rPr>
                <w:rFonts w:hint="eastAsia" w:asciiTheme="minorEastAsia" w:hAnsiTheme="minorEastAsia" w:eastAsiaTheme="minorEastAsia" w:cstheme="minorEastAsia"/>
                <w:color w:val="auto"/>
                <w:kern w:val="0"/>
                <w:szCs w:val="21"/>
                <w:highlight w:val="none"/>
              </w:rPr>
            </w:pPr>
          </w:p>
        </w:tc>
        <w:tc>
          <w:tcPr>
            <w:tcW w:w="1630" w:type="dxa"/>
            <w:vAlign w:val="center"/>
          </w:tcPr>
          <w:p w14:paraId="368A5F43">
            <w:pPr>
              <w:widowControl/>
              <w:rPr>
                <w:rFonts w:hint="eastAsia" w:asciiTheme="minorEastAsia" w:hAnsiTheme="minorEastAsia" w:eastAsiaTheme="minorEastAsia" w:cstheme="minorEastAsia"/>
                <w:color w:val="auto"/>
                <w:kern w:val="0"/>
                <w:szCs w:val="21"/>
                <w:highlight w:val="none"/>
              </w:rPr>
            </w:pPr>
          </w:p>
        </w:tc>
      </w:tr>
      <w:tr w14:paraId="5867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72E6E5F">
            <w:pPr>
              <w:widowControl/>
              <w:rPr>
                <w:rFonts w:hint="eastAsia" w:asciiTheme="minorEastAsia" w:hAnsiTheme="minorEastAsia" w:eastAsiaTheme="minorEastAsia" w:cstheme="minorEastAsia"/>
                <w:color w:val="auto"/>
                <w:kern w:val="0"/>
                <w:szCs w:val="21"/>
                <w:highlight w:val="none"/>
              </w:rPr>
            </w:pPr>
          </w:p>
        </w:tc>
        <w:tc>
          <w:tcPr>
            <w:tcW w:w="1193" w:type="dxa"/>
            <w:vAlign w:val="center"/>
          </w:tcPr>
          <w:p w14:paraId="3D3A9754">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2DAFFA9A">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3E2DB5D3">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468A57D9">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10576183">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191F58B2">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2DE4923F">
            <w:pPr>
              <w:rPr>
                <w:rFonts w:hint="eastAsia" w:asciiTheme="minorEastAsia" w:hAnsiTheme="minorEastAsia" w:eastAsiaTheme="minorEastAsia" w:cstheme="minorEastAsia"/>
                <w:color w:val="auto"/>
                <w:kern w:val="0"/>
                <w:szCs w:val="21"/>
                <w:highlight w:val="none"/>
              </w:rPr>
            </w:pPr>
          </w:p>
        </w:tc>
        <w:tc>
          <w:tcPr>
            <w:tcW w:w="1630" w:type="dxa"/>
            <w:vAlign w:val="center"/>
          </w:tcPr>
          <w:p w14:paraId="2863008E">
            <w:pPr>
              <w:widowControl/>
              <w:rPr>
                <w:rFonts w:hint="eastAsia" w:asciiTheme="minorEastAsia" w:hAnsiTheme="minorEastAsia" w:eastAsiaTheme="minorEastAsia" w:cstheme="minorEastAsia"/>
                <w:color w:val="auto"/>
                <w:kern w:val="0"/>
                <w:szCs w:val="21"/>
                <w:highlight w:val="none"/>
              </w:rPr>
            </w:pPr>
          </w:p>
        </w:tc>
      </w:tr>
      <w:tr w14:paraId="32DD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DB98ABE">
            <w:pPr>
              <w:widowControl/>
              <w:rPr>
                <w:rFonts w:hint="eastAsia" w:asciiTheme="minorEastAsia" w:hAnsiTheme="minorEastAsia" w:eastAsiaTheme="minorEastAsia" w:cstheme="minorEastAsia"/>
                <w:color w:val="auto"/>
                <w:kern w:val="0"/>
                <w:szCs w:val="21"/>
                <w:highlight w:val="none"/>
              </w:rPr>
            </w:pPr>
          </w:p>
        </w:tc>
        <w:tc>
          <w:tcPr>
            <w:tcW w:w="1193" w:type="dxa"/>
            <w:vAlign w:val="center"/>
          </w:tcPr>
          <w:p w14:paraId="4C460568">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21775687">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056D11E2">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5F1A51F1">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3D823D8C">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3E6C1B98">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5254099C">
            <w:pPr>
              <w:rPr>
                <w:rFonts w:hint="eastAsia" w:asciiTheme="minorEastAsia" w:hAnsiTheme="minorEastAsia" w:eastAsiaTheme="minorEastAsia" w:cstheme="minorEastAsia"/>
                <w:color w:val="auto"/>
                <w:kern w:val="0"/>
                <w:szCs w:val="21"/>
                <w:highlight w:val="none"/>
              </w:rPr>
            </w:pPr>
          </w:p>
        </w:tc>
        <w:tc>
          <w:tcPr>
            <w:tcW w:w="1630" w:type="dxa"/>
            <w:vAlign w:val="center"/>
          </w:tcPr>
          <w:p w14:paraId="6A73844E">
            <w:pPr>
              <w:widowControl/>
              <w:rPr>
                <w:rFonts w:hint="eastAsia" w:asciiTheme="minorEastAsia" w:hAnsiTheme="minorEastAsia" w:eastAsiaTheme="minorEastAsia" w:cstheme="minorEastAsia"/>
                <w:color w:val="auto"/>
                <w:kern w:val="0"/>
                <w:szCs w:val="21"/>
                <w:highlight w:val="none"/>
              </w:rPr>
            </w:pPr>
          </w:p>
        </w:tc>
      </w:tr>
      <w:tr w14:paraId="7508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2DBC433">
            <w:pPr>
              <w:widowControl/>
              <w:rPr>
                <w:rFonts w:hint="eastAsia" w:asciiTheme="minorEastAsia" w:hAnsiTheme="minorEastAsia" w:eastAsiaTheme="minorEastAsia" w:cstheme="minorEastAsia"/>
                <w:color w:val="auto"/>
                <w:kern w:val="0"/>
                <w:szCs w:val="21"/>
                <w:highlight w:val="none"/>
              </w:rPr>
            </w:pPr>
          </w:p>
        </w:tc>
        <w:tc>
          <w:tcPr>
            <w:tcW w:w="1193" w:type="dxa"/>
            <w:vAlign w:val="center"/>
          </w:tcPr>
          <w:p w14:paraId="6D5E53D6">
            <w:pPr>
              <w:widowControl/>
              <w:rPr>
                <w:rFonts w:hint="eastAsia" w:asciiTheme="minorEastAsia" w:hAnsiTheme="minorEastAsia" w:eastAsiaTheme="minorEastAsia" w:cstheme="minorEastAsia"/>
                <w:color w:val="auto"/>
                <w:kern w:val="0"/>
                <w:szCs w:val="21"/>
                <w:highlight w:val="none"/>
              </w:rPr>
            </w:pPr>
          </w:p>
        </w:tc>
        <w:tc>
          <w:tcPr>
            <w:tcW w:w="1002" w:type="dxa"/>
            <w:vAlign w:val="center"/>
          </w:tcPr>
          <w:p w14:paraId="6A0EEAC2">
            <w:pPr>
              <w:widowControl/>
              <w:rPr>
                <w:rFonts w:hint="eastAsia" w:asciiTheme="minorEastAsia" w:hAnsiTheme="minorEastAsia" w:eastAsiaTheme="minorEastAsia" w:cstheme="minorEastAsia"/>
                <w:color w:val="auto"/>
                <w:kern w:val="0"/>
                <w:szCs w:val="21"/>
                <w:highlight w:val="none"/>
              </w:rPr>
            </w:pPr>
          </w:p>
        </w:tc>
        <w:tc>
          <w:tcPr>
            <w:tcW w:w="1124" w:type="dxa"/>
            <w:vAlign w:val="center"/>
          </w:tcPr>
          <w:p w14:paraId="3350695D">
            <w:pPr>
              <w:widowControl/>
              <w:rPr>
                <w:rFonts w:hint="eastAsia" w:asciiTheme="minorEastAsia" w:hAnsiTheme="minorEastAsia" w:eastAsiaTheme="minorEastAsia" w:cstheme="minorEastAsia"/>
                <w:color w:val="auto"/>
                <w:kern w:val="0"/>
                <w:szCs w:val="21"/>
                <w:highlight w:val="none"/>
              </w:rPr>
            </w:pPr>
          </w:p>
        </w:tc>
        <w:tc>
          <w:tcPr>
            <w:tcW w:w="709" w:type="dxa"/>
            <w:vAlign w:val="center"/>
          </w:tcPr>
          <w:p w14:paraId="30E145D6">
            <w:pPr>
              <w:widowControl/>
              <w:rPr>
                <w:rFonts w:hint="eastAsia" w:asciiTheme="minorEastAsia" w:hAnsiTheme="minorEastAsia" w:eastAsiaTheme="minorEastAsia" w:cstheme="minorEastAsia"/>
                <w:color w:val="auto"/>
                <w:kern w:val="0"/>
                <w:szCs w:val="21"/>
                <w:highlight w:val="none"/>
              </w:rPr>
            </w:pPr>
          </w:p>
        </w:tc>
        <w:tc>
          <w:tcPr>
            <w:tcW w:w="708" w:type="dxa"/>
            <w:vAlign w:val="center"/>
          </w:tcPr>
          <w:p w14:paraId="797859A9">
            <w:pPr>
              <w:widowControl/>
              <w:rPr>
                <w:rFonts w:hint="eastAsia" w:asciiTheme="minorEastAsia" w:hAnsiTheme="minorEastAsia" w:eastAsiaTheme="minorEastAsia" w:cstheme="minorEastAsia"/>
                <w:color w:val="auto"/>
                <w:kern w:val="0"/>
                <w:szCs w:val="21"/>
                <w:highlight w:val="none"/>
              </w:rPr>
            </w:pPr>
          </w:p>
        </w:tc>
        <w:tc>
          <w:tcPr>
            <w:tcW w:w="656" w:type="dxa"/>
            <w:vAlign w:val="center"/>
          </w:tcPr>
          <w:p w14:paraId="151B3786">
            <w:pPr>
              <w:widowControl/>
              <w:rPr>
                <w:rFonts w:hint="eastAsia" w:asciiTheme="minorEastAsia" w:hAnsiTheme="minorEastAsia" w:eastAsiaTheme="minorEastAsia" w:cstheme="minorEastAsia"/>
                <w:color w:val="auto"/>
                <w:kern w:val="0"/>
                <w:szCs w:val="21"/>
                <w:highlight w:val="none"/>
              </w:rPr>
            </w:pPr>
          </w:p>
        </w:tc>
        <w:tc>
          <w:tcPr>
            <w:tcW w:w="812" w:type="dxa"/>
            <w:vAlign w:val="center"/>
          </w:tcPr>
          <w:p w14:paraId="0363B9C1">
            <w:pPr>
              <w:rPr>
                <w:rFonts w:hint="eastAsia" w:asciiTheme="minorEastAsia" w:hAnsiTheme="minorEastAsia" w:eastAsiaTheme="minorEastAsia" w:cstheme="minorEastAsia"/>
                <w:color w:val="auto"/>
                <w:kern w:val="0"/>
                <w:szCs w:val="21"/>
                <w:highlight w:val="none"/>
              </w:rPr>
            </w:pPr>
          </w:p>
        </w:tc>
        <w:tc>
          <w:tcPr>
            <w:tcW w:w="1630" w:type="dxa"/>
            <w:vAlign w:val="center"/>
          </w:tcPr>
          <w:p w14:paraId="277CCB1D">
            <w:pPr>
              <w:widowControl/>
              <w:rPr>
                <w:rFonts w:hint="eastAsia" w:asciiTheme="minorEastAsia" w:hAnsiTheme="minorEastAsia" w:eastAsiaTheme="minorEastAsia" w:cstheme="minorEastAsia"/>
                <w:color w:val="auto"/>
                <w:kern w:val="0"/>
                <w:szCs w:val="21"/>
                <w:highlight w:val="none"/>
              </w:rPr>
            </w:pPr>
          </w:p>
        </w:tc>
      </w:tr>
      <w:tr w14:paraId="29B2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5510BE46">
            <w:pPr>
              <w:widowControl/>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合计：          </w:t>
            </w:r>
          </w:p>
        </w:tc>
        <w:tc>
          <w:tcPr>
            <w:tcW w:w="6641" w:type="dxa"/>
            <w:gridSpan w:val="7"/>
            <w:vAlign w:val="center"/>
          </w:tcPr>
          <w:p w14:paraId="1CE9493D">
            <w:pPr>
              <w:widowControl/>
              <w:ind w:firstLine="1680" w:firstLineChars="8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元(小数点保留两位)</w:t>
            </w:r>
          </w:p>
        </w:tc>
      </w:tr>
    </w:tbl>
    <w:p w14:paraId="79A454C7">
      <w:pPr>
        <w:widowControl/>
        <w:spacing w:line="360" w:lineRule="auto"/>
        <w:jc w:val="center"/>
        <w:rPr>
          <w:rFonts w:ascii="Arial" w:hAnsi="Arial" w:cs="Arial"/>
          <w:b/>
          <w:color w:val="auto"/>
          <w:kern w:val="0"/>
          <w:sz w:val="36"/>
          <w:szCs w:val="36"/>
          <w:highlight w:val="none"/>
        </w:rPr>
      </w:pPr>
    </w:p>
    <w:p w14:paraId="72E1B3EB">
      <w:pPr>
        <w:widowControl/>
        <w:spacing w:line="360" w:lineRule="auto"/>
        <w:jc w:val="left"/>
        <w:rPr>
          <w:rFonts w:ascii="Arial" w:hAnsi="Arial" w:cs="Arial"/>
          <w:color w:val="auto"/>
          <w:kern w:val="0"/>
          <w:highlight w:val="none"/>
        </w:rPr>
      </w:pPr>
    </w:p>
    <w:p w14:paraId="5C575CEF">
      <w:pPr>
        <w:widowControl/>
        <w:spacing w:line="360" w:lineRule="auto"/>
        <w:jc w:val="left"/>
        <w:rPr>
          <w:rFonts w:ascii="Arial" w:hAnsi="Arial" w:cs="Arial"/>
          <w:color w:val="auto"/>
          <w:kern w:val="0"/>
          <w:szCs w:val="21"/>
          <w:highlight w:val="none"/>
        </w:rPr>
      </w:pPr>
    </w:p>
    <w:p w14:paraId="3EDE19F8">
      <w:pPr>
        <w:widowControl/>
        <w:spacing w:line="360" w:lineRule="auto"/>
        <w:jc w:val="left"/>
        <w:rPr>
          <w:rFonts w:ascii="Arial" w:hAnsi="Arial" w:cs="Arial"/>
          <w:color w:val="auto"/>
          <w:kern w:val="0"/>
          <w:szCs w:val="21"/>
          <w:highlight w:val="none"/>
        </w:rPr>
      </w:pPr>
    </w:p>
    <w:p w14:paraId="49A667D5">
      <w:pPr>
        <w:widowControl/>
        <w:spacing w:line="360" w:lineRule="auto"/>
        <w:jc w:val="left"/>
        <w:rPr>
          <w:rFonts w:ascii="Arial" w:hAnsi="Arial" w:cs="Arial"/>
          <w:color w:val="auto"/>
          <w:kern w:val="0"/>
          <w:szCs w:val="21"/>
          <w:highlight w:val="none"/>
        </w:rPr>
      </w:pPr>
    </w:p>
    <w:p w14:paraId="7A55BC39">
      <w:pPr>
        <w:widowControl/>
        <w:spacing w:line="360" w:lineRule="auto"/>
        <w:jc w:val="left"/>
        <w:rPr>
          <w:rFonts w:ascii="Arial" w:hAnsi="Arial" w:cs="Arial"/>
          <w:color w:val="auto"/>
          <w:kern w:val="0"/>
          <w:szCs w:val="21"/>
          <w:highlight w:val="none"/>
        </w:rPr>
      </w:pPr>
    </w:p>
    <w:p w14:paraId="737F7BA9">
      <w:pPr>
        <w:widowControl/>
        <w:spacing w:line="360" w:lineRule="auto"/>
        <w:jc w:val="left"/>
        <w:rPr>
          <w:rFonts w:ascii="Arial" w:hAnsi="Arial" w:cs="Arial"/>
          <w:color w:val="auto"/>
          <w:kern w:val="0"/>
          <w:szCs w:val="21"/>
          <w:highlight w:val="none"/>
        </w:rPr>
      </w:pPr>
    </w:p>
    <w:p w14:paraId="77B61567">
      <w:pPr>
        <w:widowControl/>
        <w:spacing w:line="360" w:lineRule="auto"/>
        <w:jc w:val="left"/>
        <w:rPr>
          <w:rFonts w:ascii="Arial" w:hAnsi="Arial" w:cs="Arial"/>
          <w:color w:val="auto"/>
          <w:kern w:val="0"/>
          <w:szCs w:val="21"/>
          <w:highlight w:val="none"/>
        </w:rPr>
      </w:pPr>
    </w:p>
    <w:p w14:paraId="69873C6D">
      <w:pPr>
        <w:widowControl/>
        <w:spacing w:line="360" w:lineRule="auto"/>
        <w:jc w:val="left"/>
        <w:rPr>
          <w:rFonts w:ascii="Arial" w:hAnsi="Arial" w:cs="Arial"/>
          <w:color w:val="auto"/>
          <w:kern w:val="0"/>
          <w:szCs w:val="21"/>
          <w:highlight w:val="none"/>
        </w:rPr>
      </w:pPr>
    </w:p>
    <w:p w14:paraId="33A71272">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3B8FE851">
      <w:pPr>
        <w:widowControl/>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2419A2D8">
      <w:pPr>
        <w:widowControl/>
        <w:spacing w:line="360" w:lineRule="auto"/>
        <w:jc w:val="left"/>
        <w:rPr>
          <w:rFonts w:ascii="Arial" w:hAnsi="Arial" w:cs="Arial"/>
          <w:color w:val="auto"/>
          <w:kern w:val="0"/>
          <w:szCs w:val="21"/>
          <w:highlight w:val="none"/>
        </w:rPr>
      </w:pPr>
    </w:p>
    <w:p w14:paraId="74A87968">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xml:space="preserve"> </w:t>
      </w:r>
    </w:p>
    <w:p w14:paraId="0D378B65">
      <w:pPr>
        <w:widowControl/>
        <w:spacing w:line="360" w:lineRule="auto"/>
        <w:jc w:val="left"/>
        <w:rPr>
          <w:rFonts w:ascii="Arial" w:hAnsi="Arial" w:cs="Arial"/>
          <w:color w:val="auto"/>
          <w:kern w:val="0"/>
          <w:szCs w:val="21"/>
          <w:highlight w:val="none"/>
        </w:rPr>
      </w:pPr>
      <w:r>
        <w:rPr>
          <w:rFonts w:ascii="Arial" w:hAnsi="Arial" w:cs="Arial"/>
          <w:color w:val="auto"/>
          <w:kern w:val="0"/>
          <w:highlight w:val="none"/>
        </w:rPr>
        <w:t xml:space="preserve">     </w:t>
      </w:r>
    </w:p>
    <w:p w14:paraId="5FFAEE87">
      <w:pPr>
        <w:widowControl/>
        <w:spacing w:line="360" w:lineRule="auto"/>
        <w:jc w:val="left"/>
        <w:rPr>
          <w:rFonts w:ascii="Arial" w:hAnsi="Arial" w:cs="Arial"/>
          <w:color w:val="auto"/>
          <w:kern w:val="0"/>
          <w:szCs w:val="21"/>
          <w:highlight w:val="none"/>
        </w:rPr>
      </w:pPr>
    </w:p>
    <w:p w14:paraId="4CA6E6D0">
      <w:pPr>
        <w:widowControl/>
        <w:jc w:val="left"/>
        <w:rPr>
          <w:rFonts w:ascii="Arial" w:hAnsi="Arial" w:cs="Arial"/>
          <w:color w:val="auto"/>
          <w:kern w:val="0"/>
          <w:szCs w:val="21"/>
          <w:highlight w:val="none"/>
        </w:rPr>
      </w:pPr>
      <w:r>
        <w:rPr>
          <w:rFonts w:ascii="Arial" w:hAnsi="Arial" w:cs="Arial"/>
          <w:color w:val="auto"/>
          <w:kern w:val="0"/>
          <w:szCs w:val="21"/>
          <w:highlight w:val="none"/>
        </w:rPr>
        <w:br w:type="page"/>
      </w:r>
    </w:p>
    <w:p w14:paraId="0FAE096B">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四</w:t>
      </w:r>
      <w:r>
        <w:rPr>
          <w:rFonts w:ascii="Arial" w:hAnsi="Arial" w:cs="Arial"/>
          <w:b/>
          <w:bCs/>
          <w:color w:val="auto"/>
          <w:kern w:val="0"/>
          <w:szCs w:val="21"/>
          <w:highlight w:val="none"/>
        </w:rPr>
        <w:t>、</w:t>
      </w:r>
      <w:r>
        <w:rPr>
          <w:rFonts w:hint="eastAsia" w:ascii="Arial" w:hAnsi="Arial" w:cs="Arial"/>
          <w:b/>
          <w:bCs/>
          <w:color w:val="auto"/>
          <w:kern w:val="0"/>
          <w:szCs w:val="21"/>
          <w:highlight w:val="none"/>
        </w:rPr>
        <w:t>采购需求偏离表</w:t>
      </w:r>
      <w:r>
        <w:rPr>
          <w:rFonts w:ascii="Arial" w:hAnsi="Arial" w:cs="Arial"/>
          <w:b/>
          <w:bCs/>
          <w:color w:val="auto"/>
          <w:kern w:val="0"/>
          <w:szCs w:val="21"/>
          <w:highlight w:val="none"/>
        </w:rPr>
        <w:t>格式</w:t>
      </w:r>
    </w:p>
    <w:p w14:paraId="37C9DAA0">
      <w:pPr>
        <w:widowControl/>
        <w:spacing w:line="360" w:lineRule="auto"/>
        <w:ind w:left="435"/>
        <w:jc w:val="left"/>
        <w:rPr>
          <w:rFonts w:ascii="Arial" w:hAnsi="Arial" w:cs="Arial"/>
          <w:color w:val="auto"/>
          <w:kern w:val="0"/>
          <w:szCs w:val="21"/>
          <w:highlight w:val="none"/>
        </w:rPr>
      </w:pPr>
      <w:r>
        <w:rPr>
          <w:rFonts w:ascii="Arial" w:hAnsi="Arial" w:cs="Arial"/>
          <w:color w:val="auto"/>
          <w:kern w:val="0"/>
          <w:sz w:val="24"/>
          <w:highlight w:val="none"/>
        </w:rPr>
        <w:t> </w:t>
      </w:r>
    </w:p>
    <w:p w14:paraId="20C6818C">
      <w:pPr>
        <w:widowControl/>
        <w:spacing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采购需求偏离表</w:t>
      </w:r>
    </w:p>
    <w:p w14:paraId="36D9D9FE">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593AB8A7">
      <w:pPr>
        <w:widowControl/>
        <w:tabs>
          <w:tab w:val="left" w:pos="5397"/>
        </w:tabs>
        <w:spacing w:line="360" w:lineRule="auto"/>
        <w:ind w:firstLine="84" w:firstLineChars="40"/>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048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42" w:type="dxa"/>
            <w:tcMar>
              <w:top w:w="0" w:type="dxa"/>
              <w:left w:w="10" w:type="dxa"/>
              <w:bottom w:w="0" w:type="dxa"/>
              <w:right w:w="10" w:type="dxa"/>
            </w:tcMar>
            <w:vAlign w:val="center"/>
          </w:tcPr>
          <w:p w14:paraId="030F8BF5">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8" w:type="dxa"/>
            <w:tcMar>
              <w:top w:w="0" w:type="dxa"/>
              <w:left w:w="10" w:type="dxa"/>
              <w:bottom w:w="0" w:type="dxa"/>
              <w:right w:w="10" w:type="dxa"/>
            </w:tcMar>
            <w:vAlign w:val="center"/>
          </w:tcPr>
          <w:p w14:paraId="053A7A1D">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1931" w:type="dxa"/>
            <w:tcMar>
              <w:top w:w="0" w:type="dxa"/>
              <w:left w:w="10" w:type="dxa"/>
              <w:bottom w:w="0" w:type="dxa"/>
              <w:right w:w="10" w:type="dxa"/>
            </w:tcMar>
            <w:vAlign w:val="center"/>
          </w:tcPr>
          <w:p w14:paraId="0B575E72">
            <w:pPr>
              <w:widowControl/>
              <w:spacing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12" w:type="dxa"/>
            <w:tcMar>
              <w:top w:w="0" w:type="dxa"/>
              <w:left w:w="10" w:type="dxa"/>
              <w:bottom w:w="0" w:type="dxa"/>
              <w:right w:w="10" w:type="dxa"/>
            </w:tcMar>
            <w:vAlign w:val="center"/>
          </w:tcPr>
          <w:p w14:paraId="1B6425F2">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46" w:type="dxa"/>
            <w:tcMar>
              <w:top w:w="0" w:type="dxa"/>
              <w:left w:w="10" w:type="dxa"/>
              <w:bottom w:w="0" w:type="dxa"/>
              <w:right w:w="10" w:type="dxa"/>
            </w:tcMar>
            <w:vAlign w:val="center"/>
          </w:tcPr>
          <w:p w14:paraId="2421A2C8">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14:paraId="0C17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E376D64">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3E228C3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0F942E1E">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6B95EAAF">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1975BB55">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1DC2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702BA70">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3FDF739B">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32759459">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112BB657">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1FE07C04">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3EE6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5323F61">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12545002">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0C833C4F">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150E4051">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283452A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01A4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C0541EF">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19383937">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61B00116">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5B8528CB">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1594C21E">
            <w:pPr>
              <w:widowControl/>
              <w:spacing w:line="360" w:lineRule="auto"/>
              <w:jc w:val="center"/>
              <w:rPr>
                <w:rFonts w:ascii="Arial" w:hAnsi="Arial" w:cs="Arial"/>
                <w:color w:val="auto"/>
                <w:kern w:val="0"/>
                <w:szCs w:val="21"/>
                <w:highlight w:val="none"/>
              </w:rPr>
            </w:pPr>
          </w:p>
        </w:tc>
      </w:tr>
      <w:tr w14:paraId="6E16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573D9D8">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6A957530">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17101591">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363B250C">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0C470FF8">
            <w:pPr>
              <w:widowControl/>
              <w:spacing w:line="360" w:lineRule="auto"/>
              <w:jc w:val="center"/>
              <w:rPr>
                <w:rFonts w:ascii="Arial" w:hAnsi="Arial" w:cs="Arial"/>
                <w:color w:val="auto"/>
                <w:kern w:val="0"/>
                <w:szCs w:val="21"/>
                <w:highlight w:val="none"/>
              </w:rPr>
            </w:pPr>
          </w:p>
        </w:tc>
      </w:tr>
      <w:tr w14:paraId="0CAD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A2A0C1A">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13AFC1A1">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1AED614B">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1D3CD88A">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668AF811">
            <w:pPr>
              <w:widowControl/>
              <w:spacing w:line="360" w:lineRule="auto"/>
              <w:jc w:val="center"/>
              <w:rPr>
                <w:rFonts w:ascii="Arial" w:hAnsi="Arial" w:cs="Arial"/>
                <w:color w:val="auto"/>
                <w:kern w:val="0"/>
                <w:szCs w:val="21"/>
                <w:highlight w:val="none"/>
              </w:rPr>
            </w:pPr>
          </w:p>
        </w:tc>
      </w:tr>
    </w:tbl>
    <w:p w14:paraId="3D97091A">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投标文件采购需求部分内容响应存在正偏离或负偏离的，请在本表中逐条列出。未列出的，视为响应招标文件要求。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14:paraId="731FEFD5">
      <w:pPr>
        <w:widowControl/>
        <w:spacing w:line="360" w:lineRule="auto"/>
        <w:jc w:val="left"/>
        <w:rPr>
          <w:rFonts w:ascii="Arial" w:hAnsi="Arial" w:cs="Arial"/>
          <w:color w:val="auto"/>
          <w:kern w:val="0"/>
          <w:szCs w:val="21"/>
          <w:highlight w:val="none"/>
        </w:rPr>
      </w:pPr>
    </w:p>
    <w:p w14:paraId="236CAA8E">
      <w:pPr>
        <w:widowControl/>
        <w:spacing w:line="360" w:lineRule="auto"/>
        <w:jc w:val="left"/>
        <w:rPr>
          <w:rFonts w:ascii="Arial" w:hAnsi="Arial" w:cs="Arial"/>
          <w:color w:val="auto"/>
          <w:kern w:val="0"/>
          <w:szCs w:val="21"/>
          <w:highlight w:val="none"/>
        </w:rPr>
      </w:pPr>
    </w:p>
    <w:p w14:paraId="248CA883">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67CE7C7B">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1B894840">
      <w:pPr>
        <w:widowControl/>
        <w:spacing w:line="360" w:lineRule="auto"/>
        <w:jc w:val="left"/>
        <w:rPr>
          <w:rFonts w:ascii="Arial" w:hAnsi="Arial" w:cs="Arial"/>
          <w:color w:val="auto"/>
          <w:kern w:val="0"/>
          <w:szCs w:val="21"/>
          <w:highlight w:val="none"/>
        </w:rPr>
      </w:pPr>
    </w:p>
    <w:p w14:paraId="50516DF6">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591327E7">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1C864186">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4B4293A2">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0D9C2770">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62BA739E">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116304CC">
      <w:pPr>
        <w:widowControl/>
        <w:spacing w:line="360" w:lineRule="auto"/>
        <w:jc w:val="left"/>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五</w:t>
      </w:r>
      <w:r>
        <w:rPr>
          <w:rFonts w:ascii="Arial" w:hAnsi="Arial" w:cs="Arial"/>
          <w:b/>
          <w:bCs/>
          <w:color w:val="auto"/>
          <w:kern w:val="0"/>
          <w:szCs w:val="21"/>
          <w:highlight w:val="none"/>
        </w:rPr>
        <w:t>、</w:t>
      </w:r>
      <w:r>
        <w:rPr>
          <w:rFonts w:hint="eastAsia" w:ascii="Arial" w:hAnsi="Arial" w:cs="Arial"/>
          <w:b/>
          <w:bCs/>
          <w:color w:val="auto"/>
          <w:kern w:val="0"/>
          <w:szCs w:val="21"/>
          <w:highlight w:val="none"/>
        </w:rPr>
        <w:t>商务</w:t>
      </w:r>
      <w:r>
        <w:rPr>
          <w:rFonts w:ascii="Arial" w:hAnsi="Arial" w:cs="Arial"/>
          <w:b/>
          <w:bCs/>
          <w:color w:val="auto"/>
          <w:kern w:val="0"/>
          <w:szCs w:val="21"/>
          <w:highlight w:val="none"/>
        </w:rPr>
        <w:t>条款偏离表格式</w:t>
      </w:r>
    </w:p>
    <w:p w14:paraId="0FF18587">
      <w:pPr>
        <w:widowControl/>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06B61C79">
      <w:pPr>
        <w:widowControl/>
        <w:spacing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商务</w:t>
      </w:r>
      <w:r>
        <w:rPr>
          <w:rFonts w:ascii="Arial" w:hAnsi="Arial" w:cs="Arial"/>
          <w:b/>
          <w:color w:val="auto"/>
          <w:kern w:val="0"/>
          <w:sz w:val="36"/>
          <w:szCs w:val="36"/>
          <w:highlight w:val="none"/>
        </w:rPr>
        <w:t>条款偏离表</w:t>
      </w:r>
    </w:p>
    <w:p w14:paraId="029628AD">
      <w:pPr>
        <w:widowControl/>
        <w:spacing w:line="360" w:lineRule="auto"/>
        <w:jc w:val="left"/>
        <w:rPr>
          <w:rFonts w:ascii="Arial" w:hAnsi="Arial" w:cs="Arial"/>
          <w:color w:val="auto"/>
          <w:kern w:val="0"/>
          <w:szCs w:val="21"/>
          <w:highlight w:val="none"/>
        </w:rPr>
      </w:pPr>
      <w:r>
        <w:rPr>
          <w:rFonts w:ascii="Arial" w:hAnsi="Arial" w:cs="Arial"/>
          <w:color w:val="auto"/>
          <w:kern w:val="0"/>
          <w:sz w:val="24"/>
          <w:highlight w:val="none"/>
        </w:rPr>
        <w:t> </w:t>
      </w:r>
    </w:p>
    <w:p w14:paraId="1972F0F2">
      <w:pPr>
        <w:widowControl/>
        <w:tabs>
          <w:tab w:val="left" w:pos="5366"/>
        </w:tabs>
        <w:spacing w:line="360" w:lineRule="auto"/>
        <w:ind w:firstLine="96" w:firstLineChars="46"/>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35A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2077348">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9" w:type="dxa"/>
            <w:tcMar>
              <w:top w:w="0" w:type="dxa"/>
              <w:left w:w="10" w:type="dxa"/>
              <w:bottom w:w="0" w:type="dxa"/>
              <w:right w:w="10" w:type="dxa"/>
            </w:tcMar>
            <w:vAlign w:val="center"/>
          </w:tcPr>
          <w:p w14:paraId="09937E04">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2488" w:type="dxa"/>
            <w:tcMar>
              <w:top w:w="0" w:type="dxa"/>
              <w:left w:w="10" w:type="dxa"/>
              <w:bottom w:w="0" w:type="dxa"/>
              <w:right w:w="10" w:type="dxa"/>
            </w:tcMar>
            <w:vAlign w:val="center"/>
          </w:tcPr>
          <w:p w14:paraId="67E58284">
            <w:pPr>
              <w:widowControl/>
              <w:spacing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04" w:type="dxa"/>
            <w:tcMar>
              <w:top w:w="0" w:type="dxa"/>
              <w:left w:w="10" w:type="dxa"/>
              <w:bottom w:w="0" w:type="dxa"/>
              <w:right w:w="10" w:type="dxa"/>
            </w:tcMar>
            <w:vAlign w:val="center"/>
          </w:tcPr>
          <w:p w14:paraId="43BB2F60">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01" w:type="dxa"/>
            <w:tcMar>
              <w:top w:w="0" w:type="dxa"/>
              <w:left w:w="10" w:type="dxa"/>
              <w:bottom w:w="0" w:type="dxa"/>
              <w:right w:w="10" w:type="dxa"/>
            </w:tcMar>
            <w:vAlign w:val="center"/>
          </w:tcPr>
          <w:p w14:paraId="54350746">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14:paraId="53F8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C814476">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7962918A">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405B966C">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52F505C9">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086BAD04">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793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73159D1">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1D5CDC94">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589B9B69">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4BF29FC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1BE819F2">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623D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40DF86A">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077D649F">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30F9F16A">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52C74131">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1A0BFD93">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441A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3222A0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633560DA">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0E63A2B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697850CD">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0783A836">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0393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5B05EB3">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66876476">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140FD624">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66BEFBA7">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64689E82">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34D6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5D11EBC">
            <w:pPr>
              <w:widowControl/>
              <w:spacing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14:paraId="75C29F3E">
            <w:pPr>
              <w:widowControl/>
              <w:spacing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14:paraId="16FB9524">
            <w:pPr>
              <w:widowControl/>
              <w:spacing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14:paraId="5E606043">
            <w:pPr>
              <w:widowControl/>
              <w:spacing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14:paraId="3251C87C">
            <w:pPr>
              <w:widowControl/>
              <w:spacing w:line="360" w:lineRule="auto"/>
              <w:jc w:val="center"/>
              <w:rPr>
                <w:rFonts w:ascii="Arial" w:hAnsi="Arial" w:cs="Arial"/>
                <w:color w:val="auto"/>
                <w:kern w:val="0"/>
                <w:szCs w:val="21"/>
                <w:highlight w:val="none"/>
              </w:rPr>
            </w:pPr>
          </w:p>
        </w:tc>
      </w:tr>
      <w:tr w14:paraId="60F3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C253DE7">
            <w:pPr>
              <w:widowControl/>
              <w:spacing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14:paraId="6FF6E6D6">
            <w:pPr>
              <w:widowControl/>
              <w:spacing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14:paraId="2FE421D6">
            <w:pPr>
              <w:widowControl/>
              <w:spacing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14:paraId="7C33D079">
            <w:pPr>
              <w:widowControl/>
              <w:spacing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14:paraId="383F6E07">
            <w:pPr>
              <w:widowControl/>
              <w:spacing w:line="360" w:lineRule="auto"/>
              <w:jc w:val="center"/>
              <w:rPr>
                <w:rFonts w:ascii="Arial" w:hAnsi="Arial" w:cs="Arial"/>
                <w:color w:val="auto"/>
                <w:kern w:val="0"/>
                <w:szCs w:val="21"/>
                <w:highlight w:val="none"/>
              </w:rPr>
            </w:pPr>
          </w:p>
        </w:tc>
      </w:tr>
    </w:tbl>
    <w:p w14:paraId="7D45448F">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投标文件商务部分内容响应存在正偏离或负偏离的，请在本表中逐条列出。未列出的，视为响应招标文件要求。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14:paraId="1E829313">
      <w:pPr>
        <w:widowControl/>
        <w:spacing w:line="360" w:lineRule="auto"/>
        <w:jc w:val="left"/>
        <w:rPr>
          <w:rFonts w:ascii="Arial" w:hAnsi="Arial" w:cs="Arial"/>
          <w:color w:val="auto"/>
          <w:kern w:val="0"/>
          <w:szCs w:val="21"/>
          <w:highlight w:val="none"/>
        </w:rPr>
      </w:pPr>
    </w:p>
    <w:p w14:paraId="1C824381">
      <w:pPr>
        <w:widowControl/>
        <w:spacing w:line="360" w:lineRule="auto"/>
        <w:jc w:val="left"/>
        <w:rPr>
          <w:rFonts w:ascii="Arial" w:hAnsi="Arial" w:cs="Arial"/>
          <w:color w:val="auto"/>
          <w:kern w:val="0"/>
          <w:szCs w:val="21"/>
          <w:highlight w:val="none"/>
        </w:rPr>
      </w:pPr>
    </w:p>
    <w:p w14:paraId="051DF0DC">
      <w:pPr>
        <w:widowControl/>
        <w:spacing w:line="360" w:lineRule="auto"/>
        <w:jc w:val="left"/>
        <w:rPr>
          <w:rFonts w:ascii="Arial" w:hAnsi="Arial" w:cs="Arial"/>
          <w:color w:val="auto"/>
          <w:kern w:val="0"/>
          <w:szCs w:val="21"/>
          <w:highlight w:val="none"/>
        </w:rPr>
      </w:pPr>
    </w:p>
    <w:p w14:paraId="73AA4592">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6E676777">
      <w:pPr>
        <w:widowControl/>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577FB244">
      <w:pPr>
        <w:widowControl/>
        <w:spacing w:line="360" w:lineRule="auto"/>
        <w:jc w:val="left"/>
        <w:rPr>
          <w:rFonts w:ascii="Arial" w:hAnsi="Arial" w:cs="Arial"/>
          <w:color w:val="auto"/>
          <w:kern w:val="0"/>
          <w:szCs w:val="21"/>
          <w:highlight w:val="none"/>
        </w:rPr>
      </w:pPr>
    </w:p>
    <w:p w14:paraId="1195A688">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54B6BEC7">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57A73B76">
      <w:pPr>
        <w:widowControl/>
        <w:spacing w:line="360" w:lineRule="auto"/>
        <w:jc w:val="left"/>
        <w:rPr>
          <w:rFonts w:ascii="Arial" w:hAnsi="Arial" w:cs="Arial"/>
          <w:color w:val="auto"/>
          <w:kern w:val="0"/>
          <w:szCs w:val="21"/>
          <w:highlight w:val="none"/>
        </w:rPr>
      </w:pPr>
    </w:p>
    <w:p w14:paraId="3F7C7C6A">
      <w:pPr>
        <w:widowControl/>
        <w:spacing w:line="360" w:lineRule="auto"/>
        <w:jc w:val="left"/>
        <w:rPr>
          <w:rFonts w:ascii="Arial" w:hAnsi="Arial" w:cs="Arial"/>
          <w:b/>
          <w:color w:val="auto"/>
          <w:szCs w:val="21"/>
          <w:highlight w:val="none"/>
          <w:lang w:val="zh-CN"/>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六</w:t>
      </w:r>
      <w:r>
        <w:rPr>
          <w:rFonts w:ascii="Arial" w:hAnsi="Arial" w:cs="Arial"/>
          <w:b/>
          <w:bCs/>
          <w:color w:val="auto"/>
          <w:kern w:val="0"/>
          <w:szCs w:val="21"/>
          <w:highlight w:val="none"/>
        </w:rPr>
        <w:t>、</w:t>
      </w:r>
      <w:r>
        <w:rPr>
          <w:rFonts w:ascii="Arial" w:hAnsi="Arial" w:cs="Arial"/>
          <w:b/>
          <w:color w:val="auto"/>
          <w:szCs w:val="21"/>
          <w:highlight w:val="none"/>
          <w:lang w:val="zh-CN"/>
        </w:rPr>
        <w:t>技术说明与服务方案</w:t>
      </w:r>
    </w:p>
    <w:p w14:paraId="13FFB5B6">
      <w:pPr>
        <w:widowControl/>
        <w:spacing w:line="360" w:lineRule="auto"/>
        <w:jc w:val="left"/>
        <w:rPr>
          <w:rFonts w:ascii="Arial" w:hAnsi="Arial" w:cs="Arial"/>
          <w:b/>
          <w:color w:val="auto"/>
          <w:szCs w:val="21"/>
          <w:highlight w:val="none"/>
          <w:lang w:val="zh-CN"/>
        </w:rPr>
      </w:pPr>
    </w:p>
    <w:p w14:paraId="34AC871F">
      <w:pPr>
        <w:pStyle w:val="182"/>
        <w:snapToGrid w:val="0"/>
        <w:spacing w:before="0" w:after="0"/>
        <w:ind w:firstLine="420" w:firstLineChars="200"/>
        <w:rPr>
          <w:rFonts w:cs="Arial"/>
          <w:color w:val="auto"/>
          <w:kern w:val="2"/>
          <w:sz w:val="21"/>
          <w:szCs w:val="21"/>
          <w:highlight w:val="none"/>
        </w:rPr>
      </w:pPr>
      <w:r>
        <w:rPr>
          <w:rFonts w:cs="Arial"/>
          <w:color w:val="auto"/>
          <w:kern w:val="2"/>
          <w:sz w:val="21"/>
          <w:szCs w:val="21"/>
          <w:highlight w:val="none"/>
        </w:rPr>
        <w:t>技术方案及服务承诺应根据</w:t>
      </w:r>
      <w:r>
        <w:rPr>
          <w:rFonts w:hint="eastAsia" w:cs="Arial"/>
          <w:color w:val="auto"/>
          <w:kern w:val="2"/>
          <w:sz w:val="21"/>
          <w:szCs w:val="21"/>
          <w:highlight w:val="none"/>
        </w:rPr>
        <w:t>采购人</w:t>
      </w:r>
      <w:r>
        <w:rPr>
          <w:rFonts w:cs="Arial"/>
          <w:color w:val="auto"/>
          <w:kern w:val="2"/>
          <w:sz w:val="21"/>
          <w:szCs w:val="21"/>
          <w:highlight w:val="none"/>
        </w:rPr>
        <w:t>对项目的要求、评标标准的要求及项目本身的特点编写，内容应包括但不限于以下内容：</w:t>
      </w:r>
    </w:p>
    <w:p w14:paraId="6FD5BE25">
      <w:pPr>
        <w:pStyle w:val="182"/>
        <w:snapToGrid w:val="0"/>
        <w:spacing w:before="0" w:after="0"/>
        <w:ind w:firstLine="420" w:firstLineChars="200"/>
        <w:rPr>
          <w:rFonts w:cs="Arial"/>
          <w:color w:val="auto"/>
          <w:kern w:val="2"/>
          <w:sz w:val="21"/>
          <w:szCs w:val="21"/>
          <w:highlight w:val="none"/>
        </w:rPr>
      </w:pPr>
    </w:p>
    <w:p w14:paraId="64D22EFC">
      <w:pPr>
        <w:widowControl/>
        <w:spacing w:line="360" w:lineRule="auto"/>
        <w:jc w:val="left"/>
        <w:rPr>
          <w:rFonts w:ascii="Arial" w:hAnsi="Arial" w:cs="Arial"/>
          <w:color w:val="auto"/>
          <w:kern w:val="0"/>
          <w:szCs w:val="21"/>
          <w:highlight w:val="none"/>
        </w:rPr>
      </w:pPr>
    </w:p>
    <w:p w14:paraId="1C077D1D">
      <w:pPr>
        <w:widowControl/>
        <w:spacing w:line="360" w:lineRule="auto"/>
        <w:jc w:val="left"/>
        <w:rPr>
          <w:rFonts w:ascii="Arial" w:hAnsi="Arial" w:cs="Arial"/>
          <w:color w:val="auto"/>
          <w:kern w:val="0"/>
          <w:szCs w:val="21"/>
          <w:highlight w:val="none"/>
        </w:rPr>
      </w:pPr>
    </w:p>
    <w:p w14:paraId="5736DC34">
      <w:pPr>
        <w:widowControl/>
        <w:spacing w:line="360" w:lineRule="auto"/>
        <w:jc w:val="left"/>
        <w:rPr>
          <w:rFonts w:ascii="Arial" w:hAnsi="Arial" w:cs="Arial"/>
          <w:b/>
          <w:bCs/>
          <w:color w:val="auto"/>
          <w:kern w:val="0"/>
          <w:szCs w:val="21"/>
          <w:highlight w:val="none"/>
        </w:rPr>
      </w:pPr>
      <w:r>
        <w:rPr>
          <w:rFonts w:ascii="Arial" w:hAnsi="Arial" w:cs="Arial"/>
          <w:b/>
          <w:bCs/>
          <w:color w:val="auto"/>
          <w:kern w:val="0"/>
          <w:szCs w:val="21"/>
          <w:highlight w:val="none"/>
        </w:rPr>
        <w:t> </w:t>
      </w:r>
    </w:p>
    <w:p w14:paraId="7637F27A">
      <w:pPr>
        <w:widowControl/>
        <w:adjustRightInd w:val="0"/>
        <w:spacing w:line="460" w:lineRule="atLeast"/>
        <w:rPr>
          <w:rFonts w:ascii="Arial" w:hAnsi="Arial" w:cs="Arial"/>
          <w:b/>
          <w:bCs/>
          <w:color w:val="auto"/>
          <w:kern w:val="0"/>
          <w:sz w:val="24"/>
          <w:highlight w:val="none"/>
        </w:rPr>
      </w:pPr>
      <w:r>
        <w:rPr>
          <w:rFonts w:ascii="Arial" w:hAnsi="Arial" w:cs="Arial"/>
          <w:color w:val="auto"/>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七</w:t>
      </w:r>
      <w:r>
        <w:rPr>
          <w:rFonts w:ascii="Arial" w:hAnsi="Arial" w:cs="Arial"/>
          <w:b/>
          <w:bCs/>
          <w:color w:val="auto"/>
          <w:kern w:val="0"/>
          <w:sz w:val="24"/>
          <w:highlight w:val="none"/>
        </w:rPr>
        <w:t>、拟参与本项目服务人员一览表</w:t>
      </w:r>
    </w:p>
    <w:p w14:paraId="393576A1">
      <w:pPr>
        <w:widowControl/>
        <w:adjustRightInd w:val="0"/>
        <w:spacing w:line="460" w:lineRule="atLeast"/>
        <w:rPr>
          <w:rFonts w:ascii="Arial" w:hAnsi="Arial" w:cs="Arial"/>
          <w:b/>
          <w:bCs/>
          <w:color w:val="auto"/>
          <w:kern w:val="0"/>
          <w:sz w:val="24"/>
          <w:highlight w:val="none"/>
        </w:rPr>
      </w:pPr>
    </w:p>
    <w:p w14:paraId="6A3FB13B">
      <w:pPr>
        <w:widowControl/>
        <w:adjustRightInd w:val="0"/>
        <w:jc w:val="center"/>
        <w:rPr>
          <w:rFonts w:ascii="Arial" w:hAnsi="Arial" w:cs="Arial"/>
          <w:b/>
          <w:bCs/>
          <w:color w:val="auto"/>
          <w:kern w:val="0"/>
          <w:sz w:val="24"/>
          <w:highlight w:val="none"/>
        </w:rPr>
      </w:pPr>
      <w:r>
        <w:rPr>
          <w:rFonts w:ascii="Arial" w:hAnsi="Arial" w:cs="Arial"/>
          <w:b/>
          <w:bCs/>
          <w:color w:val="auto"/>
          <w:kern w:val="0"/>
          <w:sz w:val="24"/>
          <w:highlight w:val="none"/>
        </w:rPr>
        <w:t>拟参与本项目服务人员一览表</w:t>
      </w:r>
    </w:p>
    <w:p w14:paraId="759BC39B">
      <w:pPr>
        <w:widowControl/>
        <w:adjustRightInd w:val="0"/>
        <w:jc w:val="center"/>
        <w:rPr>
          <w:rFonts w:ascii="Arial" w:hAnsi="Arial" w:cs="Arial"/>
          <w:b/>
          <w:bCs/>
          <w:color w:val="auto"/>
          <w:kern w:val="0"/>
          <w:sz w:val="24"/>
          <w:highlight w:val="none"/>
        </w:rPr>
      </w:pPr>
    </w:p>
    <w:p w14:paraId="22C62FD9">
      <w:pPr>
        <w:widowControl/>
        <w:adjustRightInd w:val="0"/>
        <w:rPr>
          <w:rFonts w:ascii="Arial" w:hAnsi="Arial" w:cs="Arial"/>
          <w:color w:val="auto"/>
          <w:kern w:val="0"/>
          <w:szCs w:val="21"/>
          <w:highlight w:val="none"/>
        </w:rPr>
      </w:pPr>
      <w:r>
        <w:rPr>
          <w:rFonts w:ascii="Arial" w:hAnsi="Arial" w:cs="Arial"/>
          <w:color w:val="auto"/>
          <w:kern w:val="0"/>
          <w:szCs w:val="21"/>
          <w:highlight w:val="none"/>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6188817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24D07C92">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1DF17109">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62D4F048">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36D69591">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211EDE91">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FF21618">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542990F">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执业</w:t>
            </w:r>
          </w:p>
          <w:p w14:paraId="1F1A2A28">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0757C85">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728E966">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E1ED358">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F035644">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备注</w:t>
            </w:r>
          </w:p>
        </w:tc>
      </w:tr>
      <w:tr w14:paraId="4909E1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6A4C422">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75ABFC5">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E1EC8C0">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98DD28E">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24982B7">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C81259F">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A7B2D18">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53A26E31">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F092AFE">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30B2CCBA">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D554957">
            <w:pPr>
              <w:widowControl/>
              <w:adjustRightInd w:val="0"/>
              <w:rPr>
                <w:rFonts w:ascii="Arial" w:hAnsi="Arial" w:cs="Arial"/>
                <w:color w:val="auto"/>
                <w:kern w:val="0"/>
                <w:szCs w:val="21"/>
                <w:highlight w:val="none"/>
              </w:rPr>
            </w:pPr>
          </w:p>
        </w:tc>
      </w:tr>
      <w:tr w14:paraId="27D2FA5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44E974">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99AA6C8">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DAB863A">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EEEA125">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F083175">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73B949">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5A82E185">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C8CBFEF">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EF1490F">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F7A0777">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425D0874">
            <w:pPr>
              <w:widowControl/>
              <w:adjustRightInd w:val="0"/>
              <w:rPr>
                <w:rFonts w:ascii="Arial" w:hAnsi="Arial" w:cs="Arial"/>
                <w:color w:val="auto"/>
                <w:kern w:val="0"/>
                <w:szCs w:val="21"/>
                <w:highlight w:val="none"/>
              </w:rPr>
            </w:pPr>
          </w:p>
        </w:tc>
      </w:tr>
      <w:tr w14:paraId="1F49BAD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C5DA17E">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98B470D">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26D62">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253A07B8">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B723726">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1504936">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5FB6D9A1">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53823465">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B720AD">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2FDCF712">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F5CD6DC">
            <w:pPr>
              <w:widowControl/>
              <w:adjustRightInd w:val="0"/>
              <w:rPr>
                <w:rFonts w:ascii="Arial" w:hAnsi="Arial" w:cs="Arial"/>
                <w:color w:val="auto"/>
                <w:kern w:val="0"/>
                <w:szCs w:val="21"/>
                <w:highlight w:val="none"/>
              </w:rPr>
            </w:pPr>
          </w:p>
        </w:tc>
      </w:tr>
      <w:tr w14:paraId="529177E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D1FF875">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B2EBBBF">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192C961">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3D40F20">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4EBE0C">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7A27479">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29CE607">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106DAED">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207EE94">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4A8BBA41">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F6D8DB7">
            <w:pPr>
              <w:widowControl/>
              <w:adjustRightInd w:val="0"/>
              <w:rPr>
                <w:rFonts w:ascii="Arial" w:hAnsi="Arial" w:cs="Arial"/>
                <w:color w:val="auto"/>
                <w:kern w:val="0"/>
                <w:szCs w:val="21"/>
                <w:highlight w:val="none"/>
              </w:rPr>
            </w:pPr>
          </w:p>
        </w:tc>
      </w:tr>
      <w:tr w14:paraId="23ED41F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B460075">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7670ADD">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6D8E097">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25EE2A69">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BAE355F">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215FB87">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03C752FB">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EC7FDF4">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2F37221A">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B6288BF">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1E9614A6">
            <w:pPr>
              <w:widowControl/>
              <w:adjustRightInd w:val="0"/>
              <w:rPr>
                <w:rFonts w:ascii="Arial" w:hAnsi="Arial" w:cs="Arial"/>
                <w:color w:val="auto"/>
                <w:kern w:val="0"/>
                <w:szCs w:val="21"/>
                <w:highlight w:val="none"/>
              </w:rPr>
            </w:pPr>
          </w:p>
        </w:tc>
      </w:tr>
      <w:tr w14:paraId="5EE4662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DE5F40B">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82847D7">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EAA5B06">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5F27D9F">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8C00C7">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5C0F61FE">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54803D3D">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7C545F2">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2F71630A">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4E682ECD">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CC51410">
            <w:pPr>
              <w:widowControl/>
              <w:adjustRightInd w:val="0"/>
              <w:rPr>
                <w:rFonts w:ascii="Arial" w:hAnsi="Arial" w:cs="Arial"/>
                <w:color w:val="auto"/>
                <w:kern w:val="0"/>
                <w:szCs w:val="21"/>
                <w:highlight w:val="none"/>
              </w:rPr>
            </w:pPr>
          </w:p>
        </w:tc>
      </w:tr>
      <w:tr w14:paraId="5B1A507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8B3C69C">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1C174BA">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2C2ABD0">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662D1D5">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4184957">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7E13FE20">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4C908F4">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5B06DE9C">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A950B83">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23198C0">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CCE1C01">
            <w:pPr>
              <w:widowControl/>
              <w:adjustRightInd w:val="0"/>
              <w:rPr>
                <w:rFonts w:ascii="Arial" w:hAnsi="Arial" w:cs="Arial"/>
                <w:color w:val="auto"/>
                <w:kern w:val="0"/>
                <w:szCs w:val="21"/>
                <w:highlight w:val="none"/>
              </w:rPr>
            </w:pPr>
          </w:p>
        </w:tc>
      </w:tr>
      <w:tr w14:paraId="792AF74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C5A7022">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5A8B98BF">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E1ADEBF">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710B6C">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B3B1C5A">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1384AD5">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5379C8B">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7FCB35D">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9A5556D">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35D4FE6D">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1DA5B0BD">
            <w:pPr>
              <w:widowControl/>
              <w:adjustRightInd w:val="0"/>
              <w:rPr>
                <w:rFonts w:ascii="Arial" w:hAnsi="Arial" w:cs="Arial"/>
                <w:color w:val="auto"/>
                <w:kern w:val="0"/>
                <w:szCs w:val="21"/>
                <w:highlight w:val="none"/>
              </w:rPr>
            </w:pPr>
          </w:p>
        </w:tc>
      </w:tr>
    </w:tbl>
    <w:p w14:paraId="0348AF77">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6B233D1E">
      <w:pPr>
        <w:widowControl/>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2B88AF11">
      <w:pPr>
        <w:widowControl/>
        <w:adjustRightInd w:val="0"/>
        <w:rPr>
          <w:rFonts w:ascii="Arial" w:hAnsi="Arial" w:cs="Arial"/>
          <w:color w:val="auto"/>
          <w:kern w:val="0"/>
          <w:szCs w:val="21"/>
          <w:highlight w:val="none"/>
        </w:rPr>
      </w:pPr>
    </w:p>
    <w:p w14:paraId="2DA4C8A8">
      <w:pPr>
        <w:widowControl/>
        <w:adjustRightInd w:val="0"/>
        <w:rPr>
          <w:rFonts w:ascii="Arial" w:hAnsi="Arial" w:cs="Arial"/>
          <w:b/>
          <w:bCs/>
          <w:color w:val="auto"/>
          <w:kern w:val="0"/>
          <w:szCs w:val="21"/>
          <w:highlight w:val="none"/>
        </w:rPr>
      </w:pPr>
    </w:p>
    <w:p w14:paraId="5214346C">
      <w:pPr>
        <w:widowControl/>
        <w:adjustRightInd w:val="0"/>
        <w:spacing w:line="360" w:lineRule="auto"/>
        <w:rPr>
          <w:rFonts w:ascii="Arial" w:hAnsi="Arial" w:cs="Arial"/>
          <w:b/>
          <w:bCs/>
          <w:color w:val="auto"/>
          <w:kern w:val="0"/>
          <w:sz w:val="24"/>
          <w:highlight w:val="none"/>
        </w:rPr>
      </w:pPr>
      <w:r>
        <w:rPr>
          <w:rFonts w:ascii="Arial" w:hAnsi="Arial" w:cs="Arial"/>
          <w:b/>
          <w:bCs/>
          <w:color w:val="auto"/>
          <w:kern w:val="0"/>
          <w:sz w:val="24"/>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八</w:t>
      </w:r>
      <w:r>
        <w:rPr>
          <w:rFonts w:ascii="Arial" w:hAnsi="Arial" w:cs="Arial"/>
          <w:b/>
          <w:bCs/>
          <w:color w:val="auto"/>
          <w:kern w:val="0"/>
          <w:sz w:val="24"/>
          <w:highlight w:val="none"/>
        </w:rPr>
        <w:t>、 投标人类似业绩情况表</w:t>
      </w:r>
    </w:p>
    <w:p w14:paraId="563D311A">
      <w:pPr>
        <w:widowControl/>
        <w:adjustRightInd w:val="0"/>
        <w:spacing w:line="360" w:lineRule="auto"/>
        <w:jc w:val="center"/>
        <w:rPr>
          <w:rFonts w:ascii="Arial" w:hAnsi="Arial" w:cs="Arial"/>
          <w:b/>
          <w:bCs/>
          <w:color w:val="auto"/>
          <w:kern w:val="0"/>
          <w:sz w:val="24"/>
          <w:highlight w:val="none"/>
        </w:rPr>
      </w:pPr>
    </w:p>
    <w:p w14:paraId="3ED04143">
      <w:pPr>
        <w:widowControl/>
        <w:adjustRightInd w:val="0"/>
        <w:spacing w:line="360" w:lineRule="auto"/>
        <w:jc w:val="center"/>
        <w:rPr>
          <w:rFonts w:ascii="Arial" w:hAnsi="Arial" w:cs="Arial"/>
          <w:b/>
          <w:bCs/>
          <w:color w:val="auto"/>
          <w:kern w:val="0"/>
          <w:sz w:val="24"/>
          <w:highlight w:val="none"/>
        </w:rPr>
      </w:pPr>
      <w:r>
        <w:rPr>
          <w:rFonts w:ascii="Arial" w:hAnsi="Arial" w:cs="Arial"/>
          <w:b/>
          <w:bCs/>
          <w:color w:val="auto"/>
          <w:kern w:val="0"/>
          <w:sz w:val="24"/>
          <w:highlight w:val="none"/>
        </w:rPr>
        <w:t>投标人类似业绩情况表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47F5558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7FB8B2B">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76D6AC9E">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1E560933">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0E37986D">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w:t>
            </w:r>
          </w:p>
          <w:p w14:paraId="2A92D5B6">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75E62487">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获奖</w:t>
            </w:r>
          </w:p>
          <w:p w14:paraId="1B636228">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740AE41A">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签约及服务</w:t>
            </w:r>
          </w:p>
          <w:p w14:paraId="508A00E5">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D3C58F5">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6586203F">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14:paraId="23E2A79C">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2F94383">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395BFD">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5928028">
            <w:pPr>
              <w:widowControl/>
              <w:spacing w:line="400" w:lineRule="atLeast"/>
              <w:ind w:firstLine="120"/>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BBAEEDC">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BD4C7E">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C5777F">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255BBB">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0AD093">
            <w:pPr>
              <w:widowControl/>
              <w:spacing w:line="400" w:lineRule="atLeast"/>
              <w:jc w:val="center"/>
              <w:rPr>
                <w:rFonts w:ascii="Arial" w:hAnsi="Arial" w:cs="Arial"/>
                <w:color w:val="auto"/>
                <w:kern w:val="0"/>
                <w:szCs w:val="21"/>
                <w:highlight w:val="none"/>
              </w:rPr>
            </w:pPr>
          </w:p>
        </w:tc>
      </w:tr>
      <w:tr w14:paraId="6AF81AC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41D3C7D">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6CD0B0FE">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476FE285">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58B49E56">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5457A51">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4302D1">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BED75D">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664F14">
            <w:pPr>
              <w:widowControl/>
              <w:spacing w:line="400" w:lineRule="atLeast"/>
              <w:jc w:val="center"/>
              <w:rPr>
                <w:rFonts w:ascii="Arial" w:hAnsi="Arial" w:cs="Arial"/>
                <w:color w:val="auto"/>
                <w:kern w:val="0"/>
                <w:szCs w:val="21"/>
                <w:highlight w:val="none"/>
              </w:rPr>
            </w:pPr>
          </w:p>
        </w:tc>
      </w:tr>
      <w:tr w14:paraId="047EEC9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6AD89E8">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55FFB33">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BE5CCE4">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53DB3A35">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18081B6">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CD5DFEA">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C6C0BD">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FB71A52">
            <w:pPr>
              <w:widowControl/>
              <w:spacing w:line="400" w:lineRule="atLeast"/>
              <w:jc w:val="center"/>
              <w:rPr>
                <w:rFonts w:ascii="Arial" w:hAnsi="Arial" w:cs="Arial"/>
                <w:color w:val="auto"/>
                <w:kern w:val="0"/>
                <w:szCs w:val="21"/>
                <w:highlight w:val="none"/>
              </w:rPr>
            </w:pPr>
          </w:p>
        </w:tc>
      </w:tr>
      <w:tr w14:paraId="0469DAE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4738131">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3113A9C">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4028EA3">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5A94841C">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77A7E88">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6112CB3">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FDB9712">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690954">
            <w:pPr>
              <w:widowControl/>
              <w:spacing w:line="400" w:lineRule="atLeast"/>
              <w:jc w:val="center"/>
              <w:rPr>
                <w:rFonts w:ascii="Arial" w:hAnsi="Arial" w:cs="Arial"/>
                <w:color w:val="auto"/>
                <w:kern w:val="0"/>
                <w:szCs w:val="21"/>
                <w:highlight w:val="none"/>
              </w:rPr>
            </w:pPr>
          </w:p>
        </w:tc>
      </w:tr>
      <w:tr w14:paraId="0204129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E3BAC1D">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0069C6D2">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4961A863">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FBF3BAF">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973F61A">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4526814B">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69ABF5">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B900D5">
            <w:pPr>
              <w:widowControl/>
              <w:spacing w:line="400" w:lineRule="atLeast"/>
              <w:jc w:val="center"/>
              <w:rPr>
                <w:rFonts w:ascii="Arial" w:hAnsi="Arial" w:cs="Arial"/>
                <w:color w:val="auto"/>
                <w:kern w:val="0"/>
                <w:szCs w:val="21"/>
                <w:highlight w:val="none"/>
              </w:rPr>
            </w:pPr>
          </w:p>
        </w:tc>
      </w:tr>
      <w:tr w14:paraId="72D51CC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0C615EB">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073D4B98">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47FBC213">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18489AE">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744432D">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E5D16E0">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ADF0477">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6BF6382">
            <w:pPr>
              <w:widowControl/>
              <w:spacing w:line="400" w:lineRule="atLeast"/>
              <w:jc w:val="center"/>
              <w:rPr>
                <w:rFonts w:ascii="Arial" w:hAnsi="Arial" w:cs="Arial"/>
                <w:color w:val="auto"/>
                <w:kern w:val="0"/>
                <w:szCs w:val="21"/>
                <w:highlight w:val="none"/>
              </w:rPr>
            </w:pPr>
          </w:p>
        </w:tc>
      </w:tr>
      <w:tr w14:paraId="2BD1854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ED796FA">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ECE3153">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E789438">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4E793533">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AC902E6">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CA22E6E">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CCF1BF1">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4B876AF">
            <w:pPr>
              <w:widowControl/>
              <w:spacing w:line="400" w:lineRule="atLeast"/>
              <w:jc w:val="center"/>
              <w:rPr>
                <w:rFonts w:ascii="Arial" w:hAnsi="Arial" w:cs="Arial"/>
                <w:color w:val="auto"/>
                <w:kern w:val="0"/>
                <w:szCs w:val="21"/>
                <w:highlight w:val="none"/>
              </w:rPr>
            </w:pPr>
          </w:p>
        </w:tc>
      </w:tr>
      <w:tr w14:paraId="0A5D55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196ED9D">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4CB3389">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CDF59B7">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6DAC89">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70180F0A">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54447B0">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851861">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1F7D29">
            <w:pPr>
              <w:widowControl/>
              <w:spacing w:line="400" w:lineRule="atLeast"/>
              <w:jc w:val="center"/>
              <w:rPr>
                <w:rFonts w:ascii="Arial" w:hAnsi="Arial" w:cs="Arial"/>
                <w:color w:val="auto"/>
                <w:kern w:val="0"/>
                <w:szCs w:val="21"/>
                <w:highlight w:val="none"/>
              </w:rPr>
            </w:pPr>
          </w:p>
        </w:tc>
      </w:tr>
    </w:tbl>
    <w:p w14:paraId="1CF45FE7">
      <w:pPr>
        <w:widowControl/>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43752743">
      <w:pPr>
        <w:widowControl/>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248E7B7B">
      <w:pPr>
        <w:widowControl/>
        <w:adjustRightInd w:val="0"/>
        <w:spacing w:line="360" w:lineRule="auto"/>
        <w:rPr>
          <w:rFonts w:ascii="Arial" w:hAnsi="Arial" w:cs="Arial"/>
          <w:b/>
          <w:bCs/>
          <w:color w:val="auto"/>
          <w:kern w:val="0"/>
          <w:szCs w:val="21"/>
          <w:highlight w:val="none"/>
        </w:rPr>
      </w:pPr>
    </w:p>
    <w:p w14:paraId="389ED229">
      <w:pPr>
        <w:widowControl/>
        <w:adjustRightInd w:val="0"/>
        <w:spacing w:line="360" w:lineRule="auto"/>
        <w:rPr>
          <w:rFonts w:ascii="Arial" w:hAnsi="Arial" w:cs="Arial"/>
          <w:b/>
          <w:bCs/>
          <w:color w:val="auto"/>
          <w:kern w:val="0"/>
          <w:szCs w:val="21"/>
          <w:highlight w:val="none"/>
        </w:rPr>
      </w:pPr>
    </w:p>
    <w:p w14:paraId="2644298B">
      <w:pPr>
        <w:spacing w:line="360" w:lineRule="auto"/>
        <w:rPr>
          <w:rFonts w:ascii="Arial" w:hAnsi="Arial" w:cs="Arial"/>
          <w:color w:val="auto"/>
          <w:highlight w:val="none"/>
        </w:rPr>
      </w:pPr>
    </w:p>
    <w:p w14:paraId="69E50B34">
      <w:pPr>
        <w:spacing w:line="360" w:lineRule="auto"/>
        <w:rPr>
          <w:rFonts w:ascii="Arial" w:hAnsi="Arial" w:cs="Arial"/>
          <w:b/>
          <w:bCs/>
          <w:color w:val="auto"/>
          <w:highlight w:val="none"/>
        </w:rPr>
      </w:pPr>
      <w:r>
        <w:rPr>
          <w:rFonts w:ascii="Arial" w:hAnsi="Arial" w:cs="Arial"/>
          <w:b/>
          <w:color w:val="auto"/>
          <w:highlight w:val="none"/>
        </w:rPr>
        <w:br w:type="page"/>
      </w:r>
      <w:r>
        <w:rPr>
          <w:rFonts w:ascii="Arial" w:hAnsi="Arial" w:cs="Arial"/>
          <w:b/>
          <w:color w:val="auto"/>
          <w:highlight w:val="none"/>
        </w:rPr>
        <w:t>附件</w:t>
      </w:r>
      <w:r>
        <w:rPr>
          <w:rFonts w:hint="eastAsia" w:ascii="Arial" w:hAnsi="Arial" w:cs="Arial"/>
          <w:b/>
          <w:color w:val="auto"/>
          <w:highlight w:val="none"/>
        </w:rPr>
        <w:t>九</w:t>
      </w:r>
      <w:r>
        <w:rPr>
          <w:rFonts w:ascii="Arial" w:hAnsi="Arial" w:cs="Arial"/>
          <w:b/>
          <w:bCs/>
          <w:color w:val="auto"/>
          <w:highlight w:val="none"/>
        </w:rPr>
        <w:t>：企业声明函格式</w:t>
      </w:r>
    </w:p>
    <w:p w14:paraId="01A55108">
      <w:pPr>
        <w:spacing w:before="312" w:beforeLines="100" w:line="480" w:lineRule="auto"/>
        <w:jc w:val="center"/>
        <w:rPr>
          <w:rFonts w:ascii="Arial" w:hAnsi="Arial" w:cs="Arial"/>
          <w:b/>
          <w:bCs/>
          <w:color w:val="auto"/>
          <w:sz w:val="28"/>
          <w:szCs w:val="28"/>
          <w:highlight w:val="none"/>
        </w:rPr>
      </w:pPr>
      <w:bookmarkStart w:id="58" w:name="OLE_LINK13"/>
      <w:bookmarkStart w:id="59" w:name="OLE_LINK14"/>
      <w:r>
        <w:rPr>
          <w:rFonts w:hint="eastAsia" w:ascii="宋体" w:hAnsi="宋体" w:cs="Arial"/>
          <w:b/>
          <w:bCs/>
          <w:color w:val="auto"/>
          <w:sz w:val="28"/>
          <w:szCs w:val="28"/>
          <w:highlight w:val="none"/>
        </w:rPr>
        <w:t>中小企业声明函（货物）</w:t>
      </w:r>
    </w:p>
    <w:p w14:paraId="5958E951">
      <w:pPr>
        <w:widowControl/>
        <w:spacing w:line="440" w:lineRule="exact"/>
        <w:ind w:firstLine="420" w:firstLineChars="200"/>
        <w:jc w:val="left"/>
        <w:rPr>
          <w:rFonts w:hint="eastAsia" w:ascii="宋体" w:hAnsi="宋体" w:cs="Arial"/>
          <w:color w:val="auto"/>
          <w:kern w:val="0"/>
          <w:highlight w:val="none"/>
        </w:rPr>
      </w:pPr>
    </w:p>
    <w:p w14:paraId="3ED3943B">
      <w:pPr>
        <w:widowControl/>
        <w:spacing w:line="440" w:lineRule="exact"/>
        <w:ind w:firstLine="420" w:firstLineChars="200"/>
        <w:jc w:val="left"/>
        <w:rPr>
          <w:rFonts w:ascii="Arial" w:hAnsi="Arial" w:cs="Arial"/>
          <w:color w:val="auto"/>
          <w:kern w:val="0"/>
          <w:szCs w:val="21"/>
          <w:highlight w:val="none"/>
        </w:rPr>
      </w:pPr>
      <w:r>
        <w:rPr>
          <w:rFonts w:hint="eastAsia" w:ascii="宋体" w:hAnsi="宋体" w:cs="Arial"/>
          <w:color w:val="auto"/>
          <w:kern w:val="0"/>
          <w:highlight w:val="none"/>
        </w:rPr>
        <w:t>本公司（联合体）郑重声明，根据《政府采购促进中小企业发展管理办法》（财库〔</w:t>
      </w:r>
      <w:r>
        <w:rPr>
          <w:rFonts w:hint="eastAsia" w:ascii="Arial" w:hAnsi="Arial" w:cs="Arial"/>
          <w:color w:val="auto"/>
          <w:kern w:val="0"/>
          <w:highlight w:val="none"/>
        </w:rPr>
        <w:t>2020</w:t>
      </w:r>
      <w:r>
        <w:rPr>
          <w:rFonts w:hint="eastAsia"/>
          <w:color w:val="auto"/>
          <w:highlight w:val="none"/>
        </w:rPr>
        <w:t>〕</w:t>
      </w:r>
      <w:r>
        <w:rPr>
          <w:rFonts w:hint="eastAsia" w:ascii="宋体" w:hAnsi="宋体" w:cs="Arial"/>
          <w:color w:val="auto"/>
          <w:kern w:val="0"/>
          <w:highlight w:val="none"/>
        </w:rPr>
        <w:t xml:space="preserve">） </w:t>
      </w:r>
      <w:r>
        <w:rPr>
          <w:rFonts w:hint="eastAsia" w:ascii="Arial" w:hAnsi="Arial" w:cs="Arial"/>
          <w:color w:val="auto"/>
          <w:kern w:val="0"/>
          <w:highlight w:val="none"/>
        </w:rPr>
        <w:t>46</w:t>
      </w:r>
      <w:r>
        <w:rPr>
          <w:rFonts w:hint="eastAsia" w:ascii="宋体" w:hAnsi="宋体" w:cs="Arial"/>
          <w:color w:val="auto"/>
          <w:kern w:val="0"/>
          <w:highlight w:val="none"/>
        </w:rPr>
        <w:t>号）的规定，本公司 （联合体）参加（单位名称）的（项目名称）采购活动</w:t>
      </w:r>
      <w:r>
        <w:rPr>
          <w:rFonts w:hint="eastAsia" w:ascii="Arial" w:hAnsi="Arial" w:cs="Arial"/>
          <w:color w:val="auto"/>
          <w:kern w:val="0"/>
          <w:highlight w:val="none"/>
        </w:rPr>
        <w:t>,</w:t>
      </w:r>
      <w:r>
        <w:rPr>
          <w:rFonts w:hint="eastAsia" w:ascii="宋体" w:hAnsi="宋体" w:cs="Arial"/>
          <w:color w:val="auto"/>
          <w:kern w:val="0"/>
          <w:highlight w:val="none"/>
        </w:rPr>
        <w:t>提供的货物全部由符合政策要求的中小企业制造。相关企业（含联合体中的中小企业、签订分包意向协议的中小企业）的具体情况如下：</w:t>
      </w:r>
    </w:p>
    <w:p w14:paraId="2A204E66">
      <w:pPr>
        <w:widowControl/>
        <w:spacing w:line="440" w:lineRule="exact"/>
        <w:ind w:firstLine="420" w:firstLineChars="200"/>
        <w:jc w:val="left"/>
        <w:rPr>
          <w:rFonts w:ascii="Arial" w:hAnsi="Arial" w:cs="Arial"/>
          <w:color w:val="auto"/>
          <w:kern w:val="0"/>
          <w:highlight w:val="none"/>
        </w:rPr>
      </w:pPr>
      <w:r>
        <w:rPr>
          <w:rFonts w:hint="eastAsia" w:ascii="Arial" w:hAnsi="Arial" w:cs="Arial"/>
          <w:color w:val="auto"/>
          <w:kern w:val="0"/>
          <w:highlight w:val="none"/>
        </w:rPr>
        <w:t>1.</w:t>
      </w:r>
      <w:r>
        <w:rPr>
          <w:rFonts w:hint="eastAsia" w:ascii="宋体" w:hAnsi="宋体" w:cs="Arial"/>
          <w:color w:val="auto"/>
          <w:kern w:val="0"/>
          <w:highlight w:val="none"/>
          <w:u w:val="single"/>
        </w:rPr>
        <w:t>（标的名称）</w:t>
      </w:r>
      <w:r>
        <w:rPr>
          <w:rFonts w:hint="eastAsia" w:ascii="Arial" w:hAnsi="Arial" w:cs="Arial"/>
          <w:color w:val="auto"/>
          <w:kern w:val="0"/>
          <w:highlight w:val="none"/>
          <w:u w:val="singl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宋体" w:hAnsi="宋体" w:cs="Arial"/>
          <w:color w:val="auto"/>
          <w:kern w:val="0"/>
          <w:highlight w:val="none"/>
        </w:rPr>
        <w:t>行业</w:t>
      </w:r>
      <w:r>
        <w:rPr>
          <w:rFonts w:hint="eastAsia" w:ascii="Arial" w:hAnsi="Arial" w:cs="Arial"/>
          <w:color w:val="auto"/>
          <w:kern w:val="0"/>
          <w:highlight w:val="none"/>
        </w:rPr>
        <w:t>;</w:t>
      </w:r>
      <w:r>
        <w:rPr>
          <w:rFonts w:hint="eastAsia" w:ascii="宋体" w:hAnsi="宋体" w:cs="Arial"/>
          <w:color w:val="auto"/>
          <w:kern w:val="0"/>
          <w:highlight w:val="none"/>
        </w:rPr>
        <w:t>制造商为（企业名称）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u w:val="single"/>
        </w:rPr>
        <w:t>万</w:t>
      </w:r>
      <w:r>
        <w:rPr>
          <w:rFonts w:hint="eastAsia" w:ascii="宋体" w:hAnsi="宋体" w:cs="Arial"/>
          <w:color w:val="auto"/>
          <w:kern w:val="0"/>
          <w:highlight w:val="none"/>
        </w:rPr>
        <w:t>元</w:t>
      </w:r>
      <w:r>
        <w:rPr>
          <w:rFonts w:hint="eastAsia" w:ascii="Arial" w:hAnsi="Arial" w:cs="Arial"/>
          <w:color w:val="auto"/>
          <w:kern w:val="0"/>
          <w:highlight w:val="none"/>
        </w:rPr>
        <w:t>，</w:t>
      </w:r>
      <w:r>
        <w:rPr>
          <w:rFonts w:hint="eastAsia" w:ascii="宋体" w:hAnsi="宋体" w:cs="Arial"/>
          <w:color w:val="auto"/>
          <w:kern w:val="0"/>
          <w:highlight w:val="none"/>
        </w:rPr>
        <w:t>属于（中型企业、小型企业、微型企业）；</w:t>
      </w:r>
    </w:p>
    <w:p w14:paraId="02C91BDB">
      <w:pPr>
        <w:widowControl/>
        <w:spacing w:line="440" w:lineRule="exact"/>
        <w:ind w:firstLine="420" w:firstLineChars="200"/>
        <w:jc w:val="left"/>
        <w:rPr>
          <w:rFonts w:ascii="Arial" w:hAnsi="Arial" w:cs="Arial"/>
          <w:color w:val="auto"/>
          <w:kern w:val="0"/>
          <w:highlight w:val="none"/>
        </w:rPr>
      </w:pPr>
      <w:r>
        <w:rPr>
          <w:rFonts w:hint="eastAsia" w:ascii="Arial" w:hAnsi="Arial" w:cs="Arial"/>
          <w:color w:val="auto"/>
          <w:kern w:val="0"/>
          <w:highlight w:val="none"/>
        </w:rPr>
        <w:t>2.</w:t>
      </w:r>
      <w:r>
        <w:rPr>
          <w:rFonts w:hint="eastAsia" w:ascii="宋体" w:hAnsi="宋体" w:cs="Arial"/>
          <w:color w:val="auto"/>
          <w:kern w:val="0"/>
          <w:highlight w:val="none"/>
          <w:u w:val="single"/>
        </w:rPr>
        <w:t>（标的名称）</w:t>
      </w:r>
      <w:r>
        <w:rPr>
          <w:rFonts w:hint="eastAsia" w:ascii="Arial" w:hAnsi="Arial" w:cs="Arial"/>
          <w:color w:val="auto"/>
          <w:kern w:val="0"/>
          <w:highlight w:val="non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宋体" w:hAnsi="宋体" w:cs="Arial"/>
          <w:color w:val="auto"/>
          <w:kern w:val="0"/>
          <w:highlight w:val="none"/>
        </w:rPr>
        <w:t>行业；制造商为（企业名称）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p>
    <w:p w14:paraId="697B6DC9">
      <w:pPr>
        <w:widowControl/>
        <w:spacing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rPr>
        <w:t>以上企业，不属于大企业的分支机构，不存在控股股东为大企业的情形，也不存在与大企业的负责人为同一人的情形。</w:t>
      </w:r>
    </w:p>
    <w:p w14:paraId="43FDCC0E">
      <w:pPr>
        <w:widowControl/>
        <w:spacing w:line="440" w:lineRule="exact"/>
        <w:ind w:firstLine="420" w:firstLineChars="200"/>
        <w:jc w:val="left"/>
        <w:rPr>
          <w:rFonts w:hint="eastAsia" w:ascii="宋体" w:hAnsi="宋体" w:cs="Arial"/>
          <w:color w:val="auto"/>
          <w:kern w:val="0"/>
          <w:highlight w:val="none"/>
        </w:rPr>
      </w:pPr>
      <w:r>
        <w:rPr>
          <w:rFonts w:hint="eastAsia" w:ascii="宋体" w:hAnsi="宋体" w:cs="Arial"/>
          <w:color w:val="auto"/>
          <w:kern w:val="0"/>
          <w:highlight w:val="none"/>
        </w:rPr>
        <w:t>本企业对上述声明内容的真实性负责。如有虚假，将依法承担相应责任。</w:t>
      </w:r>
    </w:p>
    <w:p w14:paraId="294DBFEC">
      <w:pPr>
        <w:widowControl/>
        <w:spacing w:line="440" w:lineRule="exact"/>
        <w:ind w:firstLine="420" w:firstLineChars="200"/>
        <w:jc w:val="left"/>
        <w:rPr>
          <w:rFonts w:hint="eastAsia" w:ascii="宋体" w:hAnsi="宋体" w:cs="Arial"/>
          <w:color w:val="auto"/>
          <w:kern w:val="0"/>
          <w:highlight w:val="none"/>
        </w:rPr>
      </w:pPr>
    </w:p>
    <w:p w14:paraId="259BE4B4">
      <w:pPr>
        <w:widowControl/>
        <w:spacing w:line="440" w:lineRule="exact"/>
        <w:ind w:firstLine="420" w:firstLineChars="200"/>
        <w:jc w:val="left"/>
        <w:rPr>
          <w:rFonts w:hint="eastAsia" w:ascii="宋体" w:hAnsi="宋体" w:cs="Arial"/>
          <w:color w:val="auto"/>
          <w:kern w:val="0"/>
          <w:highlight w:val="none"/>
        </w:rPr>
      </w:pPr>
    </w:p>
    <w:p w14:paraId="3C798C83">
      <w:pPr>
        <w:widowControl/>
        <w:spacing w:line="440" w:lineRule="exact"/>
        <w:ind w:firstLine="420" w:firstLineChars="200"/>
        <w:jc w:val="left"/>
        <w:rPr>
          <w:rFonts w:hint="eastAsia" w:ascii="宋体" w:hAnsi="宋体" w:cs="Arial"/>
          <w:color w:val="auto"/>
          <w:kern w:val="0"/>
          <w:highlight w:val="none"/>
        </w:rPr>
      </w:pPr>
    </w:p>
    <w:p w14:paraId="0F5EAA7A">
      <w:pPr>
        <w:widowControl/>
        <w:spacing w:line="440" w:lineRule="exact"/>
        <w:ind w:firstLine="420" w:firstLineChars="200"/>
        <w:jc w:val="right"/>
        <w:rPr>
          <w:rFonts w:ascii="Arial" w:hAnsi="Arial" w:cs="Arial"/>
          <w:color w:val="auto"/>
          <w:kern w:val="0"/>
          <w:highlight w:val="none"/>
        </w:rPr>
      </w:pPr>
      <w:r>
        <w:rPr>
          <w:rFonts w:hint="eastAsia" w:ascii="宋体" w:hAnsi="宋体" w:cs="Arial"/>
          <w:color w:val="auto"/>
          <w:kern w:val="0"/>
          <w:highlight w:val="none"/>
        </w:rPr>
        <w:t>企业名称（盖章）</w:t>
      </w:r>
      <w:r>
        <w:rPr>
          <w:rFonts w:hint="eastAsia" w:ascii="Arial" w:hAnsi="Arial" w:cs="Arial"/>
          <w:color w:val="auto"/>
          <w:kern w:val="0"/>
          <w:highlight w:val="none"/>
        </w:rPr>
        <w:t>：</w:t>
      </w:r>
    </w:p>
    <w:p w14:paraId="261E08DA">
      <w:pPr>
        <w:widowControl/>
        <w:spacing w:line="440" w:lineRule="exact"/>
        <w:ind w:firstLine="420" w:firstLineChars="200"/>
        <w:jc w:val="center"/>
        <w:rPr>
          <w:rFonts w:ascii="Arial" w:hAnsi="Arial" w:cs="Arial"/>
          <w:color w:val="auto"/>
          <w:kern w:val="0"/>
          <w:highlight w:val="none"/>
        </w:rPr>
      </w:pPr>
      <w:r>
        <w:rPr>
          <w:rFonts w:hint="eastAsia" w:ascii="宋体" w:hAnsi="宋体" w:cs="Arial"/>
          <w:color w:val="auto"/>
          <w:kern w:val="0"/>
          <w:highlight w:val="none"/>
        </w:rPr>
        <w:t xml:space="preserve">                                               日期：</w:t>
      </w:r>
    </w:p>
    <w:p w14:paraId="3258A26C">
      <w:pPr>
        <w:spacing w:line="360" w:lineRule="auto"/>
        <w:jc w:val="center"/>
        <w:rPr>
          <w:rFonts w:ascii="Arial" w:hAnsi="Arial" w:cs="Arial"/>
          <w:b/>
          <w:bCs/>
          <w:color w:val="auto"/>
          <w:sz w:val="28"/>
          <w:highlight w:val="none"/>
        </w:rPr>
      </w:pPr>
    </w:p>
    <w:p w14:paraId="330F219A">
      <w:pPr>
        <w:spacing w:line="360" w:lineRule="auto"/>
        <w:jc w:val="center"/>
        <w:rPr>
          <w:rFonts w:ascii="Arial" w:hAnsi="Arial" w:cs="Arial"/>
          <w:b/>
          <w:bCs/>
          <w:color w:val="auto"/>
          <w:sz w:val="28"/>
          <w:highlight w:val="none"/>
        </w:rPr>
      </w:pPr>
    </w:p>
    <w:p w14:paraId="5142D6C6">
      <w:pPr>
        <w:spacing w:line="360" w:lineRule="auto"/>
        <w:jc w:val="center"/>
        <w:rPr>
          <w:rFonts w:ascii="Arial" w:hAnsi="Arial" w:cs="Arial"/>
          <w:b/>
          <w:bCs/>
          <w:color w:val="auto"/>
          <w:sz w:val="28"/>
          <w:highlight w:val="none"/>
        </w:rPr>
      </w:pPr>
    </w:p>
    <w:p w14:paraId="26116907">
      <w:pPr>
        <w:spacing w:line="360" w:lineRule="auto"/>
        <w:jc w:val="center"/>
        <w:rPr>
          <w:rFonts w:ascii="Arial" w:hAnsi="Arial" w:cs="Arial"/>
          <w:b/>
          <w:bCs/>
          <w:color w:val="auto"/>
          <w:sz w:val="28"/>
          <w:highlight w:val="none"/>
        </w:rPr>
      </w:pPr>
    </w:p>
    <w:p w14:paraId="2AD6FAA9">
      <w:pPr>
        <w:spacing w:line="360" w:lineRule="auto"/>
        <w:jc w:val="center"/>
        <w:rPr>
          <w:rFonts w:ascii="Arial" w:hAnsi="Arial" w:cs="Arial"/>
          <w:b/>
          <w:bCs/>
          <w:color w:val="auto"/>
          <w:sz w:val="28"/>
          <w:highlight w:val="none"/>
        </w:rPr>
        <w:sectPr>
          <w:pgSz w:w="11906" w:h="16838"/>
          <w:pgMar w:top="1440" w:right="1800" w:bottom="1440" w:left="1600" w:header="851" w:footer="992" w:gutter="0"/>
          <w:cols w:space="0" w:num="1"/>
          <w:docGrid w:type="lines" w:linePitch="312" w:charSpace="0"/>
        </w:sectPr>
      </w:pPr>
    </w:p>
    <w:p w14:paraId="77F8B8E3">
      <w:pPr>
        <w:spacing w:before="312" w:beforeLines="100" w:after="312" w:afterLines="100" w:line="480" w:lineRule="auto"/>
        <w:jc w:val="center"/>
        <w:rPr>
          <w:rFonts w:ascii="Arial" w:hAnsi="Arial" w:cs="Arial"/>
          <w:b/>
          <w:bCs/>
          <w:color w:val="auto"/>
          <w:sz w:val="28"/>
          <w:szCs w:val="28"/>
          <w:highlight w:val="none"/>
        </w:rPr>
      </w:pPr>
      <w:r>
        <w:rPr>
          <w:rFonts w:hint="eastAsia" w:ascii="宋体" w:hAnsi="宋体" w:cs="Arial"/>
          <w:b/>
          <w:bCs/>
          <w:color w:val="auto"/>
          <w:sz w:val="28"/>
          <w:szCs w:val="28"/>
          <w:highlight w:val="none"/>
        </w:rPr>
        <w:t>中小企业声明函（工程、服务）</w:t>
      </w:r>
    </w:p>
    <w:p w14:paraId="3EEBA8EB">
      <w:pPr>
        <w:widowControl/>
        <w:spacing w:line="440" w:lineRule="exact"/>
        <w:ind w:firstLine="420" w:firstLineChars="200"/>
        <w:jc w:val="left"/>
        <w:rPr>
          <w:rFonts w:ascii="Arial" w:hAnsi="Arial" w:cs="Arial"/>
          <w:color w:val="auto"/>
          <w:kern w:val="0"/>
          <w:szCs w:val="21"/>
          <w:highlight w:val="none"/>
        </w:rPr>
      </w:pPr>
      <w:r>
        <w:rPr>
          <w:rFonts w:hint="eastAsia" w:ascii="宋体" w:hAnsi="宋体" w:cs="Arial"/>
          <w:color w:val="auto"/>
          <w:kern w:val="0"/>
          <w:highlight w:val="none"/>
        </w:rPr>
        <w:t>本公司（联合体）郑重声明，根据《政府采购促进中小企业发展管理办法》（财库〔</w:t>
      </w:r>
      <w:r>
        <w:rPr>
          <w:rFonts w:hint="eastAsia" w:ascii="Arial" w:hAnsi="Arial" w:cs="Arial"/>
          <w:color w:val="auto"/>
          <w:kern w:val="0"/>
          <w:highlight w:val="none"/>
        </w:rPr>
        <w:t>2020</w:t>
      </w:r>
      <w:r>
        <w:rPr>
          <w:rFonts w:hint="eastAsia"/>
          <w:color w:val="auto"/>
          <w:highlight w:val="none"/>
        </w:rPr>
        <w:t>〕</w:t>
      </w:r>
      <w:r>
        <w:rPr>
          <w:rFonts w:hint="eastAsia" w:ascii="宋体" w:hAnsi="宋体" w:cs="Arial"/>
          <w:color w:val="auto"/>
          <w:kern w:val="0"/>
          <w:highlight w:val="none"/>
        </w:rPr>
        <w:t xml:space="preserve">） </w:t>
      </w:r>
      <w:r>
        <w:rPr>
          <w:rFonts w:hint="eastAsia" w:ascii="Arial" w:hAnsi="Arial" w:cs="Arial"/>
          <w:color w:val="auto"/>
          <w:kern w:val="0"/>
          <w:highlight w:val="none"/>
        </w:rPr>
        <w:t>46</w:t>
      </w:r>
      <w:r>
        <w:rPr>
          <w:rFonts w:hint="eastAsia" w:ascii="宋体" w:hAnsi="宋体" w:cs="Arial"/>
          <w:color w:val="auto"/>
          <w:kern w:val="0"/>
          <w:highlight w:val="none"/>
        </w:rPr>
        <w:t>号）的规定，本公司 （联合体）参加（单位名称）的（项目名称）采购活动，工程的施工单位全部为符合政策要求的中小企业（或者：服务 全部由符合政策要求的中小企业承接）。相关企业（含联合 体中的中小企业、签订分包意向协议的中小企业）的具体情况如下：</w:t>
      </w:r>
    </w:p>
    <w:p w14:paraId="763D9319">
      <w:pPr>
        <w:widowControl/>
        <w:spacing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u w:val="single"/>
        </w:rPr>
        <w:t>（标的名称）</w:t>
      </w:r>
      <w:r>
        <w:rPr>
          <w:rFonts w:hint="eastAsia" w:ascii="Arial" w:hAnsi="Arial" w:cs="Arial"/>
          <w:color w:val="auto"/>
          <w:kern w:val="0"/>
          <w:highlight w:val="non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Arial" w:hAnsi="Arial" w:cs="Arial"/>
          <w:color w:val="auto"/>
          <w:kern w:val="0"/>
          <w:highlight w:val="none"/>
        </w:rPr>
        <w:t xml:space="preserve">, </w:t>
      </w:r>
      <w:r>
        <w:rPr>
          <w:rFonts w:hint="eastAsia" w:ascii="宋体" w:hAnsi="宋体" w:cs="Arial"/>
          <w:color w:val="auto"/>
          <w:kern w:val="0"/>
          <w:highlight w:val="none"/>
        </w:rPr>
        <w:t>承建（承接）企业为（企业名称）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p>
    <w:p w14:paraId="3AF7F3A7">
      <w:pPr>
        <w:widowControl/>
        <w:spacing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u w:val="single"/>
        </w:rPr>
        <w:t>（标的名称）</w:t>
      </w:r>
      <w:r>
        <w:rPr>
          <w:rFonts w:hint="eastAsia" w:ascii="Arial" w:hAnsi="Arial" w:cs="Arial"/>
          <w:color w:val="auto"/>
          <w:kern w:val="0"/>
          <w:highlight w:val="none"/>
          <w:u w:val="single"/>
        </w:rPr>
        <w:t>,</w:t>
      </w:r>
      <w:r>
        <w:rPr>
          <w:rFonts w:hint="eastAsia" w:ascii="宋体" w:hAnsi="宋体" w:cs="Arial"/>
          <w:color w:val="auto"/>
          <w:kern w:val="0"/>
          <w:highlight w:val="none"/>
        </w:rPr>
        <w:t>属于（采购文件中明确的所属行业）</w:t>
      </w:r>
      <w:r>
        <w:rPr>
          <w:rFonts w:hint="eastAsia" w:ascii="Arial" w:hAnsi="Arial" w:cs="Arial"/>
          <w:color w:val="auto"/>
          <w:kern w:val="0"/>
          <w:highlight w:val="none"/>
        </w:rPr>
        <w:t xml:space="preserve">, </w:t>
      </w:r>
      <w:r>
        <w:rPr>
          <w:rFonts w:hint="eastAsia" w:ascii="宋体" w:hAnsi="宋体" w:cs="Arial"/>
          <w:color w:val="auto"/>
          <w:kern w:val="0"/>
          <w:highlight w:val="none"/>
        </w:rPr>
        <w:t>承建（承接）企业为（企业名称）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r>
        <w:rPr>
          <w:rFonts w:hint="eastAsia" w:ascii="Arial" w:hAnsi="Arial" w:cs="Arial"/>
          <w:color w:val="auto"/>
          <w:kern w:val="0"/>
          <w:highlight w:val="none"/>
        </w:rPr>
        <w:tab/>
      </w:r>
    </w:p>
    <w:p w14:paraId="2CD001E4">
      <w:pPr>
        <w:widowControl/>
        <w:spacing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rPr>
        <w:t>以上企业，不属于大企业的分支机构，不存在控股股东为大企业的情形，也不存在与大企业的负责人为同一人的情形。</w:t>
      </w:r>
    </w:p>
    <w:p w14:paraId="44AC0F99">
      <w:pPr>
        <w:widowControl/>
        <w:spacing w:line="440" w:lineRule="exact"/>
        <w:ind w:firstLine="420" w:firstLineChars="200"/>
        <w:jc w:val="left"/>
        <w:rPr>
          <w:rFonts w:hint="eastAsia" w:ascii="宋体" w:hAnsi="宋体" w:cs="Arial"/>
          <w:color w:val="auto"/>
          <w:kern w:val="0"/>
          <w:highlight w:val="none"/>
        </w:rPr>
      </w:pPr>
      <w:r>
        <w:rPr>
          <w:rFonts w:hint="eastAsia" w:ascii="宋体" w:hAnsi="宋体" w:cs="Arial"/>
          <w:color w:val="auto"/>
          <w:kern w:val="0"/>
          <w:highlight w:val="none"/>
        </w:rPr>
        <w:t>本企业对上述声明内容的真实性负责。如有虚假，将依法承担相应责任。</w:t>
      </w:r>
    </w:p>
    <w:p w14:paraId="1CB1F48F">
      <w:pPr>
        <w:widowControl/>
        <w:spacing w:line="440" w:lineRule="exact"/>
        <w:ind w:firstLine="420" w:firstLineChars="200"/>
        <w:jc w:val="left"/>
        <w:rPr>
          <w:rFonts w:hint="eastAsia" w:ascii="宋体" w:hAnsi="宋体" w:cs="Arial"/>
          <w:color w:val="auto"/>
          <w:kern w:val="0"/>
          <w:highlight w:val="none"/>
        </w:rPr>
      </w:pPr>
    </w:p>
    <w:p w14:paraId="3E86F146">
      <w:pPr>
        <w:widowControl/>
        <w:spacing w:line="440" w:lineRule="exact"/>
        <w:ind w:firstLine="420" w:firstLineChars="200"/>
        <w:jc w:val="left"/>
        <w:rPr>
          <w:rFonts w:hint="eastAsia" w:ascii="宋体" w:hAnsi="宋体" w:cs="Arial"/>
          <w:color w:val="auto"/>
          <w:kern w:val="0"/>
          <w:highlight w:val="none"/>
        </w:rPr>
      </w:pPr>
    </w:p>
    <w:p w14:paraId="54180A28">
      <w:pPr>
        <w:widowControl/>
        <w:spacing w:line="440" w:lineRule="exact"/>
        <w:ind w:firstLine="420" w:firstLineChars="200"/>
        <w:jc w:val="left"/>
        <w:rPr>
          <w:rFonts w:hint="eastAsia" w:ascii="宋体" w:hAnsi="宋体" w:cs="Arial"/>
          <w:color w:val="auto"/>
          <w:kern w:val="0"/>
          <w:highlight w:val="none"/>
        </w:rPr>
      </w:pPr>
    </w:p>
    <w:p w14:paraId="3A967684">
      <w:pPr>
        <w:widowControl/>
        <w:spacing w:line="440" w:lineRule="exact"/>
        <w:ind w:firstLine="420" w:firstLineChars="200"/>
        <w:jc w:val="right"/>
        <w:rPr>
          <w:rFonts w:ascii="Arial" w:hAnsi="Arial" w:cs="Arial"/>
          <w:color w:val="auto"/>
          <w:kern w:val="0"/>
          <w:highlight w:val="none"/>
        </w:rPr>
      </w:pPr>
      <w:r>
        <w:rPr>
          <w:rFonts w:hint="eastAsia" w:ascii="宋体" w:hAnsi="宋体" w:cs="Arial"/>
          <w:color w:val="auto"/>
          <w:kern w:val="0"/>
          <w:highlight w:val="none"/>
        </w:rPr>
        <w:t>企业名称（盖章）：</w:t>
      </w:r>
    </w:p>
    <w:p w14:paraId="30E89DCF">
      <w:pPr>
        <w:spacing w:line="360" w:lineRule="auto"/>
        <w:jc w:val="center"/>
        <w:rPr>
          <w:rFonts w:ascii="Arial" w:hAnsi="Arial" w:cs="Arial"/>
          <w:b/>
          <w:bCs/>
          <w:color w:val="auto"/>
          <w:sz w:val="28"/>
          <w:highlight w:val="none"/>
        </w:rPr>
        <w:sectPr>
          <w:pgSz w:w="11906" w:h="16838"/>
          <w:pgMar w:top="1440" w:right="1800" w:bottom="1440" w:left="1600" w:header="851" w:footer="992" w:gutter="0"/>
          <w:cols w:space="720" w:num="1"/>
          <w:titlePg/>
          <w:docGrid w:type="lines" w:linePitch="312" w:charSpace="0"/>
        </w:sectPr>
      </w:pPr>
      <w:r>
        <w:rPr>
          <w:rFonts w:hint="eastAsia" w:ascii="宋体" w:hAnsi="宋体" w:cs="Arial"/>
          <w:color w:val="auto"/>
          <w:kern w:val="0"/>
          <w:highlight w:val="none"/>
        </w:rPr>
        <w:t xml:space="preserve">                                                   日期：</w:t>
      </w:r>
    </w:p>
    <w:p w14:paraId="0C25145E">
      <w:pPr>
        <w:spacing w:line="360" w:lineRule="auto"/>
        <w:jc w:val="center"/>
        <w:rPr>
          <w:rFonts w:ascii="Arial" w:hAnsi="Arial" w:cs="Arial"/>
          <w:b/>
          <w:bCs/>
          <w:color w:val="auto"/>
          <w:sz w:val="28"/>
          <w:highlight w:val="none"/>
        </w:rPr>
      </w:pPr>
      <w:r>
        <w:rPr>
          <w:rFonts w:ascii="Arial" w:hAnsi="Arial" w:cs="Arial"/>
          <w:b/>
          <w:bCs/>
          <w:color w:val="auto"/>
          <w:sz w:val="28"/>
          <w:highlight w:val="none"/>
        </w:rPr>
        <w:t>残疾人福利性单位声明函</w:t>
      </w:r>
    </w:p>
    <w:bookmarkEnd w:id="58"/>
    <w:bookmarkEnd w:id="59"/>
    <w:p w14:paraId="55CC6990">
      <w:pPr>
        <w:widowControl/>
        <w:spacing w:line="440" w:lineRule="exact"/>
        <w:ind w:firstLine="420" w:firstLineChars="2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9C781B">
      <w:pPr>
        <w:widowControl/>
        <w:spacing w:line="440" w:lineRule="exact"/>
        <w:ind w:firstLine="420" w:firstLineChars="2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本单位对上述声明的真实性负责。如有虚假，将依法承担相应责任。</w:t>
      </w:r>
    </w:p>
    <w:p w14:paraId="7263981F">
      <w:pPr>
        <w:widowControl/>
        <w:spacing w:line="440" w:lineRule="exact"/>
        <w:ind w:firstLine="5040" w:firstLineChars="24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单位名称（盖章）：</w:t>
      </w:r>
    </w:p>
    <w:p w14:paraId="1B75170A">
      <w:pPr>
        <w:widowControl/>
        <w:spacing w:line="440" w:lineRule="exact"/>
        <w:ind w:firstLine="5040" w:firstLineChars="24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日  期：</w:t>
      </w:r>
    </w:p>
    <w:p w14:paraId="1B6D6E83">
      <w:pPr>
        <w:spacing w:line="360" w:lineRule="auto"/>
        <w:rPr>
          <w:rFonts w:ascii="Arial" w:hAnsi="Arial" w:cs="Arial"/>
          <w:b/>
          <w:bCs/>
          <w:color w:val="auto"/>
          <w:highlight w:val="none"/>
        </w:rPr>
      </w:pPr>
    </w:p>
    <w:p w14:paraId="5B880294">
      <w:pPr>
        <w:spacing w:line="360" w:lineRule="auto"/>
        <w:rPr>
          <w:rFonts w:ascii="Arial" w:hAnsi="Arial" w:cs="Arial"/>
          <w:b/>
          <w:bCs/>
          <w:color w:val="auto"/>
          <w:highlight w:val="none"/>
        </w:rPr>
      </w:pPr>
    </w:p>
    <w:p w14:paraId="455DE6DB">
      <w:pPr>
        <w:spacing w:line="360" w:lineRule="auto"/>
        <w:jc w:val="center"/>
        <w:rPr>
          <w:rFonts w:ascii="Arial" w:hAnsi="Arial" w:cs="Arial"/>
          <w:b/>
          <w:bCs/>
          <w:color w:val="auto"/>
          <w:sz w:val="28"/>
          <w:highlight w:val="none"/>
        </w:rPr>
      </w:pPr>
      <w:r>
        <w:rPr>
          <w:rFonts w:ascii="Arial" w:hAnsi="Arial" w:cs="Arial"/>
          <w:b/>
          <w:bCs/>
          <w:color w:val="auto"/>
          <w:sz w:val="28"/>
          <w:highlight w:val="none"/>
        </w:rPr>
        <w:t>属于监狱企业的证明文件</w:t>
      </w:r>
    </w:p>
    <w:p w14:paraId="0E62B000">
      <w:pPr>
        <w:spacing w:line="360" w:lineRule="auto"/>
        <w:rPr>
          <w:rFonts w:ascii="Arial" w:hAnsi="Arial" w:cs="Arial"/>
          <w:color w:val="auto"/>
          <w:highlight w:val="none"/>
        </w:rPr>
      </w:pPr>
      <w:r>
        <w:rPr>
          <w:rFonts w:ascii="Arial" w:hAnsi="Arial" w:cs="Arial"/>
          <w:color w:val="auto"/>
          <w:highlight w:val="none"/>
        </w:rPr>
        <w:t>（提供由省级以上监狱管理局、戒毒管理局(含新疆生产建设兵团)出具的属于监狱企业的证明文件）</w:t>
      </w:r>
    </w:p>
    <w:p w14:paraId="63545DA9">
      <w:pPr>
        <w:spacing w:line="360" w:lineRule="auto"/>
        <w:rPr>
          <w:rFonts w:ascii="Arial" w:hAnsi="Arial" w:cs="Arial"/>
          <w:b/>
          <w:bCs/>
          <w:color w:val="auto"/>
          <w:highlight w:val="none"/>
        </w:rPr>
      </w:pPr>
    </w:p>
    <w:p w14:paraId="48744385">
      <w:pPr>
        <w:spacing w:line="360" w:lineRule="auto"/>
        <w:rPr>
          <w:rFonts w:ascii="Arial" w:hAnsi="Arial" w:cs="Arial"/>
          <w:b/>
          <w:bCs/>
          <w:color w:val="auto"/>
          <w:highlight w:val="none"/>
        </w:rPr>
      </w:pPr>
    </w:p>
    <w:p w14:paraId="424A0A17">
      <w:pPr>
        <w:spacing w:line="360" w:lineRule="auto"/>
        <w:jc w:val="center"/>
        <w:rPr>
          <w:rFonts w:ascii="Arial" w:hAnsi="Arial" w:cs="Arial"/>
          <w:b/>
          <w:bCs/>
          <w:color w:val="auto"/>
          <w:highlight w:val="none"/>
        </w:rPr>
      </w:pPr>
      <w:r>
        <w:rPr>
          <w:rFonts w:ascii="Arial" w:hAnsi="Arial" w:cs="Arial"/>
          <w:b/>
          <w:bCs/>
          <w:color w:val="auto"/>
          <w:sz w:val="28"/>
          <w:highlight w:val="none"/>
        </w:rPr>
        <w:t>节能产品认证证书</w:t>
      </w:r>
    </w:p>
    <w:p w14:paraId="168AE290">
      <w:pPr>
        <w:spacing w:line="360" w:lineRule="auto"/>
        <w:rPr>
          <w:rFonts w:ascii="Arial" w:hAnsi="Arial" w:cs="Arial"/>
          <w:bCs/>
          <w:color w:val="auto"/>
          <w:highlight w:val="none"/>
        </w:rPr>
      </w:pPr>
      <w:r>
        <w:rPr>
          <w:rFonts w:ascii="Arial" w:hAnsi="Arial" w:cs="Arial"/>
          <w:bCs/>
          <w:color w:val="auto"/>
          <w:highlight w:val="none"/>
        </w:rPr>
        <w:t>（提供国家确定的认证机构出具的、处于有效期之内的产品认证证书）</w:t>
      </w:r>
    </w:p>
    <w:p w14:paraId="38F6C6A5">
      <w:pPr>
        <w:spacing w:line="360" w:lineRule="auto"/>
        <w:rPr>
          <w:rFonts w:ascii="Arial" w:hAnsi="Arial" w:cs="Arial"/>
          <w:b/>
          <w:bCs/>
          <w:color w:val="auto"/>
          <w:highlight w:val="none"/>
        </w:rPr>
      </w:pPr>
    </w:p>
    <w:p w14:paraId="2FA4A474">
      <w:pPr>
        <w:spacing w:line="360" w:lineRule="auto"/>
        <w:rPr>
          <w:rFonts w:ascii="Arial" w:hAnsi="Arial" w:cs="Arial"/>
          <w:b/>
          <w:bCs/>
          <w:color w:val="auto"/>
          <w:highlight w:val="none"/>
        </w:rPr>
      </w:pPr>
    </w:p>
    <w:p w14:paraId="28B383E8">
      <w:pPr>
        <w:spacing w:line="360" w:lineRule="auto"/>
        <w:rPr>
          <w:rFonts w:ascii="Arial" w:hAnsi="Arial" w:cs="Arial"/>
          <w:b/>
          <w:bCs/>
          <w:color w:val="auto"/>
          <w:highlight w:val="none"/>
        </w:rPr>
      </w:pPr>
    </w:p>
    <w:p w14:paraId="2B6B148C">
      <w:pPr>
        <w:spacing w:line="360" w:lineRule="auto"/>
        <w:jc w:val="center"/>
        <w:rPr>
          <w:rFonts w:ascii="Arial" w:hAnsi="Arial" w:cs="Arial"/>
          <w:b/>
          <w:bCs/>
          <w:color w:val="auto"/>
          <w:highlight w:val="none"/>
        </w:rPr>
      </w:pPr>
      <w:r>
        <w:rPr>
          <w:rFonts w:ascii="Arial" w:hAnsi="Arial" w:cs="Arial"/>
          <w:b/>
          <w:bCs/>
          <w:color w:val="auto"/>
          <w:sz w:val="28"/>
          <w:highlight w:val="none"/>
        </w:rPr>
        <w:t>环境标志产品认证证书</w:t>
      </w:r>
    </w:p>
    <w:p w14:paraId="4761BFC3">
      <w:pPr>
        <w:spacing w:line="360" w:lineRule="auto"/>
        <w:rPr>
          <w:rFonts w:ascii="Arial" w:hAnsi="Arial" w:cs="Arial"/>
          <w:bCs/>
          <w:color w:val="auto"/>
          <w:highlight w:val="none"/>
        </w:rPr>
      </w:pPr>
      <w:r>
        <w:rPr>
          <w:rFonts w:ascii="Arial" w:hAnsi="Arial" w:cs="Arial"/>
          <w:bCs/>
          <w:color w:val="auto"/>
          <w:highlight w:val="none"/>
        </w:rPr>
        <w:t>（提供国家确定的认证机构出具的、处于有效期之内的产品认证证书）</w:t>
      </w:r>
    </w:p>
    <w:p w14:paraId="32A09D2A">
      <w:pPr>
        <w:pStyle w:val="54"/>
        <w:rPr>
          <w:rFonts w:ascii="Arial" w:hAnsi="Arial" w:cs="Arial"/>
          <w:bCs/>
          <w:color w:val="auto"/>
          <w:highlight w:val="none"/>
        </w:rPr>
      </w:pPr>
    </w:p>
    <w:p w14:paraId="108ADBDE">
      <w:pPr>
        <w:pStyle w:val="54"/>
        <w:rPr>
          <w:rFonts w:ascii="Arial" w:hAnsi="Arial" w:cs="Arial"/>
          <w:bCs/>
          <w:color w:val="auto"/>
          <w:highlight w:val="none"/>
        </w:rPr>
      </w:pPr>
    </w:p>
    <w:p w14:paraId="655408F3">
      <w:pPr>
        <w:pStyle w:val="54"/>
        <w:rPr>
          <w:rFonts w:ascii="Arial" w:hAnsi="Arial" w:cs="Arial"/>
          <w:bCs/>
          <w:color w:val="auto"/>
          <w:highlight w:val="none"/>
        </w:rPr>
      </w:pPr>
    </w:p>
    <w:p w14:paraId="59F7167B">
      <w:pPr>
        <w:spacing w:line="360" w:lineRule="auto"/>
        <w:jc w:val="center"/>
        <w:rPr>
          <w:rFonts w:ascii="Arial" w:hAnsi="Arial" w:cs="Arial"/>
          <w:b/>
          <w:bCs/>
          <w:color w:val="auto"/>
          <w:sz w:val="28"/>
          <w:highlight w:val="none"/>
        </w:rPr>
      </w:pPr>
      <w:r>
        <w:rPr>
          <w:rFonts w:ascii="Arial" w:hAnsi="Arial" w:cs="Arial"/>
          <w:b/>
          <w:bCs/>
          <w:color w:val="auto"/>
          <w:sz w:val="28"/>
          <w:highlight w:val="none"/>
        </w:rPr>
        <w:t>进口产品转让技术、消化吸收再创新方案</w:t>
      </w:r>
    </w:p>
    <w:p w14:paraId="1DC4B045">
      <w:pPr>
        <w:spacing w:line="360" w:lineRule="auto"/>
        <w:rPr>
          <w:rFonts w:ascii="Arial" w:hAnsi="Arial" w:cs="Arial"/>
          <w:bCs/>
          <w:color w:val="auto"/>
          <w:highlight w:val="none"/>
        </w:rPr>
      </w:pPr>
      <w:r>
        <w:rPr>
          <w:rFonts w:ascii="Arial" w:hAnsi="Arial" w:cs="Arial"/>
          <w:bCs/>
          <w:color w:val="auto"/>
          <w:highlight w:val="none"/>
        </w:rPr>
        <w:t>（对于允许进口产品参加的项目）</w:t>
      </w:r>
    </w:p>
    <w:p w14:paraId="46904D2F">
      <w:pPr>
        <w:spacing w:line="360" w:lineRule="auto"/>
        <w:rPr>
          <w:rFonts w:ascii="Arial" w:hAnsi="Arial" w:cs="Arial"/>
          <w:b/>
          <w:bCs/>
          <w:color w:val="auto"/>
          <w:highlight w:val="none"/>
        </w:rPr>
      </w:pPr>
    </w:p>
    <w:p w14:paraId="631DAD67">
      <w:pPr>
        <w:autoSpaceDE w:val="0"/>
        <w:autoSpaceDN w:val="0"/>
        <w:adjustRightInd w:val="0"/>
        <w:spacing w:line="360" w:lineRule="auto"/>
        <w:rPr>
          <w:rFonts w:ascii="Arial" w:hAnsi="Arial" w:cs="Arial"/>
          <w:b/>
          <w:color w:val="auto"/>
          <w:highlight w:val="none"/>
        </w:rPr>
      </w:pPr>
      <w:r>
        <w:rPr>
          <w:rFonts w:ascii="Arial" w:hAnsi="Arial" w:cs="Arial"/>
          <w:b/>
          <w:color w:val="auto"/>
          <w:szCs w:val="21"/>
          <w:highlight w:val="none"/>
          <w:lang w:val="zh-CN"/>
        </w:rPr>
        <w:br w:type="page"/>
      </w:r>
      <w:r>
        <w:rPr>
          <w:rFonts w:ascii="Arial" w:hAnsi="Arial" w:cs="Arial"/>
          <w:b/>
          <w:color w:val="auto"/>
          <w:highlight w:val="none"/>
        </w:rPr>
        <w:t>附件十、无重大违法记录声明格式</w:t>
      </w:r>
    </w:p>
    <w:p w14:paraId="63B170B2">
      <w:pPr>
        <w:spacing w:line="240" w:lineRule="atLeast"/>
        <w:jc w:val="center"/>
        <w:rPr>
          <w:rFonts w:ascii="Arial" w:hAnsi="Arial" w:eastAsia="黑体" w:cs="Arial"/>
          <w:color w:val="auto"/>
          <w:sz w:val="28"/>
          <w:szCs w:val="36"/>
          <w:highlight w:val="none"/>
        </w:rPr>
      </w:pPr>
    </w:p>
    <w:p w14:paraId="2C1DD504">
      <w:pPr>
        <w:spacing w:line="240" w:lineRule="atLeast"/>
        <w:jc w:val="center"/>
        <w:rPr>
          <w:rFonts w:ascii="Arial" w:hAnsi="Arial" w:eastAsia="黑体" w:cs="Arial"/>
          <w:color w:val="auto"/>
          <w:sz w:val="28"/>
          <w:szCs w:val="36"/>
          <w:highlight w:val="none"/>
        </w:rPr>
      </w:pPr>
      <w:r>
        <w:rPr>
          <w:rFonts w:ascii="Arial" w:hAnsi="Arial" w:eastAsia="黑体" w:cs="Arial"/>
          <w:color w:val="auto"/>
          <w:sz w:val="28"/>
          <w:szCs w:val="36"/>
          <w:highlight w:val="none"/>
        </w:rPr>
        <w:t>无重大违法记录声明</w:t>
      </w:r>
    </w:p>
    <w:p w14:paraId="70AAA0E0">
      <w:pPr>
        <w:spacing w:line="360" w:lineRule="auto"/>
        <w:rPr>
          <w:rFonts w:ascii="Arial" w:hAnsi="Arial" w:eastAsia="黑体" w:cs="Arial"/>
          <w:color w:val="auto"/>
          <w:szCs w:val="21"/>
          <w:highlight w:val="none"/>
        </w:rPr>
      </w:pPr>
    </w:p>
    <w:p w14:paraId="79DCB5F0">
      <w:pPr>
        <w:spacing w:line="360" w:lineRule="auto"/>
        <w:rPr>
          <w:rFonts w:ascii="Arial" w:hAnsi="Arial" w:cs="Arial"/>
          <w:color w:val="auto"/>
          <w:szCs w:val="21"/>
          <w:highlight w:val="none"/>
        </w:rPr>
      </w:pPr>
      <w:r>
        <w:rPr>
          <w:rFonts w:ascii="Arial" w:hAnsi="Arial" w:cs="Arial"/>
          <w:color w:val="auto"/>
          <w:szCs w:val="21"/>
          <w:highlight w:val="none"/>
        </w:rPr>
        <w:t>江苏省设备成套股份有限公司：</w:t>
      </w:r>
    </w:p>
    <w:p w14:paraId="50D6702C">
      <w:pPr>
        <w:spacing w:line="360" w:lineRule="auto"/>
        <w:rPr>
          <w:rFonts w:ascii="Arial" w:hAnsi="Arial" w:cs="Arial"/>
          <w:color w:val="auto"/>
          <w:highlight w:val="none"/>
        </w:rPr>
      </w:pPr>
    </w:p>
    <w:p w14:paraId="5BD5D67A">
      <w:pPr>
        <w:spacing w:line="360" w:lineRule="auto"/>
        <w:ind w:firstLine="336" w:firstLineChars="160"/>
        <w:rPr>
          <w:rFonts w:ascii="Arial" w:hAnsi="Arial" w:cs="Arial"/>
          <w:color w:val="auto"/>
          <w:highlight w:val="none"/>
        </w:rPr>
      </w:pPr>
      <w:r>
        <w:rPr>
          <w:rFonts w:ascii="Arial" w:hAnsi="Arial" w:cs="Arial"/>
          <w:color w:val="auto"/>
          <w:highlight w:val="none"/>
        </w:rPr>
        <w:t>我单位（供应商名称）郑重声明：</w:t>
      </w:r>
    </w:p>
    <w:p w14:paraId="7A6F9C52">
      <w:pPr>
        <w:widowControl/>
        <w:spacing w:line="360" w:lineRule="auto"/>
        <w:ind w:firstLine="308" w:firstLineChars="147"/>
        <w:rPr>
          <w:rFonts w:ascii="Arial" w:hAnsi="Arial" w:cs="Arial"/>
          <w:b/>
          <w:color w:val="auto"/>
          <w:kern w:val="0"/>
          <w:szCs w:val="21"/>
          <w:highlight w:val="none"/>
        </w:rPr>
      </w:pPr>
      <w:r>
        <w:rPr>
          <w:rFonts w:ascii="Arial" w:hAnsi="Arial" w:cs="Arial"/>
          <w:color w:val="auto"/>
          <w:kern w:val="0"/>
          <w:szCs w:val="21"/>
          <w:highlight w:val="none"/>
        </w:rPr>
        <w:t>我单位</w:t>
      </w:r>
      <w:r>
        <w:rPr>
          <w:rFonts w:ascii="Arial" w:hAnsi="Arial" w:cs="Arial"/>
          <w:color w:val="auto"/>
          <w:highlight w:val="none"/>
        </w:rPr>
        <w:t>参加政府采购活动前3年内在经营活动中（</w:t>
      </w:r>
      <w:r>
        <w:rPr>
          <w:rFonts w:ascii="Arial" w:hAnsi="Arial" w:cs="Arial"/>
          <w:b/>
          <w:i/>
          <w:color w:val="auto"/>
          <w:highlight w:val="none"/>
          <w:u w:val="single"/>
        </w:rPr>
        <w:t>在下划线上如实填写：有或没有</w:t>
      </w:r>
      <w:r>
        <w:rPr>
          <w:rFonts w:ascii="Arial" w:hAnsi="Arial" w:cs="Arial"/>
          <w:color w:val="auto"/>
          <w:highlight w:val="none"/>
        </w:rPr>
        <w:t>）</w:t>
      </w:r>
      <w:r>
        <w:rPr>
          <w:rFonts w:ascii="Arial" w:hAnsi="Arial" w:cs="Arial"/>
          <w:b/>
          <w:color w:val="auto"/>
          <w:highlight w:val="none"/>
        </w:rPr>
        <w:t>重大违法记录</w:t>
      </w:r>
      <w:r>
        <w:rPr>
          <w:rFonts w:ascii="Arial" w:hAnsi="Arial" w:cs="Arial"/>
          <w:b/>
          <w:color w:val="auto"/>
          <w:kern w:val="0"/>
          <w:szCs w:val="21"/>
          <w:highlight w:val="none"/>
        </w:rPr>
        <w:t>，且不是失信被执行人、重大税收违法案件当事人名单、政府采购严重违法失信行为记录名单的供应商。</w:t>
      </w:r>
    </w:p>
    <w:p w14:paraId="292F1CE1">
      <w:pPr>
        <w:spacing w:line="360" w:lineRule="auto"/>
        <w:ind w:firstLine="420" w:firstLineChars="200"/>
        <w:rPr>
          <w:rFonts w:ascii="Arial" w:hAnsi="Arial" w:cs="Arial"/>
          <w:color w:val="auto"/>
          <w:highlight w:val="none"/>
        </w:rPr>
      </w:pPr>
    </w:p>
    <w:p w14:paraId="04DC5518">
      <w:pPr>
        <w:spacing w:line="360" w:lineRule="auto"/>
        <w:ind w:firstLine="315" w:firstLineChars="150"/>
        <w:rPr>
          <w:rFonts w:ascii="Arial" w:hAnsi="Arial" w:cs="Arial"/>
          <w:color w:val="auto"/>
          <w:highlight w:val="none"/>
        </w:rPr>
      </w:pPr>
      <w:r>
        <w:rPr>
          <w:rFonts w:ascii="Arial" w:hAnsi="Arial" w:cs="Arial"/>
          <w:color w:val="auto"/>
          <w:highlight w:val="none"/>
        </w:rPr>
        <w:t>（说明：政府采购法第二十二条第一款第五项所称重大违法记录，是指供应商因违法经营受到刑事处罚或者责令停产停业、吊销许可证或者执照、较大数额罚款等行政处罚。）</w:t>
      </w:r>
    </w:p>
    <w:p w14:paraId="3521D80F">
      <w:pPr>
        <w:spacing w:line="360" w:lineRule="auto"/>
        <w:rPr>
          <w:rFonts w:ascii="Arial" w:hAnsi="Arial" w:cs="Arial"/>
          <w:color w:val="auto"/>
          <w:highlight w:val="none"/>
        </w:rPr>
      </w:pPr>
    </w:p>
    <w:p w14:paraId="1C96D31A">
      <w:pPr>
        <w:spacing w:line="360" w:lineRule="auto"/>
        <w:rPr>
          <w:rFonts w:ascii="Arial" w:hAnsi="Arial" w:cs="Arial"/>
          <w:color w:val="auto"/>
          <w:highlight w:val="none"/>
        </w:rPr>
      </w:pPr>
    </w:p>
    <w:p w14:paraId="1F67C4EF">
      <w:pPr>
        <w:spacing w:line="360" w:lineRule="auto"/>
        <w:ind w:firstLine="5103" w:firstLineChars="2430"/>
        <w:rPr>
          <w:rFonts w:ascii="Arial" w:hAnsi="Arial" w:cs="Arial"/>
          <w:color w:val="auto"/>
          <w:highlight w:val="none"/>
        </w:rPr>
      </w:pPr>
      <w:r>
        <w:rPr>
          <w:rFonts w:ascii="Arial" w:hAnsi="Arial" w:cs="Arial"/>
          <w:color w:val="auto"/>
          <w:highlight w:val="none"/>
        </w:rPr>
        <w:t>声明人：（公章）</w:t>
      </w:r>
    </w:p>
    <w:p w14:paraId="34A910F7">
      <w:pPr>
        <w:autoSpaceDE w:val="0"/>
        <w:autoSpaceDN w:val="0"/>
        <w:adjustRightInd w:val="0"/>
        <w:spacing w:line="360" w:lineRule="auto"/>
        <w:ind w:firstLine="5040" w:firstLineChars="2400"/>
        <w:rPr>
          <w:rFonts w:ascii="Arial" w:hAnsi="Arial" w:cs="Arial"/>
          <w:b/>
          <w:color w:val="auto"/>
          <w:highlight w:val="none"/>
        </w:rPr>
      </w:pPr>
      <w:r>
        <w:rPr>
          <w:rFonts w:ascii="Arial" w:hAnsi="Arial" w:cs="Arial"/>
          <w:color w:val="auto"/>
          <w:szCs w:val="21"/>
          <w:highlight w:val="none"/>
          <w:lang w:val="zh-CN"/>
        </w:rPr>
        <w:t>日期：</w:t>
      </w:r>
      <w:r>
        <w:rPr>
          <w:rFonts w:ascii="Arial" w:hAnsi="Arial" w:cs="Arial"/>
          <w:color w:val="auto"/>
          <w:szCs w:val="21"/>
          <w:highlight w:val="none"/>
        </w:rPr>
        <w:t xml:space="preserve">    </w:t>
      </w:r>
      <w:r>
        <w:rPr>
          <w:rFonts w:ascii="Arial" w:hAnsi="Arial" w:cs="Arial"/>
          <w:color w:val="auto"/>
          <w:szCs w:val="21"/>
          <w:highlight w:val="none"/>
          <w:lang w:val="zh-CN"/>
        </w:rPr>
        <w:t>年</w:t>
      </w:r>
      <w:r>
        <w:rPr>
          <w:rFonts w:ascii="Arial" w:hAnsi="Arial" w:cs="Arial"/>
          <w:color w:val="auto"/>
          <w:szCs w:val="21"/>
          <w:highlight w:val="none"/>
        </w:rPr>
        <w:t xml:space="preserve">   </w:t>
      </w:r>
      <w:r>
        <w:rPr>
          <w:rFonts w:ascii="Arial" w:hAnsi="Arial" w:cs="Arial"/>
          <w:color w:val="auto"/>
          <w:szCs w:val="21"/>
          <w:highlight w:val="none"/>
          <w:lang w:val="zh-CN"/>
        </w:rPr>
        <w:t>月</w:t>
      </w:r>
      <w:r>
        <w:rPr>
          <w:rFonts w:ascii="Arial" w:hAnsi="Arial" w:cs="Arial"/>
          <w:b/>
          <w:color w:val="auto"/>
          <w:szCs w:val="21"/>
          <w:highlight w:val="none"/>
          <w:lang w:val="zh-CN"/>
        </w:rPr>
        <w:br w:type="page"/>
      </w:r>
    </w:p>
    <w:p w14:paraId="4F65C130">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一</w:t>
      </w:r>
      <w:r>
        <w:rPr>
          <w:rFonts w:ascii="Arial" w:hAnsi="Arial" w:cs="Arial"/>
          <w:b/>
          <w:color w:val="auto"/>
          <w:highlight w:val="none"/>
        </w:rPr>
        <w:t>、 资格资信证明文件</w:t>
      </w:r>
    </w:p>
    <w:p w14:paraId="5B5CE8B9">
      <w:pPr>
        <w:autoSpaceDE w:val="0"/>
        <w:autoSpaceDN w:val="0"/>
        <w:adjustRightInd w:val="0"/>
        <w:spacing w:line="360" w:lineRule="auto"/>
        <w:rPr>
          <w:rFonts w:ascii="Arial" w:hAnsi="Arial" w:cs="Arial"/>
          <w:b/>
          <w:color w:val="auto"/>
          <w:highlight w:val="none"/>
        </w:rPr>
      </w:pPr>
    </w:p>
    <w:p w14:paraId="56306AE4">
      <w:pPr>
        <w:autoSpaceDE w:val="0"/>
        <w:autoSpaceDN w:val="0"/>
        <w:adjustRightInd w:val="0"/>
        <w:spacing w:line="360" w:lineRule="auto"/>
        <w:rPr>
          <w:rFonts w:ascii="Arial" w:hAnsi="Arial" w:cs="Arial"/>
          <w:b/>
          <w:color w:val="auto"/>
          <w:highlight w:val="none"/>
        </w:rPr>
      </w:pPr>
    </w:p>
    <w:p w14:paraId="5991D37F">
      <w:pPr>
        <w:autoSpaceDE w:val="0"/>
        <w:autoSpaceDN w:val="0"/>
        <w:adjustRightInd w:val="0"/>
        <w:spacing w:line="360" w:lineRule="auto"/>
        <w:rPr>
          <w:rFonts w:ascii="Arial" w:hAnsi="Arial" w:cs="Arial"/>
          <w:b/>
          <w:color w:val="auto"/>
          <w:highlight w:val="none"/>
        </w:rPr>
      </w:pPr>
    </w:p>
    <w:p w14:paraId="4475567D">
      <w:pPr>
        <w:autoSpaceDE w:val="0"/>
        <w:autoSpaceDN w:val="0"/>
        <w:adjustRightInd w:val="0"/>
        <w:spacing w:line="360" w:lineRule="auto"/>
        <w:rPr>
          <w:rFonts w:ascii="Arial" w:hAnsi="Arial" w:cs="Arial"/>
          <w:b/>
          <w:color w:val="auto"/>
          <w:highlight w:val="none"/>
        </w:rPr>
      </w:pPr>
    </w:p>
    <w:p w14:paraId="39554354">
      <w:pPr>
        <w:autoSpaceDE w:val="0"/>
        <w:autoSpaceDN w:val="0"/>
        <w:adjustRightInd w:val="0"/>
        <w:spacing w:line="360" w:lineRule="auto"/>
        <w:rPr>
          <w:rFonts w:ascii="Arial" w:hAnsi="Arial" w:cs="Arial"/>
          <w:b/>
          <w:color w:val="auto"/>
          <w:highlight w:val="none"/>
        </w:rPr>
      </w:pPr>
    </w:p>
    <w:p w14:paraId="1333C518">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二</w:t>
      </w:r>
      <w:r>
        <w:rPr>
          <w:rFonts w:ascii="Arial" w:hAnsi="Arial" w:cs="Arial"/>
          <w:b/>
          <w:color w:val="auto"/>
          <w:highlight w:val="none"/>
        </w:rPr>
        <w:t>、 联合体协议及联合体授权委托书（如允许联合体）</w:t>
      </w:r>
    </w:p>
    <w:p w14:paraId="54F782EE">
      <w:pPr>
        <w:autoSpaceDE w:val="0"/>
        <w:autoSpaceDN w:val="0"/>
        <w:adjustRightInd w:val="0"/>
        <w:spacing w:line="360" w:lineRule="auto"/>
        <w:rPr>
          <w:rFonts w:ascii="Arial" w:hAnsi="Arial" w:cs="Arial"/>
          <w:b/>
          <w:color w:val="auto"/>
          <w:highlight w:val="none"/>
        </w:rPr>
      </w:pPr>
    </w:p>
    <w:p w14:paraId="3F60A966">
      <w:pPr>
        <w:autoSpaceDE w:val="0"/>
        <w:autoSpaceDN w:val="0"/>
        <w:adjustRightInd w:val="0"/>
        <w:spacing w:line="360" w:lineRule="auto"/>
        <w:rPr>
          <w:rFonts w:ascii="Arial" w:hAnsi="Arial" w:cs="Arial"/>
          <w:b/>
          <w:color w:val="auto"/>
          <w:highlight w:val="none"/>
        </w:rPr>
      </w:pPr>
    </w:p>
    <w:p w14:paraId="66890443">
      <w:pPr>
        <w:autoSpaceDE w:val="0"/>
        <w:autoSpaceDN w:val="0"/>
        <w:adjustRightInd w:val="0"/>
        <w:spacing w:line="360" w:lineRule="auto"/>
        <w:rPr>
          <w:rFonts w:ascii="Arial" w:hAnsi="Arial" w:cs="Arial"/>
          <w:b/>
          <w:color w:val="auto"/>
          <w:highlight w:val="none"/>
        </w:rPr>
      </w:pPr>
    </w:p>
    <w:p w14:paraId="2B7933FE">
      <w:pPr>
        <w:autoSpaceDE w:val="0"/>
        <w:autoSpaceDN w:val="0"/>
        <w:adjustRightInd w:val="0"/>
        <w:spacing w:line="360" w:lineRule="auto"/>
        <w:rPr>
          <w:rFonts w:ascii="Arial" w:hAnsi="Arial" w:cs="Arial"/>
          <w:b/>
          <w:color w:val="auto"/>
          <w:highlight w:val="none"/>
        </w:rPr>
      </w:pPr>
    </w:p>
    <w:p w14:paraId="3A1AB650">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三</w:t>
      </w:r>
      <w:r>
        <w:rPr>
          <w:rFonts w:ascii="Arial" w:hAnsi="Arial" w:cs="Arial"/>
          <w:b/>
          <w:color w:val="auto"/>
          <w:highlight w:val="none"/>
        </w:rPr>
        <w:t>、</w:t>
      </w:r>
      <w:r>
        <w:rPr>
          <w:rFonts w:hint="eastAsia" w:ascii="Arial" w:hAnsi="Arial" w:cs="Arial"/>
          <w:b/>
          <w:color w:val="auto"/>
          <w:highlight w:val="none"/>
        </w:rPr>
        <w:t>投标保证金缴纳凭证</w:t>
      </w:r>
    </w:p>
    <w:p w14:paraId="0EB8063E">
      <w:pPr>
        <w:autoSpaceDE w:val="0"/>
        <w:autoSpaceDN w:val="0"/>
        <w:adjustRightInd w:val="0"/>
        <w:spacing w:line="360" w:lineRule="auto"/>
        <w:rPr>
          <w:rFonts w:ascii="Arial" w:hAnsi="Arial" w:cs="Arial"/>
          <w:b/>
          <w:color w:val="auto"/>
          <w:highlight w:val="none"/>
        </w:rPr>
      </w:pPr>
    </w:p>
    <w:p w14:paraId="593C5775">
      <w:pPr>
        <w:autoSpaceDE w:val="0"/>
        <w:autoSpaceDN w:val="0"/>
        <w:adjustRightInd w:val="0"/>
        <w:spacing w:line="360" w:lineRule="auto"/>
        <w:rPr>
          <w:rFonts w:ascii="Arial" w:hAnsi="Arial" w:cs="Arial"/>
          <w:b/>
          <w:color w:val="auto"/>
          <w:highlight w:val="none"/>
        </w:rPr>
      </w:pPr>
    </w:p>
    <w:p w14:paraId="6F6B9FF2">
      <w:pPr>
        <w:autoSpaceDE w:val="0"/>
        <w:autoSpaceDN w:val="0"/>
        <w:adjustRightInd w:val="0"/>
        <w:spacing w:line="360" w:lineRule="auto"/>
        <w:rPr>
          <w:rFonts w:ascii="Arial" w:hAnsi="Arial" w:cs="Arial"/>
          <w:b/>
          <w:color w:val="auto"/>
          <w:highlight w:val="none"/>
        </w:rPr>
      </w:pPr>
    </w:p>
    <w:p w14:paraId="6F902D39">
      <w:pPr>
        <w:autoSpaceDE w:val="0"/>
        <w:autoSpaceDN w:val="0"/>
        <w:adjustRightInd w:val="0"/>
        <w:spacing w:line="360" w:lineRule="auto"/>
        <w:rPr>
          <w:rFonts w:ascii="Arial" w:hAnsi="Arial" w:cs="Arial"/>
          <w:b/>
          <w:color w:val="auto"/>
          <w:highlight w:val="none"/>
        </w:rPr>
      </w:pPr>
    </w:p>
    <w:p w14:paraId="065B18E0">
      <w:pPr>
        <w:autoSpaceDE w:val="0"/>
        <w:autoSpaceDN w:val="0"/>
        <w:adjustRightInd w:val="0"/>
        <w:spacing w:line="360" w:lineRule="auto"/>
        <w:rPr>
          <w:rFonts w:ascii="Arial" w:hAnsi="Arial" w:cs="Arial"/>
          <w:b/>
          <w:color w:val="auto"/>
          <w:highlight w:val="none"/>
        </w:rPr>
      </w:pPr>
    </w:p>
    <w:p w14:paraId="128899BE">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四</w:t>
      </w:r>
      <w:r>
        <w:rPr>
          <w:rFonts w:ascii="Arial" w:hAnsi="Arial" w:cs="Arial"/>
          <w:b/>
          <w:color w:val="auto"/>
          <w:highlight w:val="none"/>
        </w:rPr>
        <w:t>、其他</w:t>
      </w:r>
    </w:p>
    <w:sectPr>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575">
    <w:pPr>
      <w:pStyle w:val="2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E467">
    <w:pPr>
      <w:pStyle w:val="28"/>
      <w:ind w:firstLine="361"/>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9A997">
                          <w:pPr>
                            <w:pStyle w:val="28"/>
                            <w:ind w:firstLine="361"/>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59A997">
                    <w:pPr>
                      <w:pStyle w:val="28"/>
                      <w:ind w:firstLine="36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3CFD">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63982A1">
                          <w:pPr>
                            <w:pStyle w:val="2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h/dL7AQAAAwQAAA4AAABkcnMvZTJvRG9jLnhtbK1TwW7bMAy9D9g/&#10;CLovttNmLYw4Rdcgw4BuHdD2AxRZjoVZokApsbOvHyXHWdddeuhFoCTq8b1HankzmI4dFHoNtuLF&#10;LOdMWQm1truKPz9tPl1z5oOwtejAqooflec3q48flr0r1Rxa6GqFjECsL3tX8TYEV2aZl60yws/A&#10;KUuXDaARgba4y2oUPaGbLpvn+eesB6wdglTe0+l6vOQnRHwLIDSNlmoNcm+UDSMqqk4EkuRb7Txf&#10;JbZNo2R4aBqvAusqTkpDWqkIxdu4ZqulKHcoXKvliYJ4C4VXmozQloqeodYiCLZH/R+U0RLBQxNm&#10;Ekw2CkmOkIoif+XNYyucSlrIau/Opvv3g5U/Dj+R6bric86sMNTwJzUE9gUGVuQXRTSod76kvEdH&#10;mWGgGxqbJNa7e5C/PLNw1wq7U7eI0LdK1EQwvcxePB1xfATZ9t+hpkpiHyABDQ2a6B75wQidmnM8&#10;NyeykXS4uLq6XnAm6aa4KC4vF5FaJsrprUMfviowLAYVR2p9whaHex/G1CkllrKw0V2X2t/Zfw4I&#10;M54k7pHuSDwM2+HkxRbqI6lAGKeJ/hIFLeBvznqapIpb+jicdd8s+RCHbgpwCrZTIKykhxUPnI3h&#10;XRiHc+9Q71rCnZy+Ja82OgmJpo4cTixpNpIVpzmOw/dyn7L+/t3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CMIf3S+wEAAAMEAAAOAAAAAAAAAAEAIAAAAB8BAABkcnMvZTJvRG9jLnhtbFBL&#10;BQYAAAAABgAGAFkBAACMBQAAAAA=&#10;">
              <v:fill on="f" focussize="0,0"/>
              <v:stroke on="f"/>
              <v:imagedata o:title=""/>
              <o:lock v:ext="edit" aspectratio="f"/>
              <v:textbox inset="0mm,0mm,0mm,0mm" style="mso-fit-shape-to-text:t;">
                <w:txbxContent>
                  <w:p w14:paraId="163982A1">
                    <w:pPr>
                      <w:pStyle w:val="2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07AB">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ACFF">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217ACA6">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JqnfcBAAAGBAAADgAAAGRycy9lMm9Eb2MueG1srVNNj9sgEL1X6n9A&#10;3Bs7kbqKrDir7UapKm0/pN3+AIKxjQoMGkjs9Nd3wHF2u73soRc0MMOb9x7D5na0hp0UBg2u5stF&#10;yZlyEhrtupr/fNp/WHMWonCNMOBUzc8q8Nvt+3ebwVdqBT2YRiEjEBeqwde8j9FXRRFkr6wIC/DK&#10;UbIFtCLSFruiQTEQujXFqixvigGw8QhShUCnuynJL4j4FkBoWy3VDuTRKhcnVFRGRJIUeu0D32a2&#10;batk/N62QUVmak5KY16pCcWHtBbbjag6FL7X8kJBvIXCK01WaEdNr1A7EQU7ov4HymqJEKCNCwm2&#10;mIRkR0jFsnzlzWMvvMpayOrgr6aH/wcrv51+INNNzW84c8LSgz+pMbJPMLJlufqYDBp8qKju0VNl&#10;HClDY5PFBv8A8ldgDu574Tp1hwhDr0RDBJfpZvHi6oQTEshh+AoNdRLHCBlobNEm98gPRuj0OOfr&#10;4yQ2MrVcr9brklKScvMm9RDVfN1jiJ8VWJaCmiO9foYXp4cQp9K5JHVzsNfG0LmojPvrgDDTSaaf&#10;GE/c43gYqTppOkBzJiEI00DRd6KgB/zN2UDDVHNHf4cz88WRFWnu5gDn4DAHwkm6WPPI2RTex2k+&#10;jx511xPubPYd2bXXWcgzhwtLGo9sxWWU0/y93Oeq5++7/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HJqnfcBAAAGBAAADgAAAAAAAAABACAAAAAeAQAAZHJzL2Uyb0RvYy54bWxQSwUGAAAA&#10;AAYABgBZAQAAhwUAAAAA&#10;">
              <v:fill on="f" focussize="0,0"/>
              <v:stroke on="f"/>
              <v:imagedata o:title=""/>
              <o:lock v:ext="edit" aspectratio="f"/>
              <v:textbox inset="0mm,0mm,0mm,0mm" style="mso-fit-shape-to-text:t;">
                <w:txbxContent>
                  <w:p w14:paraId="1217ACA6">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3D6F">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3ED1">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C4BF3E7">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spyzMQIAAFIEAAAOAAAAZHJzL2Uyb0RvYy54bWytVM1u2zAMvg/Y&#10;Owi6L07apj9BnCJrkGFAsRbIhp0VWY4NSKIgMbGzB9jeYKdddt9z5TlGyXE6dDv0sItCk9RHfR/J&#10;TG9bo9lO+VCDzfloMORMWQlFbTc5//Rx+eaas4DCFkKDVTnfq8BvZ69fTRs3UWdQgS6UZwRiw6Rx&#10;Oa8Q3STLgqyUEWEATlkKluCNQPr0m6zwoiF0o7Oz4fAya8AXzoNUIZB30QX5EdG/BBDKspZqAXJr&#10;lMUO1SstkCiFqnaBz9Jry1JJfCjLoJDpnBNTTCcVIXsdz2w2FZONF66q5fEJ4iVPeMbJiNpS0RPU&#10;QqBgW1//BWVq6SFAiQMJJuuIJEWIxWj4TJtVJZxKXEjq4E6ih/8HKz/sHj2ri5zfcGaFoYYfvn87&#10;/Ph1+PmV3UR5GhcmlLVylIftW2hpaHp/IGdk3ZbexF/iwyhO4u5P4qoWmSTn+OrqesyZpMjofHRx&#10;MY4g2dNd5wO+U2BYNHLuqXVJUbG7D9il9imxlIVlrXVqn7asyfnl+XiYLpwiBK4t1YgMupdGC9t1&#10;e6S1hmJPrDx0YxGcXNZU/F4EfBSe5oCI0KbgAx2lBioCR4uzCvyXf/ljPrWHopw1NFc5t7RGnOn3&#10;ltoWR7A3fG+se8NuzR3QoI5oA51MJl3wqHuz9GA+0/rMYw0KCSupUs6xN++wm21aP6nm85REg+YE&#10;3tuVkxE6ihfcfIskYNI1itIpcdSKRi115rgWcZb//E5ZT38F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lrKcszECAABSBAAADgAAAAAAAAABACAAAAAgAQAAZHJzL2Uyb0RvYy54bWxQSwUG&#10;AAAAAAYABgBZAQAAwwUAAAAA&#10;">
              <v:fill on="f" focussize="0,0"/>
              <v:stroke on="f" weight="0.5pt"/>
              <v:imagedata o:title=""/>
              <o:lock v:ext="edit" aspectratio="f"/>
              <v:textbox inset="0mm,0mm,0mm,0mm" style="mso-fit-shape-to-text:t;">
                <w:txbxContent>
                  <w:p w14:paraId="5C4BF3E7">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6DE">
    <w:pPr>
      <w:pStyle w:val="2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57FE83C">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QjVTH9AQAAAwQAAA4AAABkcnMvZTJvRG9jLnhtbK1TwW7bMAy9D9g/&#10;CLovtpNmLYw4Rdcgw4BuHdDuAxRZjoVZokApsbOvHyXHWdddethFoCTq8b1HanU7mI4dFXoNtuLF&#10;LOdMWQm1tvuK/3jefrjhzAdha9GBVRU/Kc9v1+/frXpXqjm00NUKGYFYX/au4m0IrswyL1tlhJ+B&#10;U5YuG0AjAm1xn9UoekI3XTbP849ZD1g7BKm8p9PNeMnPiPgWQGgaLdUG5MEoG0ZUVJ0IJMm32nm+&#10;TmybRsnw2DReBdZVnJSGtFIRindxzdYrUe5RuFbLMwXxFgqvNBmhLRW9QG1EEOyA+h8ooyWChybM&#10;JJhsFJIcIRVF/sqbp1Y4lbSQ1d5dTPf/D1Z+O35HpuuKLzizwlDDn9UQ2CcYWJEv5tGg3vmS8p4c&#10;ZYaBbmhskljvHkD+9MzCfSvsXt0hQt8qURPBIr7MXjwdcXwE2fVfoaZK4hAgAQ0Nmuge+cEInZpz&#10;ujQnspF0uLy+vllyJummWBRXV8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DQjVTH9AQAAAwQAAA4AAAAAAAAAAQAgAAAAHwEAAGRycy9lMm9Eb2MueG1s&#10;UEsFBgAAAAAGAAYAWQEAAI4FAAAAAA==&#10;">
              <v:fill on="f" focussize="0,0"/>
              <v:stroke on="f"/>
              <v:imagedata o:title=""/>
              <o:lock v:ext="edit" aspectratio="f"/>
              <v:textbox inset="0mm,0mm,0mm,0mm" style="mso-fit-shape-to-text:t;">
                <w:txbxContent>
                  <w:p w14:paraId="457FE83C">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1FF94BDC">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14:paraId="1FF94BDC">
                    <w:pPr>
                      <w:pStyle w:val="28"/>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70A42E4B">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j+3b1j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j+3b1jACAABTBAAADgAAAAAAAAABACAAAAAhAQAAZHJzL2Uyb0RvYy54bWxQSwUG&#10;AAAAAAYABgBZAQAAwwUAAAAA&#10;">
              <v:fill on="f" focussize="0,0"/>
              <v:stroke on="f" weight="0.5pt"/>
              <v:imagedata o:title=""/>
              <o:lock v:ext="edit" aspectratio="f"/>
              <v:textbox inset="0mm,0mm,0mm,0mm" style="mso-fit-shape-to-text:t;">
                <w:txbxContent>
                  <w:p w14:paraId="70A42E4B">
                    <w:pPr>
                      <w:pStyle w:val="28"/>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90BF">
    <w:pPr>
      <w:pStyle w:val="28"/>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FFF67">
                          <w:pPr>
                            <w:pStyle w:val="28"/>
                            <w:ind w:firstLine="361"/>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7FFF67">
                    <w:pPr>
                      <w:pStyle w:val="28"/>
                      <w:ind w:firstLine="36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7D21">
    <w:pPr>
      <w:pStyle w:val="28"/>
      <w:ind w:firstLine="361"/>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6FF4BB">
                          <w:pPr>
                            <w:pStyle w:val="28"/>
                            <w:ind w:firstLine="361"/>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46FF4BB">
                    <w:pPr>
                      <w:pStyle w:val="28"/>
                      <w:ind w:firstLine="36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3AA5">
    <w:pPr>
      <w:pStyle w:val="28"/>
      <w:ind w:firstLine="36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99436">
                          <w:pPr>
                            <w:pStyle w:val="28"/>
                            <w:ind w:firstLine="361"/>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6399436">
                    <w:pPr>
                      <w:pStyle w:val="28"/>
                      <w:ind w:firstLine="36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2632">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D9CE">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81C76"/>
    <w:multiLevelType w:val="singleLevel"/>
    <w:tmpl w:val="9EE81C76"/>
    <w:lvl w:ilvl="0" w:tentative="0">
      <w:start w:val="1"/>
      <w:numFmt w:val="decimal"/>
      <w:suff w:val="nothing"/>
      <w:lvlText w:val="%1、"/>
      <w:lvlJc w:val="left"/>
    </w:lvl>
  </w:abstractNum>
  <w:abstractNum w:abstractNumId="1">
    <w:nsid w:val="A1D7EAEE"/>
    <w:multiLevelType w:val="singleLevel"/>
    <w:tmpl w:val="A1D7EAEE"/>
    <w:lvl w:ilvl="0" w:tentative="0">
      <w:start w:val="1"/>
      <w:numFmt w:val="decimal"/>
      <w:suff w:val="nothing"/>
      <w:lvlText w:val="%1、"/>
      <w:lvlJc w:val="left"/>
    </w:lvl>
  </w:abstractNum>
  <w:abstractNum w:abstractNumId="2">
    <w:nsid w:val="DD25D9C1"/>
    <w:multiLevelType w:val="singleLevel"/>
    <w:tmpl w:val="DD25D9C1"/>
    <w:lvl w:ilvl="0" w:tentative="0">
      <w:start w:val="1"/>
      <w:numFmt w:val="decimal"/>
      <w:suff w:val="nothing"/>
      <w:lvlText w:val="%1、"/>
      <w:lvlJc w:val="left"/>
    </w:lvl>
  </w:abstractNum>
  <w:abstractNum w:abstractNumId="3">
    <w:nsid w:val="ECEC5C73"/>
    <w:multiLevelType w:val="singleLevel"/>
    <w:tmpl w:val="ECEC5C73"/>
    <w:lvl w:ilvl="0" w:tentative="0">
      <w:start w:val="1"/>
      <w:numFmt w:val="decimal"/>
      <w:suff w:val="nothing"/>
      <w:lvlText w:val="%1、"/>
      <w:lvlJc w:val="left"/>
    </w:lvl>
  </w:abstractNum>
  <w:abstractNum w:abstractNumId="4">
    <w:nsid w:val="F9B5C75A"/>
    <w:multiLevelType w:val="singleLevel"/>
    <w:tmpl w:val="F9B5C75A"/>
    <w:lvl w:ilvl="0" w:tentative="0">
      <w:start w:val="1"/>
      <w:numFmt w:val="decimal"/>
      <w:pStyle w:val="190"/>
      <w:suff w:val="nothing"/>
      <w:lvlText w:val="%1."/>
      <w:lvlJc w:val="left"/>
      <w:pPr>
        <w:tabs>
          <w:tab w:val="left" w:pos="845"/>
        </w:tabs>
        <w:ind w:left="850" w:hanging="425"/>
      </w:pPr>
      <w:rPr>
        <w:rFonts w:hint="default"/>
      </w:rPr>
    </w:lvl>
  </w:abstractNum>
  <w:abstractNum w:abstractNumId="5">
    <w:nsid w:val="FB803130"/>
    <w:multiLevelType w:val="singleLevel"/>
    <w:tmpl w:val="FB803130"/>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7">
    <w:nsid w:val="0214A037"/>
    <w:multiLevelType w:val="singleLevel"/>
    <w:tmpl w:val="0214A037"/>
    <w:lvl w:ilvl="0" w:tentative="0">
      <w:start w:val="1"/>
      <w:numFmt w:val="decimal"/>
      <w:suff w:val="nothing"/>
      <w:lvlText w:val="%1、"/>
      <w:lvlJc w:val="left"/>
    </w:lvl>
  </w:abstractNum>
  <w:abstractNum w:abstractNumId="8">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9">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10">
    <w:nsid w:val="14590CD4"/>
    <w:multiLevelType w:val="singleLevel"/>
    <w:tmpl w:val="14590CD4"/>
    <w:lvl w:ilvl="0" w:tentative="0">
      <w:start w:val="5"/>
      <w:numFmt w:val="chineseCounting"/>
      <w:suff w:val="space"/>
      <w:lvlText w:val="第%1章"/>
      <w:lvlJc w:val="left"/>
      <w:rPr>
        <w:rFonts w:hint="eastAsia"/>
      </w:rPr>
    </w:lvl>
  </w:abstractNum>
  <w:abstractNum w:abstractNumId="11">
    <w:nsid w:val="245E5929"/>
    <w:multiLevelType w:val="multilevel"/>
    <w:tmpl w:val="245E5929"/>
    <w:lvl w:ilvl="0" w:tentative="0">
      <w:start w:val="1"/>
      <w:numFmt w:val="bullet"/>
      <w:pStyle w:val="2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2599644F"/>
    <w:multiLevelType w:val="singleLevel"/>
    <w:tmpl w:val="2599644F"/>
    <w:lvl w:ilvl="0" w:tentative="0">
      <w:start w:val="1"/>
      <w:numFmt w:val="decimal"/>
      <w:suff w:val="nothing"/>
      <w:lvlText w:val="%1、"/>
      <w:lvlJc w:val="left"/>
    </w:lvl>
  </w:abstractNum>
  <w:abstractNum w:abstractNumId="13">
    <w:nsid w:val="31415083"/>
    <w:multiLevelType w:val="singleLevel"/>
    <w:tmpl w:val="31415083"/>
    <w:lvl w:ilvl="0" w:tentative="0">
      <w:start w:val="1"/>
      <w:numFmt w:val="decimal"/>
      <w:suff w:val="nothing"/>
      <w:lvlText w:val="%1、"/>
      <w:lvlJc w:val="left"/>
    </w:lvl>
  </w:abstractNum>
  <w:abstractNum w:abstractNumId="14">
    <w:nsid w:val="5915610C"/>
    <w:multiLevelType w:val="singleLevel"/>
    <w:tmpl w:val="5915610C"/>
    <w:lvl w:ilvl="0" w:tentative="0">
      <w:start w:val="1"/>
      <w:numFmt w:val="decimal"/>
      <w:suff w:val="nothing"/>
      <w:lvlText w:val="%1、"/>
      <w:lvlJc w:val="left"/>
    </w:lvl>
  </w:abstractNum>
  <w:abstractNum w:abstractNumId="15">
    <w:nsid w:val="635D832E"/>
    <w:multiLevelType w:val="singleLevel"/>
    <w:tmpl w:val="635D832E"/>
    <w:lvl w:ilvl="0" w:tentative="0">
      <w:start w:val="1"/>
      <w:numFmt w:val="decimal"/>
      <w:suff w:val="nothing"/>
      <w:lvlText w:val="%1、"/>
      <w:lvlJc w:val="left"/>
    </w:lvl>
  </w:abstractNum>
  <w:abstractNum w:abstractNumId="16">
    <w:nsid w:val="700845C9"/>
    <w:multiLevelType w:val="multilevel"/>
    <w:tmpl w:val="700845C9"/>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9"/>
  </w:num>
  <w:num w:numId="3">
    <w:abstractNumId w:val="4"/>
  </w:num>
  <w:num w:numId="4">
    <w:abstractNumId w:val="11"/>
  </w:num>
  <w:num w:numId="5">
    <w:abstractNumId w:val="8"/>
  </w:num>
  <w:num w:numId="6">
    <w:abstractNumId w:val="16"/>
  </w:num>
  <w:num w:numId="7">
    <w:abstractNumId w:val="12"/>
  </w:num>
  <w:num w:numId="8">
    <w:abstractNumId w:val="3"/>
  </w:num>
  <w:num w:numId="9">
    <w:abstractNumId w:val="13"/>
  </w:num>
  <w:num w:numId="10">
    <w:abstractNumId w:val="0"/>
  </w:num>
  <w:num w:numId="11">
    <w:abstractNumId w:val="15"/>
  </w:num>
  <w:num w:numId="12">
    <w:abstractNumId w:val="2"/>
  </w:num>
  <w:num w:numId="13">
    <w:abstractNumId w:val="5"/>
  </w:num>
  <w:num w:numId="14">
    <w:abstractNumId w:val="1"/>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ODNiNGI0YzE2ZTNiNTRjMzk4YjRlOWI2NzcyMzgifQ=="/>
  </w:docVars>
  <w:rsids>
    <w:rsidRoot w:val="00172A27"/>
    <w:rsid w:val="000033BC"/>
    <w:rsid w:val="000037BA"/>
    <w:rsid w:val="00003E09"/>
    <w:rsid w:val="00004ADD"/>
    <w:rsid w:val="000059AD"/>
    <w:rsid w:val="00010593"/>
    <w:rsid w:val="00013EE1"/>
    <w:rsid w:val="00016168"/>
    <w:rsid w:val="000207B3"/>
    <w:rsid w:val="00020AA1"/>
    <w:rsid w:val="00020F19"/>
    <w:rsid w:val="000211DF"/>
    <w:rsid w:val="000240F2"/>
    <w:rsid w:val="00024385"/>
    <w:rsid w:val="0002464E"/>
    <w:rsid w:val="00026D12"/>
    <w:rsid w:val="00031EC9"/>
    <w:rsid w:val="00032B4A"/>
    <w:rsid w:val="00032EB2"/>
    <w:rsid w:val="00033F13"/>
    <w:rsid w:val="00035A5A"/>
    <w:rsid w:val="00037558"/>
    <w:rsid w:val="00040052"/>
    <w:rsid w:val="0004062C"/>
    <w:rsid w:val="000427E1"/>
    <w:rsid w:val="00042948"/>
    <w:rsid w:val="00043A61"/>
    <w:rsid w:val="00043F43"/>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757A4"/>
    <w:rsid w:val="0007584E"/>
    <w:rsid w:val="00075B9C"/>
    <w:rsid w:val="00081250"/>
    <w:rsid w:val="00081C40"/>
    <w:rsid w:val="00084F36"/>
    <w:rsid w:val="000851FF"/>
    <w:rsid w:val="0008631F"/>
    <w:rsid w:val="00086DF8"/>
    <w:rsid w:val="000963C4"/>
    <w:rsid w:val="00096BB7"/>
    <w:rsid w:val="00097207"/>
    <w:rsid w:val="00097293"/>
    <w:rsid w:val="00097411"/>
    <w:rsid w:val="000978F6"/>
    <w:rsid w:val="00097C5F"/>
    <w:rsid w:val="000A2591"/>
    <w:rsid w:val="000A45A0"/>
    <w:rsid w:val="000A573E"/>
    <w:rsid w:val="000A70FD"/>
    <w:rsid w:val="000A7DA8"/>
    <w:rsid w:val="000B086C"/>
    <w:rsid w:val="000B091B"/>
    <w:rsid w:val="000B148C"/>
    <w:rsid w:val="000B21A6"/>
    <w:rsid w:val="000B4AC4"/>
    <w:rsid w:val="000B5EB0"/>
    <w:rsid w:val="000B6FEE"/>
    <w:rsid w:val="000C0BDD"/>
    <w:rsid w:val="000C3C47"/>
    <w:rsid w:val="000D18A2"/>
    <w:rsid w:val="000D4CDD"/>
    <w:rsid w:val="000E0528"/>
    <w:rsid w:val="000E40F3"/>
    <w:rsid w:val="000E513A"/>
    <w:rsid w:val="000E5792"/>
    <w:rsid w:val="000E595A"/>
    <w:rsid w:val="000E6BE6"/>
    <w:rsid w:val="000E70D0"/>
    <w:rsid w:val="000E7AEC"/>
    <w:rsid w:val="000F353A"/>
    <w:rsid w:val="000F3911"/>
    <w:rsid w:val="000F628C"/>
    <w:rsid w:val="000F64B8"/>
    <w:rsid w:val="00100C2D"/>
    <w:rsid w:val="00102973"/>
    <w:rsid w:val="00106DF5"/>
    <w:rsid w:val="00107AD2"/>
    <w:rsid w:val="001152DD"/>
    <w:rsid w:val="00115C20"/>
    <w:rsid w:val="0011649F"/>
    <w:rsid w:val="0011699D"/>
    <w:rsid w:val="00116AB7"/>
    <w:rsid w:val="00120A2C"/>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3849"/>
    <w:rsid w:val="00145CD4"/>
    <w:rsid w:val="00150100"/>
    <w:rsid w:val="0015273B"/>
    <w:rsid w:val="00153691"/>
    <w:rsid w:val="00154F81"/>
    <w:rsid w:val="0015657F"/>
    <w:rsid w:val="00156B27"/>
    <w:rsid w:val="00156C22"/>
    <w:rsid w:val="001620DA"/>
    <w:rsid w:val="00163D70"/>
    <w:rsid w:val="0016457C"/>
    <w:rsid w:val="00165899"/>
    <w:rsid w:val="001709AF"/>
    <w:rsid w:val="00172A27"/>
    <w:rsid w:val="00172BB0"/>
    <w:rsid w:val="00173F2B"/>
    <w:rsid w:val="00176ACB"/>
    <w:rsid w:val="001773A3"/>
    <w:rsid w:val="00180020"/>
    <w:rsid w:val="00180512"/>
    <w:rsid w:val="00184409"/>
    <w:rsid w:val="00190367"/>
    <w:rsid w:val="00190B4C"/>
    <w:rsid w:val="0019168F"/>
    <w:rsid w:val="00193213"/>
    <w:rsid w:val="00193455"/>
    <w:rsid w:val="0019791E"/>
    <w:rsid w:val="00197E0F"/>
    <w:rsid w:val="001A00D4"/>
    <w:rsid w:val="001A06F5"/>
    <w:rsid w:val="001A2EC4"/>
    <w:rsid w:val="001A38B9"/>
    <w:rsid w:val="001A7DAF"/>
    <w:rsid w:val="001B0329"/>
    <w:rsid w:val="001B0522"/>
    <w:rsid w:val="001B49A3"/>
    <w:rsid w:val="001B4A81"/>
    <w:rsid w:val="001B60A8"/>
    <w:rsid w:val="001B77CB"/>
    <w:rsid w:val="001C158D"/>
    <w:rsid w:val="001C226C"/>
    <w:rsid w:val="001C29EE"/>
    <w:rsid w:val="001C34CC"/>
    <w:rsid w:val="001C4351"/>
    <w:rsid w:val="001C6D1C"/>
    <w:rsid w:val="001D1D2A"/>
    <w:rsid w:val="001D3678"/>
    <w:rsid w:val="001D4AD3"/>
    <w:rsid w:val="001D4C43"/>
    <w:rsid w:val="001D56B2"/>
    <w:rsid w:val="001E4541"/>
    <w:rsid w:val="001E566C"/>
    <w:rsid w:val="001E57CF"/>
    <w:rsid w:val="001E6506"/>
    <w:rsid w:val="001F0F29"/>
    <w:rsid w:val="001F2EB7"/>
    <w:rsid w:val="001F3726"/>
    <w:rsid w:val="001F3EF6"/>
    <w:rsid w:val="001F5289"/>
    <w:rsid w:val="00201CD1"/>
    <w:rsid w:val="00201D97"/>
    <w:rsid w:val="002021FB"/>
    <w:rsid w:val="00202386"/>
    <w:rsid w:val="00202F56"/>
    <w:rsid w:val="002035A8"/>
    <w:rsid w:val="002042BC"/>
    <w:rsid w:val="00205777"/>
    <w:rsid w:val="00206E55"/>
    <w:rsid w:val="00207739"/>
    <w:rsid w:val="002079EB"/>
    <w:rsid w:val="00207DB3"/>
    <w:rsid w:val="00210C2B"/>
    <w:rsid w:val="00211C6A"/>
    <w:rsid w:val="00213F8B"/>
    <w:rsid w:val="00215B16"/>
    <w:rsid w:val="0021753F"/>
    <w:rsid w:val="002179DE"/>
    <w:rsid w:val="0022013D"/>
    <w:rsid w:val="002215ED"/>
    <w:rsid w:val="00226A2F"/>
    <w:rsid w:val="00227213"/>
    <w:rsid w:val="00234ADD"/>
    <w:rsid w:val="00235A36"/>
    <w:rsid w:val="002368B0"/>
    <w:rsid w:val="0023761F"/>
    <w:rsid w:val="002379F6"/>
    <w:rsid w:val="00241C7D"/>
    <w:rsid w:val="0024462B"/>
    <w:rsid w:val="00245146"/>
    <w:rsid w:val="0025013B"/>
    <w:rsid w:val="00250EDD"/>
    <w:rsid w:val="00253197"/>
    <w:rsid w:val="002570EE"/>
    <w:rsid w:val="00257271"/>
    <w:rsid w:val="002604F0"/>
    <w:rsid w:val="00263349"/>
    <w:rsid w:val="002657C2"/>
    <w:rsid w:val="002708AF"/>
    <w:rsid w:val="002740C3"/>
    <w:rsid w:val="00276B37"/>
    <w:rsid w:val="0027735C"/>
    <w:rsid w:val="0027753E"/>
    <w:rsid w:val="00277C3E"/>
    <w:rsid w:val="002810AC"/>
    <w:rsid w:val="002812CC"/>
    <w:rsid w:val="002823D8"/>
    <w:rsid w:val="00282DBD"/>
    <w:rsid w:val="00284726"/>
    <w:rsid w:val="002867C5"/>
    <w:rsid w:val="00293EC3"/>
    <w:rsid w:val="00295A7F"/>
    <w:rsid w:val="002A16CC"/>
    <w:rsid w:val="002A3AF4"/>
    <w:rsid w:val="002A74F1"/>
    <w:rsid w:val="002A7B32"/>
    <w:rsid w:val="002B4E32"/>
    <w:rsid w:val="002B7B7D"/>
    <w:rsid w:val="002C084A"/>
    <w:rsid w:val="002C0B48"/>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5EF6"/>
    <w:rsid w:val="002F6084"/>
    <w:rsid w:val="00300151"/>
    <w:rsid w:val="0030167A"/>
    <w:rsid w:val="00302947"/>
    <w:rsid w:val="00304E56"/>
    <w:rsid w:val="003120B1"/>
    <w:rsid w:val="003129FD"/>
    <w:rsid w:val="00312B26"/>
    <w:rsid w:val="00313484"/>
    <w:rsid w:val="00313AEF"/>
    <w:rsid w:val="00313BF3"/>
    <w:rsid w:val="003141CA"/>
    <w:rsid w:val="003142C2"/>
    <w:rsid w:val="00314EEF"/>
    <w:rsid w:val="003154A3"/>
    <w:rsid w:val="00315CB3"/>
    <w:rsid w:val="00320197"/>
    <w:rsid w:val="003203E5"/>
    <w:rsid w:val="003246D4"/>
    <w:rsid w:val="00326C8C"/>
    <w:rsid w:val="00327533"/>
    <w:rsid w:val="003309C5"/>
    <w:rsid w:val="0033355C"/>
    <w:rsid w:val="003335D3"/>
    <w:rsid w:val="00334124"/>
    <w:rsid w:val="00337903"/>
    <w:rsid w:val="00340850"/>
    <w:rsid w:val="0034418A"/>
    <w:rsid w:val="00345DB5"/>
    <w:rsid w:val="00346206"/>
    <w:rsid w:val="003466C4"/>
    <w:rsid w:val="00346E30"/>
    <w:rsid w:val="0034735E"/>
    <w:rsid w:val="00351AFA"/>
    <w:rsid w:val="003527FB"/>
    <w:rsid w:val="00352E13"/>
    <w:rsid w:val="00357CF7"/>
    <w:rsid w:val="003600F4"/>
    <w:rsid w:val="003651BD"/>
    <w:rsid w:val="00367044"/>
    <w:rsid w:val="00367B81"/>
    <w:rsid w:val="0037007A"/>
    <w:rsid w:val="003711A8"/>
    <w:rsid w:val="00372366"/>
    <w:rsid w:val="00372537"/>
    <w:rsid w:val="00372BCC"/>
    <w:rsid w:val="00374628"/>
    <w:rsid w:val="00375F20"/>
    <w:rsid w:val="003762DA"/>
    <w:rsid w:val="003767C0"/>
    <w:rsid w:val="00381242"/>
    <w:rsid w:val="00381E5A"/>
    <w:rsid w:val="003850C4"/>
    <w:rsid w:val="0038766E"/>
    <w:rsid w:val="0039164B"/>
    <w:rsid w:val="00393EC0"/>
    <w:rsid w:val="003969C7"/>
    <w:rsid w:val="00396EF1"/>
    <w:rsid w:val="003A12C6"/>
    <w:rsid w:val="003A1936"/>
    <w:rsid w:val="003A2501"/>
    <w:rsid w:val="003A2F14"/>
    <w:rsid w:val="003A3E1F"/>
    <w:rsid w:val="003A477C"/>
    <w:rsid w:val="003A565F"/>
    <w:rsid w:val="003A6E42"/>
    <w:rsid w:val="003B1470"/>
    <w:rsid w:val="003B57AF"/>
    <w:rsid w:val="003B5E57"/>
    <w:rsid w:val="003B603C"/>
    <w:rsid w:val="003B6BFB"/>
    <w:rsid w:val="003B6DB0"/>
    <w:rsid w:val="003C2E28"/>
    <w:rsid w:val="003C3B05"/>
    <w:rsid w:val="003C5B1B"/>
    <w:rsid w:val="003D11A8"/>
    <w:rsid w:val="003D2A5B"/>
    <w:rsid w:val="003D5219"/>
    <w:rsid w:val="003E1379"/>
    <w:rsid w:val="003E582E"/>
    <w:rsid w:val="003F22CE"/>
    <w:rsid w:val="003F2F8E"/>
    <w:rsid w:val="003F2FB9"/>
    <w:rsid w:val="003F374E"/>
    <w:rsid w:val="003F49F0"/>
    <w:rsid w:val="003F604B"/>
    <w:rsid w:val="003F690D"/>
    <w:rsid w:val="00400EF4"/>
    <w:rsid w:val="00401780"/>
    <w:rsid w:val="00403E2E"/>
    <w:rsid w:val="0040420E"/>
    <w:rsid w:val="00406B0D"/>
    <w:rsid w:val="00407F04"/>
    <w:rsid w:val="004112F7"/>
    <w:rsid w:val="004119C7"/>
    <w:rsid w:val="00411CA3"/>
    <w:rsid w:val="00413B7E"/>
    <w:rsid w:val="00413DA2"/>
    <w:rsid w:val="004157AF"/>
    <w:rsid w:val="0042031E"/>
    <w:rsid w:val="00420A4C"/>
    <w:rsid w:val="00422A4C"/>
    <w:rsid w:val="00434F67"/>
    <w:rsid w:val="00435AEC"/>
    <w:rsid w:val="004361EB"/>
    <w:rsid w:val="0043707B"/>
    <w:rsid w:val="00440CD0"/>
    <w:rsid w:val="0044226E"/>
    <w:rsid w:val="00442F7F"/>
    <w:rsid w:val="00443704"/>
    <w:rsid w:val="00447E6A"/>
    <w:rsid w:val="004506CC"/>
    <w:rsid w:val="0045464A"/>
    <w:rsid w:val="0045557D"/>
    <w:rsid w:val="00455F44"/>
    <w:rsid w:val="004560DE"/>
    <w:rsid w:val="004567AE"/>
    <w:rsid w:val="004629DE"/>
    <w:rsid w:val="0046330A"/>
    <w:rsid w:val="0046355E"/>
    <w:rsid w:val="00463ACA"/>
    <w:rsid w:val="00463CB4"/>
    <w:rsid w:val="004642FE"/>
    <w:rsid w:val="00470C69"/>
    <w:rsid w:val="004726C8"/>
    <w:rsid w:val="00476ECA"/>
    <w:rsid w:val="00477477"/>
    <w:rsid w:val="00477B1A"/>
    <w:rsid w:val="004819B1"/>
    <w:rsid w:val="00483480"/>
    <w:rsid w:val="00484798"/>
    <w:rsid w:val="00484BCF"/>
    <w:rsid w:val="0048579D"/>
    <w:rsid w:val="004860C3"/>
    <w:rsid w:val="00492AEB"/>
    <w:rsid w:val="00492FA1"/>
    <w:rsid w:val="00496F69"/>
    <w:rsid w:val="00497549"/>
    <w:rsid w:val="004A24F0"/>
    <w:rsid w:val="004A5E41"/>
    <w:rsid w:val="004B0D27"/>
    <w:rsid w:val="004B38AF"/>
    <w:rsid w:val="004B68AF"/>
    <w:rsid w:val="004C1F95"/>
    <w:rsid w:val="004C25AA"/>
    <w:rsid w:val="004C4DBA"/>
    <w:rsid w:val="004C5EAB"/>
    <w:rsid w:val="004C6150"/>
    <w:rsid w:val="004C6A6C"/>
    <w:rsid w:val="004C6F0B"/>
    <w:rsid w:val="004C6F22"/>
    <w:rsid w:val="004C7623"/>
    <w:rsid w:val="004C7D0E"/>
    <w:rsid w:val="004D07DF"/>
    <w:rsid w:val="004D611F"/>
    <w:rsid w:val="004D7D51"/>
    <w:rsid w:val="004E1FD6"/>
    <w:rsid w:val="004E3F50"/>
    <w:rsid w:val="004E58AB"/>
    <w:rsid w:val="004E6188"/>
    <w:rsid w:val="004F0BBC"/>
    <w:rsid w:val="004F7674"/>
    <w:rsid w:val="00501DC6"/>
    <w:rsid w:val="00502239"/>
    <w:rsid w:val="00502CFD"/>
    <w:rsid w:val="00502FF2"/>
    <w:rsid w:val="00506778"/>
    <w:rsid w:val="00507FE8"/>
    <w:rsid w:val="00511FB1"/>
    <w:rsid w:val="00512D9D"/>
    <w:rsid w:val="00517586"/>
    <w:rsid w:val="00520554"/>
    <w:rsid w:val="0052251E"/>
    <w:rsid w:val="005239C8"/>
    <w:rsid w:val="005257C0"/>
    <w:rsid w:val="005278AA"/>
    <w:rsid w:val="005334EE"/>
    <w:rsid w:val="0053471D"/>
    <w:rsid w:val="005358FA"/>
    <w:rsid w:val="00535C12"/>
    <w:rsid w:val="00536B6A"/>
    <w:rsid w:val="00537B15"/>
    <w:rsid w:val="00540434"/>
    <w:rsid w:val="00542510"/>
    <w:rsid w:val="005430D6"/>
    <w:rsid w:val="0054575C"/>
    <w:rsid w:val="0054652E"/>
    <w:rsid w:val="0054703C"/>
    <w:rsid w:val="00550D42"/>
    <w:rsid w:val="00550DC4"/>
    <w:rsid w:val="005514AF"/>
    <w:rsid w:val="00551B4A"/>
    <w:rsid w:val="00552394"/>
    <w:rsid w:val="005525C3"/>
    <w:rsid w:val="00552860"/>
    <w:rsid w:val="00552B17"/>
    <w:rsid w:val="00554AFE"/>
    <w:rsid w:val="00557436"/>
    <w:rsid w:val="005627DD"/>
    <w:rsid w:val="0056374A"/>
    <w:rsid w:val="00565C65"/>
    <w:rsid w:val="00566375"/>
    <w:rsid w:val="005669DA"/>
    <w:rsid w:val="00567F95"/>
    <w:rsid w:val="00572476"/>
    <w:rsid w:val="00573C88"/>
    <w:rsid w:val="005759AF"/>
    <w:rsid w:val="00576F62"/>
    <w:rsid w:val="005770BB"/>
    <w:rsid w:val="00580AB2"/>
    <w:rsid w:val="00582092"/>
    <w:rsid w:val="005852C9"/>
    <w:rsid w:val="00585A68"/>
    <w:rsid w:val="005868C9"/>
    <w:rsid w:val="00586A03"/>
    <w:rsid w:val="00586B6F"/>
    <w:rsid w:val="00586E84"/>
    <w:rsid w:val="005877F6"/>
    <w:rsid w:val="00592F71"/>
    <w:rsid w:val="00592FF1"/>
    <w:rsid w:val="005A495B"/>
    <w:rsid w:val="005A537D"/>
    <w:rsid w:val="005A56EA"/>
    <w:rsid w:val="005A61D7"/>
    <w:rsid w:val="005B1F08"/>
    <w:rsid w:val="005B6F53"/>
    <w:rsid w:val="005B7896"/>
    <w:rsid w:val="005C0426"/>
    <w:rsid w:val="005C0FD4"/>
    <w:rsid w:val="005C31E6"/>
    <w:rsid w:val="005C3479"/>
    <w:rsid w:val="005C4816"/>
    <w:rsid w:val="005C5E8D"/>
    <w:rsid w:val="005D00AF"/>
    <w:rsid w:val="005D3E66"/>
    <w:rsid w:val="005D5118"/>
    <w:rsid w:val="005D75CC"/>
    <w:rsid w:val="005E04C9"/>
    <w:rsid w:val="005E0A69"/>
    <w:rsid w:val="005E5029"/>
    <w:rsid w:val="005E58CC"/>
    <w:rsid w:val="005E6299"/>
    <w:rsid w:val="005F35E4"/>
    <w:rsid w:val="005F46BB"/>
    <w:rsid w:val="005F5E49"/>
    <w:rsid w:val="00600CEF"/>
    <w:rsid w:val="00601094"/>
    <w:rsid w:val="00601B4B"/>
    <w:rsid w:val="00603442"/>
    <w:rsid w:val="00603813"/>
    <w:rsid w:val="00606EDF"/>
    <w:rsid w:val="006128AC"/>
    <w:rsid w:val="006147DB"/>
    <w:rsid w:val="0061542D"/>
    <w:rsid w:val="00620715"/>
    <w:rsid w:val="00620E66"/>
    <w:rsid w:val="00624187"/>
    <w:rsid w:val="006252AF"/>
    <w:rsid w:val="00626E39"/>
    <w:rsid w:val="00626EBF"/>
    <w:rsid w:val="006304CC"/>
    <w:rsid w:val="00631DEC"/>
    <w:rsid w:val="0063310F"/>
    <w:rsid w:val="0063400A"/>
    <w:rsid w:val="00634CC2"/>
    <w:rsid w:val="00635435"/>
    <w:rsid w:val="00636109"/>
    <w:rsid w:val="00637F2B"/>
    <w:rsid w:val="00640443"/>
    <w:rsid w:val="00645AFA"/>
    <w:rsid w:val="00646A40"/>
    <w:rsid w:val="00646FBB"/>
    <w:rsid w:val="006476CE"/>
    <w:rsid w:val="006503D3"/>
    <w:rsid w:val="00654CF6"/>
    <w:rsid w:val="00655583"/>
    <w:rsid w:val="00656945"/>
    <w:rsid w:val="00660830"/>
    <w:rsid w:val="00661BA3"/>
    <w:rsid w:val="0066223F"/>
    <w:rsid w:val="00663C55"/>
    <w:rsid w:val="00664683"/>
    <w:rsid w:val="0067483E"/>
    <w:rsid w:val="00674E45"/>
    <w:rsid w:val="0067674F"/>
    <w:rsid w:val="00676AA0"/>
    <w:rsid w:val="00676B2B"/>
    <w:rsid w:val="00681700"/>
    <w:rsid w:val="006819C0"/>
    <w:rsid w:val="006935CB"/>
    <w:rsid w:val="0069514B"/>
    <w:rsid w:val="00697D38"/>
    <w:rsid w:val="006A0450"/>
    <w:rsid w:val="006A25AD"/>
    <w:rsid w:val="006A2FA2"/>
    <w:rsid w:val="006A4393"/>
    <w:rsid w:val="006A6A77"/>
    <w:rsid w:val="006A76FC"/>
    <w:rsid w:val="006B10BA"/>
    <w:rsid w:val="006B21F9"/>
    <w:rsid w:val="006B2758"/>
    <w:rsid w:val="006B4C50"/>
    <w:rsid w:val="006B690E"/>
    <w:rsid w:val="006B70FF"/>
    <w:rsid w:val="006B7FF7"/>
    <w:rsid w:val="006C01BE"/>
    <w:rsid w:val="006C1090"/>
    <w:rsid w:val="006D0719"/>
    <w:rsid w:val="006D09F2"/>
    <w:rsid w:val="006D1409"/>
    <w:rsid w:val="006D3C63"/>
    <w:rsid w:val="006D3D8B"/>
    <w:rsid w:val="006E1B8C"/>
    <w:rsid w:val="006E1FA8"/>
    <w:rsid w:val="006E6750"/>
    <w:rsid w:val="006E7D40"/>
    <w:rsid w:val="006F0FCE"/>
    <w:rsid w:val="006F31BB"/>
    <w:rsid w:val="006F36D3"/>
    <w:rsid w:val="006F6030"/>
    <w:rsid w:val="006F62A0"/>
    <w:rsid w:val="006F75D1"/>
    <w:rsid w:val="006F7B4F"/>
    <w:rsid w:val="00703446"/>
    <w:rsid w:val="007045EC"/>
    <w:rsid w:val="00711614"/>
    <w:rsid w:val="007118A7"/>
    <w:rsid w:val="00711B4E"/>
    <w:rsid w:val="0071236C"/>
    <w:rsid w:val="007139E4"/>
    <w:rsid w:val="007177BB"/>
    <w:rsid w:val="007205E2"/>
    <w:rsid w:val="00720E8A"/>
    <w:rsid w:val="007213DC"/>
    <w:rsid w:val="0072184F"/>
    <w:rsid w:val="007221B0"/>
    <w:rsid w:val="007225F3"/>
    <w:rsid w:val="007227FE"/>
    <w:rsid w:val="00727891"/>
    <w:rsid w:val="007305AB"/>
    <w:rsid w:val="0073090C"/>
    <w:rsid w:val="00731C48"/>
    <w:rsid w:val="0073200D"/>
    <w:rsid w:val="00732750"/>
    <w:rsid w:val="007341A1"/>
    <w:rsid w:val="00735D90"/>
    <w:rsid w:val="00735E4B"/>
    <w:rsid w:val="007364B5"/>
    <w:rsid w:val="007422E5"/>
    <w:rsid w:val="00742ACC"/>
    <w:rsid w:val="007458B4"/>
    <w:rsid w:val="0074621C"/>
    <w:rsid w:val="00746717"/>
    <w:rsid w:val="007467DE"/>
    <w:rsid w:val="00750178"/>
    <w:rsid w:val="007503CF"/>
    <w:rsid w:val="00753361"/>
    <w:rsid w:val="007571EB"/>
    <w:rsid w:val="00757428"/>
    <w:rsid w:val="007603B3"/>
    <w:rsid w:val="00761F7A"/>
    <w:rsid w:val="007639EB"/>
    <w:rsid w:val="00764272"/>
    <w:rsid w:val="00764437"/>
    <w:rsid w:val="00764D39"/>
    <w:rsid w:val="00764E9A"/>
    <w:rsid w:val="007666FF"/>
    <w:rsid w:val="00767F86"/>
    <w:rsid w:val="00772B9E"/>
    <w:rsid w:val="00773D1C"/>
    <w:rsid w:val="00774A96"/>
    <w:rsid w:val="007752BE"/>
    <w:rsid w:val="00775AF0"/>
    <w:rsid w:val="00775C02"/>
    <w:rsid w:val="007763D4"/>
    <w:rsid w:val="00777BF5"/>
    <w:rsid w:val="00781498"/>
    <w:rsid w:val="00784A5B"/>
    <w:rsid w:val="00785A9C"/>
    <w:rsid w:val="0079007B"/>
    <w:rsid w:val="007903B1"/>
    <w:rsid w:val="007919FD"/>
    <w:rsid w:val="00791A2F"/>
    <w:rsid w:val="00793211"/>
    <w:rsid w:val="0079589E"/>
    <w:rsid w:val="00795DE4"/>
    <w:rsid w:val="007973BE"/>
    <w:rsid w:val="007A18CE"/>
    <w:rsid w:val="007A4101"/>
    <w:rsid w:val="007A5697"/>
    <w:rsid w:val="007A6D30"/>
    <w:rsid w:val="007A7822"/>
    <w:rsid w:val="007B00C4"/>
    <w:rsid w:val="007B0587"/>
    <w:rsid w:val="007B281C"/>
    <w:rsid w:val="007B2825"/>
    <w:rsid w:val="007B37B3"/>
    <w:rsid w:val="007B4D43"/>
    <w:rsid w:val="007B4D6A"/>
    <w:rsid w:val="007B6685"/>
    <w:rsid w:val="007C0C37"/>
    <w:rsid w:val="007C17DB"/>
    <w:rsid w:val="007C1804"/>
    <w:rsid w:val="007C3478"/>
    <w:rsid w:val="007C4FB1"/>
    <w:rsid w:val="007C701D"/>
    <w:rsid w:val="007D1389"/>
    <w:rsid w:val="007D23BF"/>
    <w:rsid w:val="007D516F"/>
    <w:rsid w:val="007D60DB"/>
    <w:rsid w:val="007D615F"/>
    <w:rsid w:val="007E05FE"/>
    <w:rsid w:val="007E0C57"/>
    <w:rsid w:val="007E38F1"/>
    <w:rsid w:val="007E5512"/>
    <w:rsid w:val="007F2644"/>
    <w:rsid w:val="007F403B"/>
    <w:rsid w:val="00800176"/>
    <w:rsid w:val="00800DD2"/>
    <w:rsid w:val="00801882"/>
    <w:rsid w:val="00802408"/>
    <w:rsid w:val="008100C8"/>
    <w:rsid w:val="00810292"/>
    <w:rsid w:val="00812E03"/>
    <w:rsid w:val="00813ACF"/>
    <w:rsid w:val="008141B5"/>
    <w:rsid w:val="00814EEC"/>
    <w:rsid w:val="00823C8F"/>
    <w:rsid w:val="00825B11"/>
    <w:rsid w:val="0082761A"/>
    <w:rsid w:val="00830124"/>
    <w:rsid w:val="00831A1E"/>
    <w:rsid w:val="00832600"/>
    <w:rsid w:val="0083386A"/>
    <w:rsid w:val="00833C7A"/>
    <w:rsid w:val="00833E6A"/>
    <w:rsid w:val="00835672"/>
    <w:rsid w:val="00835E2C"/>
    <w:rsid w:val="008360EE"/>
    <w:rsid w:val="00836244"/>
    <w:rsid w:val="0084216B"/>
    <w:rsid w:val="00842353"/>
    <w:rsid w:val="0084342C"/>
    <w:rsid w:val="00845109"/>
    <w:rsid w:val="00846FB4"/>
    <w:rsid w:val="00847C47"/>
    <w:rsid w:val="00853573"/>
    <w:rsid w:val="00861FDD"/>
    <w:rsid w:val="0086227A"/>
    <w:rsid w:val="0086783C"/>
    <w:rsid w:val="00870D02"/>
    <w:rsid w:val="00870D28"/>
    <w:rsid w:val="00872E0F"/>
    <w:rsid w:val="008763EA"/>
    <w:rsid w:val="00876475"/>
    <w:rsid w:val="00880F39"/>
    <w:rsid w:val="00881BD6"/>
    <w:rsid w:val="008821EB"/>
    <w:rsid w:val="00882AB7"/>
    <w:rsid w:val="0088575E"/>
    <w:rsid w:val="00885CAF"/>
    <w:rsid w:val="00892ACF"/>
    <w:rsid w:val="0089353F"/>
    <w:rsid w:val="00896EAB"/>
    <w:rsid w:val="008A0CB6"/>
    <w:rsid w:val="008A30F5"/>
    <w:rsid w:val="008A3C15"/>
    <w:rsid w:val="008A53D0"/>
    <w:rsid w:val="008A54EB"/>
    <w:rsid w:val="008A7CCD"/>
    <w:rsid w:val="008B0795"/>
    <w:rsid w:val="008B0C0F"/>
    <w:rsid w:val="008B30E9"/>
    <w:rsid w:val="008B558C"/>
    <w:rsid w:val="008B66C3"/>
    <w:rsid w:val="008B6C7E"/>
    <w:rsid w:val="008B7A42"/>
    <w:rsid w:val="008C113C"/>
    <w:rsid w:val="008C1984"/>
    <w:rsid w:val="008C1EEA"/>
    <w:rsid w:val="008C208A"/>
    <w:rsid w:val="008C30C4"/>
    <w:rsid w:val="008C3BF5"/>
    <w:rsid w:val="008C502A"/>
    <w:rsid w:val="008D0BF3"/>
    <w:rsid w:val="008D1C38"/>
    <w:rsid w:val="008D2503"/>
    <w:rsid w:val="008D556A"/>
    <w:rsid w:val="008E1911"/>
    <w:rsid w:val="008E3281"/>
    <w:rsid w:val="008E411E"/>
    <w:rsid w:val="008E4653"/>
    <w:rsid w:val="008E6170"/>
    <w:rsid w:val="008E7A24"/>
    <w:rsid w:val="008F1C48"/>
    <w:rsid w:val="008F5667"/>
    <w:rsid w:val="008F57E9"/>
    <w:rsid w:val="008F67CB"/>
    <w:rsid w:val="009003BF"/>
    <w:rsid w:val="009108B8"/>
    <w:rsid w:val="00910F76"/>
    <w:rsid w:val="00914CA5"/>
    <w:rsid w:val="00915A2F"/>
    <w:rsid w:val="00917E2A"/>
    <w:rsid w:val="00920D2D"/>
    <w:rsid w:val="00923223"/>
    <w:rsid w:val="009238FC"/>
    <w:rsid w:val="009254DB"/>
    <w:rsid w:val="00927BA0"/>
    <w:rsid w:val="00927E3C"/>
    <w:rsid w:val="009300DD"/>
    <w:rsid w:val="00930CF2"/>
    <w:rsid w:val="00930FF5"/>
    <w:rsid w:val="00931DEC"/>
    <w:rsid w:val="00933F0F"/>
    <w:rsid w:val="009357F2"/>
    <w:rsid w:val="00935B11"/>
    <w:rsid w:val="009361D3"/>
    <w:rsid w:val="00936F46"/>
    <w:rsid w:val="009436B1"/>
    <w:rsid w:val="0094375E"/>
    <w:rsid w:val="00943CED"/>
    <w:rsid w:val="00953CE9"/>
    <w:rsid w:val="00954C60"/>
    <w:rsid w:val="00955A1E"/>
    <w:rsid w:val="00957E02"/>
    <w:rsid w:val="00960ACF"/>
    <w:rsid w:val="00961017"/>
    <w:rsid w:val="00961335"/>
    <w:rsid w:val="0096139B"/>
    <w:rsid w:val="0096227C"/>
    <w:rsid w:val="009627DA"/>
    <w:rsid w:val="00964046"/>
    <w:rsid w:val="00964EE9"/>
    <w:rsid w:val="00965C05"/>
    <w:rsid w:val="00971018"/>
    <w:rsid w:val="009723B1"/>
    <w:rsid w:val="00976721"/>
    <w:rsid w:val="0098026B"/>
    <w:rsid w:val="00981166"/>
    <w:rsid w:val="00985AC0"/>
    <w:rsid w:val="009867A9"/>
    <w:rsid w:val="009878EF"/>
    <w:rsid w:val="00987D75"/>
    <w:rsid w:val="009914FD"/>
    <w:rsid w:val="00991DED"/>
    <w:rsid w:val="00992892"/>
    <w:rsid w:val="0099295D"/>
    <w:rsid w:val="00995208"/>
    <w:rsid w:val="009A0F8A"/>
    <w:rsid w:val="009B4BC4"/>
    <w:rsid w:val="009B5216"/>
    <w:rsid w:val="009B6F6E"/>
    <w:rsid w:val="009C052A"/>
    <w:rsid w:val="009C273F"/>
    <w:rsid w:val="009C2E52"/>
    <w:rsid w:val="009C5742"/>
    <w:rsid w:val="009C634D"/>
    <w:rsid w:val="009D09B2"/>
    <w:rsid w:val="009D1894"/>
    <w:rsid w:val="009D3C6F"/>
    <w:rsid w:val="009D7A62"/>
    <w:rsid w:val="009D7E3A"/>
    <w:rsid w:val="009E5EE5"/>
    <w:rsid w:val="009E793F"/>
    <w:rsid w:val="009F005A"/>
    <w:rsid w:val="009F024E"/>
    <w:rsid w:val="009F060E"/>
    <w:rsid w:val="009F3648"/>
    <w:rsid w:val="009F4A60"/>
    <w:rsid w:val="009F62C3"/>
    <w:rsid w:val="009F6AA4"/>
    <w:rsid w:val="009F778A"/>
    <w:rsid w:val="00A009E1"/>
    <w:rsid w:val="00A049E2"/>
    <w:rsid w:val="00A04CAD"/>
    <w:rsid w:val="00A05EBA"/>
    <w:rsid w:val="00A06538"/>
    <w:rsid w:val="00A12F5B"/>
    <w:rsid w:val="00A15221"/>
    <w:rsid w:val="00A174BA"/>
    <w:rsid w:val="00A17910"/>
    <w:rsid w:val="00A17E00"/>
    <w:rsid w:val="00A21FEB"/>
    <w:rsid w:val="00A23187"/>
    <w:rsid w:val="00A23AA3"/>
    <w:rsid w:val="00A23B5F"/>
    <w:rsid w:val="00A25862"/>
    <w:rsid w:val="00A278A9"/>
    <w:rsid w:val="00A31791"/>
    <w:rsid w:val="00A32D60"/>
    <w:rsid w:val="00A33A06"/>
    <w:rsid w:val="00A3443B"/>
    <w:rsid w:val="00A358EB"/>
    <w:rsid w:val="00A37343"/>
    <w:rsid w:val="00A4388C"/>
    <w:rsid w:val="00A448BE"/>
    <w:rsid w:val="00A44BA1"/>
    <w:rsid w:val="00A451A3"/>
    <w:rsid w:val="00A4567F"/>
    <w:rsid w:val="00A45F50"/>
    <w:rsid w:val="00A46714"/>
    <w:rsid w:val="00A51C3B"/>
    <w:rsid w:val="00A52506"/>
    <w:rsid w:val="00A54843"/>
    <w:rsid w:val="00A549B8"/>
    <w:rsid w:val="00A5593E"/>
    <w:rsid w:val="00A64CCC"/>
    <w:rsid w:val="00A64FA1"/>
    <w:rsid w:val="00A67D58"/>
    <w:rsid w:val="00A70562"/>
    <w:rsid w:val="00A70DAE"/>
    <w:rsid w:val="00A722F2"/>
    <w:rsid w:val="00A75D25"/>
    <w:rsid w:val="00A76434"/>
    <w:rsid w:val="00A772C7"/>
    <w:rsid w:val="00A77EFF"/>
    <w:rsid w:val="00A8184D"/>
    <w:rsid w:val="00A87993"/>
    <w:rsid w:val="00A9111A"/>
    <w:rsid w:val="00A939FC"/>
    <w:rsid w:val="00A942EE"/>
    <w:rsid w:val="00A96A67"/>
    <w:rsid w:val="00A96D7B"/>
    <w:rsid w:val="00A97129"/>
    <w:rsid w:val="00AA0DFF"/>
    <w:rsid w:val="00AA30A6"/>
    <w:rsid w:val="00AA4567"/>
    <w:rsid w:val="00AA48DB"/>
    <w:rsid w:val="00AA6D6C"/>
    <w:rsid w:val="00AA7036"/>
    <w:rsid w:val="00AA76E0"/>
    <w:rsid w:val="00AB0247"/>
    <w:rsid w:val="00AB23E8"/>
    <w:rsid w:val="00AB4B93"/>
    <w:rsid w:val="00AB7BC7"/>
    <w:rsid w:val="00AC0555"/>
    <w:rsid w:val="00AC3CE1"/>
    <w:rsid w:val="00AD2779"/>
    <w:rsid w:val="00AD5827"/>
    <w:rsid w:val="00AD5D52"/>
    <w:rsid w:val="00AD6419"/>
    <w:rsid w:val="00AD664C"/>
    <w:rsid w:val="00AE1C40"/>
    <w:rsid w:val="00AE1CDC"/>
    <w:rsid w:val="00AE5167"/>
    <w:rsid w:val="00AF4078"/>
    <w:rsid w:val="00AF4596"/>
    <w:rsid w:val="00AF4A50"/>
    <w:rsid w:val="00AF62B4"/>
    <w:rsid w:val="00B032D1"/>
    <w:rsid w:val="00B04924"/>
    <w:rsid w:val="00B04C04"/>
    <w:rsid w:val="00B0516F"/>
    <w:rsid w:val="00B0648B"/>
    <w:rsid w:val="00B0788D"/>
    <w:rsid w:val="00B128F3"/>
    <w:rsid w:val="00B12E42"/>
    <w:rsid w:val="00B14156"/>
    <w:rsid w:val="00B147A7"/>
    <w:rsid w:val="00B15CBB"/>
    <w:rsid w:val="00B174A4"/>
    <w:rsid w:val="00B208FC"/>
    <w:rsid w:val="00B21CD1"/>
    <w:rsid w:val="00B250DE"/>
    <w:rsid w:val="00B26A86"/>
    <w:rsid w:val="00B30309"/>
    <w:rsid w:val="00B3135E"/>
    <w:rsid w:val="00B35BA3"/>
    <w:rsid w:val="00B40276"/>
    <w:rsid w:val="00B40B53"/>
    <w:rsid w:val="00B40CB7"/>
    <w:rsid w:val="00B41B5C"/>
    <w:rsid w:val="00B41E08"/>
    <w:rsid w:val="00B4261D"/>
    <w:rsid w:val="00B4362D"/>
    <w:rsid w:val="00B43F73"/>
    <w:rsid w:val="00B44F9D"/>
    <w:rsid w:val="00B45AEE"/>
    <w:rsid w:val="00B47481"/>
    <w:rsid w:val="00B52ABC"/>
    <w:rsid w:val="00B52BCB"/>
    <w:rsid w:val="00B53034"/>
    <w:rsid w:val="00B575B9"/>
    <w:rsid w:val="00B60C6E"/>
    <w:rsid w:val="00B62C19"/>
    <w:rsid w:val="00B6458E"/>
    <w:rsid w:val="00B646E8"/>
    <w:rsid w:val="00B70D16"/>
    <w:rsid w:val="00B71BE4"/>
    <w:rsid w:val="00B73B6F"/>
    <w:rsid w:val="00B74BB5"/>
    <w:rsid w:val="00B81F13"/>
    <w:rsid w:val="00B83525"/>
    <w:rsid w:val="00B847F1"/>
    <w:rsid w:val="00B852CF"/>
    <w:rsid w:val="00B86BF1"/>
    <w:rsid w:val="00B871C6"/>
    <w:rsid w:val="00B908D5"/>
    <w:rsid w:val="00B92163"/>
    <w:rsid w:val="00B9567F"/>
    <w:rsid w:val="00B96B13"/>
    <w:rsid w:val="00BA5931"/>
    <w:rsid w:val="00BA643D"/>
    <w:rsid w:val="00BA77B1"/>
    <w:rsid w:val="00BA7EBC"/>
    <w:rsid w:val="00BB03E0"/>
    <w:rsid w:val="00BB45DF"/>
    <w:rsid w:val="00BB5965"/>
    <w:rsid w:val="00BB6E73"/>
    <w:rsid w:val="00BC1FEC"/>
    <w:rsid w:val="00BC4002"/>
    <w:rsid w:val="00BC4039"/>
    <w:rsid w:val="00BC4788"/>
    <w:rsid w:val="00BD08CF"/>
    <w:rsid w:val="00BD1BFA"/>
    <w:rsid w:val="00BD239B"/>
    <w:rsid w:val="00BD2CBA"/>
    <w:rsid w:val="00BD424B"/>
    <w:rsid w:val="00BD4609"/>
    <w:rsid w:val="00BD75C8"/>
    <w:rsid w:val="00BD7A67"/>
    <w:rsid w:val="00BE14FC"/>
    <w:rsid w:val="00BE18B2"/>
    <w:rsid w:val="00BE23F5"/>
    <w:rsid w:val="00BE3235"/>
    <w:rsid w:val="00BE3415"/>
    <w:rsid w:val="00BE47A9"/>
    <w:rsid w:val="00BE73AA"/>
    <w:rsid w:val="00BF2DEB"/>
    <w:rsid w:val="00BF316D"/>
    <w:rsid w:val="00BF3BDE"/>
    <w:rsid w:val="00BF53AE"/>
    <w:rsid w:val="00BF58A6"/>
    <w:rsid w:val="00C0020E"/>
    <w:rsid w:val="00C0038D"/>
    <w:rsid w:val="00C00D89"/>
    <w:rsid w:val="00C02A03"/>
    <w:rsid w:val="00C042E1"/>
    <w:rsid w:val="00C063BE"/>
    <w:rsid w:val="00C07CE5"/>
    <w:rsid w:val="00C17EE9"/>
    <w:rsid w:val="00C20199"/>
    <w:rsid w:val="00C207B9"/>
    <w:rsid w:val="00C27153"/>
    <w:rsid w:val="00C342D1"/>
    <w:rsid w:val="00C34E2D"/>
    <w:rsid w:val="00C368A2"/>
    <w:rsid w:val="00C42190"/>
    <w:rsid w:val="00C44F54"/>
    <w:rsid w:val="00C45F02"/>
    <w:rsid w:val="00C5138C"/>
    <w:rsid w:val="00C51FE2"/>
    <w:rsid w:val="00C52F0D"/>
    <w:rsid w:val="00C536D8"/>
    <w:rsid w:val="00C53867"/>
    <w:rsid w:val="00C55E63"/>
    <w:rsid w:val="00C55F5D"/>
    <w:rsid w:val="00C57017"/>
    <w:rsid w:val="00C6068B"/>
    <w:rsid w:val="00C60C03"/>
    <w:rsid w:val="00C61906"/>
    <w:rsid w:val="00C634FA"/>
    <w:rsid w:val="00C65A0F"/>
    <w:rsid w:val="00C66416"/>
    <w:rsid w:val="00C6720B"/>
    <w:rsid w:val="00C72249"/>
    <w:rsid w:val="00C74F5D"/>
    <w:rsid w:val="00C777EC"/>
    <w:rsid w:val="00C7784E"/>
    <w:rsid w:val="00C80836"/>
    <w:rsid w:val="00C831C7"/>
    <w:rsid w:val="00C85FB7"/>
    <w:rsid w:val="00C86EF1"/>
    <w:rsid w:val="00C87051"/>
    <w:rsid w:val="00C9124D"/>
    <w:rsid w:val="00C93404"/>
    <w:rsid w:val="00C94E98"/>
    <w:rsid w:val="00C97457"/>
    <w:rsid w:val="00CA0C53"/>
    <w:rsid w:val="00CA138A"/>
    <w:rsid w:val="00CA17E5"/>
    <w:rsid w:val="00CA2B62"/>
    <w:rsid w:val="00CA3030"/>
    <w:rsid w:val="00CA3CD3"/>
    <w:rsid w:val="00CA5876"/>
    <w:rsid w:val="00CA7AE8"/>
    <w:rsid w:val="00CB0495"/>
    <w:rsid w:val="00CB0CCF"/>
    <w:rsid w:val="00CB3E3D"/>
    <w:rsid w:val="00CC35B5"/>
    <w:rsid w:val="00CC3FAB"/>
    <w:rsid w:val="00CC4D44"/>
    <w:rsid w:val="00CD15B3"/>
    <w:rsid w:val="00CD345C"/>
    <w:rsid w:val="00CD4A31"/>
    <w:rsid w:val="00CD76FF"/>
    <w:rsid w:val="00CE03A7"/>
    <w:rsid w:val="00CE2739"/>
    <w:rsid w:val="00CE64EF"/>
    <w:rsid w:val="00CE6633"/>
    <w:rsid w:val="00CF07A6"/>
    <w:rsid w:val="00CF0FFE"/>
    <w:rsid w:val="00CF235A"/>
    <w:rsid w:val="00CF52B0"/>
    <w:rsid w:val="00CF586B"/>
    <w:rsid w:val="00CF7CF7"/>
    <w:rsid w:val="00D00C9E"/>
    <w:rsid w:val="00D03886"/>
    <w:rsid w:val="00D04600"/>
    <w:rsid w:val="00D1163E"/>
    <w:rsid w:val="00D11978"/>
    <w:rsid w:val="00D13DFA"/>
    <w:rsid w:val="00D15918"/>
    <w:rsid w:val="00D1596B"/>
    <w:rsid w:val="00D23454"/>
    <w:rsid w:val="00D23B2E"/>
    <w:rsid w:val="00D27127"/>
    <w:rsid w:val="00D3318C"/>
    <w:rsid w:val="00D34579"/>
    <w:rsid w:val="00D351D3"/>
    <w:rsid w:val="00D36535"/>
    <w:rsid w:val="00D3768F"/>
    <w:rsid w:val="00D4423F"/>
    <w:rsid w:val="00D4737E"/>
    <w:rsid w:val="00D473B7"/>
    <w:rsid w:val="00D47A8B"/>
    <w:rsid w:val="00D50258"/>
    <w:rsid w:val="00D5050A"/>
    <w:rsid w:val="00D506D9"/>
    <w:rsid w:val="00D52F4C"/>
    <w:rsid w:val="00D53374"/>
    <w:rsid w:val="00D613DA"/>
    <w:rsid w:val="00D65CE2"/>
    <w:rsid w:val="00D674CF"/>
    <w:rsid w:val="00D67AB8"/>
    <w:rsid w:val="00D72480"/>
    <w:rsid w:val="00D7295D"/>
    <w:rsid w:val="00D76010"/>
    <w:rsid w:val="00D76BFF"/>
    <w:rsid w:val="00D80DD9"/>
    <w:rsid w:val="00D842DF"/>
    <w:rsid w:val="00D90426"/>
    <w:rsid w:val="00D911A7"/>
    <w:rsid w:val="00D922E2"/>
    <w:rsid w:val="00D935F5"/>
    <w:rsid w:val="00D95B11"/>
    <w:rsid w:val="00D95BAC"/>
    <w:rsid w:val="00D97D9D"/>
    <w:rsid w:val="00DA510B"/>
    <w:rsid w:val="00DA518F"/>
    <w:rsid w:val="00DA79FF"/>
    <w:rsid w:val="00DB02DB"/>
    <w:rsid w:val="00DB1E2B"/>
    <w:rsid w:val="00DB2E4F"/>
    <w:rsid w:val="00DC360B"/>
    <w:rsid w:val="00DC426A"/>
    <w:rsid w:val="00DD3430"/>
    <w:rsid w:val="00DD4DEB"/>
    <w:rsid w:val="00DD5BAF"/>
    <w:rsid w:val="00DD5D0F"/>
    <w:rsid w:val="00DD6AF2"/>
    <w:rsid w:val="00DD7056"/>
    <w:rsid w:val="00DD763F"/>
    <w:rsid w:val="00DD7900"/>
    <w:rsid w:val="00DE1B66"/>
    <w:rsid w:val="00DE1CA0"/>
    <w:rsid w:val="00DE466E"/>
    <w:rsid w:val="00DE7E64"/>
    <w:rsid w:val="00DF05DB"/>
    <w:rsid w:val="00E00F42"/>
    <w:rsid w:val="00E014A6"/>
    <w:rsid w:val="00E02CEA"/>
    <w:rsid w:val="00E0387F"/>
    <w:rsid w:val="00E04D4B"/>
    <w:rsid w:val="00E070B5"/>
    <w:rsid w:val="00E12A33"/>
    <w:rsid w:val="00E13411"/>
    <w:rsid w:val="00E1366E"/>
    <w:rsid w:val="00E13CF7"/>
    <w:rsid w:val="00E160A5"/>
    <w:rsid w:val="00E17DAE"/>
    <w:rsid w:val="00E24864"/>
    <w:rsid w:val="00E26533"/>
    <w:rsid w:val="00E303F7"/>
    <w:rsid w:val="00E30714"/>
    <w:rsid w:val="00E32B6F"/>
    <w:rsid w:val="00E334F0"/>
    <w:rsid w:val="00E369B3"/>
    <w:rsid w:val="00E374F0"/>
    <w:rsid w:val="00E41763"/>
    <w:rsid w:val="00E426A5"/>
    <w:rsid w:val="00E503A3"/>
    <w:rsid w:val="00E53B1C"/>
    <w:rsid w:val="00E56503"/>
    <w:rsid w:val="00E57583"/>
    <w:rsid w:val="00E575A3"/>
    <w:rsid w:val="00E607AB"/>
    <w:rsid w:val="00E607E2"/>
    <w:rsid w:val="00E61798"/>
    <w:rsid w:val="00E63D31"/>
    <w:rsid w:val="00E658BE"/>
    <w:rsid w:val="00E65BAB"/>
    <w:rsid w:val="00E7091A"/>
    <w:rsid w:val="00E7122E"/>
    <w:rsid w:val="00E71259"/>
    <w:rsid w:val="00E738BE"/>
    <w:rsid w:val="00E82156"/>
    <w:rsid w:val="00E85579"/>
    <w:rsid w:val="00E871F1"/>
    <w:rsid w:val="00E876C5"/>
    <w:rsid w:val="00E876F5"/>
    <w:rsid w:val="00E909B3"/>
    <w:rsid w:val="00E92063"/>
    <w:rsid w:val="00E93004"/>
    <w:rsid w:val="00E968CF"/>
    <w:rsid w:val="00EA152B"/>
    <w:rsid w:val="00EA1E2C"/>
    <w:rsid w:val="00EA3DFF"/>
    <w:rsid w:val="00EB226C"/>
    <w:rsid w:val="00EB4048"/>
    <w:rsid w:val="00EB5814"/>
    <w:rsid w:val="00EB6B3F"/>
    <w:rsid w:val="00EB7537"/>
    <w:rsid w:val="00EB77BA"/>
    <w:rsid w:val="00EB7F9C"/>
    <w:rsid w:val="00EC0574"/>
    <w:rsid w:val="00EC0994"/>
    <w:rsid w:val="00EC288A"/>
    <w:rsid w:val="00EC6044"/>
    <w:rsid w:val="00EC68FF"/>
    <w:rsid w:val="00EC6982"/>
    <w:rsid w:val="00ED016E"/>
    <w:rsid w:val="00ED113C"/>
    <w:rsid w:val="00ED2A85"/>
    <w:rsid w:val="00ED7495"/>
    <w:rsid w:val="00EE1953"/>
    <w:rsid w:val="00EE59C9"/>
    <w:rsid w:val="00EE5B81"/>
    <w:rsid w:val="00EE78B2"/>
    <w:rsid w:val="00EF4558"/>
    <w:rsid w:val="00EF52AB"/>
    <w:rsid w:val="00F00286"/>
    <w:rsid w:val="00F03651"/>
    <w:rsid w:val="00F05607"/>
    <w:rsid w:val="00F060AA"/>
    <w:rsid w:val="00F06159"/>
    <w:rsid w:val="00F06B84"/>
    <w:rsid w:val="00F10C97"/>
    <w:rsid w:val="00F12552"/>
    <w:rsid w:val="00F135DB"/>
    <w:rsid w:val="00F137C2"/>
    <w:rsid w:val="00F144BB"/>
    <w:rsid w:val="00F15B03"/>
    <w:rsid w:val="00F163AE"/>
    <w:rsid w:val="00F20F9C"/>
    <w:rsid w:val="00F23C2B"/>
    <w:rsid w:val="00F27417"/>
    <w:rsid w:val="00F300F7"/>
    <w:rsid w:val="00F305F9"/>
    <w:rsid w:val="00F311AF"/>
    <w:rsid w:val="00F3169A"/>
    <w:rsid w:val="00F31E88"/>
    <w:rsid w:val="00F40680"/>
    <w:rsid w:val="00F4340B"/>
    <w:rsid w:val="00F44E1D"/>
    <w:rsid w:val="00F45A1A"/>
    <w:rsid w:val="00F47ACA"/>
    <w:rsid w:val="00F50BA2"/>
    <w:rsid w:val="00F52175"/>
    <w:rsid w:val="00F52A69"/>
    <w:rsid w:val="00F56683"/>
    <w:rsid w:val="00F602A9"/>
    <w:rsid w:val="00F60E76"/>
    <w:rsid w:val="00F72186"/>
    <w:rsid w:val="00F73A04"/>
    <w:rsid w:val="00F757A6"/>
    <w:rsid w:val="00F80B5E"/>
    <w:rsid w:val="00F84879"/>
    <w:rsid w:val="00F8613C"/>
    <w:rsid w:val="00F8638B"/>
    <w:rsid w:val="00F90B71"/>
    <w:rsid w:val="00F925CB"/>
    <w:rsid w:val="00F92FA8"/>
    <w:rsid w:val="00F93B98"/>
    <w:rsid w:val="00F94557"/>
    <w:rsid w:val="00FA088D"/>
    <w:rsid w:val="00FA138F"/>
    <w:rsid w:val="00FA13CB"/>
    <w:rsid w:val="00FA180A"/>
    <w:rsid w:val="00FA4301"/>
    <w:rsid w:val="00FA6257"/>
    <w:rsid w:val="00FA62AE"/>
    <w:rsid w:val="00FA63F1"/>
    <w:rsid w:val="00FA65FB"/>
    <w:rsid w:val="00FA78CF"/>
    <w:rsid w:val="00FB1C45"/>
    <w:rsid w:val="00FB1D95"/>
    <w:rsid w:val="00FB2707"/>
    <w:rsid w:val="00FB2C77"/>
    <w:rsid w:val="00FB2E93"/>
    <w:rsid w:val="00FB433B"/>
    <w:rsid w:val="00FB4357"/>
    <w:rsid w:val="00FC0121"/>
    <w:rsid w:val="00FC1F29"/>
    <w:rsid w:val="00FC36B9"/>
    <w:rsid w:val="00FC42A3"/>
    <w:rsid w:val="00FC4D67"/>
    <w:rsid w:val="00FC4F35"/>
    <w:rsid w:val="00FC6CB6"/>
    <w:rsid w:val="00FD0C16"/>
    <w:rsid w:val="00FD6875"/>
    <w:rsid w:val="00FE0272"/>
    <w:rsid w:val="00FE04CE"/>
    <w:rsid w:val="00FE152C"/>
    <w:rsid w:val="00FE2D29"/>
    <w:rsid w:val="00FE3CC9"/>
    <w:rsid w:val="00FE4057"/>
    <w:rsid w:val="00FE42F7"/>
    <w:rsid w:val="00FE5922"/>
    <w:rsid w:val="00FE6576"/>
    <w:rsid w:val="00FE675C"/>
    <w:rsid w:val="00FE7D72"/>
    <w:rsid w:val="00FF04AB"/>
    <w:rsid w:val="00FF0DB2"/>
    <w:rsid w:val="00FF2F69"/>
    <w:rsid w:val="00FF617C"/>
    <w:rsid w:val="00FF6CA8"/>
    <w:rsid w:val="01214A1E"/>
    <w:rsid w:val="01356A56"/>
    <w:rsid w:val="01480817"/>
    <w:rsid w:val="014F1B49"/>
    <w:rsid w:val="0161201C"/>
    <w:rsid w:val="01674AD8"/>
    <w:rsid w:val="017B15F7"/>
    <w:rsid w:val="019B2A51"/>
    <w:rsid w:val="01AF5A79"/>
    <w:rsid w:val="01BB069A"/>
    <w:rsid w:val="01C144D9"/>
    <w:rsid w:val="01E26F18"/>
    <w:rsid w:val="01EE6DBE"/>
    <w:rsid w:val="01F31B66"/>
    <w:rsid w:val="01F420A7"/>
    <w:rsid w:val="01F91AAF"/>
    <w:rsid w:val="02000EE0"/>
    <w:rsid w:val="02006E3F"/>
    <w:rsid w:val="020E7F3F"/>
    <w:rsid w:val="02102EA5"/>
    <w:rsid w:val="021218C8"/>
    <w:rsid w:val="021A6004"/>
    <w:rsid w:val="022C6982"/>
    <w:rsid w:val="022E08B9"/>
    <w:rsid w:val="023A07E4"/>
    <w:rsid w:val="0253068D"/>
    <w:rsid w:val="025D291A"/>
    <w:rsid w:val="027202B1"/>
    <w:rsid w:val="02721F48"/>
    <w:rsid w:val="02805163"/>
    <w:rsid w:val="02815E8D"/>
    <w:rsid w:val="02AA05F4"/>
    <w:rsid w:val="02E41BF4"/>
    <w:rsid w:val="02F07CB0"/>
    <w:rsid w:val="030D75EF"/>
    <w:rsid w:val="031168BC"/>
    <w:rsid w:val="031D7B6C"/>
    <w:rsid w:val="03386B07"/>
    <w:rsid w:val="03426C59"/>
    <w:rsid w:val="03433AF1"/>
    <w:rsid w:val="03501AE4"/>
    <w:rsid w:val="03716722"/>
    <w:rsid w:val="037E1043"/>
    <w:rsid w:val="038C028C"/>
    <w:rsid w:val="039744EC"/>
    <w:rsid w:val="039B623A"/>
    <w:rsid w:val="039E290B"/>
    <w:rsid w:val="03B44AA5"/>
    <w:rsid w:val="040020A7"/>
    <w:rsid w:val="04473247"/>
    <w:rsid w:val="044D2B93"/>
    <w:rsid w:val="04551EC7"/>
    <w:rsid w:val="046432A1"/>
    <w:rsid w:val="04833676"/>
    <w:rsid w:val="04930DBB"/>
    <w:rsid w:val="04A2371F"/>
    <w:rsid w:val="04A53BA4"/>
    <w:rsid w:val="04AA1834"/>
    <w:rsid w:val="04D17C83"/>
    <w:rsid w:val="04DF3F87"/>
    <w:rsid w:val="04E374DE"/>
    <w:rsid w:val="04FF00EB"/>
    <w:rsid w:val="0501459E"/>
    <w:rsid w:val="05175FCF"/>
    <w:rsid w:val="052263A0"/>
    <w:rsid w:val="054E23E8"/>
    <w:rsid w:val="05586075"/>
    <w:rsid w:val="058576A8"/>
    <w:rsid w:val="058A72E1"/>
    <w:rsid w:val="058E5789"/>
    <w:rsid w:val="059C47A0"/>
    <w:rsid w:val="059C5E7A"/>
    <w:rsid w:val="059F3F35"/>
    <w:rsid w:val="05AB2DB2"/>
    <w:rsid w:val="05C127AF"/>
    <w:rsid w:val="05C23886"/>
    <w:rsid w:val="05C342DE"/>
    <w:rsid w:val="05C503AE"/>
    <w:rsid w:val="05D56659"/>
    <w:rsid w:val="05DE7F94"/>
    <w:rsid w:val="05EB76F4"/>
    <w:rsid w:val="05EC4B85"/>
    <w:rsid w:val="05F56B6A"/>
    <w:rsid w:val="05F652DD"/>
    <w:rsid w:val="05F7106C"/>
    <w:rsid w:val="06027766"/>
    <w:rsid w:val="060914B4"/>
    <w:rsid w:val="0616570A"/>
    <w:rsid w:val="06224324"/>
    <w:rsid w:val="06305727"/>
    <w:rsid w:val="06322461"/>
    <w:rsid w:val="063475AA"/>
    <w:rsid w:val="06524E0C"/>
    <w:rsid w:val="06647C6C"/>
    <w:rsid w:val="06665E33"/>
    <w:rsid w:val="067A5F0E"/>
    <w:rsid w:val="06936D88"/>
    <w:rsid w:val="06A31CA0"/>
    <w:rsid w:val="06B84B0D"/>
    <w:rsid w:val="06CD22BA"/>
    <w:rsid w:val="06D31947"/>
    <w:rsid w:val="06D9153A"/>
    <w:rsid w:val="06D92562"/>
    <w:rsid w:val="06DF1F13"/>
    <w:rsid w:val="06E41AF9"/>
    <w:rsid w:val="06E760D7"/>
    <w:rsid w:val="06EA54F3"/>
    <w:rsid w:val="06F650AE"/>
    <w:rsid w:val="07075B45"/>
    <w:rsid w:val="070A76BD"/>
    <w:rsid w:val="07194F32"/>
    <w:rsid w:val="071B06FE"/>
    <w:rsid w:val="071D72FF"/>
    <w:rsid w:val="072E5643"/>
    <w:rsid w:val="073161F1"/>
    <w:rsid w:val="073D7196"/>
    <w:rsid w:val="07504429"/>
    <w:rsid w:val="07612720"/>
    <w:rsid w:val="076A60B4"/>
    <w:rsid w:val="07790449"/>
    <w:rsid w:val="07792B42"/>
    <w:rsid w:val="077E3D0B"/>
    <w:rsid w:val="078C511B"/>
    <w:rsid w:val="078D2D8A"/>
    <w:rsid w:val="07A86AAB"/>
    <w:rsid w:val="07BE2A34"/>
    <w:rsid w:val="07D43E3E"/>
    <w:rsid w:val="07DF1893"/>
    <w:rsid w:val="07E53F70"/>
    <w:rsid w:val="07F03CBF"/>
    <w:rsid w:val="07F42B67"/>
    <w:rsid w:val="080D0CE3"/>
    <w:rsid w:val="08644FF5"/>
    <w:rsid w:val="086626CB"/>
    <w:rsid w:val="08790814"/>
    <w:rsid w:val="08817F9A"/>
    <w:rsid w:val="08933F38"/>
    <w:rsid w:val="089E56D2"/>
    <w:rsid w:val="08B472FE"/>
    <w:rsid w:val="08B614BD"/>
    <w:rsid w:val="08B937A7"/>
    <w:rsid w:val="08C15F16"/>
    <w:rsid w:val="08CD671D"/>
    <w:rsid w:val="08D83875"/>
    <w:rsid w:val="08F56067"/>
    <w:rsid w:val="08F56798"/>
    <w:rsid w:val="08F90E20"/>
    <w:rsid w:val="09012D1E"/>
    <w:rsid w:val="09042964"/>
    <w:rsid w:val="09072AF5"/>
    <w:rsid w:val="090D78C9"/>
    <w:rsid w:val="09101FB3"/>
    <w:rsid w:val="09296C06"/>
    <w:rsid w:val="09763025"/>
    <w:rsid w:val="09A90807"/>
    <w:rsid w:val="09C51AD0"/>
    <w:rsid w:val="09D5345C"/>
    <w:rsid w:val="09DD083F"/>
    <w:rsid w:val="09DF23C7"/>
    <w:rsid w:val="09F8752F"/>
    <w:rsid w:val="0A0D439F"/>
    <w:rsid w:val="0A0F0D09"/>
    <w:rsid w:val="0A197E86"/>
    <w:rsid w:val="0A1D4600"/>
    <w:rsid w:val="0A1F68B2"/>
    <w:rsid w:val="0A210F95"/>
    <w:rsid w:val="0A2836E0"/>
    <w:rsid w:val="0A29194C"/>
    <w:rsid w:val="0A352C1D"/>
    <w:rsid w:val="0A394D3A"/>
    <w:rsid w:val="0A4A209B"/>
    <w:rsid w:val="0A593073"/>
    <w:rsid w:val="0A8E5529"/>
    <w:rsid w:val="0AB44EF5"/>
    <w:rsid w:val="0AC159A6"/>
    <w:rsid w:val="0AC227EB"/>
    <w:rsid w:val="0AE34BB1"/>
    <w:rsid w:val="0AED0B6E"/>
    <w:rsid w:val="0B38722E"/>
    <w:rsid w:val="0B4B7099"/>
    <w:rsid w:val="0B747542"/>
    <w:rsid w:val="0B7B213D"/>
    <w:rsid w:val="0B8F6A6E"/>
    <w:rsid w:val="0B9E1A60"/>
    <w:rsid w:val="0BAD70EA"/>
    <w:rsid w:val="0BD63C30"/>
    <w:rsid w:val="0BE60C5C"/>
    <w:rsid w:val="0BF033E0"/>
    <w:rsid w:val="0C296CAE"/>
    <w:rsid w:val="0C365370"/>
    <w:rsid w:val="0C437410"/>
    <w:rsid w:val="0C442C80"/>
    <w:rsid w:val="0C4B30F1"/>
    <w:rsid w:val="0C7376A8"/>
    <w:rsid w:val="0C801F53"/>
    <w:rsid w:val="0C8076E1"/>
    <w:rsid w:val="0C8309CB"/>
    <w:rsid w:val="0C897416"/>
    <w:rsid w:val="0CA97841"/>
    <w:rsid w:val="0CD6360B"/>
    <w:rsid w:val="0CF22F65"/>
    <w:rsid w:val="0CFD3771"/>
    <w:rsid w:val="0CFF0EF1"/>
    <w:rsid w:val="0D001BEA"/>
    <w:rsid w:val="0D0A7F77"/>
    <w:rsid w:val="0D4D0748"/>
    <w:rsid w:val="0D5F5515"/>
    <w:rsid w:val="0D8943DC"/>
    <w:rsid w:val="0D8A04E4"/>
    <w:rsid w:val="0D932BB8"/>
    <w:rsid w:val="0D98461B"/>
    <w:rsid w:val="0DB904D9"/>
    <w:rsid w:val="0DBB0918"/>
    <w:rsid w:val="0DE25782"/>
    <w:rsid w:val="0DEE271A"/>
    <w:rsid w:val="0DF148E8"/>
    <w:rsid w:val="0DFA5B87"/>
    <w:rsid w:val="0DFE7425"/>
    <w:rsid w:val="0E210D90"/>
    <w:rsid w:val="0E280BF1"/>
    <w:rsid w:val="0E2A2732"/>
    <w:rsid w:val="0E2F7B01"/>
    <w:rsid w:val="0E3E7831"/>
    <w:rsid w:val="0E4B5699"/>
    <w:rsid w:val="0E512E80"/>
    <w:rsid w:val="0E582424"/>
    <w:rsid w:val="0E6E1A32"/>
    <w:rsid w:val="0E915BD0"/>
    <w:rsid w:val="0ECC12D1"/>
    <w:rsid w:val="0ECD4128"/>
    <w:rsid w:val="0EF05635"/>
    <w:rsid w:val="0F0913A4"/>
    <w:rsid w:val="0F310D95"/>
    <w:rsid w:val="0F360DD3"/>
    <w:rsid w:val="0F6B1793"/>
    <w:rsid w:val="0F7B5DFB"/>
    <w:rsid w:val="0FE20680"/>
    <w:rsid w:val="0FF37EF3"/>
    <w:rsid w:val="0FFE4C46"/>
    <w:rsid w:val="10064480"/>
    <w:rsid w:val="100930B7"/>
    <w:rsid w:val="10156FD1"/>
    <w:rsid w:val="10371F2F"/>
    <w:rsid w:val="10412F94"/>
    <w:rsid w:val="105A6D80"/>
    <w:rsid w:val="107B23CF"/>
    <w:rsid w:val="107E1871"/>
    <w:rsid w:val="10824E25"/>
    <w:rsid w:val="10A77D8C"/>
    <w:rsid w:val="10BD5626"/>
    <w:rsid w:val="10C85301"/>
    <w:rsid w:val="10CA4441"/>
    <w:rsid w:val="10E50428"/>
    <w:rsid w:val="10F5099F"/>
    <w:rsid w:val="10FF621B"/>
    <w:rsid w:val="110421C3"/>
    <w:rsid w:val="11046680"/>
    <w:rsid w:val="111571A1"/>
    <w:rsid w:val="11194C07"/>
    <w:rsid w:val="113C4023"/>
    <w:rsid w:val="11423CF0"/>
    <w:rsid w:val="1159255C"/>
    <w:rsid w:val="115D038D"/>
    <w:rsid w:val="116741A8"/>
    <w:rsid w:val="11845E93"/>
    <w:rsid w:val="11887A9E"/>
    <w:rsid w:val="11902A8A"/>
    <w:rsid w:val="119E030F"/>
    <w:rsid w:val="11AC3296"/>
    <w:rsid w:val="11BF3764"/>
    <w:rsid w:val="11BF5D6D"/>
    <w:rsid w:val="11E62178"/>
    <w:rsid w:val="11EF6486"/>
    <w:rsid w:val="11F75962"/>
    <w:rsid w:val="11FC0451"/>
    <w:rsid w:val="120C4EB8"/>
    <w:rsid w:val="121B10FB"/>
    <w:rsid w:val="1223179A"/>
    <w:rsid w:val="122D760A"/>
    <w:rsid w:val="12311F5A"/>
    <w:rsid w:val="12315932"/>
    <w:rsid w:val="12427601"/>
    <w:rsid w:val="12571E23"/>
    <w:rsid w:val="125944FB"/>
    <w:rsid w:val="12624EB7"/>
    <w:rsid w:val="1282388F"/>
    <w:rsid w:val="128572E6"/>
    <w:rsid w:val="128A0F8B"/>
    <w:rsid w:val="129139EE"/>
    <w:rsid w:val="12B26461"/>
    <w:rsid w:val="12D228CA"/>
    <w:rsid w:val="12F36759"/>
    <w:rsid w:val="1300045E"/>
    <w:rsid w:val="130A6921"/>
    <w:rsid w:val="132B6E0A"/>
    <w:rsid w:val="133D024F"/>
    <w:rsid w:val="133D6D87"/>
    <w:rsid w:val="1363252F"/>
    <w:rsid w:val="13716BB4"/>
    <w:rsid w:val="13821EE1"/>
    <w:rsid w:val="13890B9C"/>
    <w:rsid w:val="13CB4137"/>
    <w:rsid w:val="13D11AEC"/>
    <w:rsid w:val="13F27FD8"/>
    <w:rsid w:val="13F74970"/>
    <w:rsid w:val="13FA3C10"/>
    <w:rsid w:val="14197590"/>
    <w:rsid w:val="141C7AF8"/>
    <w:rsid w:val="142676D5"/>
    <w:rsid w:val="142D5867"/>
    <w:rsid w:val="14311C3C"/>
    <w:rsid w:val="14400AEE"/>
    <w:rsid w:val="149C34F4"/>
    <w:rsid w:val="14A05CEA"/>
    <w:rsid w:val="14B55C3F"/>
    <w:rsid w:val="14BA7BD0"/>
    <w:rsid w:val="14BE0DA8"/>
    <w:rsid w:val="14DF2DE8"/>
    <w:rsid w:val="14E20E88"/>
    <w:rsid w:val="14E71B9C"/>
    <w:rsid w:val="14ED24C4"/>
    <w:rsid w:val="14F7477C"/>
    <w:rsid w:val="14FE6E45"/>
    <w:rsid w:val="15030DD2"/>
    <w:rsid w:val="151246C1"/>
    <w:rsid w:val="15222516"/>
    <w:rsid w:val="15300534"/>
    <w:rsid w:val="15430081"/>
    <w:rsid w:val="1549179A"/>
    <w:rsid w:val="155855A0"/>
    <w:rsid w:val="15760A82"/>
    <w:rsid w:val="15885993"/>
    <w:rsid w:val="15943580"/>
    <w:rsid w:val="159F71E4"/>
    <w:rsid w:val="15D23D72"/>
    <w:rsid w:val="15DA54BE"/>
    <w:rsid w:val="15DE1A29"/>
    <w:rsid w:val="1630577E"/>
    <w:rsid w:val="16883ABF"/>
    <w:rsid w:val="16AA3EEF"/>
    <w:rsid w:val="16BB65F1"/>
    <w:rsid w:val="16C30E50"/>
    <w:rsid w:val="16DF70C3"/>
    <w:rsid w:val="16E36A8E"/>
    <w:rsid w:val="17174321"/>
    <w:rsid w:val="171D0821"/>
    <w:rsid w:val="17382C6C"/>
    <w:rsid w:val="17A7487A"/>
    <w:rsid w:val="17B2733D"/>
    <w:rsid w:val="17BB1A47"/>
    <w:rsid w:val="17C725E3"/>
    <w:rsid w:val="17D32110"/>
    <w:rsid w:val="17E241A7"/>
    <w:rsid w:val="17EF333D"/>
    <w:rsid w:val="17F555FC"/>
    <w:rsid w:val="17F736BA"/>
    <w:rsid w:val="180B1C8C"/>
    <w:rsid w:val="18364686"/>
    <w:rsid w:val="1856228A"/>
    <w:rsid w:val="18655549"/>
    <w:rsid w:val="186828E4"/>
    <w:rsid w:val="189D5730"/>
    <w:rsid w:val="18A64A18"/>
    <w:rsid w:val="18AE6BDF"/>
    <w:rsid w:val="18BC41FE"/>
    <w:rsid w:val="18C64FE3"/>
    <w:rsid w:val="18D255E8"/>
    <w:rsid w:val="18E73115"/>
    <w:rsid w:val="190A6030"/>
    <w:rsid w:val="191206D3"/>
    <w:rsid w:val="192E2BD3"/>
    <w:rsid w:val="19362545"/>
    <w:rsid w:val="197B5636"/>
    <w:rsid w:val="197D7F4A"/>
    <w:rsid w:val="198D30EC"/>
    <w:rsid w:val="19DF665A"/>
    <w:rsid w:val="1A0318D0"/>
    <w:rsid w:val="1A0D706E"/>
    <w:rsid w:val="1A1E2D3C"/>
    <w:rsid w:val="1A200C49"/>
    <w:rsid w:val="1A2C7C12"/>
    <w:rsid w:val="1A382E26"/>
    <w:rsid w:val="1A386D0E"/>
    <w:rsid w:val="1A5C16D9"/>
    <w:rsid w:val="1A5C6D63"/>
    <w:rsid w:val="1A7636B6"/>
    <w:rsid w:val="1A7B17BE"/>
    <w:rsid w:val="1A866400"/>
    <w:rsid w:val="1AAC6FFC"/>
    <w:rsid w:val="1AE133EF"/>
    <w:rsid w:val="1AEF4DAE"/>
    <w:rsid w:val="1AF77FAB"/>
    <w:rsid w:val="1AFB020E"/>
    <w:rsid w:val="1B29415C"/>
    <w:rsid w:val="1B35224C"/>
    <w:rsid w:val="1B447ACE"/>
    <w:rsid w:val="1B492FF3"/>
    <w:rsid w:val="1B4950A4"/>
    <w:rsid w:val="1B4978E9"/>
    <w:rsid w:val="1B556620"/>
    <w:rsid w:val="1BA324C2"/>
    <w:rsid w:val="1BA61267"/>
    <w:rsid w:val="1BAF2B44"/>
    <w:rsid w:val="1BFB746E"/>
    <w:rsid w:val="1C2663BF"/>
    <w:rsid w:val="1C36433C"/>
    <w:rsid w:val="1C376E21"/>
    <w:rsid w:val="1C4D1232"/>
    <w:rsid w:val="1C5A43C0"/>
    <w:rsid w:val="1C607E4F"/>
    <w:rsid w:val="1C667B0E"/>
    <w:rsid w:val="1C721035"/>
    <w:rsid w:val="1C7A05BE"/>
    <w:rsid w:val="1C887DF5"/>
    <w:rsid w:val="1C89288A"/>
    <w:rsid w:val="1C8E6A86"/>
    <w:rsid w:val="1CA47846"/>
    <w:rsid w:val="1CD565D5"/>
    <w:rsid w:val="1CDF6675"/>
    <w:rsid w:val="1CEF14EF"/>
    <w:rsid w:val="1CF43006"/>
    <w:rsid w:val="1D077570"/>
    <w:rsid w:val="1D143D47"/>
    <w:rsid w:val="1D2A3AD0"/>
    <w:rsid w:val="1D325942"/>
    <w:rsid w:val="1D475ADB"/>
    <w:rsid w:val="1D672B1F"/>
    <w:rsid w:val="1D70121F"/>
    <w:rsid w:val="1D8043A5"/>
    <w:rsid w:val="1D8B3670"/>
    <w:rsid w:val="1DA73124"/>
    <w:rsid w:val="1DAE0556"/>
    <w:rsid w:val="1DB1270C"/>
    <w:rsid w:val="1DB67C12"/>
    <w:rsid w:val="1DD50B1E"/>
    <w:rsid w:val="1E060554"/>
    <w:rsid w:val="1E0F6E32"/>
    <w:rsid w:val="1E382351"/>
    <w:rsid w:val="1E415560"/>
    <w:rsid w:val="1E4435DE"/>
    <w:rsid w:val="1E482F88"/>
    <w:rsid w:val="1E4D0E37"/>
    <w:rsid w:val="1E5D18EA"/>
    <w:rsid w:val="1E604A81"/>
    <w:rsid w:val="1E706AC5"/>
    <w:rsid w:val="1E706D9C"/>
    <w:rsid w:val="1E71495E"/>
    <w:rsid w:val="1E841A5F"/>
    <w:rsid w:val="1E85149C"/>
    <w:rsid w:val="1EA33881"/>
    <w:rsid w:val="1EA40105"/>
    <w:rsid w:val="1EA972F9"/>
    <w:rsid w:val="1EBC7CC4"/>
    <w:rsid w:val="1EC665E8"/>
    <w:rsid w:val="1ED20F86"/>
    <w:rsid w:val="1EDC6093"/>
    <w:rsid w:val="1EEF3113"/>
    <w:rsid w:val="1F14468F"/>
    <w:rsid w:val="1F1E0F89"/>
    <w:rsid w:val="1F2B6444"/>
    <w:rsid w:val="1F2E38E2"/>
    <w:rsid w:val="1F4030D3"/>
    <w:rsid w:val="1F524DE1"/>
    <w:rsid w:val="1F69585D"/>
    <w:rsid w:val="1F6B38B0"/>
    <w:rsid w:val="1FB04BAB"/>
    <w:rsid w:val="1FD0749B"/>
    <w:rsid w:val="1FE35ADC"/>
    <w:rsid w:val="1FF35910"/>
    <w:rsid w:val="201F4E21"/>
    <w:rsid w:val="203A5CDB"/>
    <w:rsid w:val="20456B4D"/>
    <w:rsid w:val="206823A1"/>
    <w:rsid w:val="207A43DF"/>
    <w:rsid w:val="207F6629"/>
    <w:rsid w:val="20952E68"/>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9A0DBB"/>
    <w:rsid w:val="219B3368"/>
    <w:rsid w:val="21A665AD"/>
    <w:rsid w:val="21B33C19"/>
    <w:rsid w:val="21BB34D8"/>
    <w:rsid w:val="21D722C1"/>
    <w:rsid w:val="21DF24FF"/>
    <w:rsid w:val="22136A87"/>
    <w:rsid w:val="222C0C93"/>
    <w:rsid w:val="224B3D5F"/>
    <w:rsid w:val="2258252F"/>
    <w:rsid w:val="225E4F1E"/>
    <w:rsid w:val="227D0CBC"/>
    <w:rsid w:val="228F63A9"/>
    <w:rsid w:val="22A177E6"/>
    <w:rsid w:val="22E6677E"/>
    <w:rsid w:val="22E805EC"/>
    <w:rsid w:val="231D3794"/>
    <w:rsid w:val="233236E3"/>
    <w:rsid w:val="233B768D"/>
    <w:rsid w:val="2346752C"/>
    <w:rsid w:val="234D4FF2"/>
    <w:rsid w:val="23585DD8"/>
    <w:rsid w:val="235B4AD3"/>
    <w:rsid w:val="237D05D8"/>
    <w:rsid w:val="239B1C02"/>
    <w:rsid w:val="23AB3963"/>
    <w:rsid w:val="23BA793E"/>
    <w:rsid w:val="23D17044"/>
    <w:rsid w:val="23D172B3"/>
    <w:rsid w:val="23E40684"/>
    <w:rsid w:val="23ED2245"/>
    <w:rsid w:val="23F23381"/>
    <w:rsid w:val="2411563C"/>
    <w:rsid w:val="242447AF"/>
    <w:rsid w:val="24300A4F"/>
    <w:rsid w:val="24334C53"/>
    <w:rsid w:val="24343AA2"/>
    <w:rsid w:val="24771FAD"/>
    <w:rsid w:val="247B60EA"/>
    <w:rsid w:val="24C15DE7"/>
    <w:rsid w:val="24D75451"/>
    <w:rsid w:val="24DC47FF"/>
    <w:rsid w:val="24EF67E6"/>
    <w:rsid w:val="24FC2E7A"/>
    <w:rsid w:val="25005256"/>
    <w:rsid w:val="250439EF"/>
    <w:rsid w:val="25311A36"/>
    <w:rsid w:val="253D5529"/>
    <w:rsid w:val="2557729C"/>
    <w:rsid w:val="255A6A4F"/>
    <w:rsid w:val="257239B5"/>
    <w:rsid w:val="257A3E03"/>
    <w:rsid w:val="257D2AF9"/>
    <w:rsid w:val="258C3DF5"/>
    <w:rsid w:val="25CB1AC3"/>
    <w:rsid w:val="25D6657E"/>
    <w:rsid w:val="25E1786F"/>
    <w:rsid w:val="25E95EF0"/>
    <w:rsid w:val="25EB11E1"/>
    <w:rsid w:val="25F0369F"/>
    <w:rsid w:val="25F252DE"/>
    <w:rsid w:val="25F453F1"/>
    <w:rsid w:val="25F574EA"/>
    <w:rsid w:val="260B280F"/>
    <w:rsid w:val="260D4E82"/>
    <w:rsid w:val="26373D01"/>
    <w:rsid w:val="263F3EBB"/>
    <w:rsid w:val="266540B8"/>
    <w:rsid w:val="266E1364"/>
    <w:rsid w:val="268E2249"/>
    <w:rsid w:val="26A67D94"/>
    <w:rsid w:val="26C52C94"/>
    <w:rsid w:val="26E51871"/>
    <w:rsid w:val="26EC52C4"/>
    <w:rsid w:val="26FD1062"/>
    <w:rsid w:val="27215567"/>
    <w:rsid w:val="27224B0F"/>
    <w:rsid w:val="272F1E9F"/>
    <w:rsid w:val="274E1A68"/>
    <w:rsid w:val="2764417B"/>
    <w:rsid w:val="27795A37"/>
    <w:rsid w:val="278476CC"/>
    <w:rsid w:val="27BF4B48"/>
    <w:rsid w:val="27F710A0"/>
    <w:rsid w:val="282E0D0A"/>
    <w:rsid w:val="283659E1"/>
    <w:rsid w:val="284F7247"/>
    <w:rsid w:val="2854115A"/>
    <w:rsid w:val="28653520"/>
    <w:rsid w:val="286744CD"/>
    <w:rsid w:val="287B2854"/>
    <w:rsid w:val="2885197B"/>
    <w:rsid w:val="2887096F"/>
    <w:rsid w:val="28891A68"/>
    <w:rsid w:val="28B0142C"/>
    <w:rsid w:val="28B031C4"/>
    <w:rsid w:val="28B813D8"/>
    <w:rsid w:val="28C05393"/>
    <w:rsid w:val="28C15F16"/>
    <w:rsid w:val="28C8217E"/>
    <w:rsid w:val="28D13A25"/>
    <w:rsid w:val="28E23AA6"/>
    <w:rsid w:val="290176F8"/>
    <w:rsid w:val="29017F39"/>
    <w:rsid w:val="291433AE"/>
    <w:rsid w:val="292274D8"/>
    <w:rsid w:val="293370D4"/>
    <w:rsid w:val="29432A42"/>
    <w:rsid w:val="294F62D4"/>
    <w:rsid w:val="29510586"/>
    <w:rsid w:val="2954726E"/>
    <w:rsid w:val="2976043F"/>
    <w:rsid w:val="29834CA6"/>
    <w:rsid w:val="298429E5"/>
    <w:rsid w:val="29877991"/>
    <w:rsid w:val="29AA7F26"/>
    <w:rsid w:val="29B710E8"/>
    <w:rsid w:val="29D250A3"/>
    <w:rsid w:val="29D97152"/>
    <w:rsid w:val="29EA6773"/>
    <w:rsid w:val="2A2622F9"/>
    <w:rsid w:val="2A2E7A7E"/>
    <w:rsid w:val="2A4735A8"/>
    <w:rsid w:val="2A5F40B6"/>
    <w:rsid w:val="2A830B06"/>
    <w:rsid w:val="2A847B5C"/>
    <w:rsid w:val="2AD96DF8"/>
    <w:rsid w:val="2ADD4BEF"/>
    <w:rsid w:val="2AF255D4"/>
    <w:rsid w:val="2B1A174A"/>
    <w:rsid w:val="2B2074D1"/>
    <w:rsid w:val="2B332625"/>
    <w:rsid w:val="2B565E56"/>
    <w:rsid w:val="2B7865F9"/>
    <w:rsid w:val="2B8C374E"/>
    <w:rsid w:val="2B8F46B6"/>
    <w:rsid w:val="2B991DFF"/>
    <w:rsid w:val="2BDD7C9E"/>
    <w:rsid w:val="2BF24C23"/>
    <w:rsid w:val="2BFC6B25"/>
    <w:rsid w:val="2C02237E"/>
    <w:rsid w:val="2C2B1A35"/>
    <w:rsid w:val="2C421FD2"/>
    <w:rsid w:val="2C6B4093"/>
    <w:rsid w:val="2C940BB2"/>
    <w:rsid w:val="2C997AF3"/>
    <w:rsid w:val="2C997CDE"/>
    <w:rsid w:val="2C9E14E5"/>
    <w:rsid w:val="2CD25FF8"/>
    <w:rsid w:val="2CD61F3A"/>
    <w:rsid w:val="2CF3392B"/>
    <w:rsid w:val="2D0068BE"/>
    <w:rsid w:val="2D10798F"/>
    <w:rsid w:val="2D377655"/>
    <w:rsid w:val="2D403484"/>
    <w:rsid w:val="2D505D86"/>
    <w:rsid w:val="2D651E34"/>
    <w:rsid w:val="2DA24D9E"/>
    <w:rsid w:val="2DAB5DC1"/>
    <w:rsid w:val="2DB66947"/>
    <w:rsid w:val="2DEF738D"/>
    <w:rsid w:val="2DF14475"/>
    <w:rsid w:val="2DF36B66"/>
    <w:rsid w:val="2DF83CAE"/>
    <w:rsid w:val="2E1036F7"/>
    <w:rsid w:val="2E2F76FC"/>
    <w:rsid w:val="2E3B3187"/>
    <w:rsid w:val="2E422DCC"/>
    <w:rsid w:val="2E517A20"/>
    <w:rsid w:val="2E652F07"/>
    <w:rsid w:val="2E6609A2"/>
    <w:rsid w:val="2E66613F"/>
    <w:rsid w:val="2E754540"/>
    <w:rsid w:val="2E905186"/>
    <w:rsid w:val="2EA2366C"/>
    <w:rsid w:val="2EA466E8"/>
    <w:rsid w:val="2ED2330B"/>
    <w:rsid w:val="2ED51684"/>
    <w:rsid w:val="2EDC447A"/>
    <w:rsid w:val="2EE5733A"/>
    <w:rsid w:val="2EEE11AC"/>
    <w:rsid w:val="2EF079F5"/>
    <w:rsid w:val="2EFE35E8"/>
    <w:rsid w:val="2F315682"/>
    <w:rsid w:val="2F364819"/>
    <w:rsid w:val="2F4E6128"/>
    <w:rsid w:val="2F593497"/>
    <w:rsid w:val="2F794705"/>
    <w:rsid w:val="2F80221D"/>
    <w:rsid w:val="2FA6202F"/>
    <w:rsid w:val="2FDB47FA"/>
    <w:rsid w:val="300761B5"/>
    <w:rsid w:val="303F08C7"/>
    <w:rsid w:val="30412492"/>
    <w:rsid w:val="304704C5"/>
    <w:rsid w:val="30615FED"/>
    <w:rsid w:val="309713C6"/>
    <w:rsid w:val="30A232E4"/>
    <w:rsid w:val="30AC31C7"/>
    <w:rsid w:val="30C50C66"/>
    <w:rsid w:val="30ED1711"/>
    <w:rsid w:val="31167200"/>
    <w:rsid w:val="312C69BA"/>
    <w:rsid w:val="31393DCB"/>
    <w:rsid w:val="31636DC3"/>
    <w:rsid w:val="316A224B"/>
    <w:rsid w:val="316D2854"/>
    <w:rsid w:val="31712EBC"/>
    <w:rsid w:val="317D5FB6"/>
    <w:rsid w:val="318C7F04"/>
    <w:rsid w:val="319C5AA7"/>
    <w:rsid w:val="319F465C"/>
    <w:rsid w:val="31A33CBC"/>
    <w:rsid w:val="31C32FA3"/>
    <w:rsid w:val="31CD468B"/>
    <w:rsid w:val="31D91BE1"/>
    <w:rsid w:val="31E60856"/>
    <w:rsid w:val="31EA35E8"/>
    <w:rsid w:val="321C63F1"/>
    <w:rsid w:val="322C0610"/>
    <w:rsid w:val="322E1BFD"/>
    <w:rsid w:val="323A3E96"/>
    <w:rsid w:val="323E22F7"/>
    <w:rsid w:val="324011A0"/>
    <w:rsid w:val="325C51C3"/>
    <w:rsid w:val="32A5173A"/>
    <w:rsid w:val="32BB148C"/>
    <w:rsid w:val="32BB6217"/>
    <w:rsid w:val="32DD1193"/>
    <w:rsid w:val="33291ACF"/>
    <w:rsid w:val="333D7CDA"/>
    <w:rsid w:val="336C20F6"/>
    <w:rsid w:val="337D6DD6"/>
    <w:rsid w:val="339670C9"/>
    <w:rsid w:val="339B1966"/>
    <w:rsid w:val="33A23507"/>
    <w:rsid w:val="33C1178D"/>
    <w:rsid w:val="33CD5CBF"/>
    <w:rsid w:val="33CF6A93"/>
    <w:rsid w:val="33D52CF0"/>
    <w:rsid w:val="33E3198C"/>
    <w:rsid w:val="33F352AE"/>
    <w:rsid w:val="341663D8"/>
    <w:rsid w:val="341777D3"/>
    <w:rsid w:val="34491953"/>
    <w:rsid w:val="344A6831"/>
    <w:rsid w:val="344F1FA8"/>
    <w:rsid w:val="345721E6"/>
    <w:rsid w:val="34751483"/>
    <w:rsid w:val="347B0014"/>
    <w:rsid w:val="34B44B7E"/>
    <w:rsid w:val="34B47FFB"/>
    <w:rsid w:val="34F64668"/>
    <w:rsid w:val="35056F41"/>
    <w:rsid w:val="350A4AD0"/>
    <w:rsid w:val="350F0702"/>
    <w:rsid w:val="351F5D4F"/>
    <w:rsid w:val="352A2C21"/>
    <w:rsid w:val="35537C83"/>
    <w:rsid w:val="35593028"/>
    <w:rsid w:val="357372D7"/>
    <w:rsid w:val="35A873D1"/>
    <w:rsid w:val="35C76FEA"/>
    <w:rsid w:val="36312097"/>
    <w:rsid w:val="36460B81"/>
    <w:rsid w:val="36495886"/>
    <w:rsid w:val="36637A63"/>
    <w:rsid w:val="367F4F73"/>
    <w:rsid w:val="369F0992"/>
    <w:rsid w:val="36B73E58"/>
    <w:rsid w:val="36DF1B09"/>
    <w:rsid w:val="36F5558D"/>
    <w:rsid w:val="36FA75CB"/>
    <w:rsid w:val="36FE69CC"/>
    <w:rsid w:val="37046FAB"/>
    <w:rsid w:val="37077031"/>
    <w:rsid w:val="370A446C"/>
    <w:rsid w:val="37186290"/>
    <w:rsid w:val="371F5514"/>
    <w:rsid w:val="37236D14"/>
    <w:rsid w:val="374A1271"/>
    <w:rsid w:val="37586755"/>
    <w:rsid w:val="376806DB"/>
    <w:rsid w:val="37846EE5"/>
    <w:rsid w:val="379461DF"/>
    <w:rsid w:val="379C5527"/>
    <w:rsid w:val="379F25AA"/>
    <w:rsid w:val="37B7331B"/>
    <w:rsid w:val="37BE432D"/>
    <w:rsid w:val="37C0269B"/>
    <w:rsid w:val="37C20289"/>
    <w:rsid w:val="37CC113C"/>
    <w:rsid w:val="37D93D9B"/>
    <w:rsid w:val="37DD3769"/>
    <w:rsid w:val="37DD7D3B"/>
    <w:rsid w:val="37FD2AAA"/>
    <w:rsid w:val="37FE4685"/>
    <w:rsid w:val="38316343"/>
    <w:rsid w:val="38344B54"/>
    <w:rsid w:val="38540962"/>
    <w:rsid w:val="38727B02"/>
    <w:rsid w:val="38812AD7"/>
    <w:rsid w:val="389F5CD8"/>
    <w:rsid w:val="38A002C2"/>
    <w:rsid w:val="38AA6BDA"/>
    <w:rsid w:val="38B279EB"/>
    <w:rsid w:val="38B82AF5"/>
    <w:rsid w:val="38C7204D"/>
    <w:rsid w:val="38CD0F8C"/>
    <w:rsid w:val="38EA6C83"/>
    <w:rsid w:val="391F753F"/>
    <w:rsid w:val="392B1828"/>
    <w:rsid w:val="394D58E5"/>
    <w:rsid w:val="39716E20"/>
    <w:rsid w:val="39933B19"/>
    <w:rsid w:val="39A33CED"/>
    <w:rsid w:val="39B63F14"/>
    <w:rsid w:val="39BB11C0"/>
    <w:rsid w:val="39DD59B4"/>
    <w:rsid w:val="39ED5AEC"/>
    <w:rsid w:val="39F25C1A"/>
    <w:rsid w:val="3A2B463D"/>
    <w:rsid w:val="3A386A14"/>
    <w:rsid w:val="3A3C0A2C"/>
    <w:rsid w:val="3A453174"/>
    <w:rsid w:val="3A5133D0"/>
    <w:rsid w:val="3A52381C"/>
    <w:rsid w:val="3A58654F"/>
    <w:rsid w:val="3A6149D8"/>
    <w:rsid w:val="3A687E26"/>
    <w:rsid w:val="3A8322BE"/>
    <w:rsid w:val="3AC7728A"/>
    <w:rsid w:val="3AC876BC"/>
    <w:rsid w:val="3ACB380C"/>
    <w:rsid w:val="3ADA3E24"/>
    <w:rsid w:val="3AF6205F"/>
    <w:rsid w:val="3B050D2B"/>
    <w:rsid w:val="3B1D2FE9"/>
    <w:rsid w:val="3B1F566C"/>
    <w:rsid w:val="3B265D2B"/>
    <w:rsid w:val="3B497D60"/>
    <w:rsid w:val="3B4D0406"/>
    <w:rsid w:val="3B4F3729"/>
    <w:rsid w:val="3B583D69"/>
    <w:rsid w:val="3B5C1C29"/>
    <w:rsid w:val="3B626996"/>
    <w:rsid w:val="3B716F78"/>
    <w:rsid w:val="3B8725C8"/>
    <w:rsid w:val="3B8A48DB"/>
    <w:rsid w:val="3BB54638"/>
    <w:rsid w:val="3BB86DBA"/>
    <w:rsid w:val="3BBF5B96"/>
    <w:rsid w:val="3BD62991"/>
    <w:rsid w:val="3BD95935"/>
    <w:rsid w:val="3BF34A5A"/>
    <w:rsid w:val="3BF75334"/>
    <w:rsid w:val="3C2A50F0"/>
    <w:rsid w:val="3C2B11E4"/>
    <w:rsid w:val="3C40286C"/>
    <w:rsid w:val="3C4373C4"/>
    <w:rsid w:val="3C686EB3"/>
    <w:rsid w:val="3C9508B9"/>
    <w:rsid w:val="3C9A10AC"/>
    <w:rsid w:val="3CBE1861"/>
    <w:rsid w:val="3CC64260"/>
    <w:rsid w:val="3CD06F1D"/>
    <w:rsid w:val="3CD9405C"/>
    <w:rsid w:val="3CDB019A"/>
    <w:rsid w:val="3CE83CA8"/>
    <w:rsid w:val="3CF672F5"/>
    <w:rsid w:val="3D040B15"/>
    <w:rsid w:val="3D0777F5"/>
    <w:rsid w:val="3D11065F"/>
    <w:rsid w:val="3D14219F"/>
    <w:rsid w:val="3D32517E"/>
    <w:rsid w:val="3D5B4B1B"/>
    <w:rsid w:val="3D7778E1"/>
    <w:rsid w:val="3DD64A42"/>
    <w:rsid w:val="3DDC47DD"/>
    <w:rsid w:val="3DE906D5"/>
    <w:rsid w:val="3DFF7691"/>
    <w:rsid w:val="3E21293C"/>
    <w:rsid w:val="3E515FCE"/>
    <w:rsid w:val="3E6A644A"/>
    <w:rsid w:val="3E711D4C"/>
    <w:rsid w:val="3E861F2A"/>
    <w:rsid w:val="3E865C72"/>
    <w:rsid w:val="3E920965"/>
    <w:rsid w:val="3E92378D"/>
    <w:rsid w:val="3EC57D85"/>
    <w:rsid w:val="3ED81093"/>
    <w:rsid w:val="3EE74967"/>
    <w:rsid w:val="3EEF0540"/>
    <w:rsid w:val="3EF76DEB"/>
    <w:rsid w:val="3F147322"/>
    <w:rsid w:val="3F1B7BDA"/>
    <w:rsid w:val="3F4F53D8"/>
    <w:rsid w:val="3F7561FB"/>
    <w:rsid w:val="3F8175A9"/>
    <w:rsid w:val="3F9110FB"/>
    <w:rsid w:val="3F970AC9"/>
    <w:rsid w:val="3F983970"/>
    <w:rsid w:val="3FA04C1F"/>
    <w:rsid w:val="3FAB3EF2"/>
    <w:rsid w:val="3FB74B79"/>
    <w:rsid w:val="3FB97FE1"/>
    <w:rsid w:val="3FBB2F3D"/>
    <w:rsid w:val="3FC62C11"/>
    <w:rsid w:val="3FCA03F2"/>
    <w:rsid w:val="3FE10133"/>
    <w:rsid w:val="3FF03FC2"/>
    <w:rsid w:val="400F586A"/>
    <w:rsid w:val="40175DDF"/>
    <w:rsid w:val="40225FCC"/>
    <w:rsid w:val="402C43AB"/>
    <w:rsid w:val="402D0F85"/>
    <w:rsid w:val="4031573F"/>
    <w:rsid w:val="403645F3"/>
    <w:rsid w:val="40491F46"/>
    <w:rsid w:val="40733FA6"/>
    <w:rsid w:val="407F3B46"/>
    <w:rsid w:val="40971B89"/>
    <w:rsid w:val="40A86353"/>
    <w:rsid w:val="40CC47B9"/>
    <w:rsid w:val="40D2376C"/>
    <w:rsid w:val="40E41DEF"/>
    <w:rsid w:val="40E54AD3"/>
    <w:rsid w:val="40F17FA1"/>
    <w:rsid w:val="40F2485A"/>
    <w:rsid w:val="40FC47E1"/>
    <w:rsid w:val="41345493"/>
    <w:rsid w:val="4138297C"/>
    <w:rsid w:val="415332C5"/>
    <w:rsid w:val="41656A44"/>
    <w:rsid w:val="41683ECB"/>
    <w:rsid w:val="4169767A"/>
    <w:rsid w:val="416E0E56"/>
    <w:rsid w:val="4188317F"/>
    <w:rsid w:val="41924FB9"/>
    <w:rsid w:val="41B34DF1"/>
    <w:rsid w:val="41BB0480"/>
    <w:rsid w:val="41BF708C"/>
    <w:rsid w:val="41C0141A"/>
    <w:rsid w:val="42041BE8"/>
    <w:rsid w:val="42097713"/>
    <w:rsid w:val="420D42E6"/>
    <w:rsid w:val="42186FAF"/>
    <w:rsid w:val="423170C2"/>
    <w:rsid w:val="42436B6D"/>
    <w:rsid w:val="42635B8E"/>
    <w:rsid w:val="426835E3"/>
    <w:rsid w:val="42703C70"/>
    <w:rsid w:val="42955838"/>
    <w:rsid w:val="42BB2A5D"/>
    <w:rsid w:val="42CB6444"/>
    <w:rsid w:val="42D74B09"/>
    <w:rsid w:val="42F27836"/>
    <w:rsid w:val="430406CE"/>
    <w:rsid w:val="430A6E5A"/>
    <w:rsid w:val="4330416F"/>
    <w:rsid w:val="433E2AAC"/>
    <w:rsid w:val="434F7A62"/>
    <w:rsid w:val="43656D33"/>
    <w:rsid w:val="436752A6"/>
    <w:rsid w:val="43804E58"/>
    <w:rsid w:val="43843FDD"/>
    <w:rsid w:val="438F418B"/>
    <w:rsid w:val="439F0E69"/>
    <w:rsid w:val="43D7406A"/>
    <w:rsid w:val="43D74F2A"/>
    <w:rsid w:val="43DC5799"/>
    <w:rsid w:val="43F42B17"/>
    <w:rsid w:val="43FD5278"/>
    <w:rsid w:val="441A3D23"/>
    <w:rsid w:val="441C162E"/>
    <w:rsid w:val="441E1F6C"/>
    <w:rsid w:val="44284DFE"/>
    <w:rsid w:val="442E3C85"/>
    <w:rsid w:val="443B29FC"/>
    <w:rsid w:val="443B4DCB"/>
    <w:rsid w:val="443D5D23"/>
    <w:rsid w:val="4464327A"/>
    <w:rsid w:val="446A3FBF"/>
    <w:rsid w:val="447B4D36"/>
    <w:rsid w:val="44936FE8"/>
    <w:rsid w:val="44D8473A"/>
    <w:rsid w:val="44E37827"/>
    <w:rsid w:val="44E701A5"/>
    <w:rsid w:val="45080D22"/>
    <w:rsid w:val="450E74EC"/>
    <w:rsid w:val="45265484"/>
    <w:rsid w:val="452D74E0"/>
    <w:rsid w:val="45396AC7"/>
    <w:rsid w:val="457C4123"/>
    <w:rsid w:val="45855844"/>
    <w:rsid w:val="458B69F6"/>
    <w:rsid w:val="45A647C9"/>
    <w:rsid w:val="45C943D0"/>
    <w:rsid w:val="45DA6D30"/>
    <w:rsid w:val="45DE14B8"/>
    <w:rsid w:val="45E8085F"/>
    <w:rsid w:val="460F274B"/>
    <w:rsid w:val="463842DE"/>
    <w:rsid w:val="46386E53"/>
    <w:rsid w:val="4639036D"/>
    <w:rsid w:val="463A05A5"/>
    <w:rsid w:val="463A5557"/>
    <w:rsid w:val="463B22BD"/>
    <w:rsid w:val="46460291"/>
    <w:rsid w:val="464A0A81"/>
    <w:rsid w:val="464F3227"/>
    <w:rsid w:val="46625A9D"/>
    <w:rsid w:val="4666004F"/>
    <w:rsid w:val="469506DA"/>
    <w:rsid w:val="469B1818"/>
    <w:rsid w:val="46A9385A"/>
    <w:rsid w:val="46CA4E0D"/>
    <w:rsid w:val="46CE0370"/>
    <w:rsid w:val="46E82FFA"/>
    <w:rsid w:val="46EF5F80"/>
    <w:rsid w:val="46F67D41"/>
    <w:rsid w:val="47084895"/>
    <w:rsid w:val="470B23CA"/>
    <w:rsid w:val="472762D3"/>
    <w:rsid w:val="47454177"/>
    <w:rsid w:val="474F15D8"/>
    <w:rsid w:val="4754049B"/>
    <w:rsid w:val="475E730A"/>
    <w:rsid w:val="475E7C0D"/>
    <w:rsid w:val="476415D8"/>
    <w:rsid w:val="47701558"/>
    <w:rsid w:val="477426A5"/>
    <w:rsid w:val="47873BD6"/>
    <w:rsid w:val="47912290"/>
    <w:rsid w:val="47941BCF"/>
    <w:rsid w:val="47B2336A"/>
    <w:rsid w:val="47BA4F6E"/>
    <w:rsid w:val="47D40724"/>
    <w:rsid w:val="47D7366E"/>
    <w:rsid w:val="47E12DA0"/>
    <w:rsid w:val="47F243FC"/>
    <w:rsid w:val="48225DBD"/>
    <w:rsid w:val="485B6C46"/>
    <w:rsid w:val="486755EB"/>
    <w:rsid w:val="486C3D94"/>
    <w:rsid w:val="48733AB4"/>
    <w:rsid w:val="4894127B"/>
    <w:rsid w:val="489A2AAD"/>
    <w:rsid w:val="48A226AD"/>
    <w:rsid w:val="48B0676A"/>
    <w:rsid w:val="48B2699F"/>
    <w:rsid w:val="48B67D8D"/>
    <w:rsid w:val="48C260C0"/>
    <w:rsid w:val="4902628A"/>
    <w:rsid w:val="490B2882"/>
    <w:rsid w:val="492412C0"/>
    <w:rsid w:val="494E7D53"/>
    <w:rsid w:val="49792A20"/>
    <w:rsid w:val="4988006D"/>
    <w:rsid w:val="499646A6"/>
    <w:rsid w:val="499F4D25"/>
    <w:rsid w:val="49B26E0D"/>
    <w:rsid w:val="49BB06FB"/>
    <w:rsid w:val="49BC2A68"/>
    <w:rsid w:val="49DF177F"/>
    <w:rsid w:val="49EE2F51"/>
    <w:rsid w:val="49F04BCB"/>
    <w:rsid w:val="49FD451C"/>
    <w:rsid w:val="4A152F65"/>
    <w:rsid w:val="4A3E0914"/>
    <w:rsid w:val="4A3F1207"/>
    <w:rsid w:val="4A4044FF"/>
    <w:rsid w:val="4A57472F"/>
    <w:rsid w:val="4A715E3D"/>
    <w:rsid w:val="4A725F56"/>
    <w:rsid w:val="4A7D7F07"/>
    <w:rsid w:val="4A9E17D8"/>
    <w:rsid w:val="4AB146A1"/>
    <w:rsid w:val="4AB72982"/>
    <w:rsid w:val="4AFB66DC"/>
    <w:rsid w:val="4B1B2082"/>
    <w:rsid w:val="4B356DE5"/>
    <w:rsid w:val="4B3652E2"/>
    <w:rsid w:val="4B635F8B"/>
    <w:rsid w:val="4B65032C"/>
    <w:rsid w:val="4B712A43"/>
    <w:rsid w:val="4B744662"/>
    <w:rsid w:val="4B82202B"/>
    <w:rsid w:val="4B9B4901"/>
    <w:rsid w:val="4BBE1692"/>
    <w:rsid w:val="4BCA0C2B"/>
    <w:rsid w:val="4BD65A7B"/>
    <w:rsid w:val="4BDE73D9"/>
    <w:rsid w:val="4BE106C3"/>
    <w:rsid w:val="4C0B49E3"/>
    <w:rsid w:val="4C180EC0"/>
    <w:rsid w:val="4C696745"/>
    <w:rsid w:val="4C737423"/>
    <w:rsid w:val="4C7B1B09"/>
    <w:rsid w:val="4C876D11"/>
    <w:rsid w:val="4C987A51"/>
    <w:rsid w:val="4C993ABE"/>
    <w:rsid w:val="4CAA2DCE"/>
    <w:rsid w:val="4CB96EE9"/>
    <w:rsid w:val="4CD66C96"/>
    <w:rsid w:val="4CDC5A3B"/>
    <w:rsid w:val="4CDF0E5D"/>
    <w:rsid w:val="4CE376D5"/>
    <w:rsid w:val="4D0D3FCB"/>
    <w:rsid w:val="4D547564"/>
    <w:rsid w:val="4D6C65CD"/>
    <w:rsid w:val="4D8217BA"/>
    <w:rsid w:val="4D9C1BB4"/>
    <w:rsid w:val="4DA44BEC"/>
    <w:rsid w:val="4DC65A69"/>
    <w:rsid w:val="4DCE5D12"/>
    <w:rsid w:val="4DF4626D"/>
    <w:rsid w:val="4DFC20A2"/>
    <w:rsid w:val="4DFF1B97"/>
    <w:rsid w:val="4E020B1B"/>
    <w:rsid w:val="4E043535"/>
    <w:rsid w:val="4E0B4C6B"/>
    <w:rsid w:val="4E0D6CCE"/>
    <w:rsid w:val="4E1362FB"/>
    <w:rsid w:val="4E25360E"/>
    <w:rsid w:val="4E2719FC"/>
    <w:rsid w:val="4E422A2F"/>
    <w:rsid w:val="4E5E12F1"/>
    <w:rsid w:val="4E62045F"/>
    <w:rsid w:val="4E783F31"/>
    <w:rsid w:val="4E8F6495"/>
    <w:rsid w:val="4E9133C2"/>
    <w:rsid w:val="4EAC689C"/>
    <w:rsid w:val="4EB25AA5"/>
    <w:rsid w:val="4EDD2691"/>
    <w:rsid w:val="4EF911E3"/>
    <w:rsid w:val="4EF94046"/>
    <w:rsid w:val="4F0048E8"/>
    <w:rsid w:val="4F0C760F"/>
    <w:rsid w:val="4F15188C"/>
    <w:rsid w:val="4F195165"/>
    <w:rsid w:val="4F255836"/>
    <w:rsid w:val="4F29165C"/>
    <w:rsid w:val="4F3A735A"/>
    <w:rsid w:val="4F3D70A6"/>
    <w:rsid w:val="4F3F24FD"/>
    <w:rsid w:val="4F4F67C3"/>
    <w:rsid w:val="4F580453"/>
    <w:rsid w:val="4F647CAE"/>
    <w:rsid w:val="4F724E28"/>
    <w:rsid w:val="4F7F4759"/>
    <w:rsid w:val="4F8A3560"/>
    <w:rsid w:val="4F8A6E9D"/>
    <w:rsid w:val="4FA00EA1"/>
    <w:rsid w:val="4FA7410F"/>
    <w:rsid w:val="4FB10DBD"/>
    <w:rsid w:val="4FB8453A"/>
    <w:rsid w:val="4FBE0FBA"/>
    <w:rsid w:val="4FD02150"/>
    <w:rsid w:val="4FD47514"/>
    <w:rsid w:val="4FDC31A9"/>
    <w:rsid w:val="4FE15CB0"/>
    <w:rsid w:val="4FF525AA"/>
    <w:rsid w:val="4FF63DCE"/>
    <w:rsid w:val="500A5543"/>
    <w:rsid w:val="500D174F"/>
    <w:rsid w:val="501D01A2"/>
    <w:rsid w:val="501D19C7"/>
    <w:rsid w:val="50372FFC"/>
    <w:rsid w:val="50381A05"/>
    <w:rsid w:val="504305E6"/>
    <w:rsid w:val="504C6018"/>
    <w:rsid w:val="50500C93"/>
    <w:rsid w:val="506E1264"/>
    <w:rsid w:val="508B7406"/>
    <w:rsid w:val="508F4E61"/>
    <w:rsid w:val="509F73B0"/>
    <w:rsid w:val="50B26A6B"/>
    <w:rsid w:val="50C20F4E"/>
    <w:rsid w:val="50D40C4B"/>
    <w:rsid w:val="50E46F54"/>
    <w:rsid w:val="50F515F4"/>
    <w:rsid w:val="51231EF4"/>
    <w:rsid w:val="51265C1A"/>
    <w:rsid w:val="51337319"/>
    <w:rsid w:val="5144267E"/>
    <w:rsid w:val="514D07CA"/>
    <w:rsid w:val="515B571B"/>
    <w:rsid w:val="51604849"/>
    <w:rsid w:val="51747844"/>
    <w:rsid w:val="51777F08"/>
    <w:rsid w:val="51912DDA"/>
    <w:rsid w:val="51AB47E1"/>
    <w:rsid w:val="51B047FE"/>
    <w:rsid w:val="51B204B9"/>
    <w:rsid w:val="51B56296"/>
    <w:rsid w:val="51C72834"/>
    <w:rsid w:val="51E1414B"/>
    <w:rsid w:val="51E74EF3"/>
    <w:rsid w:val="52010BE9"/>
    <w:rsid w:val="520B1580"/>
    <w:rsid w:val="520C2961"/>
    <w:rsid w:val="521910F3"/>
    <w:rsid w:val="522F500B"/>
    <w:rsid w:val="523852D6"/>
    <w:rsid w:val="523E768F"/>
    <w:rsid w:val="5242577E"/>
    <w:rsid w:val="527076ED"/>
    <w:rsid w:val="52783884"/>
    <w:rsid w:val="52836191"/>
    <w:rsid w:val="52AC28BC"/>
    <w:rsid w:val="52B05067"/>
    <w:rsid w:val="52BE52C0"/>
    <w:rsid w:val="52CC23E6"/>
    <w:rsid w:val="52D7787C"/>
    <w:rsid w:val="52E07238"/>
    <w:rsid w:val="52E25522"/>
    <w:rsid w:val="52EA11D5"/>
    <w:rsid w:val="5306390C"/>
    <w:rsid w:val="5329120F"/>
    <w:rsid w:val="534D0667"/>
    <w:rsid w:val="536F68C7"/>
    <w:rsid w:val="5382736B"/>
    <w:rsid w:val="539E491F"/>
    <w:rsid w:val="539F54CC"/>
    <w:rsid w:val="53A5346C"/>
    <w:rsid w:val="53B24EEA"/>
    <w:rsid w:val="53B97E84"/>
    <w:rsid w:val="53BC2C8F"/>
    <w:rsid w:val="53BF4F14"/>
    <w:rsid w:val="53C72845"/>
    <w:rsid w:val="53CA6414"/>
    <w:rsid w:val="53D00E36"/>
    <w:rsid w:val="53D31D47"/>
    <w:rsid w:val="53DA3590"/>
    <w:rsid w:val="53DD499C"/>
    <w:rsid w:val="53EF09CA"/>
    <w:rsid w:val="53F014B1"/>
    <w:rsid w:val="5408182A"/>
    <w:rsid w:val="54125F57"/>
    <w:rsid w:val="54187343"/>
    <w:rsid w:val="541C31AF"/>
    <w:rsid w:val="5420466B"/>
    <w:rsid w:val="5433414C"/>
    <w:rsid w:val="54465F20"/>
    <w:rsid w:val="545D4199"/>
    <w:rsid w:val="54831B18"/>
    <w:rsid w:val="549502FD"/>
    <w:rsid w:val="54AB00C1"/>
    <w:rsid w:val="54AB09A6"/>
    <w:rsid w:val="54AF20D4"/>
    <w:rsid w:val="54B72A99"/>
    <w:rsid w:val="54BC49A0"/>
    <w:rsid w:val="54EE39DB"/>
    <w:rsid w:val="55022976"/>
    <w:rsid w:val="551C096F"/>
    <w:rsid w:val="55240097"/>
    <w:rsid w:val="552C3D46"/>
    <w:rsid w:val="554D13EE"/>
    <w:rsid w:val="55517502"/>
    <w:rsid w:val="5556335A"/>
    <w:rsid w:val="556471AC"/>
    <w:rsid w:val="559341A6"/>
    <w:rsid w:val="55B9232F"/>
    <w:rsid w:val="55C57ADE"/>
    <w:rsid w:val="55CE22F2"/>
    <w:rsid w:val="56160365"/>
    <w:rsid w:val="561717F3"/>
    <w:rsid w:val="565B2712"/>
    <w:rsid w:val="565F421B"/>
    <w:rsid w:val="566118CC"/>
    <w:rsid w:val="566E6821"/>
    <w:rsid w:val="56B91708"/>
    <w:rsid w:val="56C06C50"/>
    <w:rsid w:val="56DD747D"/>
    <w:rsid w:val="56EE039D"/>
    <w:rsid w:val="56F96728"/>
    <w:rsid w:val="570D4312"/>
    <w:rsid w:val="571E77BD"/>
    <w:rsid w:val="571F273F"/>
    <w:rsid w:val="572F7A73"/>
    <w:rsid w:val="57396F10"/>
    <w:rsid w:val="575142C7"/>
    <w:rsid w:val="575B3A04"/>
    <w:rsid w:val="575B5634"/>
    <w:rsid w:val="575D7EC0"/>
    <w:rsid w:val="576138FC"/>
    <w:rsid w:val="578736CD"/>
    <w:rsid w:val="578739BB"/>
    <w:rsid w:val="57893C0F"/>
    <w:rsid w:val="5798256F"/>
    <w:rsid w:val="579840C7"/>
    <w:rsid w:val="57C2221D"/>
    <w:rsid w:val="57D60097"/>
    <w:rsid w:val="57E1536E"/>
    <w:rsid w:val="57FD673B"/>
    <w:rsid w:val="58045AD6"/>
    <w:rsid w:val="58366D88"/>
    <w:rsid w:val="583A7FA8"/>
    <w:rsid w:val="583B48F5"/>
    <w:rsid w:val="58544955"/>
    <w:rsid w:val="58566AE7"/>
    <w:rsid w:val="585962B5"/>
    <w:rsid w:val="585F5B75"/>
    <w:rsid w:val="587A4269"/>
    <w:rsid w:val="587F6C93"/>
    <w:rsid w:val="58801DB1"/>
    <w:rsid w:val="589A5A5F"/>
    <w:rsid w:val="58B94375"/>
    <w:rsid w:val="58BA4A70"/>
    <w:rsid w:val="58D27C6A"/>
    <w:rsid w:val="58E17ECE"/>
    <w:rsid w:val="5902444F"/>
    <w:rsid w:val="591B5CBF"/>
    <w:rsid w:val="5927514C"/>
    <w:rsid w:val="594F610B"/>
    <w:rsid w:val="5956275F"/>
    <w:rsid w:val="59600EE5"/>
    <w:rsid w:val="59634BDC"/>
    <w:rsid w:val="59640E48"/>
    <w:rsid w:val="598324F2"/>
    <w:rsid w:val="59941B20"/>
    <w:rsid w:val="599A4004"/>
    <w:rsid w:val="599B086D"/>
    <w:rsid w:val="59AA2649"/>
    <w:rsid w:val="59AE1C50"/>
    <w:rsid w:val="59B927ED"/>
    <w:rsid w:val="59BF5C8E"/>
    <w:rsid w:val="59D97EC2"/>
    <w:rsid w:val="59E24823"/>
    <w:rsid w:val="59E27409"/>
    <w:rsid w:val="59E52BA1"/>
    <w:rsid w:val="59ED36DC"/>
    <w:rsid w:val="59FC781F"/>
    <w:rsid w:val="5A01611E"/>
    <w:rsid w:val="5A3526A3"/>
    <w:rsid w:val="5A370571"/>
    <w:rsid w:val="5A4E41C1"/>
    <w:rsid w:val="5A6210CC"/>
    <w:rsid w:val="5A7348C9"/>
    <w:rsid w:val="5A7521D8"/>
    <w:rsid w:val="5A7E7218"/>
    <w:rsid w:val="5A947C40"/>
    <w:rsid w:val="5A9725BE"/>
    <w:rsid w:val="5AC60037"/>
    <w:rsid w:val="5AC76508"/>
    <w:rsid w:val="5AD45AFB"/>
    <w:rsid w:val="5AD86669"/>
    <w:rsid w:val="5AE978A6"/>
    <w:rsid w:val="5AFC1624"/>
    <w:rsid w:val="5B095493"/>
    <w:rsid w:val="5B115BA8"/>
    <w:rsid w:val="5B235AE9"/>
    <w:rsid w:val="5B246A53"/>
    <w:rsid w:val="5B416E74"/>
    <w:rsid w:val="5B437EA2"/>
    <w:rsid w:val="5B534ED1"/>
    <w:rsid w:val="5B8859A0"/>
    <w:rsid w:val="5B9F7743"/>
    <w:rsid w:val="5BB522B5"/>
    <w:rsid w:val="5BBA4618"/>
    <w:rsid w:val="5BF250F3"/>
    <w:rsid w:val="5BF84DDB"/>
    <w:rsid w:val="5C111338"/>
    <w:rsid w:val="5C4B4ED5"/>
    <w:rsid w:val="5C5C0629"/>
    <w:rsid w:val="5C691941"/>
    <w:rsid w:val="5C6A00A1"/>
    <w:rsid w:val="5C7919DF"/>
    <w:rsid w:val="5CAA3741"/>
    <w:rsid w:val="5CB35D47"/>
    <w:rsid w:val="5CC85C68"/>
    <w:rsid w:val="5CEC3A93"/>
    <w:rsid w:val="5CEF405D"/>
    <w:rsid w:val="5CFE5040"/>
    <w:rsid w:val="5D1341B2"/>
    <w:rsid w:val="5D251093"/>
    <w:rsid w:val="5D287B54"/>
    <w:rsid w:val="5D3047D1"/>
    <w:rsid w:val="5D494018"/>
    <w:rsid w:val="5D6B14A2"/>
    <w:rsid w:val="5D755C5D"/>
    <w:rsid w:val="5D83481E"/>
    <w:rsid w:val="5D9B0E6A"/>
    <w:rsid w:val="5D9E1AED"/>
    <w:rsid w:val="5D9E4E16"/>
    <w:rsid w:val="5D9F7D60"/>
    <w:rsid w:val="5DBA0135"/>
    <w:rsid w:val="5DCD5DE5"/>
    <w:rsid w:val="5DD437EF"/>
    <w:rsid w:val="5DF16302"/>
    <w:rsid w:val="5DFF4B46"/>
    <w:rsid w:val="5E0D4BB2"/>
    <w:rsid w:val="5E3B0A10"/>
    <w:rsid w:val="5E424B71"/>
    <w:rsid w:val="5E881A80"/>
    <w:rsid w:val="5EB51AB3"/>
    <w:rsid w:val="5EC33621"/>
    <w:rsid w:val="5EF31C67"/>
    <w:rsid w:val="5EF4004E"/>
    <w:rsid w:val="5EFA106E"/>
    <w:rsid w:val="5EFF06CD"/>
    <w:rsid w:val="5F010576"/>
    <w:rsid w:val="5F012657"/>
    <w:rsid w:val="5F024D6C"/>
    <w:rsid w:val="5F0251FA"/>
    <w:rsid w:val="5F4475AE"/>
    <w:rsid w:val="5F4A6799"/>
    <w:rsid w:val="5F6B4329"/>
    <w:rsid w:val="5F6C2424"/>
    <w:rsid w:val="5F756886"/>
    <w:rsid w:val="5F7A10FA"/>
    <w:rsid w:val="5F7A39FE"/>
    <w:rsid w:val="5F946A7C"/>
    <w:rsid w:val="5FAB4123"/>
    <w:rsid w:val="5FB60817"/>
    <w:rsid w:val="5FBA79B0"/>
    <w:rsid w:val="5FC61813"/>
    <w:rsid w:val="5FD57CF6"/>
    <w:rsid w:val="5FF50EAD"/>
    <w:rsid w:val="600676E3"/>
    <w:rsid w:val="601C5687"/>
    <w:rsid w:val="602B7B91"/>
    <w:rsid w:val="603744BA"/>
    <w:rsid w:val="60391C4C"/>
    <w:rsid w:val="6039337D"/>
    <w:rsid w:val="603B021E"/>
    <w:rsid w:val="60450559"/>
    <w:rsid w:val="60584683"/>
    <w:rsid w:val="606F768E"/>
    <w:rsid w:val="608D00E3"/>
    <w:rsid w:val="60992490"/>
    <w:rsid w:val="60A1419A"/>
    <w:rsid w:val="60A43A47"/>
    <w:rsid w:val="60A43E8B"/>
    <w:rsid w:val="60B6645C"/>
    <w:rsid w:val="60C27D06"/>
    <w:rsid w:val="60C33C2B"/>
    <w:rsid w:val="60DF4F92"/>
    <w:rsid w:val="60E97ACC"/>
    <w:rsid w:val="61006FF7"/>
    <w:rsid w:val="61160E7E"/>
    <w:rsid w:val="611E6A6D"/>
    <w:rsid w:val="61311E12"/>
    <w:rsid w:val="61637659"/>
    <w:rsid w:val="6173484D"/>
    <w:rsid w:val="617C570B"/>
    <w:rsid w:val="61853804"/>
    <w:rsid w:val="619B53CA"/>
    <w:rsid w:val="61A4262D"/>
    <w:rsid w:val="61A56DFA"/>
    <w:rsid w:val="61EB5F1D"/>
    <w:rsid w:val="621B5631"/>
    <w:rsid w:val="626272AD"/>
    <w:rsid w:val="626D5F91"/>
    <w:rsid w:val="627E7D9D"/>
    <w:rsid w:val="628407FE"/>
    <w:rsid w:val="62880405"/>
    <w:rsid w:val="629073C4"/>
    <w:rsid w:val="629540D2"/>
    <w:rsid w:val="62996318"/>
    <w:rsid w:val="62AA6D2C"/>
    <w:rsid w:val="62B0179B"/>
    <w:rsid w:val="62CC094F"/>
    <w:rsid w:val="62F502FE"/>
    <w:rsid w:val="62F95075"/>
    <w:rsid w:val="630334E9"/>
    <w:rsid w:val="63242B23"/>
    <w:rsid w:val="635C73A1"/>
    <w:rsid w:val="63743838"/>
    <w:rsid w:val="637455EF"/>
    <w:rsid w:val="637509AF"/>
    <w:rsid w:val="637701DD"/>
    <w:rsid w:val="63A23228"/>
    <w:rsid w:val="63AB5D44"/>
    <w:rsid w:val="63B04CF8"/>
    <w:rsid w:val="63BA7188"/>
    <w:rsid w:val="63DF59C2"/>
    <w:rsid w:val="63E6136F"/>
    <w:rsid w:val="63EA625B"/>
    <w:rsid w:val="63FC6F31"/>
    <w:rsid w:val="642E4F72"/>
    <w:rsid w:val="646469D4"/>
    <w:rsid w:val="647A419D"/>
    <w:rsid w:val="64846083"/>
    <w:rsid w:val="64851089"/>
    <w:rsid w:val="64983CC9"/>
    <w:rsid w:val="64B109D5"/>
    <w:rsid w:val="64BD6867"/>
    <w:rsid w:val="64E43E7F"/>
    <w:rsid w:val="64FE5C71"/>
    <w:rsid w:val="65107E36"/>
    <w:rsid w:val="6526614F"/>
    <w:rsid w:val="654E476E"/>
    <w:rsid w:val="657B11CD"/>
    <w:rsid w:val="658A6BCD"/>
    <w:rsid w:val="659C339E"/>
    <w:rsid w:val="659D0782"/>
    <w:rsid w:val="659D7C90"/>
    <w:rsid w:val="65B300B5"/>
    <w:rsid w:val="65D04EEB"/>
    <w:rsid w:val="65D424B9"/>
    <w:rsid w:val="66001BA4"/>
    <w:rsid w:val="66025947"/>
    <w:rsid w:val="66067D9A"/>
    <w:rsid w:val="663C7469"/>
    <w:rsid w:val="6679056C"/>
    <w:rsid w:val="668A41F2"/>
    <w:rsid w:val="66A171C3"/>
    <w:rsid w:val="66B8269C"/>
    <w:rsid w:val="66DA6749"/>
    <w:rsid w:val="67051D14"/>
    <w:rsid w:val="671D46C8"/>
    <w:rsid w:val="671F22A3"/>
    <w:rsid w:val="67291A35"/>
    <w:rsid w:val="67342C7B"/>
    <w:rsid w:val="673669FF"/>
    <w:rsid w:val="67393CB7"/>
    <w:rsid w:val="673C6439"/>
    <w:rsid w:val="676A0B2B"/>
    <w:rsid w:val="676C3006"/>
    <w:rsid w:val="67827A7F"/>
    <w:rsid w:val="678D0AB1"/>
    <w:rsid w:val="679919CC"/>
    <w:rsid w:val="67A667D3"/>
    <w:rsid w:val="67A74C82"/>
    <w:rsid w:val="67A95111"/>
    <w:rsid w:val="67C365BF"/>
    <w:rsid w:val="67D8341E"/>
    <w:rsid w:val="67E46FF5"/>
    <w:rsid w:val="67ED6C16"/>
    <w:rsid w:val="67ED7301"/>
    <w:rsid w:val="67F70209"/>
    <w:rsid w:val="680A6C82"/>
    <w:rsid w:val="6824034C"/>
    <w:rsid w:val="682D0B0C"/>
    <w:rsid w:val="683E3347"/>
    <w:rsid w:val="6843364C"/>
    <w:rsid w:val="685C1EF3"/>
    <w:rsid w:val="685E57CE"/>
    <w:rsid w:val="685F4AA0"/>
    <w:rsid w:val="68623D3F"/>
    <w:rsid w:val="686C7E0A"/>
    <w:rsid w:val="68757042"/>
    <w:rsid w:val="687D6111"/>
    <w:rsid w:val="6886166B"/>
    <w:rsid w:val="68954A3C"/>
    <w:rsid w:val="689B0DF8"/>
    <w:rsid w:val="68B5096E"/>
    <w:rsid w:val="68CC10BC"/>
    <w:rsid w:val="68F44B09"/>
    <w:rsid w:val="68FA1B9A"/>
    <w:rsid w:val="69012A9A"/>
    <w:rsid w:val="690232EF"/>
    <w:rsid w:val="694E046E"/>
    <w:rsid w:val="69652D27"/>
    <w:rsid w:val="69952A0C"/>
    <w:rsid w:val="699A1218"/>
    <w:rsid w:val="699B4BDB"/>
    <w:rsid w:val="69A51678"/>
    <w:rsid w:val="69B82081"/>
    <w:rsid w:val="69BB329B"/>
    <w:rsid w:val="69BD4C61"/>
    <w:rsid w:val="69FC56C6"/>
    <w:rsid w:val="69FD3B6F"/>
    <w:rsid w:val="6A0065EF"/>
    <w:rsid w:val="6A1F1C32"/>
    <w:rsid w:val="6A616283"/>
    <w:rsid w:val="6A641407"/>
    <w:rsid w:val="6A656882"/>
    <w:rsid w:val="6A8B60FB"/>
    <w:rsid w:val="6A9674BF"/>
    <w:rsid w:val="6A9A37E0"/>
    <w:rsid w:val="6AA36F30"/>
    <w:rsid w:val="6AA604CA"/>
    <w:rsid w:val="6AB67B97"/>
    <w:rsid w:val="6ADB41F3"/>
    <w:rsid w:val="6AF54C35"/>
    <w:rsid w:val="6AFB4F4A"/>
    <w:rsid w:val="6B12444F"/>
    <w:rsid w:val="6B2A12A7"/>
    <w:rsid w:val="6B4533C9"/>
    <w:rsid w:val="6B5C39DF"/>
    <w:rsid w:val="6B5E11EE"/>
    <w:rsid w:val="6B611EB1"/>
    <w:rsid w:val="6B961766"/>
    <w:rsid w:val="6BC3289A"/>
    <w:rsid w:val="6BC8334A"/>
    <w:rsid w:val="6BD455CF"/>
    <w:rsid w:val="6BD61A98"/>
    <w:rsid w:val="6BF77F96"/>
    <w:rsid w:val="6BFE19E1"/>
    <w:rsid w:val="6C050A47"/>
    <w:rsid w:val="6C0B1A74"/>
    <w:rsid w:val="6C16659B"/>
    <w:rsid w:val="6C231812"/>
    <w:rsid w:val="6C27235B"/>
    <w:rsid w:val="6C3342D8"/>
    <w:rsid w:val="6C394A8B"/>
    <w:rsid w:val="6C420156"/>
    <w:rsid w:val="6C5142B7"/>
    <w:rsid w:val="6C5B5F14"/>
    <w:rsid w:val="6C7457E7"/>
    <w:rsid w:val="6C7D6E82"/>
    <w:rsid w:val="6C8311C3"/>
    <w:rsid w:val="6CA5691E"/>
    <w:rsid w:val="6CE43EC8"/>
    <w:rsid w:val="6CFC1EEB"/>
    <w:rsid w:val="6CFD2D93"/>
    <w:rsid w:val="6D1159A2"/>
    <w:rsid w:val="6D1B3C07"/>
    <w:rsid w:val="6D290842"/>
    <w:rsid w:val="6D32275A"/>
    <w:rsid w:val="6D680792"/>
    <w:rsid w:val="6DA244DE"/>
    <w:rsid w:val="6DA9172F"/>
    <w:rsid w:val="6DAB0FE0"/>
    <w:rsid w:val="6DB54134"/>
    <w:rsid w:val="6DE94229"/>
    <w:rsid w:val="6DEC1F6B"/>
    <w:rsid w:val="6DEE7FF8"/>
    <w:rsid w:val="6E0B6604"/>
    <w:rsid w:val="6E1E5CB1"/>
    <w:rsid w:val="6E51496A"/>
    <w:rsid w:val="6E8555D0"/>
    <w:rsid w:val="6E876629"/>
    <w:rsid w:val="6E893B3A"/>
    <w:rsid w:val="6EAA389A"/>
    <w:rsid w:val="6EDA7020"/>
    <w:rsid w:val="6EDF1C43"/>
    <w:rsid w:val="6F08338C"/>
    <w:rsid w:val="6F166891"/>
    <w:rsid w:val="6F2B2544"/>
    <w:rsid w:val="6F492FDA"/>
    <w:rsid w:val="6F4A6F49"/>
    <w:rsid w:val="6F561A7D"/>
    <w:rsid w:val="6F6005AE"/>
    <w:rsid w:val="6F6E64DD"/>
    <w:rsid w:val="6F9331CA"/>
    <w:rsid w:val="6F987E1B"/>
    <w:rsid w:val="6F997E47"/>
    <w:rsid w:val="6FA629B9"/>
    <w:rsid w:val="6FB41CDF"/>
    <w:rsid w:val="6FE52B7F"/>
    <w:rsid w:val="70047746"/>
    <w:rsid w:val="701B22C2"/>
    <w:rsid w:val="704A18A5"/>
    <w:rsid w:val="704E53CC"/>
    <w:rsid w:val="704F5758"/>
    <w:rsid w:val="70535193"/>
    <w:rsid w:val="705353D7"/>
    <w:rsid w:val="70595CFD"/>
    <w:rsid w:val="706A433C"/>
    <w:rsid w:val="70731CBA"/>
    <w:rsid w:val="708C74AF"/>
    <w:rsid w:val="70AB2A5F"/>
    <w:rsid w:val="70C40F6B"/>
    <w:rsid w:val="70D365D7"/>
    <w:rsid w:val="70FF2B52"/>
    <w:rsid w:val="71053071"/>
    <w:rsid w:val="710C4547"/>
    <w:rsid w:val="71146B3B"/>
    <w:rsid w:val="711E1A75"/>
    <w:rsid w:val="71231003"/>
    <w:rsid w:val="715E5257"/>
    <w:rsid w:val="716D4CF9"/>
    <w:rsid w:val="718176C8"/>
    <w:rsid w:val="718A0073"/>
    <w:rsid w:val="71BB1264"/>
    <w:rsid w:val="71C102C4"/>
    <w:rsid w:val="71C14470"/>
    <w:rsid w:val="71DD01AD"/>
    <w:rsid w:val="71E01DDD"/>
    <w:rsid w:val="71FA0311"/>
    <w:rsid w:val="723D68AF"/>
    <w:rsid w:val="724721AC"/>
    <w:rsid w:val="72705108"/>
    <w:rsid w:val="729452D5"/>
    <w:rsid w:val="72BA2638"/>
    <w:rsid w:val="72F657B0"/>
    <w:rsid w:val="72F66ED8"/>
    <w:rsid w:val="72FC409A"/>
    <w:rsid w:val="72FE4B6F"/>
    <w:rsid w:val="73032FC0"/>
    <w:rsid w:val="730F48D7"/>
    <w:rsid w:val="73253B84"/>
    <w:rsid w:val="733D0BED"/>
    <w:rsid w:val="738707F8"/>
    <w:rsid w:val="738754CA"/>
    <w:rsid w:val="738B6F89"/>
    <w:rsid w:val="73C056D8"/>
    <w:rsid w:val="73CB6AC4"/>
    <w:rsid w:val="73ED1A3A"/>
    <w:rsid w:val="73F05696"/>
    <w:rsid w:val="73F50B6F"/>
    <w:rsid w:val="74100036"/>
    <w:rsid w:val="74146799"/>
    <w:rsid w:val="741A1B16"/>
    <w:rsid w:val="741D62BB"/>
    <w:rsid w:val="741E67C6"/>
    <w:rsid w:val="74210FD4"/>
    <w:rsid w:val="742C5E27"/>
    <w:rsid w:val="74551D23"/>
    <w:rsid w:val="745D7B18"/>
    <w:rsid w:val="745F299C"/>
    <w:rsid w:val="7466617E"/>
    <w:rsid w:val="746F1484"/>
    <w:rsid w:val="74B800CA"/>
    <w:rsid w:val="74F55B27"/>
    <w:rsid w:val="752C75EB"/>
    <w:rsid w:val="75396947"/>
    <w:rsid w:val="753D165B"/>
    <w:rsid w:val="75453709"/>
    <w:rsid w:val="75511543"/>
    <w:rsid w:val="756B2471"/>
    <w:rsid w:val="75726F76"/>
    <w:rsid w:val="758D6086"/>
    <w:rsid w:val="758F1A33"/>
    <w:rsid w:val="75C72088"/>
    <w:rsid w:val="75DB58D2"/>
    <w:rsid w:val="75F8009A"/>
    <w:rsid w:val="762B22A9"/>
    <w:rsid w:val="763A3819"/>
    <w:rsid w:val="76471DE8"/>
    <w:rsid w:val="764C1D57"/>
    <w:rsid w:val="76701D3D"/>
    <w:rsid w:val="76951140"/>
    <w:rsid w:val="76974BD9"/>
    <w:rsid w:val="76977026"/>
    <w:rsid w:val="76A70C95"/>
    <w:rsid w:val="76D15D09"/>
    <w:rsid w:val="76EB626F"/>
    <w:rsid w:val="76F57B1F"/>
    <w:rsid w:val="771349E5"/>
    <w:rsid w:val="7714635C"/>
    <w:rsid w:val="771C30FA"/>
    <w:rsid w:val="77206134"/>
    <w:rsid w:val="772F3A61"/>
    <w:rsid w:val="773553A7"/>
    <w:rsid w:val="774E003E"/>
    <w:rsid w:val="77580A66"/>
    <w:rsid w:val="778D01FE"/>
    <w:rsid w:val="77A3436B"/>
    <w:rsid w:val="77B86288"/>
    <w:rsid w:val="77DE0598"/>
    <w:rsid w:val="77E454C7"/>
    <w:rsid w:val="77F437B1"/>
    <w:rsid w:val="780738D1"/>
    <w:rsid w:val="782226C6"/>
    <w:rsid w:val="78236589"/>
    <w:rsid w:val="783D4AFF"/>
    <w:rsid w:val="7841517A"/>
    <w:rsid w:val="784D30F3"/>
    <w:rsid w:val="78693C27"/>
    <w:rsid w:val="788A2C6A"/>
    <w:rsid w:val="78AD0D21"/>
    <w:rsid w:val="78B35930"/>
    <w:rsid w:val="78B73B4F"/>
    <w:rsid w:val="78B934ED"/>
    <w:rsid w:val="78C37C8A"/>
    <w:rsid w:val="78DE2D7C"/>
    <w:rsid w:val="7922596C"/>
    <w:rsid w:val="792F01A6"/>
    <w:rsid w:val="79382965"/>
    <w:rsid w:val="794C1894"/>
    <w:rsid w:val="795161CA"/>
    <w:rsid w:val="795A3B14"/>
    <w:rsid w:val="797B17A4"/>
    <w:rsid w:val="79820F11"/>
    <w:rsid w:val="79836AEB"/>
    <w:rsid w:val="79A81252"/>
    <w:rsid w:val="79AC037E"/>
    <w:rsid w:val="79B4594A"/>
    <w:rsid w:val="79B978EA"/>
    <w:rsid w:val="79BC708D"/>
    <w:rsid w:val="79CD7EAE"/>
    <w:rsid w:val="79EB1C7D"/>
    <w:rsid w:val="79F1683F"/>
    <w:rsid w:val="79FD754C"/>
    <w:rsid w:val="7A1B476E"/>
    <w:rsid w:val="7A406EF6"/>
    <w:rsid w:val="7A50702E"/>
    <w:rsid w:val="7A962168"/>
    <w:rsid w:val="7A9722EA"/>
    <w:rsid w:val="7AA274F5"/>
    <w:rsid w:val="7AE23975"/>
    <w:rsid w:val="7AF27BF0"/>
    <w:rsid w:val="7B050F05"/>
    <w:rsid w:val="7B1A6AB5"/>
    <w:rsid w:val="7B327BB5"/>
    <w:rsid w:val="7B33563C"/>
    <w:rsid w:val="7B4C0E94"/>
    <w:rsid w:val="7B5472B9"/>
    <w:rsid w:val="7B5737ED"/>
    <w:rsid w:val="7B594633"/>
    <w:rsid w:val="7B763FD0"/>
    <w:rsid w:val="7B8864E0"/>
    <w:rsid w:val="7B8D6D12"/>
    <w:rsid w:val="7B9147B3"/>
    <w:rsid w:val="7BAC1017"/>
    <w:rsid w:val="7BB96BAB"/>
    <w:rsid w:val="7BC5015F"/>
    <w:rsid w:val="7BDB40C8"/>
    <w:rsid w:val="7BFC639E"/>
    <w:rsid w:val="7C1060A4"/>
    <w:rsid w:val="7C212B16"/>
    <w:rsid w:val="7C344D27"/>
    <w:rsid w:val="7C3937B2"/>
    <w:rsid w:val="7C6034EF"/>
    <w:rsid w:val="7C696AFC"/>
    <w:rsid w:val="7C8F3841"/>
    <w:rsid w:val="7C927737"/>
    <w:rsid w:val="7CA063C2"/>
    <w:rsid w:val="7CA15497"/>
    <w:rsid w:val="7CCC5BE1"/>
    <w:rsid w:val="7CD40291"/>
    <w:rsid w:val="7CE055BA"/>
    <w:rsid w:val="7CFC1051"/>
    <w:rsid w:val="7D081E10"/>
    <w:rsid w:val="7D15058B"/>
    <w:rsid w:val="7D157DA1"/>
    <w:rsid w:val="7D213138"/>
    <w:rsid w:val="7D2521B2"/>
    <w:rsid w:val="7D317598"/>
    <w:rsid w:val="7D3230DC"/>
    <w:rsid w:val="7D362A44"/>
    <w:rsid w:val="7D4D08D5"/>
    <w:rsid w:val="7D551F58"/>
    <w:rsid w:val="7D6A282B"/>
    <w:rsid w:val="7D6F0E7B"/>
    <w:rsid w:val="7DE30C28"/>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B75C7D"/>
    <w:rsid w:val="7EC3521A"/>
    <w:rsid w:val="7ED25809"/>
    <w:rsid w:val="7ED76DD4"/>
    <w:rsid w:val="7EE354CD"/>
    <w:rsid w:val="7EE7038E"/>
    <w:rsid w:val="7F06366D"/>
    <w:rsid w:val="7F13011A"/>
    <w:rsid w:val="7F1529F6"/>
    <w:rsid w:val="7F5456A0"/>
    <w:rsid w:val="7F5A396B"/>
    <w:rsid w:val="7F5C0130"/>
    <w:rsid w:val="7F79289E"/>
    <w:rsid w:val="7F867444"/>
    <w:rsid w:val="7F8F1F7C"/>
    <w:rsid w:val="7FA8445B"/>
    <w:rsid w:val="7FC0231A"/>
    <w:rsid w:val="7FCA114D"/>
    <w:rsid w:val="7FD338C7"/>
    <w:rsid w:val="7FD422E4"/>
    <w:rsid w:val="7FEC59BA"/>
    <w:rsid w:val="7FFC74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spacing w:before="340" w:after="330" w:line="578" w:lineRule="auto"/>
      <w:jc w:val="center"/>
      <w:outlineLvl w:val="0"/>
    </w:pPr>
    <w:rPr>
      <w:b/>
      <w:bCs/>
      <w:kern w:val="44"/>
      <w:sz w:val="32"/>
      <w:szCs w:val="44"/>
    </w:rPr>
  </w:style>
  <w:style w:type="paragraph" w:styleId="4">
    <w:name w:val="heading 2"/>
    <w:basedOn w:val="1"/>
    <w:next w:val="1"/>
    <w:link w:val="55"/>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99"/>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3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89"/>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75"/>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13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15"/>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93"/>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paragraph" w:styleId="12">
    <w:name w:val="List 3"/>
    <w:basedOn w:val="1"/>
    <w:unhideWhenUsed/>
    <w:qFormat/>
    <w:uiPriority w:val="99"/>
    <w:pPr>
      <w:spacing w:before="100" w:beforeAutospacing="1" w:after="100" w:afterAutospacing="1"/>
      <w:ind w:left="1260" w:hanging="420"/>
    </w:pPr>
    <w:rPr>
      <w:szCs w:val="21"/>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qFormat/>
    <w:uiPriority w:val="0"/>
    <w:pPr>
      <w:ind w:firstLine="420"/>
    </w:pPr>
    <w:rPr>
      <w:b/>
      <w:sz w:val="24"/>
      <w:szCs w:val="20"/>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83"/>
    <w:qFormat/>
    <w:uiPriority w:val="0"/>
    <w:rPr>
      <w:rFonts w:ascii="宋体"/>
      <w:sz w:val="18"/>
      <w:szCs w:val="18"/>
    </w:rPr>
  </w:style>
  <w:style w:type="paragraph" w:styleId="17">
    <w:name w:val="annotation text"/>
    <w:basedOn w:val="1"/>
    <w:link w:val="107"/>
    <w:qFormat/>
    <w:uiPriority w:val="99"/>
    <w:pPr>
      <w:jc w:val="left"/>
    </w:pPr>
  </w:style>
  <w:style w:type="paragraph" w:styleId="18">
    <w:name w:val="Body Text 3"/>
    <w:basedOn w:val="1"/>
    <w:link w:val="126"/>
    <w:qFormat/>
    <w:uiPriority w:val="0"/>
    <w:rPr>
      <w:rFonts w:ascii="宋体"/>
      <w:sz w:val="24"/>
      <w:szCs w:val="20"/>
    </w:rPr>
  </w:style>
  <w:style w:type="paragraph" w:styleId="19">
    <w:name w:val="Body Text"/>
    <w:basedOn w:val="1"/>
    <w:next w:val="1"/>
    <w:link w:val="114"/>
    <w:qFormat/>
    <w:uiPriority w:val="0"/>
    <w:pPr>
      <w:jc w:val="center"/>
    </w:pPr>
    <w:rPr>
      <w:rFonts w:eastAsia="幼圆"/>
      <w:b/>
      <w:bCs/>
      <w:sz w:val="44"/>
    </w:rPr>
  </w:style>
  <w:style w:type="paragraph" w:styleId="20">
    <w:name w:val="Body Text Indent"/>
    <w:basedOn w:val="1"/>
    <w:link w:val="70"/>
    <w:qFormat/>
    <w:uiPriority w:val="0"/>
    <w:pPr>
      <w:spacing w:after="120"/>
      <w:ind w:left="420" w:leftChars="200"/>
    </w:p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76"/>
    <w:qFormat/>
    <w:uiPriority w:val="0"/>
    <w:rPr>
      <w:rFonts w:ascii="Ari"/>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84"/>
    <w:unhideWhenUsed/>
    <w:qFormat/>
    <w:uiPriority w:val="0"/>
  </w:style>
  <w:style w:type="paragraph" w:styleId="26">
    <w:name w:val="Body Text Indent 2"/>
    <w:basedOn w:val="1"/>
    <w:link w:val="106"/>
    <w:unhideWhenUsed/>
    <w:qFormat/>
    <w:uiPriority w:val="99"/>
    <w:pPr>
      <w:spacing w:line="420" w:lineRule="exact"/>
      <w:ind w:firstLine="525"/>
    </w:pPr>
    <w:rPr>
      <w:rFonts w:ascii="宋体"/>
      <w:kern w:val="0"/>
      <w:sz w:val="20"/>
      <w:szCs w:val="20"/>
    </w:rPr>
  </w:style>
  <w:style w:type="paragraph" w:styleId="27">
    <w:name w:val="Balloon Text"/>
    <w:basedOn w:val="1"/>
    <w:link w:val="129"/>
    <w:qFormat/>
    <w:uiPriority w:val="0"/>
    <w:rPr>
      <w:sz w:val="18"/>
      <w:szCs w:val="18"/>
    </w:rPr>
  </w:style>
  <w:style w:type="paragraph" w:styleId="28">
    <w:name w:val="footer"/>
    <w:basedOn w:val="1"/>
    <w:link w:val="119"/>
    <w:qFormat/>
    <w:uiPriority w:val="99"/>
    <w:pPr>
      <w:tabs>
        <w:tab w:val="center" w:pos="4153"/>
        <w:tab w:val="right" w:pos="8306"/>
      </w:tabs>
      <w:snapToGrid w:val="0"/>
      <w:jc w:val="left"/>
    </w:pPr>
    <w:rPr>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27"/>
    <w:qFormat/>
    <w:uiPriority w:val="0"/>
    <w:pPr>
      <w:spacing w:after="120"/>
      <w:ind w:left="420" w:leftChars="200"/>
    </w:pPr>
    <w:rPr>
      <w:sz w:val="16"/>
      <w:szCs w:val="20"/>
    </w:rPr>
  </w:style>
  <w:style w:type="paragraph" w:styleId="35">
    <w:name w:val="table of figures"/>
    <w:basedOn w:val="1"/>
    <w:next w:val="1"/>
    <w:qFormat/>
    <w:uiPriority w:val="99"/>
    <w:pPr>
      <w:ind w:left="840" w:hanging="420"/>
    </w:p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117"/>
    <w:qFormat/>
    <w:uiPriority w:val="0"/>
    <w:rPr>
      <w:b/>
      <w:bCs/>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vertAlign w:val="baseline"/>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color w:val="008000"/>
    </w:rPr>
  </w:style>
  <w:style w:type="paragraph" w:customStyle="1" w:styleId="53">
    <w:name w:val="首行缩进"/>
    <w:basedOn w:val="1"/>
    <w:qFormat/>
    <w:uiPriority w:val="0"/>
    <w:pPr>
      <w:spacing w:line="360" w:lineRule="auto"/>
      <w:ind w:firstLine="480"/>
      <w:jc w:val="left"/>
    </w:pPr>
    <w:rPr>
      <w:rFonts w:ascii="宋体" w:hAnsi="宋体"/>
      <w:sz w:val="24"/>
    </w:rPr>
  </w:style>
  <w:style w:type="paragraph" w:customStyle="1" w:styleId="54">
    <w:name w:val="列表段落1"/>
    <w:basedOn w:val="1"/>
    <w:qFormat/>
    <w:uiPriority w:val="99"/>
    <w:pPr>
      <w:ind w:firstLine="420" w:firstLineChars="200"/>
    </w:pPr>
    <w:rPr>
      <w:szCs w:val="20"/>
    </w:rPr>
  </w:style>
  <w:style w:type="character" w:customStyle="1" w:styleId="55">
    <w:name w:val="标题 2 字符"/>
    <w:link w:val="4"/>
    <w:qFormat/>
    <w:uiPriority w:val="0"/>
    <w:rPr>
      <w:rFonts w:ascii="Cambria" w:hAnsi="Cambria"/>
      <w:b/>
      <w:bCs/>
      <w:kern w:val="2"/>
      <w:sz w:val="32"/>
      <w:szCs w:val="32"/>
    </w:rPr>
  </w:style>
  <w:style w:type="character" w:customStyle="1" w:styleId="56">
    <w:name w:val="明显强调1"/>
    <w:qFormat/>
    <w:uiPriority w:val="0"/>
    <w:rPr>
      <w:b/>
      <w:bCs/>
      <w:i/>
      <w:iCs/>
      <w:color w:val="4F81BD"/>
    </w:rPr>
  </w:style>
  <w:style w:type="character" w:customStyle="1" w:styleId="57">
    <w:name w:val="批注文字 Char2"/>
    <w:qFormat/>
    <w:uiPriority w:val="0"/>
    <w:rPr>
      <w:kern w:val="2"/>
      <w:sz w:val="21"/>
    </w:rPr>
  </w:style>
  <w:style w:type="character" w:customStyle="1" w:styleId="58">
    <w:name w:val="标题 3 Char_0"/>
    <w:link w:val="59"/>
    <w:qFormat/>
    <w:uiPriority w:val="0"/>
    <w:rPr>
      <w:b/>
      <w:bCs/>
      <w:sz w:val="32"/>
      <w:szCs w:val="32"/>
    </w:rPr>
  </w:style>
  <w:style w:type="paragraph" w:customStyle="1" w:styleId="59">
    <w:name w:val="标题 3_0"/>
    <w:basedOn w:val="60"/>
    <w:next w:val="60"/>
    <w:link w:val="58"/>
    <w:qFormat/>
    <w:uiPriority w:val="0"/>
    <w:pPr>
      <w:keepNext/>
      <w:keepLines/>
      <w:spacing w:before="260" w:after="260" w:line="416" w:lineRule="auto"/>
      <w:outlineLvl w:val="2"/>
    </w:pPr>
    <w:rPr>
      <w:b/>
      <w:bCs/>
      <w:kern w:val="0"/>
      <w:sz w:val="32"/>
      <w:szCs w:val="32"/>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正文文本 Char2"/>
    <w:semiHidden/>
    <w:qFormat/>
    <w:uiPriority w:val="99"/>
    <w:rPr>
      <w:rFonts w:ascii="Calibri" w:hAnsi="Calibri" w:eastAsia="宋体" w:cs="Times New Roman"/>
    </w:rPr>
  </w:style>
  <w:style w:type="character" w:customStyle="1" w:styleId="62">
    <w:name w:val="页脚 Char1"/>
    <w:semiHidden/>
    <w:qFormat/>
    <w:uiPriority w:val="99"/>
    <w:rPr>
      <w:rFonts w:ascii="Calibri" w:hAnsi="Calibri" w:eastAsia="宋体" w:cs="Times New Roman"/>
      <w:sz w:val="18"/>
      <w:szCs w:val="18"/>
    </w:rPr>
  </w:style>
  <w:style w:type="character" w:customStyle="1" w:styleId="63">
    <w:name w:val="明显引用 Char2"/>
    <w:qFormat/>
    <w:uiPriority w:val="99"/>
    <w:rPr>
      <w:b/>
      <w:bCs/>
      <w:i/>
      <w:iCs/>
      <w:color w:val="4F81BD"/>
      <w:kern w:val="2"/>
      <w:sz w:val="21"/>
      <w:szCs w:val="24"/>
    </w:rPr>
  </w:style>
  <w:style w:type="character" w:customStyle="1" w:styleId="64">
    <w:name w:val="引用 Char"/>
    <w:link w:val="65"/>
    <w:qFormat/>
    <w:uiPriority w:val="0"/>
    <w:rPr>
      <w:i/>
      <w:iCs/>
      <w:color w:val="000000"/>
    </w:rPr>
  </w:style>
  <w:style w:type="paragraph" w:customStyle="1" w:styleId="65">
    <w:name w:val="引用1"/>
    <w:basedOn w:val="1"/>
    <w:next w:val="1"/>
    <w:link w:val="64"/>
    <w:qFormat/>
    <w:uiPriority w:val="0"/>
    <w:rPr>
      <w:i/>
      <w:iCs/>
      <w:color w:val="000000"/>
      <w:kern w:val="0"/>
      <w:sz w:val="20"/>
      <w:szCs w:val="20"/>
    </w:rPr>
  </w:style>
  <w:style w:type="character" w:customStyle="1" w:styleId="66">
    <w:name w:val="标题 1 Char_0"/>
    <w:link w:val="67"/>
    <w:qFormat/>
    <w:uiPriority w:val="0"/>
    <w:rPr>
      <w:b/>
      <w:bCs/>
      <w:kern w:val="44"/>
      <w:sz w:val="44"/>
      <w:szCs w:val="44"/>
    </w:rPr>
  </w:style>
  <w:style w:type="paragraph" w:customStyle="1" w:styleId="67">
    <w:name w:val="标题 1_0"/>
    <w:basedOn w:val="60"/>
    <w:next w:val="60"/>
    <w:link w:val="66"/>
    <w:qFormat/>
    <w:uiPriority w:val="0"/>
    <w:pPr>
      <w:keepNext/>
      <w:keepLines/>
      <w:spacing w:before="340" w:after="330" w:line="578" w:lineRule="auto"/>
      <w:outlineLvl w:val="0"/>
    </w:pPr>
    <w:rPr>
      <w:b/>
      <w:bCs/>
      <w:kern w:val="44"/>
      <w:sz w:val="44"/>
      <w:szCs w:val="44"/>
    </w:rPr>
  </w:style>
  <w:style w:type="character" w:customStyle="1" w:styleId="68">
    <w:name w:val="正文文本缩进 3 Char1"/>
    <w:semiHidden/>
    <w:qFormat/>
    <w:uiPriority w:val="99"/>
    <w:rPr>
      <w:kern w:val="2"/>
      <w:sz w:val="16"/>
      <w:szCs w:val="16"/>
    </w:rPr>
  </w:style>
  <w:style w:type="character" w:customStyle="1" w:styleId="69">
    <w:name w:val="引用 Char1"/>
    <w:qFormat/>
    <w:uiPriority w:val="29"/>
    <w:rPr>
      <w:i/>
      <w:iCs/>
      <w:color w:val="000000"/>
      <w:kern w:val="2"/>
      <w:sz w:val="21"/>
    </w:rPr>
  </w:style>
  <w:style w:type="character" w:customStyle="1" w:styleId="70">
    <w:name w:val="正文文本缩进 字符"/>
    <w:link w:val="20"/>
    <w:qFormat/>
    <w:uiPriority w:val="0"/>
    <w:rPr>
      <w:kern w:val="2"/>
      <w:sz w:val="21"/>
      <w:szCs w:val="24"/>
    </w:rPr>
  </w:style>
  <w:style w:type="character" w:customStyle="1" w:styleId="71">
    <w:name w:val="font161"/>
    <w:qFormat/>
    <w:uiPriority w:val="0"/>
    <w:rPr>
      <w:b/>
      <w:sz w:val="32"/>
    </w:rPr>
  </w:style>
  <w:style w:type="character" w:customStyle="1" w:styleId="72">
    <w:name w:val="标题 4 Char_0"/>
    <w:link w:val="73"/>
    <w:qFormat/>
    <w:uiPriority w:val="0"/>
    <w:rPr>
      <w:rFonts w:ascii="Arial" w:hAnsi="Arial" w:eastAsia="黑体"/>
      <w:b/>
      <w:bCs/>
      <w:sz w:val="28"/>
      <w:szCs w:val="28"/>
    </w:rPr>
  </w:style>
  <w:style w:type="paragraph" w:customStyle="1" w:styleId="73">
    <w:name w:val="标题 4_0"/>
    <w:basedOn w:val="60"/>
    <w:next w:val="60"/>
    <w:link w:val="72"/>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29"/>
    <w:qFormat/>
    <w:uiPriority w:val="0"/>
    <w:rPr>
      <w:kern w:val="2"/>
      <w:sz w:val="18"/>
      <w:szCs w:val="18"/>
    </w:rPr>
  </w:style>
  <w:style w:type="character" w:customStyle="1" w:styleId="75">
    <w:name w:val="标题 6 字符"/>
    <w:link w:val="8"/>
    <w:qFormat/>
    <w:uiPriority w:val="0"/>
    <w:rPr>
      <w:rFonts w:ascii="Cambria" w:hAnsi="Cambria" w:eastAsia="宋体" w:cs="Times New Roman"/>
      <w:b/>
      <w:bCs/>
      <w:kern w:val="2"/>
      <w:sz w:val="24"/>
      <w:szCs w:val="24"/>
    </w:rPr>
  </w:style>
  <w:style w:type="character" w:customStyle="1" w:styleId="76">
    <w:name w:val="纯文本 字符"/>
    <w:link w:val="23"/>
    <w:qFormat/>
    <w:uiPriority w:val="0"/>
    <w:rPr>
      <w:rFonts w:ascii="Ari"/>
      <w:lang w:val="en-US" w:eastAsia="zh-CN" w:bidi="ar-SA"/>
    </w:rPr>
  </w:style>
  <w:style w:type="character" w:customStyle="1" w:styleId="77">
    <w:name w:val="引用 Char2"/>
    <w:qFormat/>
    <w:uiPriority w:val="99"/>
    <w:rPr>
      <w:i/>
      <w:iCs/>
      <w:color w:val="000000"/>
      <w:kern w:val="2"/>
      <w:sz w:val="21"/>
      <w:szCs w:val="24"/>
    </w:rPr>
  </w:style>
  <w:style w:type="character" w:customStyle="1" w:styleId="78">
    <w:name w:val="rvts11"/>
    <w:qFormat/>
    <w:uiPriority w:val="0"/>
    <w:rPr>
      <w:rFonts w:hint="default" w:ascii="KNLe" w:hAnsi="KNLe"/>
      <w:sz w:val="24"/>
      <w:szCs w:val="24"/>
      <w:u w:val="single"/>
    </w:rPr>
  </w:style>
  <w:style w:type="character" w:customStyle="1" w:styleId="79">
    <w:name w:val="标题 字符"/>
    <w:link w:val="41"/>
    <w:qFormat/>
    <w:uiPriority w:val="0"/>
    <w:rPr>
      <w:rFonts w:ascii="Arial" w:hAnsi="Arial"/>
      <w:b/>
      <w:sz w:val="32"/>
    </w:rPr>
  </w:style>
  <w:style w:type="character" w:customStyle="1" w:styleId="80">
    <w:name w:val="标题5 Char Char"/>
    <w:link w:val="81"/>
    <w:qFormat/>
    <w:uiPriority w:val="0"/>
    <w:rPr>
      <w:rFonts w:ascii="Arial" w:hAnsi="Arial"/>
      <w:b/>
      <w:bCs/>
      <w:sz w:val="24"/>
      <w:szCs w:val="32"/>
    </w:rPr>
  </w:style>
  <w:style w:type="paragraph" w:customStyle="1" w:styleId="81">
    <w:name w:val="标题5"/>
    <w:basedOn w:val="5"/>
    <w:link w:val="80"/>
    <w:qFormat/>
    <w:uiPriority w:val="0"/>
    <w:pPr>
      <w:numPr>
        <w:ilvl w:val="0"/>
        <w:numId w:val="0"/>
      </w:numPr>
      <w:spacing w:line="413" w:lineRule="auto"/>
    </w:pPr>
    <w:rPr>
      <w:rFonts w:ascii="Arial" w:hAnsi="Arial"/>
      <w:kern w:val="0"/>
      <w:sz w:val="24"/>
    </w:rPr>
  </w:style>
  <w:style w:type="character" w:customStyle="1" w:styleId="82">
    <w:name w:val="副标题 Char2"/>
    <w:qFormat/>
    <w:uiPriority w:val="11"/>
    <w:rPr>
      <w:rFonts w:ascii="Cambria" w:hAnsi="Cambria" w:cs="Times New Roman"/>
      <w:b/>
      <w:bCs/>
      <w:kern w:val="28"/>
      <w:sz w:val="32"/>
      <w:szCs w:val="32"/>
    </w:rPr>
  </w:style>
  <w:style w:type="character" w:customStyle="1" w:styleId="83">
    <w:name w:val="文档结构图 字符"/>
    <w:link w:val="16"/>
    <w:qFormat/>
    <w:uiPriority w:val="0"/>
    <w:rPr>
      <w:rFonts w:ascii="宋体"/>
      <w:kern w:val="2"/>
      <w:sz w:val="18"/>
      <w:szCs w:val="18"/>
    </w:rPr>
  </w:style>
  <w:style w:type="character" w:customStyle="1" w:styleId="84">
    <w:name w:val="日期 字符"/>
    <w:link w:val="25"/>
    <w:qFormat/>
    <w:uiPriority w:val="0"/>
    <w:rPr>
      <w:kern w:val="2"/>
      <w:sz w:val="21"/>
      <w:szCs w:val="24"/>
    </w:rPr>
  </w:style>
  <w:style w:type="character" w:customStyle="1" w:styleId="85">
    <w:name w:val="批注主题 Char1"/>
    <w:qFormat/>
    <w:uiPriority w:val="0"/>
    <w:rPr>
      <w:b/>
      <w:bCs/>
      <w:kern w:val="2"/>
      <w:sz w:val="21"/>
      <w:szCs w:val="22"/>
    </w:rPr>
  </w:style>
  <w:style w:type="character" w:customStyle="1" w:styleId="86">
    <w:name w:val="font31"/>
    <w:qFormat/>
    <w:uiPriority w:val="0"/>
    <w:rPr>
      <w:rFonts w:hint="eastAsia" w:ascii="宋体" w:hAnsi="宋体" w:eastAsia="宋体" w:cs="宋体"/>
      <w:color w:val="000000"/>
      <w:sz w:val="20"/>
      <w:szCs w:val="20"/>
      <w:u w:val="none"/>
    </w:rPr>
  </w:style>
  <w:style w:type="character" w:customStyle="1" w:styleId="87">
    <w:name w:val="明显引用 Char"/>
    <w:link w:val="88"/>
    <w:qFormat/>
    <w:uiPriority w:val="0"/>
    <w:rPr>
      <w:b/>
      <w:bCs/>
      <w:i/>
      <w:iCs/>
      <w:color w:val="4F81BD"/>
    </w:rPr>
  </w:style>
  <w:style w:type="paragraph" w:customStyle="1" w:styleId="88">
    <w:name w:val="明显引用1"/>
    <w:basedOn w:val="1"/>
    <w:next w:val="1"/>
    <w:link w:val="8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7"/>
    <w:qFormat/>
    <w:uiPriority w:val="0"/>
    <w:rPr>
      <w:b/>
      <w:bCs/>
      <w:kern w:val="2"/>
      <w:sz w:val="28"/>
      <w:szCs w:val="28"/>
    </w:rPr>
  </w:style>
  <w:style w:type="character" w:customStyle="1" w:styleId="90">
    <w:name w:val="日期 Char1"/>
    <w:qFormat/>
    <w:uiPriority w:val="0"/>
    <w:rPr>
      <w:rFonts w:ascii="Calibri" w:hAnsi="Calibri" w:eastAsia="宋体" w:cs="Times New Roman"/>
    </w:rPr>
  </w:style>
  <w:style w:type="character" w:customStyle="1" w:styleId="91">
    <w:name w:val="批注框文本 Char1"/>
    <w:qFormat/>
    <w:uiPriority w:val="0"/>
    <w:rPr>
      <w:kern w:val="2"/>
      <w:sz w:val="18"/>
      <w:szCs w:val="18"/>
    </w:rPr>
  </w:style>
  <w:style w:type="character" w:customStyle="1" w:styleId="92">
    <w:name w:val="标题 Char1"/>
    <w:qFormat/>
    <w:uiPriority w:val="10"/>
    <w:rPr>
      <w:rFonts w:ascii="Cambria" w:hAnsi="Cambria" w:eastAsia="宋体" w:cs="Times New Roman"/>
      <w:b/>
      <w:bCs/>
      <w:sz w:val="32"/>
      <w:szCs w:val="32"/>
    </w:rPr>
  </w:style>
  <w:style w:type="character" w:customStyle="1" w:styleId="93">
    <w:name w:val="标题 9 字符"/>
    <w:link w:val="11"/>
    <w:qFormat/>
    <w:uiPriority w:val="0"/>
    <w:rPr>
      <w:rFonts w:ascii="Cambria" w:hAnsi="Cambria" w:eastAsia="宋体" w:cs="Times New Roman"/>
      <w:kern w:val="2"/>
      <w:sz w:val="21"/>
      <w:szCs w:val="21"/>
    </w:rPr>
  </w:style>
  <w:style w:type="character" w:customStyle="1" w:styleId="94">
    <w:name w:val="不明显参考1"/>
    <w:qFormat/>
    <w:uiPriority w:val="0"/>
    <w:rPr>
      <w:smallCaps/>
      <w:color w:val="C0504D"/>
      <w:u w:val="single"/>
    </w:rPr>
  </w:style>
  <w:style w:type="character" w:customStyle="1" w:styleId="95">
    <w:name w:val="批注文字 Char1"/>
    <w:qFormat/>
    <w:uiPriority w:val="0"/>
    <w:rPr>
      <w:rFonts w:ascii="Calibri" w:hAnsi="Calibri" w:eastAsia="宋体" w:cs="Times New Roman"/>
    </w:rPr>
  </w:style>
  <w:style w:type="character" w:customStyle="1" w:styleId="96">
    <w:name w:val="标题 Char2"/>
    <w:qFormat/>
    <w:uiPriority w:val="10"/>
    <w:rPr>
      <w:rFonts w:ascii="Cambria" w:hAnsi="Cambria" w:cs="Times New Roman"/>
      <w:b/>
      <w:bCs/>
      <w:kern w:val="2"/>
      <w:sz w:val="32"/>
      <w:szCs w:val="32"/>
    </w:rPr>
  </w:style>
  <w:style w:type="character" w:customStyle="1" w:styleId="97">
    <w:name w:val="正文文本 3 Char1"/>
    <w:semiHidden/>
    <w:qFormat/>
    <w:uiPriority w:val="99"/>
    <w:rPr>
      <w:kern w:val="2"/>
      <w:sz w:val="16"/>
      <w:szCs w:val="16"/>
    </w:rPr>
  </w:style>
  <w:style w:type="character" w:customStyle="1" w:styleId="98">
    <w:name w:val="批注主题 Char2"/>
    <w:qFormat/>
    <w:uiPriority w:val="0"/>
    <w:rPr>
      <w:b/>
      <w:bCs/>
      <w:kern w:val="2"/>
      <w:sz w:val="21"/>
    </w:rPr>
  </w:style>
  <w:style w:type="character" w:customStyle="1" w:styleId="99">
    <w:name w:val="标题 3 字符"/>
    <w:link w:val="5"/>
    <w:qFormat/>
    <w:uiPriority w:val="0"/>
    <w:rPr>
      <w:b/>
      <w:bCs/>
      <w:kern w:val="2"/>
      <w:sz w:val="32"/>
      <w:szCs w:val="32"/>
    </w:rPr>
  </w:style>
  <w:style w:type="character" w:customStyle="1" w:styleId="100">
    <w:name w:val="正文文本 Char_0"/>
    <w:link w:val="101"/>
    <w:qFormat/>
    <w:uiPriority w:val="0"/>
    <w:rPr>
      <w:szCs w:val="24"/>
    </w:rPr>
  </w:style>
  <w:style w:type="paragraph" w:customStyle="1" w:styleId="101">
    <w:name w:val="正文文本_0"/>
    <w:basedOn w:val="60"/>
    <w:link w:val="100"/>
    <w:qFormat/>
    <w:uiPriority w:val="0"/>
    <w:pPr>
      <w:spacing w:after="120"/>
    </w:pPr>
    <w:rPr>
      <w:kern w:val="0"/>
      <w:sz w:val="20"/>
    </w:rPr>
  </w:style>
  <w:style w:type="character" w:customStyle="1" w:styleId="102">
    <w:name w:val="副标题 字符"/>
    <w:link w:val="32"/>
    <w:qFormat/>
    <w:uiPriority w:val="0"/>
    <w:rPr>
      <w:rFonts w:ascii="Cambria" w:hAnsi="Cambria"/>
      <w:b/>
      <w:bCs/>
      <w:kern w:val="28"/>
      <w:sz w:val="32"/>
      <w:szCs w:val="32"/>
    </w:rPr>
  </w:style>
  <w:style w:type="character" w:customStyle="1" w:styleId="103">
    <w:name w:val="bookmark"/>
    <w:basedOn w:val="45"/>
    <w:qFormat/>
    <w:uiPriority w:val="0"/>
  </w:style>
  <w:style w:type="character" w:customStyle="1" w:styleId="104">
    <w:name w:val="标题 5 Char_0"/>
    <w:link w:val="105"/>
    <w:qFormat/>
    <w:uiPriority w:val="0"/>
    <w:rPr>
      <w:rFonts w:ascii="Calibri" w:hAnsi="Calibri"/>
      <w:b/>
      <w:bCs/>
      <w:sz w:val="28"/>
      <w:szCs w:val="28"/>
    </w:rPr>
  </w:style>
  <w:style w:type="paragraph" w:customStyle="1" w:styleId="105">
    <w:name w:val="标题 5_0"/>
    <w:basedOn w:val="60"/>
    <w:next w:val="60"/>
    <w:link w:val="104"/>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正文文本缩进 2 字符"/>
    <w:link w:val="26"/>
    <w:qFormat/>
    <w:uiPriority w:val="99"/>
    <w:rPr>
      <w:rFonts w:ascii="宋体"/>
    </w:rPr>
  </w:style>
  <w:style w:type="character" w:customStyle="1" w:styleId="107">
    <w:name w:val="批注文字 字符"/>
    <w:link w:val="17"/>
    <w:qFormat/>
    <w:uiPriority w:val="99"/>
    <w:rPr>
      <w:kern w:val="2"/>
      <w:sz w:val="21"/>
      <w:szCs w:val="24"/>
    </w:rPr>
  </w:style>
  <w:style w:type="character" w:customStyle="1" w:styleId="108">
    <w:name w:val="font11"/>
    <w:qFormat/>
    <w:uiPriority w:val="0"/>
    <w:rPr>
      <w:rFonts w:hint="eastAsia" w:ascii="宋体" w:hAnsi="宋体" w:eastAsia="宋体" w:cs="宋体"/>
      <w:color w:val="000000"/>
      <w:sz w:val="20"/>
      <w:szCs w:val="20"/>
      <w:u w:val="none"/>
    </w:rPr>
  </w:style>
  <w:style w:type="character" w:customStyle="1" w:styleId="109">
    <w:name w:val="明显参考1"/>
    <w:qFormat/>
    <w:uiPriority w:val="0"/>
    <w:rPr>
      <w:b/>
      <w:bCs/>
      <w:smallCaps/>
      <w:color w:val="C0504D"/>
      <w:spacing w:val="5"/>
      <w:u w:val="single"/>
    </w:rPr>
  </w:style>
  <w:style w:type="character" w:customStyle="1" w:styleId="110">
    <w:name w:val="超链接_0"/>
    <w:qFormat/>
    <w:uiPriority w:val="99"/>
    <w:rPr>
      <w:rFonts w:ascii="Calibri" w:hAnsi="Calibri"/>
      <w:color w:val="0000FF"/>
      <w:u w:val="single"/>
    </w:rPr>
  </w:style>
  <w:style w:type="character" w:customStyle="1" w:styleId="111">
    <w:name w:val="文档结构图 Char2"/>
    <w:semiHidden/>
    <w:qFormat/>
    <w:uiPriority w:val="99"/>
    <w:rPr>
      <w:rFonts w:ascii="宋体" w:hAnsi="Calibri" w:eastAsia="宋体" w:cs="Times New Roman"/>
      <w:sz w:val="18"/>
      <w:szCs w:val="18"/>
    </w:rPr>
  </w:style>
  <w:style w:type="character" w:customStyle="1" w:styleId="112">
    <w:name w:val="textcontents"/>
    <w:qFormat/>
    <w:uiPriority w:val="0"/>
    <w:rPr>
      <w:rFonts w:cs="Times New Roman"/>
    </w:rPr>
  </w:style>
  <w:style w:type="character" w:customStyle="1" w:styleId="113">
    <w:name w:val="标题 1 Char"/>
    <w:qFormat/>
    <w:uiPriority w:val="0"/>
    <w:rPr>
      <w:b/>
      <w:bCs/>
      <w:kern w:val="44"/>
      <w:sz w:val="32"/>
      <w:szCs w:val="44"/>
    </w:rPr>
  </w:style>
  <w:style w:type="character" w:customStyle="1" w:styleId="114">
    <w:name w:val="正文文本 字符"/>
    <w:link w:val="19"/>
    <w:qFormat/>
    <w:uiPriority w:val="0"/>
    <w:rPr>
      <w:rFonts w:eastAsia="幼圆"/>
      <w:b/>
      <w:bCs/>
      <w:kern w:val="2"/>
      <w:sz w:val="44"/>
      <w:szCs w:val="24"/>
    </w:rPr>
  </w:style>
  <w:style w:type="character" w:customStyle="1" w:styleId="115">
    <w:name w:val="标题 8 字符"/>
    <w:link w:val="10"/>
    <w:qFormat/>
    <w:uiPriority w:val="0"/>
    <w:rPr>
      <w:rFonts w:ascii="Cambria" w:hAnsi="Cambria" w:eastAsia="宋体" w:cs="Times New Roman"/>
      <w:kern w:val="2"/>
      <w:sz w:val="24"/>
      <w:szCs w:val="24"/>
    </w:rPr>
  </w:style>
  <w:style w:type="character" w:customStyle="1" w:styleId="116">
    <w:name w:val="副标题 Char1"/>
    <w:qFormat/>
    <w:uiPriority w:val="11"/>
    <w:rPr>
      <w:rFonts w:ascii="Cambria" w:hAnsi="Cambria" w:cs="Times New Roman"/>
      <w:b/>
      <w:bCs/>
      <w:kern w:val="28"/>
      <w:sz w:val="32"/>
      <w:szCs w:val="32"/>
    </w:rPr>
  </w:style>
  <w:style w:type="character" w:customStyle="1" w:styleId="117">
    <w:name w:val="批注主题 字符"/>
    <w:link w:val="42"/>
    <w:qFormat/>
    <w:uiPriority w:val="0"/>
    <w:rPr>
      <w:b/>
      <w:bCs/>
      <w:kern w:val="2"/>
      <w:sz w:val="21"/>
      <w:szCs w:val="24"/>
    </w:rPr>
  </w:style>
  <w:style w:type="character" w:customStyle="1" w:styleId="118">
    <w:name w:val="书籍标题1"/>
    <w:qFormat/>
    <w:uiPriority w:val="0"/>
    <w:rPr>
      <w:b/>
      <w:bCs/>
      <w:smallCaps/>
      <w:spacing w:val="5"/>
    </w:rPr>
  </w:style>
  <w:style w:type="character" w:customStyle="1" w:styleId="119">
    <w:name w:val="页脚 字符"/>
    <w:link w:val="28"/>
    <w:qFormat/>
    <w:uiPriority w:val="99"/>
    <w:rPr>
      <w:kern w:val="2"/>
      <w:sz w:val="18"/>
      <w:szCs w:val="18"/>
    </w:rPr>
  </w:style>
  <w:style w:type="character" w:customStyle="1" w:styleId="120">
    <w:name w:val="标题4 Char Char"/>
    <w:link w:val="121"/>
    <w:qFormat/>
    <w:uiPriority w:val="0"/>
    <w:rPr>
      <w:rFonts w:ascii="Arial" w:hAnsi="Arial"/>
      <w:b/>
      <w:bCs/>
      <w:sz w:val="24"/>
      <w:szCs w:val="32"/>
    </w:rPr>
  </w:style>
  <w:style w:type="paragraph" w:customStyle="1" w:styleId="121">
    <w:name w:val="标题4"/>
    <w:basedOn w:val="4"/>
    <w:next w:val="2"/>
    <w:link w:val="120"/>
    <w:qFormat/>
    <w:uiPriority w:val="0"/>
    <w:pPr>
      <w:numPr>
        <w:ilvl w:val="0"/>
        <w:numId w:val="0"/>
      </w:numPr>
      <w:spacing w:line="413" w:lineRule="auto"/>
    </w:pPr>
    <w:rPr>
      <w:rFonts w:ascii="Arial" w:hAnsi="Arial"/>
      <w:kern w:val="0"/>
      <w:sz w:val="24"/>
    </w:rPr>
  </w:style>
  <w:style w:type="character" w:customStyle="1" w:styleId="122">
    <w:name w:val="正文文本 Char1"/>
    <w:qFormat/>
    <w:uiPriority w:val="0"/>
    <w:rPr>
      <w:rFonts w:ascii="Calibri" w:hAnsi="Calibri" w:eastAsia="宋体" w:cs="Times New Roman"/>
    </w:rPr>
  </w:style>
  <w:style w:type="character" w:customStyle="1" w:styleId="123">
    <w:name w:val="明显引用 Char1"/>
    <w:qFormat/>
    <w:uiPriority w:val="30"/>
    <w:rPr>
      <w:b/>
      <w:bCs/>
      <w:i/>
      <w:iCs/>
      <w:color w:val="4F81BD"/>
      <w:kern w:val="2"/>
      <w:sz w:val="21"/>
    </w:rPr>
  </w:style>
  <w:style w:type="character" w:customStyle="1" w:styleId="124">
    <w:name w:val="页眉 Char1"/>
    <w:semiHidden/>
    <w:qFormat/>
    <w:uiPriority w:val="99"/>
    <w:rPr>
      <w:rFonts w:ascii="Calibri" w:hAnsi="Calibri" w:eastAsia="宋体" w:cs="Times New Roman"/>
      <w:sz w:val="18"/>
      <w:szCs w:val="18"/>
    </w:rPr>
  </w:style>
  <w:style w:type="character" w:customStyle="1" w:styleId="125">
    <w:name w:val="不明显强调1"/>
    <w:qFormat/>
    <w:uiPriority w:val="0"/>
    <w:rPr>
      <w:i/>
      <w:iCs/>
      <w:color w:val="808080"/>
    </w:rPr>
  </w:style>
  <w:style w:type="character" w:customStyle="1" w:styleId="126">
    <w:name w:val="正文文本 3 字符"/>
    <w:link w:val="18"/>
    <w:qFormat/>
    <w:uiPriority w:val="0"/>
    <w:rPr>
      <w:rFonts w:ascii="宋体"/>
      <w:kern w:val="2"/>
      <w:sz w:val="24"/>
    </w:rPr>
  </w:style>
  <w:style w:type="character" w:customStyle="1" w:styleId="127">
    <w:name w:val="正文文本缩进 3 字符"/>
    <w:link w:val="34"/>
    <w:qFormat/>
    <w:uiPriority w:val="0"/>
    <w:rPr>
      <w:kern w:val="2"/>
      <w:sz w:val="16"/>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批注框文本 字符"/>
    <w:link w:val="27"/>
    <w:qFormat/>
    <w:uiPriority w:val="0"/>
    <w:rPr>
      <w:kern w:val="2"/>
      <w:sz w:val="18"/>
      <w:szCs w:val="18"/>
    </w:rPr>
  </w:style>
  <w:style w:type="character" w:customStyle="1" w:styleId="130">
    <w:name w:val="标题 7 字符"/>
    <w:link w:val="9"/>
    <w:qFormat/>
    <w:uiPriority w:val="0"/>
    <w:rPr>
      <w:b/>
      <w:bCs/>
      <w:kern w:val="2"/>
      <w:sz w:val="24"/>
      <w:szCs w:val="24"/>
    </w:rPr>
  </w:style>
  <w:style w:type="character" w:customStyle="1" w:styleId="131">
    <w:name w:val="标题 1 字符"/>
    <w:link w:val="3"/>
    <w:qFormat/>
    <w:uiPriority w:val="0"/>
    <w:rPr>
      <w:rFonts w:ascii="Times New Roman" w:hAnsi="Times New Roman" w:eastAsia="宋体" w:cs="Times New Roman"/>
      <w:b/>
      <w:bCs/>
      <w:kern w:val="44"/>
      <w:sz w:val="32"/>
      <w:szCs w:val="44"/>
    </w:rPr>
  </w:style>
  <w:style w:type="character" w:customStyle="1" w:styleId="132">
    <w:name w:val="文档结构图 Char1"/>
    <w:qFormat/>
    <w:uiPriority w:val="0"/>
    <w:rPr>
      <w:rFonts w:ascii="宋体" w:hAnsi="Calibri" w:eastAsia="宋体" w:cs="Times New Roman"/>
      <w:sz w:val="18"/>
      <w:szCs w:val="18"/>
    </w:rPr>
  </w:style>
  <w:style w:type="character" w:customStyle="1" w:styleId="133">
    <w:name w:val="标题 2 Char_0"/>
    <w:link w:val="134"/>
    <w:qFormat/>
    <w:uiPriority w:val="0"/>
    <w:rPr>
      <w:rFonts w:ascii="Cambria" w:hAnsi="Cambria"/>
      <w:b/>
      <w:bCs/>
      <w:sz w:val="32"/>
      <w:szCs w:val="32"/>
    </w:rPr>
  </w:style>
  <w:style w:type="paragraph" w:customStyle="1" w:styleId="134">
    <w:name w:val="标题 2_0"/>
    <w:basedOn w:val="60"/>
    <w:next w:val="60"/>
    <w:link w:val="133"/>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semiHidden/>
    <w:qFormat/>
    <w:uiPriority w:val="99"/>
    <w:rPr>
      <w:rFonts w:ascii="Calibri" w:hAnsi="Calibri" w:eastAsia="宋体" w:cs="Times New Roman"/>
    </w:rPr>
  </w:style>
  <w:style w:type="character" w:customStyle="1" w:styleId="136">
    <w:name w:val="批注框文本 Char2"/>
    <w:semiHidden/>
    <w:qFormat/>
    <w:uiPriority w:val="99"/>
    <w:rPr>
      <w:rFonts w:ascii="Calibri" w:hAnsi="Calibri" w:eastAsia="宋体" w:cs="Times New Roman"/>
      <w:sz w:val="18"/>
      <w:szCs w:val="18"/>
    </w:rPr>
  </w:style>
  <w:style w:type="character" w:customStyle="1" w:styleId="137">
    <w:name w:val="标题 4 字符"/>
    <w:link w:val="6"/>
    <w:qFormat/>
    <w:uiPriority w:val="0"/>
    <w:rPr>
      <w:rFonts w:ascii="Cambria" w:hAnsi="Cambria" w:eastAsia="宋体" w:cs="Times New Roman"/>
      <w:b/>
      <w:bCs/>
      <w:kern w:val="2"/>
      <w:sz w:val="28"/>
      <w:szCs w:val="28"/>
    </w:rPr>
  </w:style>
  <w:style w:type="character" w:customStyle="1" w:styleId="138">
    <w:name w:val="列出段落 Char"/>
    <w:link w:val="139"/>
    <w:qFormat/>
    <w:locked/>
    <w:uiPriority w:val="99"/>
    <w:rPr>
      <w:kern w:val="2"/>
      <w:sz w:val="21"/>
      <w:szCs w:val="24"/>
    </w:rPr>
  </w:style>
  <w:style w:type="paragraph" w:customStyle="1" w:styleId="139">
    <w:name w:val="List Paragraph1"/>
    <w:basedOn w:val="1"/>
    <w:link w:val="138"/>
    <w:qFormat/>
    <w:uiPriority w:val="99"/>
    <w:pPr>
      <w:ind w:firstLine="420" w:firstLineChars="200"/>
    </w:pPr>
  </w:style>
  <w:style w:type="paragraph" w:customStyle="1" w:styleId="140">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4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3"/>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7">
    <w:name w:val="正文1"/>
    <w:qFormat/>
    <w:uiPriority w:val="0"/>
    <w:pPr>
      <w:widowControl w:val="0"/>
      <w:jc w:val="both"/>
    </w:pPr>
    <w:rPr>
      <w:rFonts w:ascii="Calibri" w:hAnsi="Calibri" w:eastAsia="宋体" w:cs="Times New Roman"/>
      <w:lang w:val="en-US" w:eastAsia="zh-CN" w:bidi="ar-SA"/>
    </w:rPr>
  </w:style>
  <w:style w:type="paragraph" w:customStyle="1" w:styleId="148">
    <w:name w:val="列出段落1"/>
    <w:basedOn w:val="1"/>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0">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1">
    <w:name w:val="目录 5_0"/>
    <w:basedOn w:val="60"/>
    <w:next w:val="60"/>
    <w:qFormat/>
    <w:uiPriority w:val="39"/>
    <w:pPr>
      <w:ind w:left="1680" w:leftChars="800"/>
    </w:pPr>
    <w:rPr>
      <w:rFonts w:ascii="Calibri" w:hAnsi="Calibri"/>
    </w:rPr>
  </w:style>
  <w:style w:type="paragraph" w:customStyle="1" w:styleId="152">
    <w:name w:val="修订1"/>
    <w:qFormat/>
    <w:uiPriority w:val="0"/>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qFormat/>
    <w:uiPriority w:val="0"/>
    <w:pPr>
      <w:spacing w:line="400" w:lineRule="exact"/>
      <w:ind w:firstLine="716" w:firstLineChars="341"/>
    </w:pPr>
    <w:rPr>
      <w:rFonts w:ascii="Calibri" w:hAnsi="Calibri"/>
      <w:szCs w:val="22"/>
    </w:rPr>
  </w:style>
  <w:style w:type="paragraph" w:customStyle="1" w:styleId="155">
    <w:name w:val="TOC 标题1"/>
    <w:basedOn w:val="3"/>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8">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qFormat/>
    <w:uiPriority w:val="0"/>
    <w:pPr>
      <w:jc w:val="center"/>
      <w:textAlignment w:val="center"/>
    </w:pPr>
    <w:rPr>
      <w:rFonts w:ascii="华文细黑" w:hAnsi="华文细黑"/>
      <w:kern w:val="0"/>
      <w:szCs w:val="22"/>
    </w:rPr>
  </w:style>
  <w:style w:type="paragraph" w:customStyle="1" w:styleId="16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列出段落2"/>
    <w:basedOn w:val="1"/>
    <w:qFormat/>
    <w:uiPriority w:val="99"/>
    <w:pPr>
      <w:ind w:firstLine="420" w:firstLineChars="200"/>
    </w:pPr>
  </w:style>
  <w:style w:type="paragraph" w:customStyle="1" w:styleId="16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qFormat/>
    <w:uiPriority w:val="0"/>
    <w:pPr>
      <w:adjustRightInd w:val="0"/>
      <w:spacing w:line="360" w:lineRule="auto"/>
    </w:pPr>
    <w:rPr>
      <w:kern w:val="0"/>
      <w:sz w:val="24"/>
      <w:szCs w:val="20"/>
    </w:rPr>
  </w:style>
  <w:style w:type="paragraph" w:customStyle="1" w:styleId="165">
    <w:name w:val="2方案格式2"/>
    <w:basedOn w:val="145"/>
    <w:qFormat/>
    <w:uiPriority w:val="0"/>
    <w:pPr>
      <w:numPr>
        <w:ilvl w:val="1"/>
      </w:numPr>
      <w:spacing w:before="50" w:after="50" w:line="240" w:lineRule="auto"/>
      <w:outlineLvl w:val="1"/>
    </w:pPr>
    <w:rPr>
      <w:sz w:val="44"/>
    </w:rPr>
  </w:style>
  <w:style w:type="paragraph" w:customStyle="1" w:styleId="16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qFormat/>
    <w:uiPriority w:val="39"/>
    <w:pPr>
      <w:ind w:left="1260" w:leftChars="600"/>
    </w:pPr>
    <w:rPr>
      <w:rFonts w:ascii="Calibri" w:hAnsi="Calibri"/>
    </w:rPr>
  </w:style>
  <w:style w:type="paragraph" w:customStyle="1" w:styleId="170">
    <w:name w:val="目录 3_0"/>
    <w:basedOn w:val="60"/>
    <w:next w:val="60"/>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3"/>
    <w:qFormat/>
    <w:uiPriority w:val="0"/>
    <w:pPr>
      <w:numPr>
        <w:numId w:val="0"/>
      </w:numPr>
      <w:spacing w:before="120" w:after="120" w:line="400" w:lineRule="exact"/>
    </w:pPr>
    <w:rPr>
      <w:rFonts w:ascii="黑体" w:hAnsi="黑体" w:eastAsia="黑体"/>
      <w:b w:val="0"/>
      <w:bCs w:val="0"/>
      <w:szCs w:val="20"/>
    </w:rPr>
  </w:style>
  <w:style w:type="paragraph" w:customStyle="1" w:styleId="172">
    <w:name w:val="1"/>
    <w:basedOn w:val="1"/>
    <w:next w:val="1"/>
    <w:qFormat/>
    <w:uiPriority w:val="0"/>
    <w:rPr>
      <w:rFonts w:ascii="Calibri" w:hAnsi="Calibri"/>
      <w:szCs w:val="22"/>
    </w:rPr>
  </w:style>
  <w:style w:type="paragraph" w:customStyle="1" w:styleId="173">
    <w:name w:val="Blockquote_0"/>
    <w:basedOn w:val="6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qFormat/>
    <w:uiPriority w:val="0"/>
    <w:pPr>
      <w:widowControl/>
    </w:pPr>
    <w:rPr>
      <w:b/>
      <w:bCs/>
      <w:kern w:val="0"/>
      <w:sz w:val="24"/>
    </w:rPr>
  </w:style>
  <w:style w:type="paragraph" w:customStyle="1" w:styleId="178">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qFormat/>
    <w:uiPriority w:val="0"/>
    <w:pPr>
      <w:numPr>
        <w:ilvl w:val="2"/>
      </w:numPr>
      <w:outlineLvl w:val="2"/>
    </w:pPr>
    <w:rPr>
      <w:sz w:val="32"/>
    </w:rPr>
  </w:style>
  <w:style w:type="paragraph" w:customStyle="1" w:styleId="180">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4"/>
    <w:next w:val="19"/>
    <w:qFormat/>
    <w:uiPriority w:val="0"/>
    <w:pPr>
      <w:spacing w:before="156" w:after="156" w:line="360" w:lineRule="auto"/>
    </w:pPr>
    <w:rPr>
      <w:bCs w:val="0"/>
      <w:sz w:val="24"/>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qFormat/>
    <w:uiPriority w:val="0"/>
    <w:rPr>
      <w:rFonts w:ascii="Calibri" w:hAnsi="Calibri" w:eastAsia="宋体" w:cs="Calibri"/>
      <w:sz w:val="24"/>
      <w:szCs w:val="24"/>
      <w:lang w:val="en-US" w:eastAsia="zh-CN" w:bidi="ar-SA"/>
    </w:rPr>
  </w:style>
  <w:style w:type="paragraph" w:customStyle="1" w:styleId="184">
    <w:name w:val="正文2"/>
    <w:qFormat/>
    <w:uiPriority w:val="0"/>
    <w:rPr>
      <w:rFonts w:ascii="Times New Roman" w:hAnsi="Times New Roman" w:eastAsia="微软雅黑" w:cs="Times New Roman"/>
      <w:sz w:val="24"/>
      <w:szCs w:val="24"/>
      <w:lang w:val="en-US" w:eastAsia="zh-CN" w:bidi="ar-SA"/>
    </w:rPr>
  </w:style>
  <w:style w:type="paragraph" w:customStyle="1" w:styleId="18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qFormat/>
    <w:uiPriority w:val="0"/>
    <w:pPr>
      <w:jc w:val="left"/>
    </w:pPr>
    <w:rPr>
      <w:rFonts w:hint="eastAsia" w:ascii="宋体" w:hAnsi="宋体" w:cs="Courier New"/>
      <w:kern w:val="1"/>
      <w:sz w:val="24"/>
      <w:szCs w:val="20"/>
      <w:lang w:bidi="hi-IN"/>
    </w:rPr>
  </w:style>
  <w:style w:type="character" w:customStyle="1" w:styleId="187">
    <w:name w:val="表格文字 字符"/>
    <w:link w:val="156"/>
    <w:qFormat/>
    <w:uiPriority w:val="0"/>
    <w:rPr>
      <w:rFonts w:ascii="Calibri" w:hAnsi="Calibri" w:eastAsia="宋体" w:cs="Times New Roman"/>
      <w:sz w:val="21"/>
      <w:szCs w:val="22"/>
    </w:rPr>
  </w:style>
  <w:style w:type="paragraph" w:styleId="188">
    <w:name w:val="List Paragraph"/>
    <w:basedOn w:val="1"/>
    <w:qFormat/>
    <w:uiPriority w:val="99"/>
    <w:pPr>
      <w:ind w:firstLine="420" w:firstLineChars="200"/>
    </w:pPr>
  </w:style>
  <w:style w:type="paragraph" w:customStyle="1" w:styleId="189">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样式1"/>
    <w:basedOn w:val="1"/>
    <w:qFormat/>
    <w:uiPriority w:val="0"/>
    <w:pPr>
      <w:numPr>
        <w:ilvl w:val="0"/>
        <w:numId w:val="3"/>
      </w:numPr>
    </w:pPr>
    <w:rPr>
      <w:rFonts w:ascii="Calibri" w:hAnsi="Calibri"/>
    </w:rPr>
  </w:style>
  <w:style w:type="character" w:customStyle="1" w:styleId="191">
    <w:name w:val="font01"/>
    <w:qFormat/>
    <w:uiPriority w:val="0"/>
    <w:rPr>
      <w:rFonts w:hint="eastAsia" w:ascii="宋体" w:hAnsi="宋体" w:eastAsia="宋体" w:cs="宋体"/>
      <w:color w:val="000000"/>
      <w:sz w:val="22"/>
      <w:szCs w:val="22"/>
      <w:u w:val="none"/>
    </w:rPr>
  </w:style>
  <w:style w:type="paragraph" w:customStyle="1" w:styleId="19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9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9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96">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97">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fontstyle01"/>
    <w:qFormat/>
    <w:uiPriority w:val="0"/>
    <w:rPr>
      <w:rFonts w:hint="eastAsia" w:ascii="宋体" w:hAnsi="宋体" w:eastAsia="宋体" w:cs="Times New Roman"/>
      <w:color w:val="000000"/>
      <w:sz w:val="22"/>
      <w:szCs w:val="22"/>
    </w:rPr>
  </w:style>
  <w:style w:type="paragraph" w:customStyle="1" w:styleId="19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00">
    <w:name w:val="箭头样式1"/>
    <w:basedOn w:val="188"/>
    <w:qFormat/>
    <w:uiPriority w:val="0"/>
    <w:pPr>
      <w:numPr>
        <w:ilvl w:val="0"/>
        <w:numId w:val="4"/>
      </w:numPr>
      <w:ind w:firstLine="0" w:firstLineChars="0"/>
      <w:jc w:val="left"/>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8765D-F80A-4D2F-A2A2-35502428C942}">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108</Pages>
  <Words>12611</Words>
  <Characters>13490</Characters>
  <Lines>233</Lines>
  <Paragraphs>65</Paragraphs>
  <TotalTime>107</TotalTime>
  <ScaleCrop>false</ScaleCrop>
  <LinksUpToDate>false</LinksUpToDate>
  <CharactersWithSpaces>13583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2024-05-17T08:19:00Z</dcterms:created>
  <dc:creator>Lenovo User</dc:creator>
  <cp:lastModifiedBy>陈亚囡</cp:lastModifiedBy>
  <cp:lastPrinted>2023-12-06T07:06:00Z</cp:lastPrinted>
  <dcterms:modified xsi:type="dcterms:W3CDTF">2024-11-20T08:09:48Z</dcterms:modified>
  <dc:title>公开招标文件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A897C1C877374BF7A5F02626C5958318_13</vt:lpwstr>
  </property>
</Properties>
</file>