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5DEAD7">
      <w:pPr>
        <w:spacing w:line="360" w:lineRule="auto"/>
        <w:ind w:firstLine="723" w:firstLineChars="200"/>
        <w:jc w:val="left"/>
        <w:rPr>
          <w:rFonts w:ascii="宋体" w:hAnsi="宋体" w:cs="宋体"/>
          <w:b/>
          <w:bCs/>
          <w:sz w:val="36"/>
          <w:szCs w:val="36"/>
        </w:rPr>
      </w:pPr>
    </w:p>
    <w:p w14:paraId="3FBE3C77">
      <w:pPr>
        <w:spacing w:line="360" w:lineRule="auto"/>
        <w:jc w:val="center"/>
        <w:rPr>
          <w:rFonts w:ascii="宋体" w:hAnsi="宋体" w:cs="宋体"/>
          <w:b/>
          <w:bCs/>
          <w:sz w:val="36"/>
          <w:szCs w:val="36"/>
        </w:rPr>
      </w:pPr>
    </w:p>
    <w:p w14:paraId="41E079F6">
      <w:pPr>
        <w:spacing w:line="360" w:lineRule="auto"/>
        <w:jc w:val="center"/>
        <w:rPr>
          <w:rFonts w:ascii="宋体" w:hAnsi="宋体" w:cs="宋体"/>
          <w:b/>
          <w:bCs/>
          <w:sz w:val="36"/>
          <w:szCs w:val="36"/>
        </w:rPr>
      </w:pPr>
    </w:p>
    <w:p w14:paraId="06DF3F99">
      <w:pPr>
        <w:spacing w:line="360" w:lineRule="auto"/>
        <w:jc w:val="center"/>
        <w:rPr>
          <w:rFonts w:ascii="宋体" w:hAnsi="宋体" w:cs="宋体"/>
          <w:b/>
          <w:bCs/>
          <w:sz w:val="36"/>
          <w:szCs w:val="36"/>
          <w:highlight w:val="none"/>
        </w:rPr>
      </w:pPr>
    </w:p>
    <w:p w14:paraId="23ECFFE8">
      <w:pPr>
        <w:spacing w:line="360" w:lineRule="auto"/>
        <w:ind w:left="630" w:leftChars="300" w:right="630" w:rightChars="300"/>
        <w:jc w:val="center"/>
        <w:rPr>
          <w:rFonts w:ascii="宋体" w:hAnsi="宋体" w:cs="宋体"/>
          <w:sz w:val="36"/>
          <w:szCs w:val="36"/>
          <w:highlight w:val="none"/>
        </w:rPr>
      </w:pPr>
      <w:r>
        <w:rPr>
          <w:rFonts w:hint="eastAsia" w:ascii="宋体" w:hAnsi="宋体" w:cs="宋体"/>
          <w:b/>
          <w:bCs/>
          <w:sz w:val="36"/>
          <w:szCs w:val="36"/>
          <w:highlight w:val="none"/>
        </w:rPr>
        <w:t>浙江省嘉兴支队海盐县消防救援大队2024-2025年度物业管理服务采购项目</w:t>
      </w:r>
    </w:p>
    <w:p w14:paraId="628756D9">
      <w:pPr>
        <w:pStyle w:val="59"/>
        <w:spacing w:line="360" w:lineRule="auto"/>
        <w:rPr>
          <w:rFonts w:ascii="宋体" w:hAnsi="宋体" w:cs="宋体"/>
          <w:highlight w:val="none"/>
        </w:rPr>
      </w:pPr>
    </w:p>
    <w:p w14:paraId="362E1815">
      <w:pPr>
        <w:spacing w:line="360" w:lineRule="auto"/>
        <w:jc w:val="center"/>
        <w:rPr>
          <w:rFonts w:ascii="宋体" w:hAnsi="宋体" w:cs="宋体"/>
          <w:b/>
          <w:sz w:val="52"/>
          <w:szCs w:val="52"/>
          <w:highlight w:val="none"/>
        </w:rPr>
      </w:pPr>
      <w:r>
        <w:rPr>
          <w:rFonts w:hint="eastAsia" w:ascii="宋体" w:hAnsi="宋体" w:cs="宋体"/>
          <w:b/>
          <w:sz w:val="52"/>
          <w:szCs w:val="52"/>
          <w:highlight w:val="none"/>
        </w:rPr>
        <w:t>公</w:t>
      </w:r>
    </w:p>
    <w:p w14:paraId="430DADCE">
      <w:pPr>
        <w:spacing w:line="360" w:lineRule="auto"/>
        <w:jc w:val="center"/>
        <w:rPr>
          <w:rFonts w:ascii="宋体" w:hAnsi="宋体" w:cs="宋体"/>
          <w:b/>
          <w:sz w:val="52"/>
          <w:szCs w:val="52"/>
        </w:rPr>
      </w:pPr>
      <w:r>
        <w:rPr>
          <w:rFonts w:hint="eastAsia" w:ascii="宋体" w:hAnsi="宋体" w:cs="宋体"/>
          <w:b/>
          <w:sz w:val="52"/>
          <w:szCs w:val="52"/>
        </w:rPr>
        <w:t>开</w:t>
      </w:r>
    </w:p>
    <w:p w14:paraId="557A35E4">
      <w:pPr>
        <w:spacing w:line="360" w:lineRule="auto"/>
        <w:jc w:val="center"/>
        <w:rPr>
          <w:rFonts w:ascii="宋体" w:hAnsi="宋体" w:cs="宋体"/>
          <w:b/>
          <w:sz w:val="52"/>
          <w:szCs w:val="52"/>
        </w:rPr>
      </w:pPr>
      <w:r>
        <w:rPr>
          <w:rFonts w:hint="eastAsia" w:ascii="宋体" w:hAnsi="宋体" w:cs="宋体"/>
          <w:b/>
          <w:sz w:val="52"/>
          <w:szCs w:val="52"/>
        </w:rPr>
        <w:t>招</w:t>
      </w:r>
    </w:p>
    <w:p w14:paraId="5FD08158">
      <w:pPr>
        <w:spacing w:line="360" w:lineRule="auto"/>
        <w:jc w:val="center"/>
        <w:rPr>
          <w:rFonts w:ascii="宋体" w:hAnsi="宋体" w:cs="宋体"/>
          <w:b/>
          <w:sz w:val="52"/>
          <w:szCs w:val="52"/>
        </w:rPr>
      </w:pPr>
      <w:r>
        <w:rPr>
          <w:rFonts w:hint="eastAsia" w:ascii="宋体" w:hAnsi="宋体" w:cs="宋体"/>
          <w:b/>
          <w:sz w:val="52"/>
          <w:szCs w:val="52"/>
        </w:rPr>
        <w:t>标</w:t>
      </w:r>
    </w:p>
    <w:p w14:paraId="31C51602">
      <w:pPr>
        <w:spacing w:line="360" w:lineRule="auto"/>
        <w:jc w:val="center"/>
        <w:rPr>
          <w:rFonts w:ascii="宋体" w:hAnsi="宋体" w:cs="宋体"/>
          <w:b/>
          <w:sz w:val="52"/>
          <w:szCs w:val="52"/>
        </w:rPr>
      </w:pPr>
      <w:r>
        <w:rPr>
          <w:rFonts w:hint="eastAsia" w:ascii="宋体" w:hAnsi="宋体" w:cs="宋体"/>
          <w:b/>
          <w:sz w:val="52"/>
          <w:szCs w:val="52"/>
        </w:rPr>
        <w:t>文</w:t>
      </w:r>
    </w:p>
    <w:p w14:paraId="37885ED1">
      <w:pPr>
        <w:spacing w:line="360" w:lineRule="auto"/>
        <w:jc w:val="center"/>
        <w:rPr>
          <w:rFonts w:ascii="宋体" w:hAnsi="宋体" w:cs="宋体"/>
          <w:b/>
          <w:sz w:val="52"/>
          <w:szCs w:val="52"/>
        </w:rPr>
      </w:pPr>
      <w:r>
        <w:rPr>
          <w:rFonts w:hint="eastAsia" w:ascii="宋体" w:hAnsi="宋体" w:cs="宋体"/>
          <w:b/>
          <w:sz w:val="52"/>
          <w:szCs w:val="52"/>
        </w:rPr>
        <w:t>件</w:t>
      </w:r>
    </w:p>
    <w:p w14:paraId="77369D94">
      <w:pPr>
        <w:pStyle w:val="20"/>
        <w:spacing w:after="0" w:line="360" w:lineRule="auto"/>
        <w:rPr>
          <w:rFonts w:ascii="宋体" w:hAnsi="宋体" w:cs="宋体"/>
          <w:sz w:val="28"/>
          <w:szCs w:val="28"/>
        </w:rPr>
      </w:pPr>
    </w:p>
    <w:p w14:paraId="69E766D8">
      <w:pPr>
        <w:pStyle w:val="25"/>
        <w:spacing w:line="360" w:lineRule="auto"/>
        <w:ind w:firstLine="1603" w:firstLineChars="600"/>
        <w:jc w:val="left"/>
        <w:rPr>
          <w:rFonts w:hAnsi="宋体" w:cs="宋体"/>
          <w:b/>
          <w:sz w:val="28"/>
          <w:szCs w:val="28"/>
        </w:rPr>
      </w:pPr>
      <w:r>
        <w:rPr>
          <w:rFonts w:hint="eastAsia" w:hAnsi="宋体" w:cs="宋体"/>
          <w:b/>
          <w:bCs/>
          <w:w w:val="95"/>
          <w:sz w:val="28"/>
          <w:szCs w:val="28"/>
        </w:rPr>
        <w:t>项目编号：嘉消采-GK2024016</w:t>
      </w:r>
    </w:p>
    <w:p w14:paraId="338B6359">
      <w:pPr>
        <w:pStyle w:val="25"/>
        <w:spacing w:line="360" w:lineRule="auto"/>
        <w:ind w:firstLine="1603" w:firstLineChars="600"/>
        <w:jc w:val="left"/>
        <w:rPr>
          <w:rFonts w:hAnsi="宋体" w:cs="宋体"/>
          <w:b/>
          <w:bCs/>
          <w:w w:val="95"/>
          <w:sz w:val="28"/>
          <w:szCs w:val="28"/>
        </w:rPr>
      </w:pPr>
      <w:r>
        <w:rPr>
          <w:rFonts w:hint="eastAsia" w:hAnsi="宋体" w:cs="宋体"/>
          <w:b/>
          <w:bCs/>
          <w:w w:val="95"/>
          <w:sz w:val="28"/>
          <w:szCs w:val="28"/>
        </w:rPr>
        <w:t>采购单位：</w:t>
      </w:r>
      <w:r>
        <w:rPr>
          <w:rFonts w:hint="eastAsia" w:hAnsi="宋体" w:cs="宋体"/>
          <w:b/>
          <w:sz w:val="28"/>
          <w:szCs w:val="28"/>
        </w:rPr>
        <w:t>海盐县消防救援大队</w:t>
      </w:r>
    </w:p>
    <w:p w14:paraId="501DAB22">
      <w:pPr>
        <w:pStyle w:val="25"/>
        <w:spacing w:line="360" w:lineRule="auto"/>
        <w:ind w:firstLine="1603" w:firstLineChars="600"/>
        <w:jc w:val="left"/>
        <w:rPr>
          <w:rFonts w:hAnsi="宋体" w:cs="宋体"/>
          <w:b/>
          <w:bCs/>
          <w:w w:val="95"/>
          <w:sz w:val="28"/>
          <w:szCs w:val="28"/>
        </w:rPr>
      </w:pPr>
      <w:r>
        <w:rPr>
          <w:rFonts w:hint="eastAsia" w:hAnsi="宋体" w:cs="宋体"/>
          <w:b/>
          <w:bCs/>
          <w:w w:val="95"/>
          <w:sz w:val="28"/>
          <w:szCs w:val="28"/>
        </w:rPr>
        <w:t>代理机构：浙江中明工程咨询有限公司</w:t>
      </w:r>
    </w:p>
    <w:p w14:paraId="21026B67">
      <w:pPr>
        <w:spacing w:line="360" w:lineRule="auto"/>
        <w:ind w:firstLine="534" w:firstLineChars="200"/>
        <w:jc w:val="center"/>
        <w:rPr>
          <w:rFonts w:ascii="宋体" w:hAnsi="宋体" w:cs="宋体"/>
          <w:b/>
          <w:bCs/>
          <w:w w:val="95"/>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74" w:right="1797" w:bottom="1247" w:left="1797" w:header="851" w:footer="851" w:gutter="0"/>
          <w:cols w:space="720" w:num="1"/>
          <w:titlePg/>
          <w:docGrid w:linePitch="312" w:charSpace="0"/>
        </w:sectPr>
      </w:pPr>
      <w:bookmarkStart w:id="0" w:name="_Toc50012812"/>
      <w:bookmarkStart w:id="1" w:name="_Toc493511539"/>
      <w:bookmarkStart w:id="2" w:name="_Toc427915753"/>
      <w:r>
        <w:rPr>
          <w:rFonts w:hint="eastAsia" w:ascii="宋体" w:hAnsi="宋体" w:cs="宋体"/>
          <w:b/>
          <w:bCs/>
          <w:w w:val="95"/>
          <w:sz w:val="28"/>
          <w:szCs w:val="28"/>
        </w:rPr>
        <w:t>2024年</w:t>
      </w:r>
      <w:r>
        <w:rPr>
          <w:rFonts w:hint="eastAsia" w:ascii="宋体" w:hAnsi="宋体" w:cs="宋体"/>
          <w:b/>
          <w:bCs/>
          <w:w w:val="95"/>
          <w:sz w:val="28"/>
          <w:szCs w:val="28"/>
          <w:lang w:val="en-US" w:eastAsia="zh-CN"/>
        </w:rPr>
        <w:t>10</w:t>
      </w:r>
      <w:r>
        <w:rPr>
          <w:rFonts w:hint="eastAsia" w:ascii="宋体" w:hAnsi="宋体" w:cs="宋体"/>
          <w:b/>
          <w:bCs/>
          <w:w w:val="95"/>
          <w:sz w:val="28"/>
          <w:szCs w:val="28"/>
        </w:rPr>
        <w:t>月</w:t>
      </w:r>
      <w:bookmarkEnd w:id="0"/>
      <w:bookmarkEnd w:id="1"/>
      <w:bookmarkEnd w:id="2"/>
    </w:p>
    <w:p w14:paraId="7D3787D8">
      <w:pPr>
        <w:spacing w:line="360" w:lineRule="auto"/>
        <w:rPr>
          <w:rFonts w:ascii="宋体" w:hAnsi="宋体" w:cs="宋体"/>
        </w:rPr>
      </w:pPr>
    </w:p>
    <w:p w14:paraId="30CFDA03">
      <w:pPr>
        <w:pStyle w:val="65"/>
        <w:spacing w:before="0" w:line="360" w:lineRule="auto"/>
        <w:ind w:firstLine="723" w:firstLineChars="200"/>
        <w:jc w:val="center"/>
        <w:rPr>
          <w:rFonts w:ascii="宋体" w:hAnsi="宋体" w:cs="宋体"/>
          <w:color w:val="auto"/>
          <w:sz w:val="36"/>
          <w:szCs w:val="36"/>
        </w:rPr>
      </w:pPr>
      <w:bookmarkStart w:id="3" w:name="_Toc28810"/>
      <w:r>
        <w:rPr>
          <w:rFonts w:hint="eastAsia" w:ascii="宋体" w:hAnsi="宋体" w:cs="宋体"/>
          <w:color w:val="auto"/>
          <w:sz w:val="36"/>
          <w:szCs w:val="36"/>
          <w:lang w:val="zh-CN"/>
        </w:rPr>
        <w:t>目</w:t>
      </w:r>
      <w:r>
        <w:rPr>
          <w:rFonts w:hint="eastAsia" w:ascii="宋体" w:hAnsi="宋体" w:cs="宋体"/>
          <w:color w:val="auto"/>
          <w:sz w:val="36"/>
          <w:szCs w:val="36"/>
        </w:rPr>
        <w:t xml:space="preserve">  </w:t>
      </w:r>
      <w:r>
        <w:rPr>
          <w:rFonts w:hint="eastAsia" w:ascii="宋体" w:hAnsi="宋体" w:cs="宋体"/>
          <w:color w:val="auto"/>
          <w:sz w:val="36"/>
          <w:szCs w:val="36"/>
          <w:lang w:val="zh-CN"/>
        </w:rPr>
        <w:t>录</w:t>
      </w:r>
      <w:bookmarkEnd w:id="3"/>
    </w:p>
    <w:p w14:paraId="7AE60F35">
      <w:pPr>
        <w:pStyle w:val="33"/>
        <w:tabs>
          <w:tab w:val="right" w:leader="dot" w:pos="8312"/>
        </w:tabs>
        <w:spacing w:line="360" w:lineRule="auto"/>
        <w:rPr>
          <w:rFonts w:ascii="宋体" w:hAnsi="宋体" w:cs="宋体"/>
        </w:rPr>
      </w:pPr>
      <w:r>
        <w:rPr>
          <w:rFonts w:hint="eastAsia" w:ascii="宋体" w:hAnsi="宋体" w:cs="宋体"/>
          <w:szCs w:val="21"/>
        </w:rPr>
        <w:fldChar w:fldCharType="begin"/>
      </w:r>
      <w:r>
        <w:rPr>
          <w:rFonts w:hint="eastAsia" w:ascii="宋体" w:hAnsi="宋体" w:cs="宋体"/>
          <w:szCs w:val="21"/>
        </w:rPr>
        <w:instrText xml:space="preserve"> TOC \o "1-3" \h \z \u </w:instrText>
      </w:r>
      <w:r>
        <w:rPr>
          <w:rFonts w:hint="eastAsia" w:ascii="宋体" w:hAnsi="宋体" w:cs="宋体"/>
          <w:szCs w:val="21"/>
        </w:rPr>
        <w:fldChar w:fldCharType="separate"/>
      </w:r>
    </w:p>
    <w:p w14:paraId="01B36D7C">
      <w:pPr>
        <w:pStyle w:val="26"/>
        <w:tabs>
          <w:tab w:val="right" w:leader="dot" w:pos="8312"/>
        </w:tabs>
        <w:spacing w:line="360" w:lineRule="auto"/>
        <w:rPr>
          <w:rFonts w:ascii="宋体" w:hAnsi="宋体" w:cs="宋体"/>
          <w:sz w:val="24"/>
        </w:rPr>
      </w:pPr>
      <w:r>
        <w:fldChar w:fldCharType="begin"/>
      </w:r>
      <w:r>
        <w:instrText xml:space="preserve"> HYPERLINK \l "_Toc3494" </w:instrText>
      </w:r>
      <w:r>
        <w:fldChar w:fldCharType="separate"/>
      </w:r>
      <w:r>
        <w:rPr>
          <w:rFonts w:hint="eastAsia" w:ascii="宋体" w:hAnsi="宋体" w:cs="宋体"/>
          <w:sz w:val="24"/>
        </w:rPr>
        <w:t>第一章  公开招标采购公告</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p>
    <w:p w14:paraId="4C706777">
      <w:pPr>
        <w:pStyle w:val="26"/>
        <w:tabs>
          <w:tab w:val="right" w:leader="dot" w:pos="8312"/>
        </w:tabs>
        <w:spacing w:line="360" w:lineRule="auto"/>
        <w:rPr>
          <w:rFonts w:ascii="宋体" w:hAnsi="宋体" w:cs="宋体"/>
          <w:sz w:val="24"/>
        </w:rPr>
      </w:pPr>
      <w:r>
        <w:fldChar w:fldCharType="begin"/>
      </w:r>
      <w:r>
        <w:instrText xml:space="preserve"> HYPERLINK \l "_Toc3892" </w:instrText>
      </w:r>
      <w:r>
        <w:fldChar w:fldCharType="separate"/>
      </w:r>
      <w:r>
        <w:rPr>
          <w:rFonts w:hint="eastAsia" w:ascii="宋体" w:hAnsi="宋体" w:cs="宋体"/>
          <w:sz w:val="24"/>
        </w:rPr>
        <w:t>第二章  采购需求</w:t>
      </w:r>
      <w:r>
        <w:rPr>
          <w:rFonts w:hint="eastAsia" w:ascii="宋体" w:hAnsi="宋体" w:cs="宋体"/>
          <w:sz w:val="24"/>
        </w:rPr>
        <w:tab/>
      </w:r>
      <w:r>
        <w:rPr>
          <w:rFonts w:hint="eastAsia" w:ascii="宋体" w:hAnsi="宋体" w:cs="宋体"/>
          <w:sz w:val="24"/>
        </w:rPr>
        <w:t>5</w:t>
      </w:r>
      <w:r>
        <w:rPr>
          <w:rFonts w:hint="eastAsia" w:ascii="宋体" w:hAnsi="宋体" w:cs="宋体"/>
          <w:sz w:val="24"/>
        </w:rPr>
        <w:fldChar w:fldCharType="end"/>
      </w:r>
    </w:p>
    <w:p w14:paraId="5858AA7B">
      <w:pPr>
        <w:pStyle w:val="26"/>
        <w:tabs>
          <w:tab w:val="right" w:leader="dot" w:pos="8312"/>
        </w:tabs>
        <w:spacing w:line="360" w:lineRule="auto"/>
        <w:rPr>
          <w:rFonts w:ascii="宋体" w:hAnsi="宋体" w:cs="宋体"/>
          <w:sz w:val="24"/>
        </w:rPr>
      </w:pPr>
      <w:r>
        <w:fldChar w:fldCharType="begin"/>
      </w:r>
      <w:r>
        <w:instrText xml:space="preserve"> HYPERLINK \l "_Toc31093" </w:instrText>
      </w:r>
      <w:r>
        <w:fldChar w:fldCharType="separate"/>
      </w:r>
      <w:r>
        <w:rPr>
          <w:rFonts w:hint="eastAsia" w:ascii="宋体" w:hAnsi="宋体" w:cs="宋体"/>
          <w:sz w:val="24"/>
        </w:rPr>
        <w:t>第三章  投标人须知</w:t>
      </w:r>
      <w:r>
        <w:rPr>
          <w:rFonts w:hint="eastAsia" w:ascii="宋体" w:hAnsi="宋体" w:cs="宋体"/>
          <w:sz w:val="24"/>
        </w:rPr>
        <w:tab/>
      </w:r>
      <w:r>
        <w:rPr>
          <w:rFonts w:hint="eastAsia" w:ascii="宋体" w:hAnsi="宋体" w:cs="宋体"/>
          <w:sz w:val="24"/>
        </w:rPr>
        <w:t>2</w:t>
      </w:r>
      <w:r>
        <w:rPr>
          <w:rFonts w:hint="eastAsia" w:ascii="宋体" w:hAnsi="宋体" w:cs="宋体"/>
          <w:sz w:val="24"/>
        </w:rPr>
        <w:fldChar w:fldCharType="end"/>
      </w:r>
      <w:r>
        <w:rPr>
          <w:rFonts w:hint="eastAsia" w:ascii="宋体" w:hAnsi="宋体" w:cs="宋体"/>
          <w:sz w:val="24"/>
        </w:rPr>
        <w:t>2</w:t>
      </w:r>
    </w:p>
    <w:p w14:paraId="41614FB4">
      <w:pPr>
        <w:pStyle w:val="26"/>
        <w:tabs>
          <w:tab w:val="right" w:leader="dot" w:pos="8312"/>
        </w:tabs>
        <w:spacing w:line="360" w:lineRule="auto"/>
        <w:rPr>
          <w:rFonts w:ascii="宋体" w:hAnsi="宋体" w:cs="宋体"/>
          <w:sz w:val="24"/>
        </w:rPr>
      </w:pPr>
      <w:r>
        <w:fldChar w:fldCharType="begin"/>
      </w:r>
      <w:r>
        <w:instrText xml:space="preserve"> HYPERLINK \l "_Toc27157" </w:instrText>
      </w:r>
      <w:r>
        <w:fldChar w:fldCharType="separate"/>
      </w:r>
      <w:r>
        <w:rPr>
          <w:rFonts w:hint="eastAsia" w:ascii="宋体" w:hAnsi="宋体" w:cs="宋体"/>
          <w:sz w:val="24"/>
        </w:rPr>
        <w:t>第四章  评标办法及评分标准</w:t>
      </w:r>
      <w:r>
        <w:rPr>
          <w:rFonts w:hint="eastAsia" w:ascii="宋体" w:hAnsi="宋体" w:cs="宋体"/>
          <w:sz w:val="24"/>
        </w:rPr>
        <w:tab/>
      </w:r>
      <w:r>
        <w:rPr>
          <w:rFonts w:hint="eastAsia" w:ascii="宋体" w:hAnsi="宋体" w:cs="宋体"/>
          <w:sz w:val="24"/>
        </w:rPr>
        <w:t>34</w:t>
      </w:r>
      <w:r>
        <w:rPr>
          <w:rFonts w:hint="eastAsia" w:ascii="宋体" w:hAnsi="宋体" w:cs="宋体"/>
          <w:sz w:val="24"/>
        </w:rPr>
        <w:fldChar w:fldCharType="end"/>
      </w:r>
    </w:p>
    <w:p w14:paraId="339C242D">
      <w:pPr>
        <w:pStyle w:val="26"/>
        <w:tabs>
          <w:tab w:val="right" w:leader="dot" w:pos="8312"/>
        </w:tabs>
        <w:spacing w:line="360" w:lineRule="auto"/>
        <w:rPr>
          <w:rFonts w:ascii="宋体" w:hAnsi="宋体" w:cs="宋体"/>
          <w:sz w:val="24"/>
        </w:rPr>
      </w:pPr>
      <w:r>
        <w:fldChar w:fldCharType="begin"/>
      </w:r>
      <w:r>
        <w:instrText xml:space="preserve"> HYPERLINK \l "_Toc28829" </w:instrText>
      </w:r>
      <w:r>
        <w:fldChar w:fldCharType="separate"/>
      </w:r>
      <w:r>
        <w:rPr>
          <w:rFonts w:hint="eastAsia" w:ascii="宋体" w:hAnsi="宋体" w:cs="宋体"/>
          <w:sz w:val="24"/>
        </w:rPr>
        <w:t>第五章  政府采购合同</w:t>
      </w:r>
      <w:r>
        <w:rPr>
          <w:rFonts w:hint="eastAsia" w:ascii="宋体" w:hAnsi="宋体" w:cs="宋体"/>
          <w:sz w:val="24"/>
        </w:rPr>
        <w:tab/>
      </w:r>
      <w:r>
        <w:rPr>
          <w:rFonts w:hint="eastAsia" w:ascii="宋体" w:hAnsi="宋体" w:cs="宋体"/>
          <w:sz w:val="24"/>
        </w:rPr>
        <w:t>3</w:t>
      </w:r>
      <w:r>
        <w:rPr>
          <w:rFonts w:hint="eastAsia" w:ascii="宋体" w:hAnsi="宋体" w:cs="宋体"/>
          <w:sz w:val="24"/>
        </w:rPr>
        <w:fldChar w:fldCharType="end"/>
      </w:r>
      <w:r>
        <w:rPr>
          <w:rFonts w:hint="eastAsia" w:ascii="宋体" w:hAnsi="宋体" w:cs="宋体"/>
          <w:sz w:val="24"/>
        </w:rPr>
        <w:t>8</w:t>
      </w:r>
    </w:p>
    <w:p w14:paraId="5A214C2B">
      <w:pPr>
        <w:pStyle w:val="26"/>
        <w:tabs>
          <w:tab w:val="right" w:leader="dot" w:pos="8312"/>
        </w:tabs>
        <w:spacing w:line="360" w:lineRule="auto"/>
        <w:rPr>
          <w:rFonts w:ascii="宋体" w:hAnsi="宋体" w:cs="宋体"/>
          <w:sz w:val="24"/>
        </w:rPr>
      </w:pPr>
      <w:r>
        <w:fldChar w:fldCharType="begin"/>
      </w:r>
      <w:r>
        <w:instrText xml:space="preserve"> HYPERLINK \l "_Toc5531" </w:instrText>
      </w:r>
      <w:r>
        <w:fldChar w:fldCharType="separate"/>
      </w:r>
      <w:r>
        <w:rPr>
          <w:rFonts w:hint="eastAsia" w:ascii="宋体" w:hAnsi="宋体" w:cs="宋体"/>
          <w:sz w:val="24"/>
        </w:rPr>
        <w:t>第六章  投标文件相关格式</w:t>
      </w:r>
      <w:r>
        <w:rPr>
          <w:rFonts w:hint="eastAsia" w:ascii="宋体" w:hAnsi="宋体" w:cs="宋体"/>
          <w:sz w:val="24"/>
        </w:rPr>
        <w:tab/>
      </w:r>
      <w:r>
        <w:rPr>
          <w:rFonts w:hint="eastAsia" w:ascii="宋体" w:hAnsi="宋体" w:cs="宋体"/>
          <w:sz w:val="24"/>
        </w:rPr>
        <w:t>4</w:t>
      </w:r>
      <w:r>
        <w:rPr>
          <w:rFonts w:hint="eastAsia" w:ascii="宋体" w:hAnsi="宋体" w:cs="宋体"/>
          <w:sz w:val="24"/>
        </w:rPr>
        <w:fldChar w:fldCharType="end"/>
      </w:r>
      <w:r>
        <w:rPr>
          <w:rFonts w:hint="eastAsia" w:ascii="宋体" w:hAnsi="宋体" w:cs="宋体"/>
          <w:sz w:val="24"/>
        </w:rPr>
        <w:t>1</w:t>
      </w:r>
    </w:p>
    <w:p w14:paraId="3FE44E11">
      <w:pPr>
        <w:spacing w:line="360" w:lineRule="auto"/>
        <w:ind w:firstLine="420" w:firstLineChars="200"/>
        <w:jc w:val="left"/>
        <w:rPr>
          <w:rFonts w:ascii="宋体" w:hAnsi="宋体" w:cs="宋体"/>
          <w:szCs w:val="21"/>
        </w:rPr>
      </w:pPr>
      <w:r>
        <w:rPr>
          <w:rFonts w:hint="eastAsia" w:ascii="宋体" w:hAnsi="宋体" w:cs="宋体"/>
          <w:szCs w:val="21"/>
        </w:rPr>
        <w:fldChar w:fldCharType="end"/>
      </w:r>
    </w:p>
    <w:p w14:paraId="4D9F5BDE">
      <w:pPr>
        <w:spacing w:line="360" w:lineRule="auto"/>
        <w:ind w:firstLine="420" w:firstLineChars="200"/>
        <w:jc w:val="left"/>
        <w:rPr>
          <w:rFonts w:ascii="宋体" w:hAnsi="宋体" w:cs="宋体"/>
          <w:szCs w:val="21"/>
        </w:rPr>
      </w:pPr>
    </w:p>
    <w:p w14:paraId="2EF79E5E">
      <w:pPr>
        <w:pStyle w:val="80"/>
        <w:rPr>
          <w:rFonts w:ascii="宋体" w:eastAsia="宋体" w:cs="宋体"/>
          <w:b w:val="0"/>
          <w:highlight w:val="none"/>
        </w:rPr>
      </w:pPr>
      <w:bookmarkStart w:id="4" w:name="_Toc493511540"/>
      <w:r>
        <w:rPr>
          <w:rFonts w:hint="eastAsia" w:ascii="宋体" w:eastAsia="宋体" w:cs="宋体"/>
        </w:rPr>
        <w:br w:type="page"/>
      </w:r>
      <w:bookmarkStart w:id="5" w:name="_Toc3494"/>
      <w:r>
        <w:rPr>
          <w:rStyle w:val="133"/>
          <w:rFonts w:hint="eastAsia" w:ascii="宋体" w:eastAsia="宋体" w:cs="宋体"/>
          <w:b/>
          <w:highlight w:val="none"/>
        </w:rPr>
        <w:t>第一章  公开招标采购公告</w:t>
      </w:r>
    </w:p>
    <w:p w14:paraId="2784254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项目概况</w:t>
      </w:r>
    </w:p>
    <w:p w14:paraId="5B0972E2">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u w:val="single"/>
        </w:rPr>
        <w:t>浙江省嘉兴支队海盐县消防救援大队2024-2025年度物业管理服务采购项目</w:t>
      </w:r>
      <w:r>
        <w:rPr>
          <w:rFonts w:hint="eastAsia" w:ascii="宋体" w:hAnsi="宋体" w:cs="宋体"/>
          <w:color w:val="auto"/>
          <w:kern w:val="0"/>
          <w:szCs w:val="21"/>
          <w:highlight w:val="none"/>
        </w:rPr>
        <w:t>招标项目的潜在投标人应在</w:t>
      </w:r>
      <w:r>
        <w:rPr>
          <w:rFonts w:hint="eastAsia" w:ascii="宋体" w:hAnsi="宋体" w:cs="宋体"/>
          <w:color w:val="auto"/>
          <w:kern w:val="0"/>
          <w:szCs w:val="21"/>
          <w:highlight w:val="none"/>
          <w:u w:val="single"/>
        </w:rPr>
        <w:t>浙江中明工程咨询有限公司（嘉兴市由拳路309号紫御大厦17楼1701）</w:t>
      </w:r>
      <w:r>
        <w:rPr>
          <w:rFonts w:hint="eastAsia" w:ascii="宋体" w:hAnsi="宋体" w:cs="宋体"/>
          <w:color w:val="auto"/>
          <w:kern w:val="0"/>
          <w:szCs w:val="21"/>
          <w:highlight w:val="none"/>
        </w:rPr>
        <w:t>获取招标文件，并于</w:t>
      </w:r>
      <w:r>
        <w:rPr>
          <w:rFonts w:hint="eastAsia" w:ascii="宋体" w:hAnsi="宋体" w:cs="宋体"/>
          <w:b/>
          <w:bCs/>
          <w:color w:val="auto"/>
          <w:kern w:val="0"/>
          <w:szCs w:val="21"/>
          <w:highlight w:val="none"/>
          <w:u w:val="single"/>
          <w:lang w:eastAsia="zh-CN"/>
        </w:rPr>
        <w:t>2024年11月05日09:30分</w:t>
      </w:r>
      <w:r>
        <w:rPr>
          <w:rFonts w:hint="eastAsia" w:ascii="宋体" w:hAnsi="宋体" w:cs="宋体"/>
          <w:color w:val="auto"/>
          <w:kern w:val="0"/>
          <w:szCs w:val="21"/>
          <w:highlight w:val="none"/>
          <w:u w:val="single"/>
        </w:rPr>
        <w:t>（北京时间）</w:t>
      </w:r>
      <w:r>
        <w:rPr>
          <w:rFonts w:hint="eastAsia" w:ascii="宋体" w:hAnsi="宋体" w:cs="宋体"/>
          <w:color w:val="auto"/>
          <w:kern w:val="0"/>
          <w:szCs w:val="21"/>
          <w:highlight w:val="none"/>
        </w:rPr>
        <w:t>前递交投标文件。</w:t>
      </w:r>
    </w:p>
    <w:p w14:paraId="1151C10D">
      <w:pPr>
        <w:pStyle w:val="43"/>
        <w:spacing w:before="60" w:beforeAutospacing="0" w:after="60" w:afterAutospacing="0" w:line="360" w:lineRule="auto"/>
        <w:ind w:firstLine="420" w:firstLineChars="200"/>
        <w:rPr>
          <w:rFonts w:cs="宋体"/>
          <w:color w:val="auto"/>
          <w:sz w:val="21"/>
          <w:szCs w:val="21"/>
          <w:highlight w:val="none"/>
        </w:rPr>
      </w:pPr>
      <w:r>
        <w:rPr>
          <w:rFonts w:hint="eastAsia" w:cs="宋体"/>
          <w:color w:val="auto"/>
          <w:sz w:val="21"/>
          <w:szCs w:val="21"/>
          <w:highlight w:val="none"/>
          <w:lang w:val="en-US" w:eastAsia="zh-CN"/>
        </w:rPr>
        <w:t>参照</w:t>
      </w:r>
      <w:r>
        <w:rPr>
          <w:rFonts w:hint="eastAsia" w:cs="宋体"/>
          <w:color w:val="auto"/>
          <w:sz w:val="21"/>
          <w:szCs w:val="21"/>
          <w:highlight w:val="none"/>
        </w:rPr>
        <w:t>《中华人民共和国政府采购法》等有关规定，</w:t>
      </w:r>
      <w:r>
        <w:rPr>
          <w:rFonts w:hint="eastAsia" w:cs="宋体"/>
          <w:b/>
          <w:bCs/>
          <w:color w:val="auto"/>
          <w:sz w:val="21"/>
          <w:szCs w:val="21"/>
          <w:highlight w:val="none"/>
          <w:u w:val="single"/>
        </w:rPr>
        <w:t>浙江中明工程咨询有限公司</w:t>
      </w:r>
      <w:r>
        <w:rPr>
          <w:rFonts w:hint="eastAsia" w:cs="宋体"/>
          <w:color w:val="auto"/>
          <w:sz w:val="21"/>
          <w:szCs w:val="21"/>
          <w:highlight w:val="none"/>
        </w:rPr>
        <w:t>受</w:t>
      </w:r>
      <w:r>
        <w:rPr>
          <w:rFonts w:hint="eastAsia" w:cs="宋体"/>
          <w:b/>
          <w:bCs/>
          <w:color w:val="auto"/>
          <w:sz w:val="21"/>
          <w:szCs w:val="21"/>
          <w:highlight w:val="none"/>
          <w:u w:val="single"/>
        </w:rPr>
        <w:t>海盐县消防救援大队</w:t>
      </w:r>
      <w:r>
        <w:rPr>
          <w:rFonts w:hint="eastAsia" w:cs="宋体"/>
          <w:color w:val="auto"/>
          <w:sz w:val="21"/>
          <w:szCs w:val="21"/>
          <w:highlight w:val="none"/>
        </w:rPr>
        <w:t>委托，就</w:t>
      </w:r>
      <w:r>
        <w:rPr>
          <w:rFonts w:hint="eastAsia" w:cs="宋体"/>
          <w:b/>
          <w:bCs/>
          <w:color w:val="auto"/>
          <w:sz w:val="21"/>
          <w:szCs w:val="21"/>
          <w:highlight w:val="none"/>
          <w:u w:val="single"/>
        </w:rPr>
        <w:t>浙江省嘉兴支队海盐县消防救援大队2024-2025年度物业管理服务采购项目</w:t>
      </w:r>
      <w:r>
        <w:rPr>
          <w:rFonts w:hint="eastAsia" w:cs="宋体"/>
          <w:color w:val="auto"/>
          <w:sz w:val="21"/>
          <w:szCs w:val="21"/>
          <w:highlight w:val="none"/>
        </w:rPr>
        <w:t>进行公开招标，欢迎国内合格的供应商前来投标。</w:t>
      </w:r>
    </w:p>
    <w:p w14:paraId="6CEECDD0">
      <w:pPr>
        <w:pStyle w:val="43"/>
        <w:spacing w:before="0" w:beforeAutospacing="0" w:after="0" w:afterAutospacing="0" w:line="360" w:lineRule="auto"/>
        <w:jc w:val="both"/>
        <w:rPr>
          <w:rStyle w:val="52"/>
          <w:rFonts w:cs="宋体"/>
          <w:color w:val="auto"/>
          <w:sz w:val="21"/>
          <w:szCs w:val="21"/>
          <w:highlight w:val="none"/>
        </w:rPr>
      </w:pPr>
      <w:r>
        <w:rPr>
          <w:rStyle w:val="52"/>
          <w:rFonts w:hint="eastAsia" w:cs="宋体"/>
          <w:color w:val="auto"/>
          <w:sz w:val="21"/>
          <w:szCs w:val="21"/>
          <w:highlight w:val="none"/>
        </w:rPr>
        <w:t>一、项目基本情况</w:t>
      </w:r>
    </w:p>
    <w:p w14:paraId="4F08B48D">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项目编号：嘉消采-GK2024016</w:t>
      </w:r>
    </w:p>
    <w:p w14:paraId="3911D5D2">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项目名称：浙江省嘉兴支队海盐县消防救援大队2024-2025年度物业管理服务采购项目</w:t>
      </w:r>
    </w:p>
    <w:p w14:paraId="79325FC8">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预算金额（万元）：89.016</w:t>
      </w:r>
    </w:p>
    <w:p w14:paraId="276A628D">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最高限价（万元）：89.016</w:t>
      </w:r>
    </w:p>
    <w:p w14:paraId="3C01717B">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采购需求：</w:t>
      </w:r>
      <w:r>
        <w:rPr>
          <w:rFonts w:hint="eastAsia" w:cs="宋体"/>
          <w:color w:val="auto"/>
          <w:sz w:val="21"/>
          <w:szCs w:val="21"/>
          <w:highlight w:val="none"/>
          <w:lang w:val="zh-CN"/>
        </w:rPr>
        <w:t>为进一步提升消防队伍整体形象，逐步改善消防员生活就餐环境，促进队伍精细化管理，拟对大队</w:t>
      </w:r>
      <w:r>
        <w:rPr>
          <w:rFonts w:hint="eastAsia" w:cs="宋体"/>
          <w:color w:val="auto"/>
          <w:sz w:val="21"/>
          <w:szCs w:val="21"/>
          <w:highlight w:val="none"/>
        </w:rPr>
        <w:t>餐饮</w:t>
      </w:r>
      <w:r>
        <w:rPr>
          <w:rFonts w:hint="eastAsia" w:cs="宋体"/>
          <w:color w:val="auto"/>
          <w:sz w:val="21"/>
          <w:szCs w:val="21"/>
          <w:highlight w:val="none"/>
          <w:lang w:val="zh-CN"/>
        </w:rPr>
        <w:t>、保洁等服务实行对外承包。</w:t>
      </w:r>
      <w:r>
        <w:rPr>
          <w:rFonts w:hint="eastAsia" w:cs="宋体"/>
          <w:color w:val="auto"/>
          <w:sz w:val="21"/>
          <w:szCs w:val="21"/>
          <w:highlight w:val="none"/>
          <w:lang w:val="zh-CN"/>
        </w:rPr>
        <w:fldChar w:fldCharType="begin"/>
      </w:r>
      <w:r>
        <w:rPr>
          <w:rFonts w:hint="eastAsia" w:cs="宋体"/>
          <w:color w:val="auto"/>
          <w:sz w:val="21"/>
          <w:szCs w:val="21"/>
          <w:highlight w:val="none"/>
          <w:lang w:val="zh-CN"/>
        </w:rPr>
        <w:instrText xml:space="preserve"> HYPERLINK "http://cgyx.ccgp.gov.cn/cgyx/pub/proJ/details?projId=f9a482a5-605f-4f92-b04f-94fccfd2a198" \t "http://cgyx.ccgp.gov.cn/cgyx/pub/_blank" </w:instrText>
      </w:r>
      <w:r>
        <w:rPr>
          <w:rFonts w:hint="eastAsia" w:cs="宋体"/>
          <w:color w:val="auto"/>
          <w:sz w:val="21"/>
          <w:szCs w:val="21"/>
          <w:highlight w:val="none"/>
          <w:lang w:val="zh-CN"/>
        </w:rPr>
        <w:fldChar w:fldCharType="separate"/>
      </w:r>
      <w:r>
        <w:rPr>
          <w:rFonts w:hint="eastAsia" w:cs="宋体"/>
          <w:color w:val="auto"/>
          <w:sz w:val="21"/>
          <w:szCs w:val="21"/>
          <w:highlight w:val="none"/>
          <w:lang w:val="zh-CN"/>
        </w:rPr>
        <w:t>大队食堂</w:t>
      </w:r>
      <w:r>
        <w:rPr>
          <w:rFonts w:hint="eastAsia" w:cs="宋体"/>
          <w:color w:val="auto"/>
          <w:sz w:val="21"/>
          <w:szCs w:val="21"/>
          <w:highlight w:val="none"/>
          <w:lang w:val="zh-CN"/>
        </w:rPr>
        <w:fldChar w:fldCharType="end"/>
      </w:r>
      <w:r>
        <w:rPr>
          <w:rFonts w:hint="eastAsia" w:cs="宋体"/>
          <w:color w:val="auto"/>
          <w:sz w:val="21"/>
          <w:szCs w:val="21"/>
          <w:highlight w:val="none"/>
          <w:lang w:val="zh-CN"/>
        </w:rPr>
        <w:t>就餐人数约</w:t>
      </w:r>
      <w:r>
        <w:rPr>
          <w:rFonts w:hint="eastAsia" w:cs="宋体"/>
          <w:color w:val="auto"/>
          <w:sz w:val="21"/>
          <w:szCs w:val="21"/>
          <w:highlight w:val="none"/>
        </w:rPr>
        <w:t>140</w:t>
      </w:r>
      <w:r>
        <w:rPr>
          <w:rFonts w:hint="eastAsia" w:cs="宋体"/>
          <w:color w:val="auto"/>
          <w:sz w:val="21"/>
          <w:szCs w:val="21"/>
          <w:highlight w:val="none"/>
          <w:lang w:val="zh-CN"/>
        </w:rPr>
        <w:t>人。由于工作特殊性，工作时间为全年就餐。所需</w:t>
      </w:r>
      <w:r>
        <w:rPr>
          <w:rFonts w:hint="eastAsia" w:cs="宋体"/>
          <w:color w:val="auto"/>
          <w:sz w:val="21"/>
          <w:szCs w:val="21"/>
          <w:highlight w:val="none"/>
        </w:rPr>
        <w:t>服务</w:t>
      </w:r>
      <w:r>
        <w:rPr>
          <w:rFonts w:hint="eastAsia" w:cs="宋体"/>
          <w:color w:val="auto"/>
          <w:sz w:val="21"/>
          <w:szCs w:val="21"/>
          <w:highlight w:val="none"/>
          <w:lang w:val="zh-CN"/>
        </w:rPr>
        <w:t>保障人员1</w:t>
      </w:r>
      <w:bookmarkStart w:id="322" w:name="_GoBack"/>
      <w:bookmarkEnd w:id="322"/>
      <w:r>
        <w:rPr>
          <w:rFonts w:hint="eastAsia" w:cs="宋体"/>
          <w:color w:val="auto"/>
          <w:sz w:val="21"/>
          <w:szCs w:val="21"/>
          <w:highlight w:val="none"/>
          <w:lang w:val="zh-CN"/>
        </w:rPr>
        <w:t>3人（经理1人、后厨厨师3</w:t>
      </w:r>
      <w:r>
        <w:rPr>
          <w:rFonts w:hint="eastAsia" w:cs="宋体"/>
          <w:color w:val="auto"/>
          <w:sz w:val="21"/>
          <w:szCs w:val="21"/>
          <w:highlight w:val="none"/>
        </w:rPr>
        <w:t>人、</w:t>
      </w:r>
      <w:r>
        <w:rPr>
          <w:rFonts w:hint="eastAsia" w:cs="宋体"/>
          <w:color w:val="auto"/>
          <w:sz w:val="21"/>
          <w:szCs w:val="21"/>
          <w:highlight w:val="none"/>
          <w:lang w:val="zh-CN"/>
        </w:rPr>
        <w:t>切配</w:t>
      </w:r>
      <w:r>
        <w:rPr>
          <w:rFonts w:hint="eastAsia" w:cs="宋体"/>
          <w:color w:val="auto"/>
          <w:sz w:val="21"/>
          <w:szCs w:val="21"/>
          <w:highlight w:val="none"/>
        </w:rPr>
        <w:t>4人、</w:t>
      </w:r>
      <w:r>
        <w:rPr>
          <w:rFonts w:hint="eastAsia" w:cs="宋体"/>
          <w:color w:val="auto"/>
          <w:sz w:val="21"/>
          <w:szCs w:val="21"/>
          <w:highlight w:val="none"/>
          <w:lang w:val="zh-CN"/>
        </w:rPr>
        <w:t>面点师</w:t>
      </w:r>
      <w:r>
        <w:rPr>
          <w:rFonts w:hint="eastAsia" w:cs="宋体"/>
          <w:color w:val="auto"/>
          <w:sz w:val="21"/>
          <w:szCs w:val="21"/>
          <w:highlight w:val="none"/>
        </w:rPr>
        <w:t>3</w:t>
      </w:r>
      <w:r>
        <w:rPr>
          <w:rFonts w:hint="eastAsia" w:cs="宋体"/>
          <w:color w:val="auto"/>
          <w:sz w:val="21"/>
          <w:szCs w:val="21"/>
          <w:highlight w:val="none"/>
          <w:lang w:val="zh-CN"/>
        </w:rPr>
        <w:t>人、</w:t>
      </w:r>
      <w:r>
        <w:rPr>
          <w:rFonts w:hint="eastAsia" w:cs="宋体"/>
          <w:color w:val="auto"/>
          <w:sz w:val="21"/>
          <w:szCs w:val="21"/>
          <w:highlight w:val="none"/>
        </w:rPr>
        <w:t>保洁2</w:t>
      </w:r>
      <w:r>
        <w:rPr>
          <w:rFonts w:hint="eastAsia" w:cs="宋体"/>
          <w:color w:val="auto"/>
          <w:sz w:val="21"/>
          <w:szCs w:val="21"/>
          <w:highlight w:val="none"/>
          <w:lang w:val="zh-CN"/>
        </w:rPr>
        <w:t>人），同时做好临时性餐饮保障工作。</w:t>
      </w:r>
      <w:r>
        <w:rPr>
          <w:rFonts w:hint="eastAsia" w:cs="宋体"/>
          <w:color w:val="auto"/>
          <w:sz w:val="21"/>
          <w:szCs w:val="21"/>
          <w:highlight w:val="none"/>
        </w:rPr>
        <w:t>详见采购需求。</w:t>
      </w:r>
    </w:p>
    <w:p w14:paraId="5D3D0B88">
      <w:pPr>
        <w:pStyle w:val="43"/>
        <w:snapToGrid w:val="0"/>
        <w:spacing w:before="0" w:beforeAutospacing="0" w:after="0" w:afterAutospacing="0" w:line="360" w:lineRule="auto"/>
        <w:ind w:firstLine="210" w:firstLineChars="100"/>
        <w:contextualSpacing/>
        <w:jc w:val="both"/>
        <w:rPr>
          <w:rFonts w:cs="宋体"/>
          <w:color w:val="auto"/>
          <w:sz w:val="21"/>
          <w:szCs w:val="21"/>
          <w:highlight w:val="none"/>
        </w:rPr>
      </w:pPr>
      <w:r>
        <w:rPr>
          <w:rFonts w:hint="eastAsia" w:cs="宋体"/>
          <w:color w:val="auto"/>
          <w:sz w:val="21"/>
          <w:szCs w:val="21"/>
          <w:highlight w:val="none"/>
        </w:rPr>
        <w:t>合同履约期限：合同签订后1年，服务期满后根据中标单位的绩效评价、服务对象满意度考核情况即季度考核分平均分在90分（含）以上的，可续签合同一年。</w:t>
      </w:r>
    </w:p>
    <w:p w14:paraId="28C1AE47">
      <w:pPr>
        <w:pStyle w:val="43"/>
        <w:snapToGrid w:val="0"/>
        <w:spacing w:before="0" w:beforeAutospacing="0" w:after="0" w:afterAutospacing="0" w:line="360" w:lineRule="auto"/>
        <w:ind w:firstLine="211" w:firstLineChars="100"/>
        <w:contextualSpacing/>
        <w:jc w:val="both"/>
        <w:rPr>
          <w:rFonts w:cs="宋体"/>
          <w:b/>
          <w:bCs/>
          <w:color w:val="auto"/>
          <w:sz w:val="21"/>
          <w:szCs w:val="21"/>
          <w:highlight w:val="none"/>
        </w:rPr>
      </w:pPr>
      <w:r>
        <w:rPr>
          <w:rFonts w:hint="eastAsia" w:cs="宋体"/>
          <w:b/>
          <w:bCs/>
          <w:color w:val="auto"/>
          <w:sz w:val="21"/>
          <w:szCs w:val="21"/>
          <w:highlight w:val="none"/>
        </w:rPr>
        <w:t>本项目不接受联合体投标。</w:t>
      </w:r>
    </w:p>
    <w:p w14:paraId="0AD5E79B">
      <w:pPr>
        <w:pStyle w:val="43"/>
        <w:spacing w:before="0" w:beforeAutospacing="0" w:after="0" w:afterAutospacing="0" w:line="360" w:lineRule="auto"/>
        <w:rPr>
          <w:rFonts w:cs="宋体"/>
          <w:color w:val="auto"/>
          <w:sz w:val="21"/>
          <w:szCs w:val="21"/>
          <w:highlight w:val="none"/>
        </w:rPr>
      </w:pPr>
      <w:r>
        <w:rPr>
          <w:rStyle w:val="52"/>
          <w:rFonts w:hint="eastAsia" w:cs="宋体"/>
          <w:color w:val="auto"/>
          <w:sz w:val="21"/>
          <w:szCs w:val="21"/>
          <w:highlight w:val="none"/>
        </w:rPr>
        <w:t>二、申请人的资格要求：</w:t>
      </w:r>
    </w:p>
    <w:p w14:paraId="04E5B39E">
      <w:pPr>
        <w:pStyle w:val="43"/>
        <w:spacing w:before="0" w:beforeAutospacing="0" w:after="0" w:afterAutospacing="0" w:line="360" w:lineRule="auto"/>
        <w:rPr>
          <w:rFonts w:cs="宋体"/>
          <w:color w:val="auto"/>
          <w:sz w:val="21"/>
          <w:szCs w:val="21"/>
          <w:highlight w:val="none"/>
        </w:rPr>
      </w:pPr>
      <w:r>
        <w:rPr>
          <w:rFonts w:hint="eastAsia" w:cs="宋体"/>
          <w:color w:val="auto"/>
          <w:sz w:val="21"/>
          <w:szCs w:val="21"/>
          <w:highlight w:val="none"/>
        </w:rPr>
        <w:t xml:space="preserve">  1.满足《中华人民共和国政府采购法》第二十二条规定；未被“信用中国”（www.creditchina.gov.cn)、中国政府采购网（www.ccgp.gov.cn）列入失信被执行人、重大税收违法案件当事人名单、政府采购严重违法失信行为记录名单。</w:t>
      </w:r>
    </w:p>
    <w:p w14:paraId="7D7C9C75">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w:t>
      </w:r>
    </w:p>
    <w:p w14:paraId="7B81A8DE">
      <w:pPr>
        <w:spacing w:line="360" w:lineRule="auto"/>
        <w:ind w:firstLine="218" w:firstLineChars="91"/>
        <w:rPr>
          <w:rFonts w:ascii="宋体" w:hAnsi="宋体" w:cs="宋体"/>
          <w:color w:val="auto"/>
          <w:kern w:val="0"/>
          <w:szCs w:val="21"/>
          <w:highlight w:val="none"/>
        </w:rPr>
      </w:pPr>
      <w:sdt>
        <w:sdtPr>
          <w:rPr>
            <w:rFonts w:hint="eastAsia" w:ascii="宋体" w:hAnsi="宋体" w:cs="宋体"/>
            <w:color w:val="auto"/>
            <w:kern w:val="0"/>
            <w:sz w:val="24"/>
            <w:highlight w:val="none"/>
          </w:rPr>
          <w:id w:val="1928616923"/>
        </w:sdtPr>
        <w:sdtEndPr>
          <w:rPr>
            <w:rFonts w:hint="eastAsia" w:ascii="宋体" w:hAnsi="宋体" w:cs="宋体"/>
            <w:color w:val="auto"/>
            <w:kern w:val="0"/>
            <w:sz w:val="21"/>
            <w:szCs w:val="21"/>
            <w:highlight w:val="none"/>
          </w:rPr>
        </w:sdtEndPr>
        <w:sdtContent>
          <w:r>
            <w:rPr>
              <w:rFonts w:hint="eastAsia" w:ascii="宋体" w:hAnsi="宋体" w:cs="宋体"/>
              <w:color w:val="auto"/>
              <w:kern w:val="0"/>
              <w:szCs w:val="21"/>
              <w:highlight w:val="none"/>
            </w:rPr>
            <w:t>☐</w:t>
          </w:r>
        </w:sdtContent>
      </w:sdt>
      <w:r>
        <w:rPr>
          <w:rFonts w:hint="eastAsia" w:ascii="宋体" w:hAnsi="宋体" w:cs="宋体"/>
          <w:color w:val="auto"/>
          <w:kern w:val="0"/>
          <w:szCs w:val="21"/>
          <w:highlight w:val="none"/>
        </w:rPr>
        <w:t>无（注：不得限制大中型企业与小微企业组成联合体参与投标）；</w:t>
      </w:r>
    </w:p>
    <w:p w14:paraId="09AD38AA">
      <w:pPr>
        <w:spacing w:line="360" w:lineRule="auto"/>
        <w:ind w:firstLine="191" w:firstLineChars="91"/>
        <w:rPr>
          <w:rFonts w:ascii="宋体" w:hAnsi="宋体" w:cs="宋体"/>
          <w:color w:val="auto"/>
          <w:kern w:val="0"/>
          <w:szCs w:val="21"/>
          <w:highlight w:val="none"/>
        </w:rPr>
      </w:pPr>
      <w:sdt>
        <w:sdtPr>
          <w:rPr>
            <w:rFonts w:hint="eastAsia" w:ascii="宋体" w:hAnsi="宋体" w:cs="宋体"/>
            <w:color w:val="auto"/>
            <w:kern w:val="0"/>
            <w:szCs w:val="21"/>
            <w:highlight w:val="none"/>
          </w:rPr>
          <w:id w:val="-1024704304"/>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sym w:font="Wingdings" w:char="00FE"/>
          </w:r>
        </w:sdtContent>
      </w:sdt>
      <w:r>
        <w:rPr>
          <w:rFonts w:hint="eastAsia" w:ascii="宋体" w:hAnsi="宋体" w:cs="宋体"/>
          <w:color w:val="auto"/>
          <w:kern w:val="0"/>
          <w:szCs w:val="21"/>
          <w:highlight w:val="none"/>
        </w:rPr>
        <w:t>专门面向中小企业</w:t>
      </w:r>
    </w:p>
    <w:p w14:paraId="5362D08D">
      <w:pPr>
        <w:spacing w:line="360" w:lineRule="auto"/>
        <w:ind w:firstLine="191" w:firstLineChars="91"/>
        <w:rPr>
          <w:rFonts w:ascii="宋体" w:hAnsi="宋体" w:cs="宋体"/>
          <w:color w:val="auto"/>
          <w:kern w:val="0"/>
          <w:szCs w:val="21"/>
          <w:highlight w:val="none"/>
        </w:rPr>
      </w:pPr>
      <w:sdt>
        <w:sdtPr>
          <w:rPr>
            <w:rFonts w:hint="eastAsia" w:ascii="宋体" w:hAnsi="宋体" w:cs="宋体"/>
            <w:color w:val="auto"/>
            <w:kern w:val="0"/>
            <w:szCs w:val="21"/>
            <w:highlight w:val="none"/>
          </w:rPr>
          <w:id w:val="-924730588"/>
        </w:sdtPr>
        <w:sdtEndPr>
          <w:rPr>
            <w:rFonts w:hint="eastAsia" w:ascii="宋体" w:hAnsi="宋体" w:cs="宋体"/>
            <w:color w:val="auto"/>
            <w:kern w:val="0"/>
            <w:szCs w:val="21"/>
            <w:highlight w:val="none"/>
          </w:rPr>
        </w:sdtEndPr>
        <w:sdtContent>
          <w:sdt>
            <w:sdtPr>
              <w:rPr>
                <w:rFonts w:hint="eastAsia" w:ascii="宋体" w:hAnsi="宋体" w:cs="宋体"/>
                <w:color w:val="auto"/>
                <w:kern w:val="0"/>
                <w:szCs w:val="21"/>
                <w:highlight w:val="none"/>
              </w:rPr>
              <w:id w:val="147454014"/>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sym w:font="Wingdings" w:char="00FE"/>
              </w:r>
            </w:sdtContent>
          </w:sdt>
        </w:sdtContent>
      </w:sdt>
      <w:r>
        <w:rPr>
          <w:rFonts w:hint="eastAsia" w:ascii="宋体" w:hAnsi="宋体" w:cs="宋体"/>
          <w:color w:val="auto"/>
          <w:kern w:val="0"/>
          <w:szCs w:val="21"/>
          <w:highlight w:val="none"/>
        </w:rPr>
        <w:t>服务全部由符合政策要求的中小企业提供，提供中小企业声明函；</w:t>
      </w:r>
    </w:p>
    <w:p w14:paraId="3ECB6492">
      <w:pPr>
        <w:spacing w:line="360" w:lineRule="auto"/>
        <w:ind w:firstLine="191" w:firstLineChars="91"/>
        <w:rPr>
          <w:rFonts w:ascii="宋体" w:hAnsi="宋体" w:cs="宋体"/>
          <w:color w:val="auto"/>
          <w:kern w:val="0"/>
          <w:szCs w:val="21"/>
          <w:highlight w:val="none"/>
        </w:rPr>
      </w:pPr>
      <w:sdt>
        <w:sdtPr>
          <w:rPr>
            <w:rFonts w:hint="eastAsia" w:ascii="宋体" w:hAnsi="宋体" w:cs="宋体"/>
            <w:color w:val="auto"/>
            <w:kern w:val="0"/>
            <w:szCs w:val="21"/>
            <w:highlight w:val="none"/>
          </w:rPr>
          <w:id w:val="-1152604937"/>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t>☐</w:t>
          </w:r>
        </w:sdtContent>
      </w:sdt>
      <w:r>
        <w:rPr>
          <w:rFonts w:hint="eastAsia" w:ascii="宋体" w:hAnsi="宋体" w:cs="宋体"/>
          <w:color w:val="auto"/>
          <w:kern w:val="0"/>
          <w:szCs w:val="21"/>
          <w:highlight w:val="none"/>
        </w:rPr>
        <w:t>服务全部由符合政策要求的小微企业提供，提供中小企业声明函；</w:t>
      </w:r>
    </w:p>
    <w:p w14:paraId="0D082863">
      <w:pPr>
        <w:spacing w:line="360" w:lineRule="auto"/>
        <w:ind w:firstLine="191" w:firstLineChars="91"/>
        <w:rPr>
          <w:rFonts w:ascii="宋体" w:hAnsi="宋体" w:cs="宋体"/>
          <w:color w:val="auto"/>
          <w:kern w:val="0"/>
          <w:szCs w:val="21"/>
        </w:rPr>
      </w:pPr>
      <w:sdt>
        <w:sdtPr>
          <w:rPr>
            <w:rFonts w:hint="eastAsia" w:ascii="宋体" w:hAnsi="宋体" w:cs="宋体"/>
            <w:color w:val="auto"/>
            <w:kern w:val="0"/>
            <w:szCs w:val="21"/>
            <w:highlight w:val="none"/>
          </w:rPr>
          <w:id w:val="-1985607795"/>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t xml:space="preserve">   ☐</w:t>
          </w:r>
        </w:sdtContent>
      </w:sdt>
      <w:r>
        <w:rPr>
          <w:rFonts w:hint="eastAsia" w:ascii="宋体" w:hAnsi="宋体" w:cs="宋体"/>
          <w:color w:val="auto"/>
          <w:kern w:val="0"/>
          <w:szCs w:val="21"/>
          <w:highlight w:val="none"/>
        </w:rPr>
        <w:t>要求以联合体形式参加，提供联合协议和中小企业声明函，联合协议中中小企业合</w:t>
      </w:r>
      <w:r>
        <w:rPr>
          <w:rFonts w:hint="eastAsia" w:ascii="宋体" w:hAnsi="宋体" w:cs="宋体"/>
          <w:color w:val="auto"/>
          <w:kern w:val="0"/>
          <w:szCs w:val="21"/>
        </w:rPr>
        <w:t>同金额应当达到</w:t>
      </w:r>
      <w:r>
        <w:rPr>
          <w:rFonts w:hint="eastAsia" w:ascii="宋体" w:hAnsi="宋体" w:cs="宋体"/>
          <w:color w:val="auto"/>
          <w:kern w:val="0"/>
          <w:szCs w:val="21"/>
          <w:u w:val="single"/>
        </w:rPr>
        <w:t xml:space="preserve">  </w:t>
      </w:r>
      <w:r>
        <w:rPr>
          <w:rFonts w:hint="eastAsia" w:ascii="宋体" w:hAnsi="宋体" w:cs="宋体"/>
          <w:color w:val="auto"/>
          <w:kern w:val="0"/>
          <w:szCs w:val="21"/>
        </w:rPr>
        <w:t>%，其中小微企业合同金额应当达到</w:t>
      </w:r>
      <w:r>
        <w:rPr>
          <w:rFonts w:hint="eastAsia" w:ascii="宋体" w:hAnsi="宋体" w:cs="宋体"/>
          <w:color w:val="auto"/>
          <w:kern w:val="0"/>
          <w:szCs w:val="21"/>
          <w:u w:val="single"/>
        </w:rPr>
        <w:t xml:space="preserve">  </w:t>
      </w:r>
      <w:r>
        <w:rPr>
          <w:rFonts w:hint="eastAsia" w:ascii="宋体" w:hAnsi="宋体" w:cs="宋体"/>
          <w:color w:val="auto"/>
          <w:kern w:val="0"/>
          <w:szCs w:val="21"/>
        </w:rPr>
        <w:t>%；如果供应商本身提供所有标的均由中小企业制造、承建或承接，并相应达到了前述比例要求，视同符合了资格条件，无需再与其他中小企业组成联合体参加政府采购活动，无需提供联合协议；</w:t>
      </w:r>
    </w:p>
    <w:p w14:paraId="5C100B61">
      <w:pPr>
        <w:spacing w:line="360" w:lineRule="auto"/>
        <w:rPr>
          <w:rFonts w:ascii="宋体" w:hAnsi="宋体" w:cs="宋体"/>
          <w:color w:val="auto"/>
          <w:kern w:val="0"/>
          <w:szCs w:val="21"/>
          <w:highlight w:val="none"/>
        </w:rPr>
      </w:pPr>
      <w:r>
        <w:rPr>
          <w:rFonts w:hint="eastAsia" w:ascii="宋体" w:hAnsi="宋体" w:cs="宋体"/>
          <w:color w:val="auto"/>
          <w:kern w:val="0"/>
          <w:szCs w:val="21"/>
        </w:rPr>
        <w:t xml:space="preserve"> </w:t>
      </w:r>
      <w:sdt>
        <w:sdtPr>
          <w:rPr>
            <w:rFonts w:hint="eastAsia" w:ascii="宋体" w:hAnsi="宋体" w:cs="宋体"/>
            <w:color w:val="auto"/>
            <w:kern w:val="0"/>
            <w:szCs w:val="21"/>
          </w:rPr>
          <w:id w:val="34630645"/>
        </w:sdtPr>
        <w:sdtEndPr>
          <w:rPr>
            <w:rFonts w:hint="eastAsia" w:ascii="宋体" w:hAnsi="宋体" w:cs="宋体"/>
            <w:color w:val="auto"/>
            <w:kern w:val="0"/>
            <w:szCs w:val="21"/>
          </w:rPr>
        </w:sdtEndPr>
        <w:sdtContent>
          <w:r>
            <w:rPr>
              <w:rFonts w:hint="eastAsia" w:ascii="宋体" w:hAnsi="宋体" w:cs="宋体"/>
              <w:color w:val="auto"/>
              <w:kern w:val="0"/>
              <w:szCs w:val="21"/>
            </w:rPr>
            <w:t xml:space="preserve">    ☐</w:t>
          </w:r>
        </w:sdtContent>
      </w:sdt>
      <w:r>
        <w:rPr>
          <w:rFonts w:hint="eastAsia" w:ascii="宋体" w:hAnsi="宋体" w:cs="宋体"/>
          <w:color w:val="auto"/>
          <w:kern w:val="0"/>
          <w:szCs w:val="21"/>
        </w:rPr>
        <w:t>要求合同分包，提供分包意向协议和中小企业声明函，分包意向协议中中小企业合同金额应当达到</w:t>
      </w:r>
      <w:r>
        <w:rPr>
          <w:rFonts w:hint="eastAsia" w:ascii="宋体" w:hAnsi="宋体" w:cs="宋体"/>
          <w:color w:val="auto"/>
          <w:kern w:val="0"/>
          <w:szCs w:val="21"/>
          <w:u w:val="single"/>
        </w:rPr>
        <w:t xml:space="preserve">  </w:t>
      </w:r>
      <w:r>
        <w:rPr>
          <w:rFonts w:hint="eastAsia" w:ascii="宋体" w:hAnsi="宋体" w:cs="宋体"/>
          <w:color w:val="auto"/>
          <w:kern w:val="0"/>
          <w:szCs w:val="21"/>
        </w:rPr>
        <w:t>% ，其中小微企业合同金额应当达到</w:t>
      </w:r>
      <w:r>
        <w:rPr>
          <w:rFonts w:hint="eastAsia" w:ascii="宋体" w:hAnsi="宋体" w:cs="宋体"/>
          <w:color w:val="auto"/>
          <w:kern w:val="0"/>
          <w:szCs w:val="21"/>
          <w:u w:val="single"/>
        </w:rPr>
        <w:t xml:space="preserve">  </w:t>
      </w:r>
      <w:r>
        <w:rPr>
          <w:rFonts w:hint="eastAsia" w:ascii="宋体" w:hAnsi="宋体" w:cs="宋体"/>
          <w:color w:val="auto"/>
          <w:kern w:val="0"/>
          <w:szCs w:val="21"/>
        </w:rPr>
        <w:t>%；如果供应商本身提供所有标的均由中小企业制造、承建或承接，并相应达到了前述比例要求，视同符合了资格条件，无需</w:t>
      </w:r>
      <w:r>
        <w:rPr>
          <w:rFonts w:hint="eastAsia" w:ascii="宋体" w:hAnsi="宋体" w:cs="宋体"/>
          <w:color w:val="auto"/>
          <w:kern w:val="0"/>
          <w:szCs w:val="21"/>
          <w:highlight w:val="none"/>
        </w:rPr>
        <w:t>再向中小企业分包，无需提供分包意向协议；</w:t>
      </w:r>
    </w:p>
    <w:p w14:paraId="1F75AFA7">
      <w:pPr>
        <w:pStyle w:val="43"/>
        <w:spacing w:before="0" w:beforeAutospacing="0" w:after="0" w:afterAutospacing="0" w:line="360" w:lineRule="auto"/>
        <w:ind w:firstLine="210" w:firstLineChars="100"/>
        <w:rPr>
          <w:rFonts w:cs="宋体"/>
          <w:color w:val="auto"/>
          <w:sz w:val="21"/>
          <w:szCs w:val="21"/>
          <w:highlight w:val="none"/>
        </w:rPr>
      </w:pPr>
      <w:r>
        <w:rPr>
          <w:rFonts w:hint="eastAsia" w:cs="宋体"/>
          <w:color w:val="auto"/>
          <w:sz w:val="21"/>
          <w:szCs w:val="21"/>
          <w:highlight w:val="none"/>
        </w:rPr>
        <w:t>3.本项目的特定资格要求：无。</w:t>
      </w:r>
    </w:p>
    <w:p w14:paraId="39CAA3A9">
      <w:pPr>
        <w:pStyle w:val="43"/>
        <w:spacing w:before="0" w:beforeAutospacing="0" w:after="0" w:afterAutospacing="0" w:line="360" w:lineRule="auto"/>
        <w:jc w:val="both"/>
        <w:rPr>
          <w:rFonts w:cs="宋体"/>
          <w:color w:val="auto"/>
          <w:sz w:val="21"/>
          <w:szCs w:val="21"/>
          <w:highlight w:val="none"/>
        </w:rPr>
      </w:pPr>
      <w:r>
        <w:rPr>
          <w:rStyle w:val="52"/>
          <w:rFonts w:hint="eastAsia" w:cs="宋体"/>
          <w:color w:val="auto"/>
          <w:sz w:val="21"/>
          <w:szCs w:val="21"/>
          <w:highlight w:val="none"/>
        </w:rPr>
        <w:t>三、获取招标文件方式</w:t>
      </w:r>
    </w:p>
    <w:p w14:paraId="4908C962">
      <w:pPr>
        <w:pStyle w:val="43"/>
        <w:spacing w:before="0" w:beforeAutospacing="0" w:after="0" w:afterAutospacing="0" w:line="360" w:lineRule="auto"/>
        <w:rPr>
          <w:rFonts w:cs="宋体"/>
          <w:color w:val="auto"/>
          <w:sz w:val="21"/>
          <w:szCs w:val="21"/>
        </w:rPr>
      </w:pPr>
      <w:r>
        <w:rPr>
          <w:rFonts w:hint="eastAsia" w:cs="宋体"/>
          <w:color w:val="auto"/>
          <w:sz w:val="21"/>
          <w:szCs w:val="21"/>
        </w:rPr>
        <w:t xml:space="preserve">  1.时间：</w:t>
      </w:r>
      <w:r>
        <w:rPr>
          <w:rFonts w:hint="eastAsia" w:cs="宋体"/>
          <w:b/>
          <w:bCs/>
          <w:color w:val="auto"/>
          <w:sz w:val="21"/>
          <w:szCs w:val="21"/>
        </w:rPr>
        <w:t>2024年</w:t>
      </w:r>
      <w:r>
        <w:rPr>
          <w:rFonts w:hint="eastAsia" w:cs="宋体"/>
          <w:b/>
          <w:bCs/>
          <w:color w:val="auto"/>
          <w:sz w:val="21"/>
          <w:szCs w:val="21"/>
          <w:lang w:val="en-US" w:eastAsia="zh-CN"/>
        </w:rPr>
        <w:t>10</w:t>
      </w:r>
      <w:r>
        <w:rPr>
          <w:rFonts w:hint="eastAsia" w:cs="宋体"/>
          <w:b/>
          <w:bCs/>
          <w:color w:val="auto"/>
          <w:sz w:val="21"/>
          <w:szCs w:val="21"/>
        </w:rPr>
        <w:t>月</w:t>
      </w:r>
      <w:r>
        <w:rPr>
          <w:rFonts w:hint="eastAsia" w:cs="宋体"/>
          <w:b/>
          <w:bCs/>
          <w:color w:val="auto"/>
          <w:sz w:val="21"/>
          <w:szCs w:val="21"/>
          <w:lang w:val="en-US" w:eastAsia="zh-CN"/>
        </w:rPr>
        <w:t>15</w:t>
      </w:r>
      <w:r>
        <w:rPr>
          <w:rFonts w:hint="eastAsia" w:cs="宋体"/>
          <w:b/>
          <w:bCs/>
          <w:color w:val="auto"/>
          <w:sz w:val="21"/>
          <w:szCs w:val="21"/>
        </w:rPr>
        <w:t>日至2024年</w:t>
      </w:r>
      <w:r>
        <w:rPr>
          <w:rFonts w:hint="eastAsia" w:cs="宋体"/>
          <w:b/>
          <w:bCs/>
          <w:color w:val="auto"/>
          <w:sz w:val="21"/>
          <w:szCs w:val="21"/>
          <w:lang w:val="en-US" w:eastAsia="zh-CN"/>
        </w:rPr>
        <w:t>11</w:t>
      </w:r>
      <w:r>
        <w:rPr>
          <w:rFonts w:hint="eastAsia" w:cs="宋体"/>
          <w:b/>
          <w:bCs/>
          <w:color w:val="auto"/>
          <w:sz w:val="21"/>
          <w:szCs w:val="21"/>
        </w:rPr>
        <w:t>月</w:t>
      </w:r>
      <w:r>
        <w:rPr>
          <w:rFonts w:hint="eastAsia" w:cs="宋体"/>
          <w:b/>
          <w:bCs/>
          <w:color w:val="auto"/>
          <w:sz w:val="21"/>
          <w:szCs w:val="21"/>
          <w:lang w:val="en-US" w:eastAsia="zh-CN"/>
        </w:rPr>
        <w:t>04</w:t>
      </w:r>
      <w:r>
        <w:rPr>
          <w:rFonts w:hint="eastAsia" w:cs="宋体"/>
          <w:b/>
          <w:bCs/>
          <w:color w:val="auto"/>
          <w:sz w:val="21"/>
          <w:szCs w:val="21"/>
        </w:rPr>
        <w:t>日</w:t>
      </w:r>
      <w:r>
        <w:rPr>
          <w:rFonts w:hint="eastAsia" w:cs="宋体"/>
          <w:color w:val="auto"/>
          <w:sz w:val="21"/>
          <w:szCs w:val="21"/>
        </w:rPr>
        <w:t>，每天09：00—17：00（北京时间，法定节假日除外）</w:t>
      </w:r>
    </w:p>
    <w:p w14:paraId="7853F37D">
      <w:pPr>
        <w:pStyle w:val="43"/>
        <w:spacing w:before="0" w:beforeAutospacing="0" w:after="0" w:afterAutospacing="0" w:line="360" w:lineRule="auto"/>
        <w:ind w:firstLine="210" w:firstLineChars="100"/>
        <w:rPr>
          <w:rFonts w:cs="宋体"/>
          <w:color w:val="auto"/>
          <w:sz w:val="21"/>
          <w:szCs w:val="21"/>
        </w:rPr>
      </w:pPr>
      <w:r>
        <w:rPr>
          <w:rFonts w:hint="eastAsia" w:cs="宋体"/>
          <w:color w:val="auto"/>
          <w:sz w:val="21"/>
          <w:szCs w:val="21"/>
        </w:rPr>
        <w:t>2.获取地点：浙江中明工程咨询有限公司（嘉兴市由拳路309号紫御大厦17楼1701）</w:t>
      </w:r>
    </w:p>
    <w:p w14:paraId="47E9DC37">
      <w:pPr>
        <w:pStyle w:val="43"/>
        <w:spacing w:before="0" w:beforeAutospacing="0" w:after="0" w:afterAutospacing="0" w:line="360" w:lineRule="auto"/>
        <w:ind w:firstLine="211" w:firstLineChars="100"/>
        <w:rPr>
          <w:rFonts w:cs="宋体"/>
          <w:b/>
          <w:bCs/>
          <w:color w:val="auto"/>
          <w:sz w:val="21"/>
          <w:szCs w:val="21"/>
        </w:rPr>
      </w:pPr>
      <w:r>
        <w:rPr>
          <w:rFonts w:hint="eastAsia" w:cs="宋体"/>
          <w:b/>
          <w:bCs/>
          <w:color w:val="auto"/>
          <w:sz w:val="21"/>
          <w:szCs w:val="21"/>
        </w:rPr>
        <w:t>3.方式：</w:t>
      </w:r>
      <w:r>
        <w:rPr>
          <w:color w:val="auto"/>
        </w:rPr>
        <w:fldChar w:fldCharType="begin"/>
      </w:r>
      <w:r>
        <w:rPr>
          <w:color w:val="auto"/>
        </w:rPr>
        <w:instrText xml:space="preserve"> HYPERLINK "mailto:现场或将报名资料发送到邮箱664019561@qq.com" </w:instrText>
      </w:r>
      <w:r>
        <w:rPr>
          <w:color w:val="auto"/>
        </w:rPr>
        <w:fldChar w:fldCharType="separate"/>
      </w:r>
      <w:r>
        <w:rPr>
          <w:rFonts w:hint="eastAsia" w:cs="宋体"/>
          <w:b/>
          <w:bCs/>
          <w:color w:val="auto"/>
          <w:sz w:val="21"/>
          <w:szCs w:val="21"/>
        </w:rPr>
        <w:t>现场或将资料发送到邮箱664019561@qq.com</w:t>
      </w:r>
      <w:r>
        <w:rPr>
          <w:rFonts w:hint="eastAsia" w:cs="宋体"/>
          <w:b/>
          <w:bCs/>
          <w:color w:val="auto"/>
          <w:sz w:val="21"/>
          <w:szCs w:val="21"/>
        </w:rPr>
        <w:fldChar w:fldCharType="end"/>
      </w:r>
    </w:p>
    <w:p w14:paraId="60BFDB79">
      <w:pPr>
        <w:pStyle w:val="43"/>
        <w:spacing w:before="0" w:beforeAutospacing="0" w:after="0" w:afterAutospacing="0" w:line="360" w:lineRule="auto"/>
        <w:ind w:firstLine="210" w:firstLineChars="100"/>
        <w:rPr>
          <w:rFonts w:cs="宋体"/>
          <w:color w:val="auto"/>
          <w:sz w:val="21"/>
          <w:szCs w:val="21"/>
        </w:rPr>
      </w:pPr>
      <w:r>
        <w:rPr>
          <w:rFonts w:hint="eastAsia" w:cs="宋体"/>
          <w:color w:val="auto"/>
          <w:sz w:val="21"/>
          <w:szCs w:val="21"/>
        </w:rPr>
        <w:t>请将介绍信或法定代表人授权书、被授权人身份证、有效的营业执照（复印件加盖单位公章）发送至邮箱664019561@qq.com，代理机构确认后将电子版招标文件发送给投标单位。</w:t>
      </w:r>
    </w:p>
    <w:p w14:paraId="2175175C">
      <w:pPr>
        <w:pStyle w:val="43"/>
        <w:spacing w:before="0" w:beforeAutospacing="0" w:after="0" w:afterAutospacing="0" w:line="360" w:lineRule="auto"/>
        <w:jc w:val="both"/>
        <w:rPr>
          <w:rFonts w:cs="宋体"/>
          <w:color w:val="auto"/>
          <w:sz w:val="21"/>
          <w:szCs w:val="21"/>
        </w:rPr>
      </w:pPr>
      <w:r>
        <w:rPr>
          <w:rStyle w:val="52"/>
          <w:rFonts w:hint="eastAsia" w:cs="宋体"/>
          <w:color w:val="auto"/>
          <w:sz w:val="21"/>
          <w:szCs w:val="21"/>
        </w:rPr>
        <w:t>四、提交投标文件截止时间、开标时间和地点</w:t>
      </w:r>
    </w:p>
    <w:p w14:paraId="6BA4C5AB">
      <w:pPr>
        <w:pStyle w:val="43"/>
        <w:spacing w:before="0" w:beforeAutospacing="0" w:after="0" w:afterAutospacing="0" w:line="360" w:lineRule="auto"/>
        <w:ind w:firstLine="210" w:firstLineChars="100"/>
        <w:rPr>
          <w:rFonts w:cs="宋体"/>
          <w:color w:val="auto"/>
          <w:sz w:val="21"/>
          <w:szCs w:val="21"/>
        </w:rPr>
      </w:pPr>
      <w:r>
        <w:rPr>
          <w:rFonts w:hint="eastAsia" w:cs="宋体"/>
          <w:color w:val="auto"/>
          <w:sz w:val="21"/>
          <w:szCs w:val="21"/>
        </w:rPr>
        <w:t>1.提交投标文件截止时间及地点：投标人应于</w:t>
      </w:r>
      <w:r>
        <w:rPr>
          <w:rFonts w:hint="eastAsia" w:cs="宋体"/>
          <w:b/>
          <w:bCs/>
          <w:color w:val="auto"/>
          <w:sz w:val="21"/>
          <w:szCs w:val="21"/>
          <w:lang w:eastAsia="zh-CN"/>
        </w:rPr>
        <w:t>2024年11月05日09:30分</w:t>
      </w:r>
      <w:r>
        <w:rPr>
          <w:rFonts w:hint="eastAsia" w:cs="宋体"/>
          <w:color w:val="auto"/>
          <w:sz w:val="21"/>
          <w:szCs w:val="21"/>
        </w:rPr>
        <w:t>（北京时间）前将投标文件密封送交到嘉兴市消防救援支队4楼开标室（嘉兴市长水路1500号），逾期送达不予接收。</w:t>
      </w:r>
    </w:p>
    <w:p w14:paraId="4000F381">
      <w:pPr>
        <w:pStyle w:val="43"/>
        <w:spacing w:before="0" w:beforeAutospacing="0" w:after="0" w:afterAutospacing="0" w:line="360" w:lineRule="auto"/>
        <w:rPr>
          <w:rFonts w:cs="宋体"/>
          <w:color w:val="auto"/>
          <w:sz w:val="21"/>
          <w:szCs w:val="21"/>
        </w:rPr>
      </w:pPr>
      <w:r>
        <w:rPr>
          <w:rFonts w:hint="eastAsia" w:cs="宋体"/>
          <w:color w:val="auto"/>
          <w:sz w:val="21"/>
          <w:szCs w:val="21"/>
        </w:rPr>
        <w:t xml:space="preserve">  2.开标时间和地点：</w:t>
      </w:r>
      <w:r>
        <w:rPr>
          <w:rFonts w:hint="eastAsia" w:cs="宋体"/>
          <w:b/>
          <w:bCs/>
          <w:color w:val="auto"/>
          <w:sz w:val="21"/>
          <w:szCs w:val="21"/>
          <w:lang w:eastAsia="zh-CN"/>
        </w:rPr>
        <w:t>2024年11月05日09:30分</w:t>
      </w:r>
      <w:r>
        <w:rPr>
          <w:rFonts w:hint="eastAsia" w:cs="宋体"/>
          <w:color w:val="auto"/>
          <w:sz w:val="21"/>
          <w:szCs w:val="21"/>
        </w:rPr>
        <w:t>（北京时间）在嘉兴市消防救援支队4楼开标室（嘉兴市长水路1500号）开标，</w:t>
      </w:r>
      <w:r>
        <w:rPr>
          <w:rFonts w:hint="eastAsia" w:cs="宋体"/>
          <w:b/>
          <w:bCs/>
          <w:color w:val="auto"/>
          <w:sz w:val="21"/>
          <w:szCs w:val="21"/>
        </w:rPr>
        <w:t>请投标单位派1名授权代表前往参加。</w:t>
      </w:r>
    </w:p>
    <w:p w14:paraId="601D086A">
      <w:pPr>
        <w:snapToGrid w:val="0"/>
        <w:spacing w:line="360" w:lineRule="auto"/>
        <w:contextualSpacing/>
        <w:rPr>
          <w:rFonts w:ascii="宋体" w:hAnsi="宋体" w:cs="宋体"/>
          <w:color w:val="auto"/>
          <w:szCs w:val="21"/>
        </w:rPr>
      </w:pPr>
      <w:r>
        <w:rPr>
          <w:rStyle w:val="52"/>
          <w:rFonts w:hint="eastAsia" w:ascii="宋体" w:hAnsi="宋体" w:cs="宋体"/>
          <w:color w:val="auto"/>
          <w:szCs w:val="21"/>
        </w:rPr>
        <w:t>五、</w:t>
      </w:r>
      <w:r>
        <w:rPr>
          <w:rFonts w:hint="eastAsia" w:ascii="宋体" w:hAnsi="宋体" w:cs="宋体"/>
          <w:b/>
          <w:color w:val="auto"/>
          <w:szCs w:val="21"/>
        </w:rPr>
        <w:t>公告期限</w:t>
      </w:r>
    </w:p>
    <w:p w14:paraId="0E8D571A">
      <w:pPr>
        <w:pStyle w:val="43"/>
        <w:spacing w:before="0" w:beforeAutospacing="0" w:after="0" w:afterAutospacing="0" w:line="360" w:lineRule="auto"/>
        <w:ind w:firstLine="210" w:firstLineChars="100"/>
        <w:rPr>
          <w:rFonts w:hint="eastAsia" w:cs="宋体"/>
          <w:color w:val="auto"/>
          <w:sz w:val="21"/>
          <w:szCs w:val="21"/>
          <w:lang w:val="en-US" w:eastAsia="zh-CN"/>
        </w:rPr>
      </w:pPr>
      <w:r>
        <w:rPr>
          <w:rFonts w:hint="eastAsia" w:cs="宋体"/>
          <w:color w:val="auto"/>
          <w:sz w:val="21"/>
          <w:szCs w:val="21"/>
          <w:lang w:val="en-US" w:eastAsia="zh-CN"/>
        </w:rPr>
        <w:t>自本公告发布之日起5个工作日。</w:t>
      </w:r>
    </w:p>
    <w:p w14:paraId="4B43E907">
      <w:pPr>
        <w:pStyle w:val="43"/>
        <w:spacing w:before="0" w:beforeAutospacing="0" w:after="0" w:afterAutospacing="0" w:line="360" w:lineRule="auto"/>
        <w:rPr>
          <w:rStyle w:val="52"/>
          <w:rFonts w:hint="eastAsia" w:ascii="Times New Roman" w:hAnsi="Times New Roman" w:cs="宋体"/>
          <w:color w:val="auto"/>
          <w:sz w:val="21"/>
          <w:szCs w:val="21"/>
          <w:highlight w:val="none"/>
        </w:rPr>
      </w:pPr>
      <w:r>
        <w:rPr>
          <w:rStyle w:val="52"/>
          <w:rFonts w:hint="eastAsia" w:ascii="Times New Roman" w:hAnsi="Times New Roman" w:cs="宋体"/>
          <w:color w:val="auto"/>
          <w:sz w:val="21"/>
          <w:szCs w:val="21"/>
          <w:highlight w:val="none"/>
        </w:rPr>
        <w:t>六、其他补充事宜</w:t>
      </w:r>
    </w:p>
    <w:p w14:paraId="7FD7A6EB">
      <w:pPr>
        <w:pStyle w:val="43"/>
        <w:spacing w:before="0" w:beforeAutospacing="0" w:after="0" w:afterAutospacing="0" w:line="360" w:lineRule="auto"/>
        <w:ind w:firstLine="210" w:firstLineChars="100"/>
        <w:rPr>
          <w:rFonts w:cs="宋体"/>
          <w:sz w:val="21"/>
          <w:szCs w:val="21"/>
        </w:rPr>
      </w:pPr>
      <w:r>
        <w:rPr>
          <w:rFonts w:hint="eastAsia" w:cs="宋体"/>
          <w:color w:val="auto"/>
          <w:sz w:val="21"/>
          <w:szCs w:val="21"/>
        </w:rPr>
        <w:t>1.供应商认为采购文件使自己的权益受到损害的，可以自获取采购文件之日或者采购文件</w:t>
      </w:r>
      <w:r>
        <w:rPr>
          <w:rFonts w:hint="eastAsia" w:cs="宋体"/>
          <w:sz w:val="21"/>
          <w:szCs w:val="21"/>
        </w:rPr>
        <w:t>公告期限届满之日（公告期限届满后获取采购文件的，以公告期限届满之日为准）起 7 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w:t>
      </w:r>
    </w:p>
    <w:p w14:paraId="2E9C3661">
      <w:pPr>
        <w:pStyle w:val="43"/>
        <w:spacing w:before="0" w:beforeAutospacing="0" w:after="0" w:afterAutospacing="0" w:line="360" w:lineRule="auto"/>
        <w:ind w:firstLine="210" w:firstLineChars="100"/>
        <w:rPr>
          <w:rFonts w:cs="宋体"/>
          <w:sz w:val="21"/>
          <w:szCs w:val="21"/>
        </w:rPr>
      </w:pPr>
      <w:r>
        <w:rPr>
          <w:rFonts w:hint="eastAsia" w:cs="宋体"/>
          <w:sz w:val="21"/>
          <w:szCs w:val="21"/>
        </w:rPr>
        <w:t>2.单位负责人为同一人或者存在直接控股、管理关系的不同供应商，不得同时参加同一合同项下的投标。</w:t>
      </w:r>
    </w:p>
    <w:p w14:paraId="6A360642">
      <w:pPr>
        <w:pStyle w:val="43"/>
        <w:spacing w:before="0" w:beforeAutospacing="0" w:after="0" w:afterAutospacing="0" w:line="360" w:lineRule="auto"/>
        <w:ind w:firstLine="210" w:firstLineChars="100"/>
        <w:rPr>
          <w:rFonts w:cs="宋体"/>
          <w:sz w:val="21"/>
          <w:szCs w:val="21"/>
        </w:rPr>
      </w:pPr>
      <w:r>
        <w:rPr>
          <w:rFonts w:hint="eastAsia" w:cs="宋体"/>
          <w:sz w:val="21"/>
          <w:szCs w:val="21"/>
        </w:rPr>
        <w:t>3.为项目提供整体设计、规范编制或者项目管理、监理、检测等服务的供应商，不得再参加该采购项目的其他采购活动。</w:t>
      </w:r>
    </w:p>
    <w:p w14:paraId="4EEB9BF4">
      <w:pPr>
        <w:pStyle w:val="43"/>
        <w:spacing w:before="0" w:beforeAutospacing="0" w:after="0" w:afterAutospacing="0" w:line="360" w:lineRule="auto"/>
        <w:ind w:firstLine="210" w:firstLineChars="100"/>
        <w:rPr>
          <w:rFonts w:cs="宋体"/>
          <w:sz w:val="21"/>
          <w:szCs w:val="21"/>
        </w:rPr>
      </w:pPr>
      <w:r>
        <w:rPr>
          <w:rFonts w:hint="eastAsia" w:cs="宋体"/>
          <w:sz w:val="21"/>
          <w:szCs w:val="21"/>
        </w:rPr>
        <w:t>4.本项目不收取投标保证金。</w:t>
      </w:r>
    </w:p>
    <w:p w14:paraId="6EA7E785">
      <w:pPr>
        <w:pStyle w:val="43"/>
        <w:spacing w:before="0" w:beforeAutospacing="0" w:after="0" w:afterAutospacing="0" w:line="360" w:lineRule="auto"/>
        <w:ind w:firstLine="210" w:firstLineChars="100"/>
        <w:rPr>
          <w:rFonts w:cs="宋体"/>
          <w:sz w:val="21"/>
          <w:szCs w:val="21"/>
        </w:rPr>
      </w:pPr>
      <w:r>
        <w:rPr>
          <w:rFonts w:hint="eastAsia" w:cs="宋体"/>
          <w:sz w:val="21"/>
          <w:szCs w:val="21"/>
        </w:rPr>
        <w:t>5.本项目执行促进中小企业发展。</w:t>
      </w:r>
    </w:p>
    <w:p w14:paraId="2232F36B">
      <w:pPr>
        <w:pStyle w:val="43"/>
        <w:spacing w:before="0" w:beforeAutospacing="0" w:after="0" w:afterAutospacing="0" w:line="360" w:lineRule="auto"/>
        <w:ind w:firstLine="210" w:firstLineChars="100"/>
        <w:rPr>
          <w:rFonts w:cs="宋体"/>
          <w:szCs w:val="21"/>
        </w:rPr>
      </w:pPr>
      <w:r>
        <w:rPr>
          <w:rFonts w:hint="eastAsia" w:cs="宋体"/>
          <w:sz w:val="21"/>
          <w:szCs w:val="21"/>
        </w:rPr>
        <w:t>6.本项目的采购公告、补充（答疑、澄清）文件及中标公告等需公告的有关信息均在中国政府采购网(http://www.ccgp.gov.cn/)、浙江政府采购网(</w:t>
      </w:r>
      <w:r>
        <w:fldChar w:fldCharType="begin"/>
      </w:r>
      <w:r>
        <w:instrText xml:space="preserve"> HYPERLINK "http://zfcg.czt.zj.gov.cn/" </w:instrText>
      </w:r>
      <w:r>
        <w:fldChar w:fldCharType="separate"/>
      </w:r>
      <w:r>
        <w:rPr>
          <w:rFonts w:hint="eastAsia" w:cs="宋体"/>
          <w:sz w:val="21"/>
          <w:szCs w:val="21"/>
        </w:rPr>
        <w:t>http://zfcg.czt.zj.gov.cn/</w:t>
      </w:r>
      <w:r>
        <w:rPr>
          <w:rFonts w:hint="eastAsia" w:cs="宋体"/>
          <w:sz w:val="21"/>
          <w:szCs w:val="21"/>
        </w:rPr>
        <w:fldChar w:fldCharType="end"/>
      </w:r>
      <w:r>
        <w:rPr>
          <w:rFonts w:hint="eastAsia" w:cs="宋体"/>
          <w:sz w:val="21"/>
          <w:szCs w:val="21"/>
        </w:rPr>
        <w:t>)、嘉兴市公共资源交易网（https://jxszwsjb.jiaxing.gov.cn/）上发布信息，请投标人自行及时关注，采购人及采购代理机构可不再另行通知相关情况，投标人因自身贻误行为导致响应失败的，责任自负。</w:t>
      </w:r>
    </w:p>
    <w:p w14:paraId="0F5CEB00">
      <w:pPr>
        <w:pStyle w:val="43"/>
        <w:spacing w:before="0" w:beforeAutospacing="0" w:after="0" w:afterAutospacing="0" w:line="360" w:lineRule="auto"/>
        <w:jc w:val="both"/>
        <w:rPr>
          <w:rFonts w:cs="宋体"/>
          <w:sz w:val="21"/>
          <w:szCs w:val="21"/>
        </w:rPr>
      </w:pPr>
      <w:r>
        <w:rPr>
          <w:rStyle w:val="52"/>
          <w:rFonts w:hint="eastAsia" w:cs="宋体"/>
          <w:sz w:val="21"/>
          <w:szCs w:val="21"/>
        </w:rPr>
        <w:t>七、对本次采购提出询问、质疑、投诉，请按以下方式联系</w:t>
      </w:r>
    </w:p>
    <w:p w14:paraId="6D221543">
      <w:pPr>
        <w:pStyle w:val="43"/>
        <w:spacing w:before="0" w:beforeAutospacing="0" w:after="0" w:afterAutospacing="0" w:line="360" w:lineRule="auto"/>
        <w:ind w:firstLine="210" w:firstLineChars="100"/>
        <w:rPr>
          <w:rFonts w:cs="宋体"/>
          <w:sz w:val="21"/>
          <w:szCs w:val="21"/>
        </w:rPr>
      </w:pPr>
      <w:r>
        <w:rPr>
          <w:rFonts w:hint="eastAsia" w:cs="宋体"/>
          <w:sz w:val="21"/>
          <w:szCs w:val="21"/>
        </w:rPr>
        <w:t>1.采购人信息</w:t>
      </w:r>
    </w:p>
    <w:p w14:paraId="14B77B01">
      <w:pPr>
        <w:pStyle w:val="43"/>
        <w:spacing w:before="0" w:beforeAutospacing="0" w:after="0" w:afterAutospacing="0" w:line="360" w:lineRule="auto"/>
        <w:rPr>
          <w:rFonts w:cs="宋体"/>
          <w:sz w:val="21"/>
          <w:szCs w:val="21"/>
        </w:rPr>
      </w:pPr>
      <w:r>
        <w:rPr>
          <w:rFonts w:hint="eastAsia" w:cs="宋体"/>
          <w:sz w:val="21"/>
          <w:szCs w:val="21"/>
        </w:rPr>
        <w:t xml:space="preserve">  名 称：海盐县消防救援大队</w:t>
      </w:r>
    </w:p>
    <w:p w14:paraId="0A589769">
      <w:pPr>
        <w:pStyle w:val="43"/>
        <w:spacing w:before="0" w:beforeAutospacing="0" w:after="0" w:afterAutospacing="0" w:line="360" w:lineRule="auto"/>
        <w:rPr>
          <w:rFonts w:cs="宋体"/>
          <w:sz w:val="21"/>
          <w:szCs w:val="21"/>
        </w:rPr>
      </w:pPr>
      <w:r>
        <w:rPr>
          <w:rFonts w:hint="eastAsia" w:cs="宋体"/>
          <w:sz w:val="21"/>
          <w:szCs w:val="21"/>
        </w:rPr>
        <w:t xml:space="preserve">  地址：浙江省海盐县武原街道海丰西路188号</w:t>
      </w:r>
    </w:p>
    <w:p w14:paraId="254BDC8D">
      <w:pPr>
        <w:pStyle w:val="43"/>
        <w:spacing w:before="0" w:beforeAutospacing="0" w:after="0" w:afterAutospacing="0" w:line="360" w:lineRule="auto"/>
        <w:rPr>
          <w:rFonts w:cs="宋体"/>
          <w:sz w:val="21"/>
          <w:szCs w:val="21"/>
        </w:rPr>
      </w:pPr>
      <w:r>
        <w:rPr>
          <w:rFonts w:hint="eastAsia" w:cs="宋体"/>
          <w:sz w:val="21"/>
          <w:szCs w:val="21"/>
        </w:rPr>
        <w:t xml:space="preserve">  传 真：/</w:t>
      </w:r>
    </w:p>
    <w:p w14:paraId="226B6B44">
      <w:pPr>
        <w:pStyle w:val="43"/>
        <w:spacing w:before="0" w:beforeAutospacing="0" w:after="0" w:afterAutospacing="0" w:line="360" w:lineRule="auto"/>
        <w:rPr>
          <w:rFonts w:cs="宋体"/>
          <w:sz w:val="21"/>
          <w:szCs w:val="21"/>
        </w:rPr>
      </w:pPr>
      <w:r>
        <w:rPr>
          <w:rFonts w:hint="eastAsia" w:cs="宋体"/>
          <w:sz w:val="21"/>
          <w:szCs w:val="21"/>
        </w:rPr>
        <w:t xml:space="preserve">  项目联系人（询问）：陆先生</w:t>
      </w:r>
    </w:p>
    <w:p w14:paraId="382EEB36">
      <w:pPr>
        <w:pStyle w:val="43"/>
        <w:spacing w:before="0" w:beforeAutospacing="0" w:after="0" w:afterAutospacing="0" w:line="360" w:lineRule="auto"/>
        <w:rPr>
          <w:rFonts w:cs="宋体"/>
          <w:sz w:val="21"/>
          <w:szCs w:val="21"/>
        </w:rPr>
      </w:pPr>
      <w:r>
        <w:rPr>
          <w:rFonts w:hint="eastAsia" w:cs="宋体"/>
          <w:sz w:val="21"/>
          <w:szCs w:val="21"/>
        </w:rPr>
        <w:t xml:space="preserve">  项目联系方式（询问）：15958150024</w:t>
      </w:r>
    </w:p>
    <w:p w14:paraId="4D155BB5">
      <w:pPr>
        <w:pStyle w:val="43"/>
        <w:spacing w:before="0" w:beforeAutospacing="0" w:after="0" w:afterAutospacing="0" w:line="360" w:lineRule="auto"/>
        <w:rPr>
          <w:rFonts w:cs="宋体"/>
          <w:sz w:val="21"/>
          <w:szCs w:val="21"/>
        </w:rPr>
      </w:pPr>
      <w:r>
        <w:rPr>
          <w:rFonts w:hint="eastAsia" w:cs="宋体"/>
          <w:sz w:val="21"/>
          <w:szCs w:val="21"/>
        </w:rPr>
        <w:t xml:space="preserve">  质疑联系人：嘉兴市消防救援支队采购办公室</w:t>
      </w:r>
    </w:p>
    <w:p w14:paraId="080931CC">
      <w:pPr>
        <w:pStyle w:val="43"/>
        <w:spacing w:before="0" w:beforeAutospacing="0" w:after="0" w:afterAutospacing="0" w:line="360" w:lineRule="auto"/>
        <w:ind w:firstLine="210" w:firstLineChars="100"/>
        <w:rPr>
          <w:rFonts w:cs="宋体"/>
          <w:sz w:val="21"/>
          <w:szCs w:val="21"/>
        </w:rPr>
      </w:pPr>
      <w:r>
        <w:rPr>
          <w:rFonts w:hint="eastAsia" w:cs="宋体"/>
          <w:sz w:val="21"/>
          <w:szCs w:val="21"/>
        </w:rPr>
        <w:t>质疑联系方式：0573-82630533</w:t>
      </w:r>
    </w:p>
    <w:p w14:paraId="4DB26157">
      <w:pPr>
        <w:pStyle w:val="43"/>
        <w:spacing w:before="0" w:beforeAutospacing="0" w:after="0" w:afterAutospacing="0" w:line="360" w:lineRule="auto"/>
        <w:rPr>
          <w:rFonts w:cs="宋体"/>
          <w:sz w:val="21"/>
          <w:szCs w:val="21"/>
        </w:rPr>
      </w:pPr>
      <w:r>
        <w:rPr>
          <w:rFonts w:hint="eastAsia" w:cs="宋体"/>
          <w:sz w:val="21"/>
          <w:szCs w:val="21"/>
        </w:rPr>
        <w:t xml:space="preserve">  2.采购代理机构信息</w:t>
      </w:r>
    </w:p>
    <w:p w14:paraId="204EF036">
      <w:pPr>
        <w:pStyle w:val="43"/>
        <w:spacing w:before="0" w:beforeAutospacing="0" w:after="0" w:afterAutospacing="0" w:line="360" w:lineRule="auto"/>
        <w:rPr>
          <w:rFonts w:cs="宋体"/>
          <w:sz w:val="21"/>
          <w:szCs w:val="21"/>
        </w:rPr>
      </w:pPr>
      <w:r>
        <w:rPr>
          <w:rFonts w:hint="eastAsia" w:cs="宋体"/>
          <w:sz w:val="21"/>
          <w:szCs w:val="21"/>
        </w:rPr>
        <w:t xml:space="preserve">  名 称：浙江中明工程咨询有限公司</w:t>
      </w:r>
    </w:p>
    <w:p w14:paraId="62FE76F6">
      <w:pPr>
        <w:pStyle w:val="43"/>
        <w:spacing w:before="0" w:beforeAutospacing="0" w:after="0" w:afterAutospacing="0" w:line="360" w:lineRule="auto"/>
        <w:ind w:left="210" w:hanging="210" w:hangingChars="100"/>
        <w:rPr>
          <w:rFonts w:cs="宋体"/>
          <w:sz w:val="21"/>
          <w:szCs w:val="21"/>
        </w:rPr>
      </w:pPr>
      <w:r>
        <w:rPr>
          <w:rFonts w:hint="eastAsia" w:cs="宋体"/>
          <w:sz w:val="21"/>
          <w:szCs w:val="21"/>
        </w:rPr>
        <w:t xml:space="preserve">  地 址：嘉兴市由拳路309号紫御大厦1701室</w:t>
      </w:r>
    </w:p>
    <w:p w14:paraId="5E8F9677">
      <w:pPr>
        <w:pStyle w:val="43"/>
        <w:spacing w:before="0" w:beforeAutospacing="0" w:after="0" w:afterAutospacing="0" w:line="360" w:lineRule="auto"/>
        <w:rPr>
          <w:rFonts w:cs="宋体"/>
          <w:sz w:val="21"/>
          <w:szCs w:val="21"/>
        </w:rPr>
      </w:pPr>
      <w:r>
        <w:rPr>
          <w:rFonts w:hint="eastAsia" w:cs="宋体"/>
          <w:sz w:val="21"/>
          <w:szCs w:val="21"/>
        </w:rPr>
        <w:t xml:space="preserve">  传 真：/</w:t>
      </w:r>
    </w:p>
    <w:p w14:paraId="7E96961B">
      <w:pPr>
        <w:pStyle w:val="43"/>
        <w:spacing w:before="0" w:beforeAutospacing="0" w:after="0" w:afterAutospacing="0" w:line="360" w:lineRule="auto"/>
        <w:rPr>
          <w:rFonts w:cs="宋体"/>
          <w:sz w:val="21"/>
          <w:szCs w:val="21"/>
        </w:rPr>
      </w:pPr>
      <w:r>
        <w:rPr>
          <w:rFonts w:hint="eastAsia" w:cs="宋体"/>
          <w:sz w:val="21"/>
          <w:szCs w:val="21"/>
        </w:rPr>
        <w:t xml:space="preserve">  项目联系人（询问）：张华</w:t>
      </w:r>
    </w:p>
    <w:p w14:paraId="64B3A0D8">
      <w:pPr>
        <w:pStyle w:val="43"/>
        <w:spacing w:before="0" w:beforeAutospacing="0" w:after="0" w:afterAutospacing="0" w:line="360" w:lineRule="auto"/>
        <w:rPr>
          <w:rFonts w:cs="宋体"/>
          <w:sz w:val="21"/>
          <w:szCs w:val="21"/>
        </w:rPr>
      </w:pPr>
      <w:r>
        <w:rPr>
          <w:rFonts w:hint="eastAsia" w:cs="宋体"/>
          <w:sz w:val="21"/>
          <w:szCs w:val="21"/>
        </w:rPr>
        <w:t xml:space="preserve">  项目联系方式（询问）：15356833792</w:t>
      </w:r>
    </w:p>
    <w:p w14:paraId="625DB953">
      <w:pPr>
        <w:pStyle w:val="43"/>
        <w:spacing w:before="0" w:beforeAutospacing="0" w:after="0" w:afterAutospacing="0" w:line="360" w:lineRule="auto"/>
        <w:rPr>
          <w:rFonts w:cs="宋体"/>
          <w:sz w:val="21"/>
          <w:szCs w:val="21"/>
        </w:rPr>
      </w:pPr>
      <w:r>
        <w:rPr>
          <w:rFonts w:hint="eastAsia" w:cs="宋体"/>
          <w:sz w:val="21"/>
          <w:szCs w:val="21"/>
        </w:rPr>
        <w:t xml:space="preserve">  质疑联系人：姚琪</w:t>
      </w:r>
    </w:p>
    <w:p w14:paraId="2E6AE6E5">
      <w:pPr>
        <w:pStyle w:val="43"/>
        <w:spacing w:before="0" w:beforeAutospacing="0" w:after="0" w:afterAutospacing="0" w:line="360" w:lineRule="auto"/>
        <w:rPr>
          <w:rFonts w:cs="宋体"/>
          <w:sz w:val="21"/>
          <w:szCs w:val="21"/>
        </w:rPr>
      </w:pPr>
      <w:r>
        <w:rPr>
          <w:rFonts w:hint="eastAsia" w:cs="宋体"/>
          <w:sz w:val="21"/>
          <w:szCs w:val="21"/>
        </w:rPr>
        <w:t xml:space="preserve">  质疑联系方式：0573-83679692</w:t>
      </w:r>
    </w:p>
    <w:p w14:paraId="18F60F75">
      <w:pPr>
        <w:pStyle w:val="43"/>
        <w:spacing w:before="60" w:beforeAutospacing="0" w:after="60" w:afterAutospacing="0" w:line="360" w:lineRule="auto"/>
        <w:ind w:firstLine="735" w:firstLineChars="350"/>
        <w:rPr>
          <w:rFonts w:cs="宋体"/>
          <w:sz w:val="21"/>
          <w:szCs w:val="21"/>
        </w:rPr>
        <w:sectPr>
          <w:footerReference r:id="rId9" w:type="default"/>
          <w:pgSz w:w="11906" w:h="16838"/>
          <w:pgMar w:top="1474" w:right="1797" w:bottom="1440" w:left="1797" w:header="851" w:footer="851" w:gutter="0"/>
          <w:pgNumType w:start="1"/>
          <w:cols w:space="720" w:num="1"/>
          <w:docGrid w:linePitch="312" w:charSpace="0"/>
        </w:sectPr>
      </w:pPr>
      <w:r>
        <w:rPr>
          <w:rFonts w:hint="eastAsia" w:cs="宋体"/>
          <w:sz w:val="21"/>
          <w:szCs w:val="21"/>
        </w:rPr>
        <w:t xml:space="preserve"> </w:t>
      </w:r>
    </w:p>
    <w:bookmarkEnd w:id="4"/>
    <w:bookmarkEnd w:id="5"/>
    <w:p w14:paraId="1DD6F07C">
      <w:pPr>
        <w:pStyle w:val="43"/>
        <w:spacing w:before="0" w:beforeAutospacing="0" w:after="0" w:afterAutospacing="0"/>
        <w:jc w:val="center"/>
        <w:rPr>
          <w:rStyle w:val="133"/>
          <w:rFonts w:ascii="宋体" w:eastAsia="宋体" w:cs="宋体"/>
          <w:bCs/>
          <w:kern w:val="2"/>
          <w:szCs w:val="52"/>
        </w:rPr>
      </w:pPr>
      <w:bookmarkStart w:id="6" w:name="_Toc493511542"/>
      <w:bookmarkStart w:id="7" w:name="_Toc177870534"/>
      <w:bookmarkStart w:id="8" w:name="_Toc31093"/>
      <w:r>
        <w:rPr>
          <w:rStyle w:val="133"/>
          <w:rFonts w:hint="eastAsia" w:ascii="宋体" w:eastAsia="宋体" w:cs="宋体"/>
          <w:bCs/>
          <w:kern w:val="2"/>
          <w:szCs w:val="52"/>
        </w:rPr>
        <w:t>第二章  采购需求</w:t>
      </w:r>
    </w:p>
    <w:p w14:paraId="49CA37C5">
      <w:pPr>
        <w:widowControl/>
        <w:spacing w:line="440" w:lineRule="exact"/>
        <w:contextualSpacing/>
        <w:rPr>
          <w:rFonts w:ascii="宋体" w:hAnsi="宋体" w:cs="宋体"/>
          <w:b/>
          <w:color w:val="000000"/>
          <w:kern w:val="0"/>
          <w:szCs w:val="21"/>
          <w:highlight w:val="none"/>
        </w:rPr>
      </w:pPr>
      <w:r>
        <w:rPr>
          <w:rFonts w:hint="eastAsia" w:ascii="宋体" w:hAnsi="宋体" w:cs="宋体"/>
          <w:b/>
          <w:color w:val="000000"/>
          <w:kern w:val="0"/>
          <w:szCs w:val="21"/>
          <w:highlight w:val="none"/>
        </w:rPr>
        <w:t>一、项目概况</w:t>
      </w:r>
    </w:p>
    <w:p w14:paraId="16C7A433">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lang w:val="zh-CN"/>
        </w:rPr>
        <w:t>为进一步提升消防队伍整体形象，逐步改善消防员生活就餐环境，促进队伍精细化管理，拟对大队餐饮、保洁等服务实行对外承包。</w:t>
      </w:r>
      <w:r>
        <w:rPr>
          <w:highlight w:val="none"/>
        </w:rPr>
        <w:fldChar w:fldCharType="begin"/>
      </w:r>
      <w:r>
        <w:rPr>
          <w:highlight w:val="none"/>
        </w:rPr>
        <w:instrText xml:space="preserve"> HYPERLINK "http://cgyx.ccgp.gov.cn/cgyx/pub/proJ/details?projId=f9a482a5-605f-4f92-b04f-94fccfd2a198" \t "http://cgyx.ccgp.gov.cn/cgyx/pub/_blank" </w:instrText>
      </w:r>
      <w:r>
        <w:rPr>
          <w:highlight w:val="none"/>
        </w:rPr>
        <w:fldChar w:fldCharType="separate"/>
      </w:r>
      <w:r>
        <w:rPr>
          <w:rFonts w:hint="eastAsia" w:ascii="宋体" w:hAnsi="宋体" w:cs="宋体"/>
          <w:color w:val="000000"/>
          <w:kern w:val="0"/>
          <w:szCs w:val="21"/>
          <w:highlight w:val="none"/>
          <w:lang w:val="zh-CN"/>
        </w:rPr>
        <w:t>大队食堂</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就餐人数约</w:t>
      </w:r>
      <w:r>
        <w:rPr>
          <w:rFonts w:hint="eastAsia" w:ascii="宋体" w:hAnsi="宋体" w:cs="宋体"/>
          <w:color w:val="000000"/>
          <w:kern w:val="0"/>
          <w:szCs w:val="21"/>
          <w:highlight w:val="none"/>
        </w:rPr>
        <w:t>140</w:t>
      </w:r>
      <w:r>
        <w:rPr>
          <w:rFonts w:hint="eastAsia" w:ascii="宋体" w:hAnsi="宋体" w:cs="宋体"/>
          <w:color w:val="000000"/>
          <w:kern w:val="0"/>
          <w:szCs w:val="21"/>
          <w:highlight w:val="none"/>
          <w:lang w:val="zh-CN"/>
        </w:rPr>
        <w:t>人。由于工作特殊性，工作时间为全年就餐。所需服务保障人员</w:t>
      </w:r>
      <w:r>
        <w:rPr>
          <w:rFonts w:hint="eastAsia" w:ascii="宋体" w:hAnsi="宋体" w:cs="宋体"/>
          <w:color w:val="000000"/>
          <w:kern w:val="0"/>
          <w:szCs w:val="21"/>
          <w:highlight w:val="none"/>
        </w:rPr>
        <w:t>13</w:t>
      </w:r>
      <w:r>
        <w:rPr>
          <w:rFonts w:hint="eastAsia" w:ascii="宋体" w:hAnsi="宋体" w:cs="宋体"/>
          <w:color w:val="000000"/>
          <w:kern w:val="0"/>
          <w:szCs w:val="21"/>
          <w:highlight w:val="none"/>
          <w:lang w:val="zh-CN"/>
        </w:rPr>
        <w:t>人（经理</w:t>
      </w: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zh-CN"/>
        </w:rPr>
        <w:t>人、后厨厨师</w:t>
      </w:r>
      <w:r>
        <w:rPr>
          <w:rFonts w:hint="eastAsia" w:ascii="宋体" w:hAnsi="宋体" w:cs="宋体"/>
          <w:color w:val="000000"/>
          <w:kern w:val="0"/>
          <w:szCs w:val="21"/>
          <w:highlight w:val="none"/>
        </w:rPr>
        <w:t>3人、</w:t>
      </w:r>
      <w:r>
        <w:rPr>
          <w:rFonts w:hint="eastAsia" w:ascii="宋体" w:hAnsi="宋体" w:cs="宋体"/>
          <w:color w:val="000000"/>
          <w:kern w:val="0"/>
          <w:szCs w:val="21"/>
          <w:highlight w:val="none"/>
          <w:lang w:val="zh-CN"/>
        </w:rPr>
        <w:t>切配</w:t>
      </w:r>
      <w:r>
        <w:rPr>
          <w:rFonts w:hint="eastAsia" w:ascii="宋体" w:hAnsi="宋体" w:cs="宋体"/>
          <w:color w:val="000000"/>
          <w:kern w:val="0"/>
          <w:szCs w:val="21"/>
          <w:highlight w:val="none"/>
        </w:rPr>
        <w:t>4人、</w:t>
      </w:r>
      <w:r>
        <w:rPr>
          <w:rFonts w:hint="eastAsia" w:ascii="宋体" w:hAnsi="宋体" w:cs="宋体"/>
          <w:color w:val="000000"/>
          <w:kern w:val="0"/>
          <w:szCs w:val="21"/>
          <w:highlight w:val="none"/>
          <w:lang w:val="zh-CN"/>
        </w:rPr>
        <w:t>面点师</w:t>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zh-CN"/>
        </w:rPr>
        <w:t>人、</w:t>
      </w:r>
      <w:r>
        <w:rPr>
          <w:rFonts w:hint="eastAsia" w:ascii="宋体" w:hAnsi="宋体" w:cs="宋体"/>
          <w:color w:val="000000"/>
          <w:kern w:val="0"/>
          <w:szCs w:val="21"/>
          <w:highlight w:val="none"/>
        </w:rPr>
        <w:t>保洁2</w:t>
      </w:r>
      <w:r>
        <w:rPr>
          <w:rFonts w:hint="eastAsia" w:ascii="宋体" w:hAnsi="宋体" w:cs="宋体"/>
          <w:color w:val="000000"/>
          <w:kern w:val="0"/>
          <w:szCs w:val="21"/>
          <w:highlight w:val="none"/>
          <w:lang w:val="zh-CN"/>
        </w:rPr>
        <w:t>人），同时做好临时性餐饮保障工作。</w:t>
      </w:r>
    </w:p>
    <w:p w14:paraId="4C3AFFDC">
      <w:pPr>
        <w:widowControl/>
        <w:spacing w:line="440" w:lineRule="exact"/>
        <w:contextualSpacing/>
        <w:rPr>
          <w:rFonts w:ascii="宋体" w:hAnsi="宋体" w:cs="宋体"/>
          <w:b/>
          <w:color w:val="000000"/>
          <w:kern w:val="0"/>
          <w:szCs w:val="21"/>
          <w:highlight w:val="none"/>
        </w:rPr>
      </w:pPr>
      <w:r>
        <w:rPr>
          <w:rFonts w:hint="eastAsia" w:ascii="宋体" w:hAnsi="宋体" w:cs="宋体"/>
          <w:b/>
          <w:color w:val="000000"/>
          <w:kern w:val="0"/>
          <w:szCs w:val="21"/>
          <w:highlight w:val="none"/>
        </w:rPr>
        <w:t>二、服务内容及要求</w:t>
      </w:r>
    </w:p>
    <w:p w14:paraId="7C0A75E2">
      <w:pPr>
        <w:widowControl/>
        <w:spacing w:line="440" w:lineRule="exact"/>
        <w:ind w:firstLine="422" w:firstLineChars="200"/>
        <w:contextualSpacing/>
        <w:rPr>
          <w:rFonts w:ascii="宋体" w:hAnsi="宋体" w:cs="宋体"/>
          <w:b/>
          <w:bCs/>
          <w:color w:val="000000"/>
          <w:kern w:val="0"/>
          <w:szCs w:val="21"/>
          <w:highlight w:val="none"/>
        </w:rPr>
      </w:pPr>
      <w:r>
        <w:rPr>
          <w:rFonts w:hint="eastAsia" w:ascii="宋体" w:hAnsi="宋体" w:cs="宋体"/>
          <w:b/>
          <w:bCs/>
          <w:color w:val="000000"/>
          <w:kern w:val="0"/>
          <w:szCs w:val="21"/>
          <w:highlight w:val="none"/>
          <w:lang w:val="zh-CN"/>
        </w:rPr>
        <w:t>(一)餐饮部分</w:t>
      </w:r>
    </w:p>
    <w:p w14:paraId="777AAF8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服务方式及内容：投标人负责食堂每日用餐所需菜谱的配制，制定合理采购计划，对采购的食品、蔬菜、调料、日常用品等原材料的清点验收、保管、存储、制作加工、配售、管理等所有食堂后勤服务工作（食堂日常的食品、蔬菜、调料等原材料的采购由采购人负责）；投标人负责食堂范围区域的卫生保洁工作（保洁要求附件1）、碗筷清洗消毒、菜品留样等；投标人负责物品的管理，每月底进行库存物品的盘存，避免原材料过期、变质；</w:t>
      </w:r>
    </w:p>
    <w:p w14:paraId="2F1A9F3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（采购人提供食堂设施和餐饮用具，承担食堂水电、燃料的费用）</w:t>
      </w:r>
    </w:p>
    <w:p w14:paraId="6327783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2</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投标人更换重要岗位人员（</w:t>
      </w:r>
      <w:r>
        <w:rPr>
          <w:rFonts w:hint="eastAsia" w:ascii="宋体" w:hAnsi="宋体" w:cs="宋体"/>
          <w:color w:val="000000"/>
          <w:kern w:val="0"/>
          <w:szCs w:val="21"/>
          <w:highlight w:val="none"/>
        </w:rPr>
        <w:t>厨师、面点师</w:t>
      </w:r>
      <w:r>
        <w:rPr>
          <w:rFonts w:hint="eastAsia" w:ascii="宋体" w:hAnsi="宋体" w:cs="宋体"/>
          <w:color w:val="000000"/>
          <w:kern w:val="0"/>
          <w:szCs w:val="21"/>
          <w:highlight w:val="none"/>
          <w:lang w:val="zh-CN"/>
        </w:rPr>
        <w:t>）需</w:t>
      </w:r>
      <w:r>
        <w:rPr>
          <w:rFonts w:hint="eastAsia" w:ascii="宋体" w:hAnsi="宋体" w:cs="宋体"/>
          <w:color w:val="000000"/>
          <w:kern w:val="0"/>
          <w:szCs w:val="21"/>
          <w:highlight w:val="none"/>
        </w:rPr>
        <w:t>书面</w:t>
      </w:r>
      <w:r>
        <w:rPr>
          <w:rFonts w:hint="eastAsia" w:ascii="宋体" w:hAnsi="宋体" w:cs="宋体"/>
          <w:color w:val="000000"/>
          <w:kern w:val="0"/>
          <w:szCs w:val="21"/>
          <w:highlight w:val="none"/>
          <w:lang w:val="zh-CN"/>
        </w:rPr>
        <w:t>报请采购人同意，</w:t>
      </w:r>
      <w:r>
        <w:rPr>
          <w:rFonts w:hint="eastAsia" w:ascii="宋体" w:hAnsi="宋体" w:cs="宋体"/>
          <w:color w:val="000000"/>
          <w:kern w:val="0"/>
          <w:szCs w:val="21"/>
          <w:highlight w:val="none"/>
        </w:rPr>
        <w:t>若需更换则需更换为同等资质标准的人员</w:t>
      </w:r>
      <w:r>
        <w:rPr>
          <w:rFonts w:hint="eastAsia" w:ascii="宋体" w:hAnsi="宋体" w:cs="宋体"/>
          <w:color w:val="000000"/>
          <w:kern w:val="0"/>
          <w:szCs w:val="21"/>
          <w:highlight w:val="none"/>
          <w:lang w:val="zh-CN"/>
        </w:rPr>
        <w:t>；采购人有权对不符合要求的服务工作人员提出更换要求，投标人应接受采购人推荐的人员；投标人以高标准、严要求的服务态度为采购人提供优质的人员保障及就餐服务；在特殊情况下，采购人有权调派投标人的管理人员和工作人员；投标人不得擅自制作饭菜票或收取现金，不得对外经营。</w:t>
      </w:r>
    </w:p>
    <w:p w14:paraId="498DBBAA">
      <w:pPr>
        <w:widowControl/>
        <w:spacing w:line="440" w:lineRule="exact"/>
        <w:ind w:firstLine="420" w:firstLineChars="200"/>
        <w:contextualSpacing/>
        <w:rPr>
          <w:rFonts w:ascii="宋体" w:hAnsi="宋体" w:cs="宋体"/>
          <w:bCs/>
          <w:color w:val="000000"/>
          <w:kern w:val="0"/>
          <w:szCs w:val="21"/>
          <w:highlight w:val="none"/>
        </w:rPr>
      </w:pPr>
      <w:r>
        <w:rPr>
          <w:rFonts w:hint="eastAsia" w:ascii="宋体" w:hAnsi="宋体" w:cs="宋体"/>
          <w:color w:val="000000"/>
          <w:kern w:val="0"/>
          <w:szCs w:val="21"/>
          <w:highlight w:val="none"/>
          <w:lang w:val="zh-CN"/>
        </w:rPr>
        <w:t>3</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服务地点：海盐县消防救援大队武原站、望海站及西塘桥站</w:t>
      </w:r>
    </w:p>
    <w:p w14:paraId="150D0A3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食堂设备、工具等</w:t>
      </w:r>
    </w:p>
    <w:p w14:paraId="34E93C1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4.1</w:t>
      </w:r>
      <w:r>
        <w:rPr>
          <w:rFonts w:hint="eastAsia" w:ascii="宋体" w:hAnsi="宋体" w:cs="宋体"/>
          <w:color w:val="000000"/>
          <w:kern w:val="0"/>
          <w:szCs w:val="21"/>
          <w:highlight w:val="none"/>
          <w:lang w:val="zh-CN"/>
        </w:rPr>
        <w:t>食堂室内外均已装修，投标人不应改变。如确需改变的，必须经采购人</w:t>
      </w:r>
      <w:r>
        <w:rPr>
          <w:rFonts w:hint="eastAsia" w:ascii="宋体" w:hAnsi="宋体" w:cs="宋体"/>
          <w:color w:val="000000"/>
          <w:kern w:val="0"/>
          <w:szCs w:val="21"/>
          <w:highlight w:val="none"/>
        </w:rPr>
        <w:t>书面</w:t>
      </w:r>
      <w:r>
        <w:rPr>
          <w:rFonts w:hint="eastAsia" w:ascii="宋体" w:hAnsi="宋体" w:cs="宋体"/>
          <w:color w:val="000000"/>
          <w:kern w:val="0"/>
          <w:szCs w:val="21"/>
          <w:highlight w:val="none"/>
          <w:lang w:val="zh-CN"/>
        </w:rPr>
        <w:t>同意，方可改变。</w:t>
      </w:r>
    </w:p>
    <w:p w14:paraId="4049797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4.2</w:t>
      </w:r>
      <w:r>
        <w:rPr>
          <w:rFonts w:hint="eastAsia" w:ascii="宋体" w:hAnsi="宋体" w:cs="宋体"/>
          <w:color w:val="000000"/>
          <w:kern w:val="0"/>
          <w:szCs w:val="21"/>
          <w:highlight w:val="none"/>
          <w:lang w:val="zh-CN"/>
        </w:rPr>
        <w:t>食堂的桌椅、厨房设备，提供给投标人免费使用，投标人应爱惜财物保持其完好性。日常维修由采购人负责。如发现属人工操作不当或故意损坏由投标人负责维修和赔偿。</w:t>
      </w:r>
    </w:p>
    <w:p w14:paraId="7F56DD5D">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4.3</w:t>
      </w:r>
      <w:r>
        <w:rPr>
          <w:rFonts w:hint="eastAsia" w:ascii="宋体" w:hAnsi="宋体" w:cs="宋体"/>
          <w:color w:val="000000"/>
          <w:kern w:val="0"/>
          <w:szCs w:val="21"/>
          <w:highlight w:val="none"/>
          <w:lang w:val="zh-CN"/>
        </w:rPr>
        <w:t>碗、勺、筷、盘等日常餐具由采购人统一提供，按需登记造册领用，每周清点一次，每月统计一次，年损耗率不超过10%，超过部分由投标人承担，在承包费里扣除。</w:t>
      </w:r>
    </w:p>
    <w:p w14:paraId="77B8C1D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5</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用餐时间及服务</w:t>
      </w:r>
    </w:p>
    <w:p w14:paraId="4A192FEC">
      <w:pPr>
        <w:widowControl/>
        <w:spacing w:line="440" w:lineRule="exact"/>
        <w:ind w:firstLine="420" w:firstLineChars="200"/>
        <w:contextualSpacing/>
        <w:rPr>
          <w:rFonts w:ascii="宋体" w:hAnsi="宋体" w:cs="宋体"/>
          <w:strike/>
          <w:color w:val="000000"/>
          <w:kern w:val="0"/>
          <w:szCs w:val="21"/>
          <w:highlight w:val="none"/>
          <w:lang w:val="zh-CN"/>
        </w:rPr>
      </w:pPr>
      <w:r>
        <w:rPr>
          <w:rFonts w:hint="eastAsia" w:ascii="宋体" w:hAnsi="宋体" w:cs="宋体"/>
          <w:color w:val="000000"/>
          <w:kern w:val="0"/>
          <w:szCs w:val="21"/>
          <w:highlight w:val="none"/>
        </w:rPr>
        <w:t>5.1</w:t>
      </w:r>
      <w:r>
        <w:rPr>
          <w:rFonts w:hint="eastAsia" w:ascii="宋体" w:hAnsi="宋体" w:cs="宋体"/>
          <w:color w:val="000000"/>
          <w:kern w:val="0"/>
          <w:szCs w:val="21"/>
          <w:highlight w:val="none"/>
          <w:lang w:val="zh-CN"/>
        </w:rPr>
        <w:t>投标人提供早餐、中餐、晚餐服务。早餐服务时间为</w:t>
      </w:r>
      <w:r>
        <w:rPr>
          <w:rFonts w:hint="eastAsia" w:ascii="宋体" w:hAnsi="宋体" w:cs="宋体"/>
          <w:color w:val="000000"/>
          <w:kern w:val="0"/>
          <w:szCs w:val="21"/>
          <w:highlight w:val="none"/>
          <w:u w:val="single"/>
          <w:lang w:val="zh-CN"/>
        </w:rPr>
        <w:t>6:00-8:00</w:t>
      </w:r>
      <w:r>
        <w:rPr>
          <w:rFonts w:hint="eastAsia" w:ascii="宋体" w:hAnsi="宋体" w:cs="宋体"/>
          <w:color w:val="000000"/>
          <w:kern w:val="0"/>
          <w:szCs w:val="21"/>
          <w:highlight w:val="none"/>
          <w:lang w:val="zh-CN"/>
        </w:rPr>
        <w:t>，根据实际需要调整。设白粥、花式粥、豆浆、包子、馒头、花卷、糕点、2种杂粮、面条、油条、4-5个小菜等服务；中餐服务时间为</w:t>
      </w:r>
      <w:r>
        <w:rPr>
          <w:rFonts w:hint="eastAsia" w:ascii="宋体" w:hAnsi="宋体" w:cs="宋体"/>
          <w:color w:val="000000"/>
          <w:kern w:val="0"/>
          <w:szCs w:val="21"/>
          <w:highlight w:val="none"/>
          <w:u w:val="single"/>
          <w:lang w:val="zh-CN"/>
        </w:rPr>
        <w:t>11:30-12:30</w:t>
      </w:r>
      <w:r>
        <w:rPr>
          <w:rFonts w:hint="eastAsia" w:ascii="宋体" w:hAnsi="宋体" w:cs="宋体"/>
          <w:color w:val="000000"/>
          <w:kern w:val="0"/>
          <w:szCs w:val="21"/>
          <w:highlight w:val="none"/>
          <w:lang w:val="zh-CN"/>
        </w:rPr>
        <w:t>，需制作3个荤菜、3个素菜、一份水果、1个汤（菜汤和甜汤）（根据任务要求可另做调整）；晚餐服务时间为</w:t>
      </w:r>
      <w:r>
        <w:rPr>
          <w:rFonts w:hint="eastAsia" w:ascii="宋体" w:hAnsi="宋体" w:cs="宋体"/>
          <w:color w:val="000000"/>
          <w:kern w:val="0"/>
          <w:szCs w:val="21"/>
          <w:highlight w:val="none"/>
          <w:u w:val="single"/>
          <w:lang w:val="zh-CN"/>
        </w:rPr>
        <w:t>17:10-18:00</w:t>
      </w:r>
      <w:r>
        <w:rPr>
          <w:rFonts w:hint="eastAsia" w:ascii="宋体" w:hAnsi="宋体" w:cs="宋体"/>
          <w:color w:val="000000"/>
          <w:kern w:val="0"/>
          <w:szCs w:val="21"/>
          <w:highlight w:val="none"/>
          <w:lang w:val="zh-CN"/>
        </w:rPr>
        <w:t>，需制作3个荤菜、3个素菜、1个汤（具体就餐时间根据作息时间作相应调整。</w:t>
      </w:r>
    </w:p>
    <w:p w14:paraId="04F70DA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5.2</w:t>
      </w:r>
      <w:r>
        <w:rPr>
          <w:rFonts w:hint="eastAsia" w:ascii="宋体" w:hAnsi="宋体" w:cs="宋体"/>
          <w:color w:val="000000"/>
          <w:kern w:val="0"/>
          <w:szCs w:val="21"/>
          <w:highlight w:val="none"/>
          <w:lang w:val="zh-CN"/>
        </w:rPr>
        <w:t>投标人必须科学安排菜谱，做到一周菜谱不重复，菜单必须经采购人及其委托的管理人员认可方可执行；投标人必须每周拟定菜单，提供采购人确认；用餐以桌菜形式。</w:t>
      </w:r>
    </w:p>
    <w:p w14:paraId="587C9C8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5.3</w:t>
      </w:r>
      <w:r>
        <w:rPr>
          <w:rFonts w:hint="eastAsia" w:ascii="宋体" w:hAnsi="宋体" w:cs="宋体"/>
          <w:color w:val="000000"/>
          <w:kern w:val="0"/>
          <w:szCs w:val="21"/>
          <w:highlight w:val="none"/>
          <w:lang w:val="zh-CN"/>
        </w:rPr>
        <w:t>投标人在承包区域的各项服务，其工作时间，必须满足采购人的工作要求，包括双休日及公众假期等特殊时期用餐（</w:t>
      </w:r>
      <w:r>
        <w:rPr>
          <w:rFonts w:hint="eastAsia" w:ascii="宋体" w:hAnsi="宋体" w:cs="宋体"/>
          <w:color w:val="000000"/>
          <w:kern w:val="0"/>
          <w:szCs w:val="21"/>
          <w:highlight w:val="none"/>
        </w:rPr>
        <w:t>即全面无休，双休日及法定节假日均需提供用餐服务</w:t>
      </w:r>
      <w:r>
        <w:rPr>
          <w:rFonts w:hint="eastAsia" w:ascii="宋体" w:hAnsi="宋体" w:cs="宋体"/>
          <w:color w:val="000000"/>
          <w:kern w:val="0"/>
          <w:szCs w:val="21"/>
          <w:highlight w:val="none"/>
          <w:lang w:val="zh-CN"/>
        </w:rPr>
        <w:t>）。遇特殊情况，采购人认为应提供方便或提高服务质量时，可要求投标人按照工作要求调整工作时间。费用包括在报价总价中。</w:t>
      </w:r>
    </w:p>
    <w:p w14:paraId="1A2D3EE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w:t>
      </w:r>
      <w:r>
        <w:rPr>
          <w:rFonts w:hint="eastAsia" w:ascii="宋体" w:hAnsi="宋体" w:cs="宋体"/>
          <w:color w:val="000000"/>
          <w:kern w:val="0"/>
          <w:szCs w:val="21"/>
          <w:highlight w:val="none"/>
          <w:lang w:val="zh-CN"/>
        </w:rPr>
        <w:t>服务质量标准</w:t>
      </w:r>
    </w:p>
    <w:p w14:paraId="6910D01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6.1</w:t>
      </w:r>
      <w:r>
        <w:rPr>
          <w:rFonts w:hint="eastAsia" w:ascii="宋体" w:hAnsi="宋体" w:cs="宋体"/>
          <w:color w:val="000000"/>
          <w:kern w:val="0"/>
          <w:szCs w:val="21"/>
          <w:highlight w:val="none"/>
          <w:lang w:val="zh-CN"/>
        </w:rPr>
        <w:t>投标人需本着对企业品牌的衍生，以社会化效益为主的原则进行服务。对承包期内的人员费用、质量、安全、文明服务等实行全面承包。</w:t>
      </w:r>
    </w:p>
    <w:p w14:paraId="41D69AED">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6.2</w:t>
      </w:r>
      <w:r>
        <w:rPr>
          <w:rFonts w:hint="eastAsia" w:ascii="宋体" w:hAnsi="宋体" w:cs="宋体"/>
          <w:color w:val="000000"/>
          <w:kern w:val="0"/>
          <w:szCs w:val="21"/>
          <w:highlight w:val="none"/>
          <w:lang w:val="zh-CN"/>
        </w:rPr>
        <w:t>应建立健全以岗位责任制为中心的各项质量管理制度，做到工作有计划，行为有规范，操作有程序，质量有标准，劳动有纪律。要结合消防食堂的特点，从食品质量、花色品种、口感味道、服务方式、饮食卫生等方面制定服务规范或质量标准，不断提高食堂的服务水平。</w:t>
      </w:r>
    </w:p>
    <w:p w14:paraId="5BFFFE9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6.3</w:t>
      </w:r>
      <w:r>
        <w:rPr>
          <w:rFonts w:hint="eastAsia" w:ascii="宋体" w:hAnsi="宋体" w:cs="宋体"/>
          <w:color w:val="000000"/>
          <w:kern w:val="0"/>
          <w:szCs w:val="21"/>
          <w:highlight w:val="none"/>
          <w:lang w:val="zh-CN"/>
        </w:rPr>
        <w:t>对食堂工作的全过程，即对食品及原材料、调料的清点验收、保管、储存、制作加工等工作进行全面质量管理，对食堂职工进行质量管理教育，了解全面质量管理的基本知识和方法，树立质量意识。</w:t>
      </w:r>
    </w:p>
    <w:p w14:paraId="3BE6BC2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6.4</w:t>
      </w:r>
      <w:r>
        <w:rPr>
          <w:rFonts w:hint="eastAsia" w:ascii="宋体" w:hAnsi="宋体" w:cs="宋体"/>
          <w:color w:val="000000"/>
          <w:kern w:val="0"/>
          <w:szCs w:val="21"/>
          <w:highlight w:val="none"/>
          <w:lang w:val="zh-CN"/>
        </w:rPr>
        <w:t>加强内部质量自查和自我监督，建立内部质量检查小组，每月实施质量检查工作，记录检查结果，建立质量检查档案，组织职工在日常工作中开展质量自查、互查活动。</w:t>
      </w:r>
    </w:p>
    <w:p w14:paraId="1BD91D8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6.5</w:t>
      </w:r>
      <w:r>
        <w:rPr>
          <w:rFonts w:hint="eastAsia" w:ascii="宋体" w:hAnsi="宋体" w:cs="宋体"/>
          <w:color w:val="000000"/>
          <w:kern w:val="0"/>
          <w:szCs w:val="21"/>
          <w:highlight w:val="none"/>
          <w:lang w:val="zh-CN"/>
        </w:rPr>
        <w:t>服务</w:t>
      </w:r>
      <w:r>
        <w:rPr>
          <w:rFonts w:hint="eastAsia" w:ascii="宋体" w:hAnsi="宋体" w:cs="宋体"/>
          <w:color w:val="000000"/>
          <w:kern w:val="0"/>
          <w:szCs w:val="21"/>
          <w:highlight w:val="none"/>
        </w:rPr>
        <w:t>范围</w:t>
      </w:r>
      <w:r>
        <w:rPr>
          <w:rFonts w:hint="eastAsia" w:ascii="宋体" w:hAnsi="宋体" w:cs="宋体"/>
          <w:color w:val="000000"/>
          <w:kern w:val="0"/>
          <w:szCs w:val="21"/>
          <w:highlight w:val="none"/>
          <w:lang w:val="zh-CN"/>
        </w:rPr>
        <w:t>内执行生活垃圾分类，垃圾用袋装收集，存放在指定地点，清扫、保洁及生活服务的工作质量按国家卫生城市管理的有关标准严格验收。</w:t>
      </w:r>
    </w:p>
    <w:p w14:paraId="36223E7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6.6</w:t>
      </w:r>
      <w:r>
        <w:rPr>
          <w:rFonts w:hint="eastAsia" w:ascii="宋体" w:hAnsi="宋体" w:cs="宋体"/>
          <w:color w:val="000000"/>
          <w:kern w:val="0"/>
          <w:szCs w:val="21"/>
          <w:highlight w:val="none"/>
          <w:lang w:val="zh-CN"/>
        </w:rPr>
        <w:t>投标人须按现代企业制度运行，发挥自身优势，以热心、爱心、专心、贴心的服务，为采购人提供全方位、一体化的专业服务保障，确保国家消防救援队伍食堂正常运转，各项重大活动顺利完成。</w:t>
      </w:r>
    </w:p>
    <w:p w14:paraId="739F11B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6.7</w:t>
      </w:r>
      <w:r>
        <w:rPr>
          <w:rFonts w:hint="eastAsia" w:ascii="宋体" w:hAnsi="宋体" w:cs="宋体"/>
          <w:color w:val="000000"/>
          <w:kern w:val="0"/>
          <w:szCs w:val="21"/>
          <w:highlight w:val="none"/>
          <w:lang w:val="zh-CN"/>
        </w:rPr>
        <w:t>投标人所有工作人员，必须无条件服从采购人管理人员的调度、指挥，如发现不符合采购人管理要求的工作人员，采购人有权提出整改、更换。如3天内整改、更换、不及时或不到位，经协商无效，采购人有权要求投标人解除该工作人员合同。对于不合格人员，投标人要在三天内更换到位。投标人更换或调整人员应提前征求采购人意见，在征得采购人同意后方可更换、调整。</w:t>
      </w:r>
    </w:p>
    <w:p w14:paraId="6B913F0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6.8</w:t>
      </w:r>
      <w:r>
        <w:rPr>
          <w:rFonts w:hint="eastAsia" w:ascii="宋体" w:hAnsi="宋体" w:cs="宋体"/>
          <w:color w:val="000000"/>
          <w:kern w:val="0"/>
          <w:szCs w:val="21"/>
          <w:highlight w:val="none"/>
          <w:lang w:val="zh-CN"/>
        </w:rPr>
        <w:t>投标人达不到采购人要求及各项服务承诺，采购人有权要求其整改，</w:t>
      </w:r>
      <w:r>
        <w:rPr>
          <w:rFonts w:hint="eastAsia" w:ascii="宋体" w:hAnsi="宋体" w:cs="宋体"/>
          <w:color w:val="000000"/>
          <w:kern w:val="0"/>
          <w:szCs w:val="21"/>
          <w:highlight w:val="none"/>
        </w:rPr>
        <w:t>整改后仍不符合要求的，每1次扣除履约保证金1000元/次，发现3次（含）以上的解除合同</w:t>
      </w:r>
      <w:r>
        <w:rPr>
          <w:rFonts w:hint="eastAsia" w:ascii="宋体" w:hAnsi="宋体" w:cs="宋体"/>
          <w:color w:val="000000"/>
          <w:kern w:val="0"/>
          <w:szCs w:val="21"/>
          <w:highlight w:val="none"/>
          <w:lang w:val="zh-CN"/>
        </w:rPr>
        <w:t>。</w:t>
      </w:r>
    </w:p>
    <w:p w14:paraId="4A34652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6.9</w:t>
      </w:r>
      <w:r>
        <w:rPr>
          <w:rFonts w:hint="eastAsia" w:ascii="宋体" w:hAnsi="宋体" w:cs="宋体"/>
          <w:color w:val="000000"/>
          <w:kern w:val="0"/>
          <w:szCs w:val="21"/>
          <w:highlight w:val="none"/>
          <w:lang w:val="zh-CN"/>
        </w:rPr>
        <w:t>投标人应严格执行采购人统一管理标准，认真做好防盗、防毒、防火、防食品变味变质、防工伤事故和消防安全、秩序管理工作。需制定消防、安全等应急措施，并切实地培训到每个岗位人员。</w:t>
      </w:r>
    </w:p>
    <w:p w14:paraId="6234E97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6.10</w:t>
      </w:r>
      <w:r>
        <w:rPr>
          <w:rFonts w:hint="eastAsia" w:ascii="宋体" w:hAnsi="宋体" w:cs="宋体"/>
          <w:color w:val="000000"/>
          <w:kern w:val="0"/>
          <w:szCs w:val="21"/>
          <w:highlight w:val="none"/>
          <w:lang w:val="zh-CN"/>
        </w:rPr>
        <w:t>节能措施要求</w:t>
      </w:r>
    </w:p>
    <w:p w14:paraId="38408FF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（1）严格执行《中华人民共和国食品安全法》、《餐饮业食品卫生管理办法》、GB16153《饭馆（餐厅）卫生标准》、GB14934《食（饮）具消毒卫生标准》等卫生安全法律法规及标准。</w:t>
      </w:r>
    </w:p>
    <w:p w14:paraId="5CC734D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2）认真执行《食品加工、销售、饮食业卫生“五、四”制》，并结合采购人单位的具体情况，建立健全卫生制度，保证食品卫生，保障就餐人员的身体健康，并按采购人要求对食堂所需有关蔬菜、食品卫生实行最优质的保证。</w:t>
      </w:r>
    </w:p>
    <w:p w14:paraId="64C243C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（3）食品的卫生质量按《全国救灾防病预案》的规定，不用来源不明的原料；不加工、不发售来源不明的食品，防止疾病传染和食物中毒。</w:t>
      </w:r>
    </w:p>
    <w:p w14:paraId="31DB0BA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（4）食堂工作人员必须持有健康合格证上岗，定期复查。负责冷拼人员须戴口罩、手套上岗。处理直接入口食品时，必须戴口罩、手套，使用售餐用具。食堂工作人员讲究个人卫生，统一着装，规范操作。</w:t>
      </w:r>
    </w:p>
    <w:p w14:paraId="18DB01A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（5）食品原料的采购</w:t>
      </w:r>
    </w:p>
    <w:p w14:paraId="60B7A59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1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①</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食品的主料、辅料、调料等原材料，采购人负责进行采购，由投标人厨师、采购人委派管理人员共同验收。投标人应配专人负责做好入库、保管工作。</w:t>
      </w:r>
    </w:p>
    <w:p w14:paraId="66E93C6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2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②</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采购的食品及原料每天都要有登记，记录品名、采购点、价格、数量和金额等。</w:t>
      </w:r>
    </w:p>
    <w:p w14:paraId="7AAE67B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3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③</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食品采购验收人员对清点验收的加工食品及原料，必须检查其商标、出产地（厂家）、检验合格证等是否齐全，并整理归档，严禁接收加工无证产品。</w:t>
      </w:r>
    </w:p>
    <w:p w14:paraId="17E2C6C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4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④</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必须严格遵守国家新颁布的《餐饮业食品卫生管理办法》，发现有毒、有害、腐烂变质、酸败、霉变、生虫、污秽、不洁、混有异物或者其他感官性状异常的食品，无检验合格证明的食品，超过保质期限及其他不符合食品标签规定的定型包装食品，应禁止接收或加工制作，并上报采购人处理。</w:t>
      </w:r>
    </w:p>
    <w:p w14:paraId="4DFE6C5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（6）食品加工：</w:t>
      </w:r>
    </w:p>
    <w:p w14:paraId="0AA71ED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1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①</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食品加工人员在工作前、处理食品后或接触直接入口的食品前，都必须洗手消毒；不得留长指甲、涂指甲油、戴戒指，勤理发，勤修面，勤洗澡，勤换衣；不得有面对食品打喷嚏、咳嗽及其他有碍食品卫生的行为；不得在食品加工和出售场所内吸烟；应当穿戴整洁的工作衣帽，头发应梳理整齐并置于帽内。</w:t>
      </w:r>
    </w:p>
    <w:p w14:paraId="39A464A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2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②</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食品加工人员必须认真检查待加工的食品及其他食品原料，发现有腐败变质或其他感官性状异常的，不得加工或使用，发生食品安全事故由投标人负责。</w:t>
      </w:r>
    </w:p>
    <w:p w14:paraId="37818A2F">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3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③</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各种食品原料在使用前必须洗净，蔬菜应当与肉类、水产品类分池清洗；禽蛋在使用前应当对外壳进行清洗，必要时进行消毒处理；对怀疑带有农药的蔬菜，不得投入加工制作或使用。</w:t>
      </w:r>
    </w:p>
    <w:p w14:paraId="69AFD9C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4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④</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用于原料、半成品、成品的刀、墩、板、桶、盆、筐、抹布以及其他工具或容器必须标志明显，并做到分开使用，尤其是生、熟工具要分开，定位存放，用后洗净，保持清洁。</w:t>
      </w:r>
    </w:p>
    <w:p w14:paraId="5903840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5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⑤</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需要热制加工的食品必须烧熟煮透，其中心温度不得低于70</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；加工后的热制品应当与食品原料或半成品分开存放；半成品应当与食品原料分开存放。</w:t>
      </w:r>
    </w:p>
    <w:p w14:paraId="646A7DD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6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⑥</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在烹饪后至食用前需要较长时间(超过2小时)存放的食品，应当在高于6 0</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或低于1 0</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的条件下存放。需要冷藏的熟制品，应当放凉后再冷藏。凡隔餐、隔夜的熟制品必须经充分再加热后方可食用。执行菜品留样制度。</w:t>
      </w:r>
    </w:p>
    <w:p w14:paraId="4DBBF959">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7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⑦</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不允许使用食品添加剂和来源不明的调味品，若确需使用食品添加剂的应严格按照国家卫生标准和有关规定使用。</w:t>
      </w:r>
    </w:p>
    <w:p w14:paraId="55EC79C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8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⑧</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加工食品时要做好防蝇、防虫、防尘、防霉变、保洁及秋冬季节的食品保温工作。出售食品必须坚持使用清洁的专用工具，严禁用手直接接触食物。</w:t>
      </w:r>
    </w:p>
    <w:p w14:paraId="627D680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（7）食品储存</w:t>
      </w:r>
    </w:p>
    <w:p w14:paraId="72C697E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1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①</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储存食品场所、设备应当保持清洁，无霉斑、鼠迹、苍蝇、蟑螂；仓库应当通风良好。禁止存放有毒、有害物品及个人生活物品。</w:t>
      </w:r>
    </w:p>
    <w:p w14:paraId="6749AE2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2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②</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库房食品应当分类、分架、隔墙、离地(30厘米以上)存放，并贴上标签：定期检查处理变质或超过保质期限的食品。</w:t>
      </w:r>
    </w:p>
    <w:p w14:paraId="08FD1E4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3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③</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库房必须安排专人负责保管。凡新购食物必须经专人检查合格后，才允许入库；需冷冻食品应及时放入规定冰柜存放。</w:t>
      </w:r>
    </w:p>
    <w:p w14:paraId="5A94B55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4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④</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每次、每批食品入库、领用都必须做好登记。</w:t>
      </w:r>
    </w:p>
    <w:p w14:paraId="5EB683A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5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⑤</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当餐未处理完的食品，应按卫生规定要求放入冰箱、冰柜。</w:t>
      </w:r>
    </w:p>
    <w:p w14:paraId="155DA12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6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⑥</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保管人离开库房时，应立即将门锁好。</w:t>
      </w:r>
    </w:p>
    <w:p w14:paraId="19716AAF">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（8）餐饮具消毒卫生</w:t>
      </w:r>
    </w:p>
    <w:p w14:paraId="44C0314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1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①</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餐饮具使用前必须做到一清、二洗、三消毒、四保洁，符合国家有关卫生标准。未经消毒的餐饮均不得使用，禁止重复使用—次性餐具。</w:t>
      </w:r>
    </w:p>
    <w:p w14:paraId="162DB35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2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②</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洗刷餐饮具必须在专用水池，不得与清洗蔬菜、肉类及其他水池混用。</w:t>
      </w:r>
    </w:p>
    <w:p w14:paraId="795F02E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3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③</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洗涤消毒餐饮具使用的洗涤剂、消毒剂必须符合食品卫生标准要求。</w:t>
      </w:r>
    </w:p>
    <w:p w14:paraId="4E62DBD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4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④</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餐饮具，尤其是配餐餐饮具，每餐洗净后必须放入电子消毒柜中消毒或高温消毒；若用消毒剂消毒必须按正确的使用剂量和规定时间程序消毒清洗。</w:t>
      </w:r>
    </w:p>
    <w:p w14:paraId="100949F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5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⑤</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消毒后的餐饮具必须贮存在餐饮具专用保洁柜内备用；已经消毒与末消毒的餐饮具应分开存放，并在餐饮具贮存柜上有明显标志。</w:t>
      </w:r>
    </w:p>
    <w:p w14:paraId="76CA4EF3">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fldChar w:fldCharType="begin"/>
      </w:r>
      <w:r>
        <w:rPr>
          <w:rFonts w:hint="eastAsia" w:ascii="宋体" w:hAnsi="宋体" w:cs="宋体"/>
          <w:color w:val="000000"/>
          <w:kern w:val="0"/>
          <w:szCs w:val="21"/>
          <w:highlight w:val="none"/>
          <w:lang w:val="zh-CN"/>
        </w:rPr>
        <w:instrText xml:space="preserve"> = 6 \* GB3 \* MERGEFORMAT </w:instrText>
      </w:r>
      <w:r>
        <w:rPr>
          <w:rFonts w:hint="eastAsia" w:ascii="宋体" w:hAnsi="宋体" w:cs="宋体"/>
          <w:color w:val="000000"/>
          <w:kern w:val="0"/>
          <w:szCs w:val="21"/>
          <w:highlight w:val="none"/>
          <w:lang w:val="zh-CN"/>
        </w:rPr>
        <w:fldChar w:fldCharType="separate"/>
      </w:r>
      <w:r>
        <w:rPr>
          <w:rFonts w:hint="eastAsia" w:ascii="宋体" w:hAnsi="宋体" w:cs="宋体"/>
          <w:color w:val="000000"/>
          <w:kern w:val="0"/>
          <w:szCs w:val="21"/>
          <w:highlight w:val="none"/>
          <w:lang w:val="zh-CN"/>
        </w:rPr>
        <w:t>⑥</w:t>
      </w:r>
      <w:r>
        <w:rPr>
          <w:rFonts w:hint="eastAsia" w:ascii="宋体" w:hAnsi="宋体" w:cs="宋体"/>
          <w:color w:val="000000"/>
          <w:kern w:val="0"/>
          <w:szCs w:val="21"/>
          <w:highlight w:val="none"/>
          <w:lang w:val="zh-CN"/>
        </w:rPr>
        <w:fldChar w:fldCharType="end"/>
      </w:r>
      <w:r>
        <w:rPr>
          <w:rFonts w:hint="eastAsia" w:ascii="宋体" w:hAnsi="宋体" w:cs="宋体"/>
          <w:color w:val="000000"/>
          <w:kern w:val="0"/>
          <w:szCs w:val="21"/>
          <w:highlight w:val="none"/>
          <w:lang w:val="zh-CN"/>
        </w:rPr>
        <w:t>餐饮具保洁柜应当定期清洗，保持洁净。</w:t>
      </w:r>
    </w:p>
    <w:p w14:paraId="2A719A3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（9）要保持餐厅内餐桌、餐椅、墙面、地面等环境设施的消毒清洁。每次用餐完毕后，应按卫生管理规范收放好食品，清洗餐具、柜台，清扫场地。保持室内空气流通，严防各种污染。</w:t>
      </w:r>
    </w:p>
    <w:p w14:paraId="2C701A3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（10）洗碗间、冷菜间、烹调制作间保持清洁卫生，厨房用具应及时清洗、消毒，严格做到生熟分开。</w:t>
      </w:r>
    </w:p>
    <w:p w14:paraId="535F34F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7.菜品质量要求</w:t>
      </w:r>
    </w:p>
    <w:p w14:paraId="083B533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（1）关于投料比，确定中标人后，招标人有权调整。</w:t>
      </w:r>
    </w:p>
    <w:p w14:paraId="30137653">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（2）炒菜以精致小炒为主，按每桌10人份提供桌餐。饭菜分批制作，份数适当。保证菜品色、香、味和温度。</w:t>
      </w:r>
    </w:p>
    <w:p w14:paraId="2DC0C9E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（3）热菜出品质量要求</w:t>
      </w:r>
    </w:p>
    <w:p w14:paraId="4CD03F6F">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①一定要热、要烫。炒是热炒、爆炒要用旺火、大火，快速烹制出品，菜肴出品时必须保持 70 度，食品表面无风干及水浸现象。</w:t>
      </w:r>
    </w:p>
    <w:p w14:paraId="6A3AD4C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②菜肴必须按高标准出菜，做到分量不足不出、不合标准不出；（原料在切制时必须大小、粗细、厚薄一致，配菜时主料与配料的比例要按成本卡标准量化，配置同一菜肴、同一规格应始终如一，绝不能今天多，明天少，规格质量和样式风格都要保持其统一性）。 </w:t>
      </w:r>
    </w:p>
    <w:p w14:paraId="26C8A78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③热菜要熟，要烂、酥、软、滑、嫩、清、鲜、脆，不得有半生不熟的现象出现。 </w:t>
      </w:r>
    </w:p>
    <w:p w14:paraId="5E7003F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④青菜必须保证即熟亦脆，色要青绿、口感脆爽，不能炒过，口味主要靠油来突出，靠少量复合油的复合味（葱姜油、花椒油、麻油）来体现。</w:t>
      </w:r>
    </w:p>
    <w:p w14:paraId="6C6C15F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⑤芡汁要薄要少要均匀、要包住、要有亮度，盘底不许有油有汤汁，杜绝青菜过分出水现象发生。</w:t>
      </w:r>
    </w:p>
    <w:p w14:paraId="02D6F2EF">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⑥白灼菜口味鲜咸微辣，白灼汁不能太多（盘子深度的1/5），浇油要热要少，菜品要整齐美观。</w:t>
      </w:r>
    </w:p>
    <w:p w14:paraId="2FA8E9AD">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⑦上汤菜口味要清鲜、汤汁乳白，原料要 2/3 浸入汤中，不能出现浮油现象。</w:t>
      </w:r>
    </w:p>
    <w:p w14:paraId="61884F2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⑧肉类的菜要烂，口味要香而不腻，口感要富有弹性。严禁使用亚硝酸钠等化学原料，严格控制松肉粉、食粉的用量。 </w:t>
      </w:r>
    </w:p>
    <w:p w14:paraId="6F37C9C9">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⑨炸类的菜品要酥，要金黄色，油不能大，不能腻。个别外焦里嫩的菜要保持好原料的水分和鲜嫩度，严格控制炸油的重复使用次数。 </w:t>
      </w:r>
    </w:p>
    <w:p w14:paraId="6D9257F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⑩海鲜类必须新鲜，口味清淡，料味不能浓，保持原汁原味，不能老、咬不动，绝对不能牙碜、不能腥。 </w:t>
      </w:r>
    </w:p>
    <w:p w14:paraId="6B35126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(4)汤菜出品质量要求 </w:t>
      </w:r>
    </w:p>
    <w:p w14:paraId="674311F3">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①汤菜盛入盛器中不能太满，以 8 分满或 8 分半满为宜。 </w:t>
      </w:r>
    </w:p>
    <w:p w14:paraId="713F611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②汤菜原料和汤的比例，根据菜的性质不同，比例也不同，但是原料的比例不能超过汤的比例。</w:t>
      </w:r>
    </w:p>
    <w:p w14:paraId="70440F0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(5)汤菜的口味要求 </w:t>
      </w:r>
    </w:p>
    <w:p w14:paraId="2807BDA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①清汤菜品：以鲜为主，入口首先体现鲜味而后要体现咸味或其他口味，必须体现原汁原味，不能有油或油绝不能大。 </w:t>
      </w:r>
    </w:p>
    <w:p w14:paraId="3925AE2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②浓汤菜品：以香为主，入口首先体现香味而后要有咸味或其他口味，但绝不能加油来体现，要靠汤汁熬出的鲜香味和相关佐辅料来体现。 </w:t>
      </w:r>
    </w:p>
    <w:p w14:paraId="022E8E8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③其他口味汤菜：以突出要求口味为主，但不能太烈，必须大多数人都能接受，加少量油来体现复合味和香味。 </w:t>
      </w:r>
    </w:p>
    <w:p w14:paraId="748D32BF">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④甜汤菜品：甜度不能太大、太浓，最好不加油。 </w:t>
      </w:r>
    </w:p>
    <w:p w14:paraId="1ECEE76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⑤汤类菜如果勾芡浓稠度以原料刚好不下沉为度，不能太稠或太稀，可在允许加胡椒的汤中加少许胡椒粉来体现鲜香味。 </w:t>
      </w:r>
    </w:p>
    <w:p w14:paraId="5736E19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⑥菜肴必须按高标准出菜，做到分量不足不出、不合标准不出（原料在切制时必须大小、粗细、厚薄一致，配菜时主料与配料的比例要按成本卡标准量化，置同一菜肴、同一规格应始终如一，绝不能今天多，明天少，规格质量和样式风格都要保持其统一性）。 </w:t>
      </w:r>
    </w:p>
    <w:p w14:paraId="602E8D2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⑦菜肴颜色应体现出原料的本身颜色，以自然色和接近自然色为主；严禁使用色素及任何食品添加剂等。 </w:t>
      </w:r>
    </w:p>
    <w:p w14:paraId="50E84C6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⑧菜肴出品时（特殊器皿除外）都必须装盘，盘饰点缀要精致，简单、新鲜、要配合好菜肴的特点，并且装盘要饱满、自然、挺拔，点缀和围边也不能喧宾夺主，菜肴的盛装也不得占用盆子的边缘。 </w:t>
      </w:r>
    </w:p>
    <w:p w14:paraId="613F01B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⑨煲仔类菜品（除特殊跟明炉外）必须烧热，温度必须达到 70-80 度以上,菜肴的成品中不得出现杂物、异物、害虫、飞虫等。 </w:t>
      </w:r>
    </w:p>
    <w:p w14:paraId="61DB6D6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⑩不得使用违反国家食品安全规定的食品添加剂。 </w:t>
      </w:r>
    </w:p>
    <w:p w14:paraId="22AC944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⑪菜肴的出品盛装卫生标准，必须做到盛器无污垢、无缺口、无破损。 </w:t>
      </w:r>
    </w:p>
    <w:p w14:paraId="3C2CFF6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⑫上菜必须按顺序先来先做、每道热菜制作时间不得超过 25 分钟。 </w:t>
      </w:r>
    </w:p>
    <w:p w14:paraId="0390344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⑬为需配备酌料的菜肴配齐相应的酌料（如白灼虾等菜肴）。 </w:t>
      </w:r>
    </w:p>
    <w:p w14:paraId="37F27AE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（6）酱制食品不含过多汤汁。 </w:t>
      </w:r>
    </w:p>
    <w:p w14:paraId="76E38E3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（7）切配的食品刀口细腻、均匀且搭配合理。 </w:t>
      </w:r>
    </w:p>
    <w:p w14:paraId="141D5CC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（8）素食食品即时烹炒并控干过多汤汁和水分。 </w:t>
      </w:r>
    </w:p>
    <w:p w14:paraId="7FE09585">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 xml:space="preserve">（9）风味及面食需要根据食品种类采用专用原料制作。 </w:t>
      </w:r>
    </w:p>
    <w:p w14:paraId="486EA12D">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10）每道热菜出品必须掌握好咸淡：菜品口味要温性、中性、要平和平淡，要体现出复合味来，绝不能咸（复合味是几种味复合在一块，吃起来很舒服，多数人都能接受，体现不出哪种具体味来，味和味之间相互影响，总体口味比较中和）。</w:t>
      </w:r>
    </w:p>
    <w:p w14:paraId="2819DF13">
      <w:pPr>
        <w:widowControl/>
        <w:spacing w:line="440" w:lineRule="exact"/>
        <w:ind w:firstLine="422" w:firstLineChars="200"/>
        <w:contextualSpacing/>
        <w:rPr>
          <w:rFonts w:ascii="宋体" w:hAnsi="宋体" w:cs="宋体"/>
          <w:b/>
          <w:bCs/>
          <w:color w:val="000000"/>
          <w:kern w:val="0"/>
          <w:szCs w:val="21"/>
          <w:highlight w:val="none"/>
        </w:rPr>
      </w:pPr>
      <w:r>
        <w:rPr>
          <w:rFonts w:hint="eastAsia" w:ascii="宋体" w:hAnsi="宋体" w:cs="宋体"/>
          <w:b/>
          <w:bCs/>
          <w:color w:val="000000"/>
          <w:kern w:val="0"/>
          <w:szCs w:val="21"/>
          <w:highlight w:val="none"/>
        </w:rPr>
        <w:t>（二）保洁部分</w:t>
      </w:r>
    </w:p>
    <w:p w14:paraId="095D55A4">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1.负责海盐县消防救援大队所在区域内的办公区、家属接待室、厨房、家属楼及餐具清洗等相关范围内的卫生清洁。</w:t>
      </w:r>
    </w:p>
    <w:p w14:paraId="1045D712">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2.清洁点包含办公区、家属接待室、厨房、家属楼及所有公共走道区域地面、家具、洗手间、垃圾蒌、 盆栽、饮水机、门及扶手、消防栓、食堂厨具等各类设备、家具的干净整洁。</w:t>
      </w:r>
    </w:p>
    <w:p w14:paraId="570D4844">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3.负责日常会议室物品清点及补充，会议室内桌椅清浩及摆放整齐。</w:t>
      </w:r>
    </w:p>
    <w:p w14:paraId="53052C47">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4.负责各楼层垃圾清运。</w:t>
      </w:r>
    </w:p>
    <w:p w14:paraId="4AB7ED6F">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5.其他非公共走道区域临时性的清洁工作。</w:t>
      </w:r>
    </w:p>
    <w:p w14:paraId="48D50D90">
      <w:pPr>
        <w:widowControl/>
        <w:spacing w:line="440" w:lineRule="exact"/>
        <w:ind w:firstLine="420" w:firstLineChars="200"/>
        <w:contextualSpacing/>
        <w:rPr>
          <w:rFonts w:ascii="宋体" w:hAnsi="宋体" w:cs="宋体"/>
          <w:kern w:val="0"/>
          <w:szCs w:val="21"/>
          <w:highlight w:val="none"/>
        </w:rPr>
      </w:pPr>
      <w:r>
        <w:rPr>
          <w:rFonts w:hint="eastAsia" w:ascii="宋体" w:hAnsi="宋体" w:cs="宋体"/>
          <w:color w:val="000000"/>
          <w:kern w:val="0"/>
          <w:szCs w:val="21"/>
          <w:highlight w:val="none"/>
        </w:rPr>
        <w:t>6.保洁面积：办公楼1到4层（包含家属接待室）约 450 ㎡，，餐厅约 200 ㎡，家属楼1到4层约</w:t>
      </w:r>
      <w:r>
        <w:rPr>
          <w:rFonts w:hint="eastAsia" w:ascii="宋体" w:hAnsi="宋体" w:cs="宋体"/>
          <w:kern w:val="0"/>
          <w:szCs w:val="21"/>
          <w:highlight w:val="none"/>
        </w:rPr>
        <w:t>100㎡。</w:t>
      </w:r>
    </w:p>
    <w:p w14:paraId="03EAB1BC">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7.保洁所需的的工具全部由采购人提供。</w:t>
      </w:r>
    </w:p>
    <w:p w14:paraId="69C75F84">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8.保洁要求见附件1《保洁内容及要求》，附件2《保洁作业频率及标准》。</w:t>
      </w:r>
    </w:p>
    <w:p w14:paraId="3BC82CB6">
      <w:pPr>
        <w:widowControl/>
        <w:spacing w:line="440" w:lineRule="exact"/>
        <w:ind w:firstLine="422" w:firstLineChars="200"/>
        <w:contextualSpacing/>
        <w:rPr>
          <w:rFonts w:ascii="宋体" w:hAnsi="宋体" w:cs="宋体"/>
          <w:b/>
          <w:color w:val="000000"/>
          <w:kern w:val="0"/>
          <w:szCs w:val="21"/>
          <w:highlight w:val="none"/>
        </w:rPr>
      </w:pPr>
      <w:r>
        <w:rPr>
          <w:rFonts w:hint="eastAsia" w:ascii="宋体" w:hAnsi="宋体" w:cs="宋体"/>
          <w:b/>
          <w:color w:val="000000"/>
          <w:kern w:val="0"/>
          <w:szCs w:val="21"/>
          <w:highlight w:val="none"/>
        </w:rPr>
        <w:t>(三)人员配备</w:t>
      </w:r>
    </w:p>
    <w:p w14:paraId="2DA35BE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zh-CN"/>
        </w:rPr>
        <w:t>项目经理要求（</w:t>
      </w:r>
      <w:r>
        <w:rPr>
          <w:rFonts w:hint="eastAsia" w:ascii="宋体" w:hAnsi="宋体" w:cs="宋体"/>
          <w:color w:val="000000"/>
          <w:kern w:val="0"/>
          <w:szCs w:val="21"/>
          <w:highlight w:val="none"/>
          <w:u w:val="single"/>
        </w:rPr>
        <w:t>1</w:t>
      </w:r>
      <w:r>
        <w:rPr>
          <w:rFonts w:hint="eastAsia" w:ascii="宋体" w:hAnsi="宋体" w:cs="宋体"/>
          <w:color w:val="000000"/>
          <w:kern w:val="0"/>
          <w:szCs w:val="21"/>
          <w:highlight w:val="none"/>
          <w:lang w:val="zh-CN"/>
        </w:rPr>
        <w:t>人）</w:t>
      </w:r>
    </w:p>
    <w:p w14:paraId="39DAE4BB">
      <w:pPr>
        <w:widowControl/>
        <w:spacing w:line="440" w:lineRule="exact"/>
        <w:ind w:firstLine="420" w:firstLineChars="200"/>
        <w:contextualSpacing/>
        <w:rPr>
          <w:rFonts w:hint="eastAsia" w:ascii="宋体" w:hAnsi="宋体" w:eastAsia="宋体" w:cs="宋体"/>
          <w:color w:val="000000"/>
          <w:kern w:val="0"/>
          <w:szCs w:val="21"/>
          <w:highlight w:val="none"/>
          <w:u w:val="single"/>
          <w:lang w:val="en-US" w:eastAsia="zh-CN"/>
        </w:rPr>
      </w:pPr>
      <w:r>
        <w:rPr>
          <w:rFonts w:hint="eastAsia" w:ascii="宋体" w:hAnsi="宋体" w:cs="宋体"/>
          <w:color w:val="000000"/>
          <w:kern w:val="0"/>
          <w:szCs w:val="21"/>
          <w:highlight w:val="none"/>
          <w:lang w:val="zh-CN"/>
        </w:rPr>
        <w:t>项目经理：</w:t>
      </w:r>
      <w:r>
        <w:rPr>
          <w:rFonts w:hint="eastAsia" w:ascii="宋体" w:hAnsi="宋体" w:cs="宋体"/>
          <w:color w:val="000000"/>
          <w:kern w:val="0"/>
          <w:szCs w:val="21"/>
          <w:highlight w:val="none"/>
          <w:u w:val="single"/>
        </w:rPr>
        <w:t>55</w:t>
      </w:r>
      <w:r>
        <w:rPr>
          <w:rFonts w:hint="eastAsia" w:ascii="宋体" w:hAnsi="宋体" w:cs="宋体"/>
          <w:color w:val="000000"/>
          <w:kern w:val="0"/>
          <w:szCs w:val="21"/>
          <w:highlight w:val="none"/>
          <w:lang w:val="zh-CN"/>
        </w:rPr>
        <w:t>周岁以下，持健康证，亲和力强，服务意识强。具备对整个食堂、保洁服务项目进行统一管理的能力，具备一定计算机常规办公基础的能够制定日常工作计划，组织和开展各项计划的实施。对下属员工进行有效管理，并执行公正公开的有效的考核机制。能够妥善处理项目突发事件，合理调配现场人员。做好采购人交代的其他工作事宜。项目经理必须在采购人指定地点上班，工作时间为早上</w:t>
      </w:r>
      <w:r>
        <w:rPr>
          <w:rFonts w:hint="eastAsia" w:ascii="宋体" w:hAnsi="宋体" w:cs="宋体"/>
          <w:color w:val="000000"/>
          <w:kern w:val="0"/>
          <w:szCs w:val="21"/>
          <w:highlight w:val="none"/>
          <w:u w:val="single"/>
          <w:lang w:val="zh-CN"/>
        </w:rPr>
        <w:t>7点到12点 下午3点到6点</w:t>
      </w:r>
      <w:r>
        <w:rPr>
          <w:rFonts w:hint="eastAsia" w:ascii="宋体" w:hAnsi="宋体" w:cs="宋体"/>
          <w:color w:val="000000"/>
          <w:kern w:val="0"/>
          <w:szCs w:val="21"/>
          <w:highlight w:val="none"/>
          <w:u w:val="none"/>
          <w:lang w:val="en-US" w:eastAsia="zh-CN"/>
        </w:rPr>
        <w:t>。</w:t>
      </w:r>
    </w:p>
    <w:p w14:paraId="70EDC5FA">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（2）后厨厨师、</w:t>
      </w:r>
      <w:r>
        <w:rPr>
          <w:rFonts w:hint="eastAsia" w:ascii="宋体" w:hAnsi="宋体" w:cs="宋体"/>
          <w:color w:val="000000"/>
          <w:kern w:val="0"/>
          <w:szCs w:val="21"/>
          <w:highlight w:val="none"/>
        </w:rPr>
        <w:t>面点</w:t>
      </w:r>
      <w:r>
        <w:rPr>
          <w:rFonts w:hint="eastAsia" w:ascii="宋体" w:hAnsi="宋体" w:cs="宋体"/>
          <w:color w:val="000000"/>
          <w:kern w:val="0"/>
          <w:szCs w:val="21"/>
          <w:highlight w:val="none"/>
          <w:lang w:val="zh-CN"/>
        </w:rPr>
        <w:t>师、切配、保洁要求</w:t>
      </w:r>
    </w:p>
    <w:p w14:paraId="4125A07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后厨厨师（</w:t>
      </w:r>
      <w:r>
        <w:rPr>
          <w:rFonts w:hint="eastAsia" w:ascii="宋体" w:hAnsi="宋体" w:cs="宋体"/>
          <w:color w:val="000000"/>
          <w:kern w:val="0"/>
          <w:szCs w:val="21"/>
          <w:highlight w:val="none"/>
          <w:u w:val="single"/>
        </w:rPr>
        <w:t>3</w:t>
      </w:r>
      <w:r>
        <w:rPr>
          <w:rFonts w:hint="eastAsia" w:ascii="宋体" w:hAnsi="宋体" w:cs="宋体"/>
          <w:color w:val="000000"/>
          <w:kern w:val="0"/>
          <w:szCs w:val="21"/>
          <w:highlight w:val="none"/>
          <w:lang w:val="zh-CN"/>
        </w:rPr>
        <w:t>人）：</w:t>
      </w:r>
      <w:r>
        <w:rPr>
          <w:rFonts w:hint="eastAsia" w:ascii="宋体" w:hAnsi="宋体" w:cs="宋体"/>
          <w:color w:val="000000"/>
          <w:kern w:val="0"/>
          <w:szCs w:val="21"/>
          <w:highlight w:val="none"/>
          <w:u w:val="single"/>
        </w:rPr>
        <w:t>55</w:t>
      </w:r>
      <w:r>
        <w:rPr>
          <w:rFonts w:hint="eastAsia" w:ascii="宋体" w:hAnsi="宋体" w:cs="宋体"/>
          <w:color w:val="000000"/>
          <w:kern w:val="0"/>
          <w:szCs w:val="21"/>
          <w:highlight w:val="none"/>
          <w:lang w:val="zh-CN"/>
        </w:rPr>
        <w:t>周岁以下，</w:t>
      </w:r>
      <w:r>
        <w:rPr>
          <w:rFonts w:hint="eastAsia" w:ascii="宋体" w:hAnsi="宋体" w:cs="宋体"/>
          <w:color w:val="000000"/>
          <w:kern w:val="0"/>
          <w:szCs w:val="21"/>
          <w:highlight w:val="none"/>
          <w:u w:val="single"/>
        </w:rPr>
        <w:t>5</w:t>
      </w:r>
      <w:r>
        <w:rPr>
          <w:rFonts w:hint="eastAsia" w:ascii="宋体" w:hAnsi="宋体" w:cs="宋体"/>
          <w:color w:val="000000"/>
          <w:kern w:val="0"/>
          <w:szCs w:val="21"/>
          <w:highlight w:val="none"/>
          <w:lang w:val="zh-CN"/>
        </w:rPr>
        <w:t>年以上工作经验，持健康证，</w:t>
      </w:r>
      <w:r>
        <w:rPr>
          <w:rFonts w:hint="eastAsia" w:ascii="宋体" w:hAnsi="宋体" w:cs="宋体"/>
          <w:bCs/>
          <w:color w:val="000000"/>
          <w:kern w:val="0"/>
          <w:szCs w:val="21"/>
          <w:highlight w:val="none"/>
        </w:rPr>
        <w:t>具有有效期内的中式烹调师中级（或四级（含）以上）证书，</w:t>
      </w:r>
      <w:r>
        <w:rPr>
          <w:rFonts w:hint="eastAsia" w:ascii="宋体" w:hAnsi="宋体" w:cs="宋体"/>
          <w:color w:val="000000"/>
          <w:kern w:val="0"/>
          <w:szCs w:val="21"/>
          <w:highlight w:val="none"/>
          <w:lang w:val="zh-CN"/>
        </w:rPr>
        <w:t>具备大型食堂管理经验，能够处置食堂应急突发事件，具备综合协调能力，对菜肴更换及成本核算有着丰富的经验。</w:t>
      </w:r>
    </w:p>
    <w:p w14:paraId="5405FCF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面点</w:t>
      </w:r>
      <w:r>
        <w:rPr>
          <w:rFonts w:hint="eastAsia" w:ascii="宋体" w:hAnsi="宋体" w:cs="宋体"/>
          <w:color w:val="000000"/>
          <w:kern w:val="0"/>
          <w:szCs w:val="21"/>
          <w:highlight w:val="none"/>
          <w:lang w:val="zh-CN"/>
        </w:rPr>
        <w:t>师（</w:t>
      </w:r>
      <w:r>
        <w:rPr>
          <w:rFonts w:hint="eastAsia" w:ascii="宋体" w:hAnsi="宋体" w:cs="宋体"/>
          <w:color w:val="000000"/>
          <w:kern w:val="0"/>
          <w:szCs w:val="21"/>
          <w:highlight w:val="none"/>
          <w:u w:val="single"/>
        </w:rPr>
        <w:t>3</w:t>
      </w:r>
      <w:r>
        <w:rPr>
          <w:rFonts w:hint="eastAsia" w:ascii="宋体" w:hAnsi="宋体" w:cs="宋体"/>
          <w:color w:val="000000"/>
          <w:kern w:val="0"/>
          <w:szCs w:val="21"/>
          <w:highlight w:val="none"/>
          <w:lang w:val="zh-CN"/>
        </w:rPr>
        <w:t>人）：</w:t>
      </w:r>
      <w:r>
        <w:rPr>
          <w:rFonts w:hint="eastAsia" w:ascii="宋体" w:hAnsi="宋体" w:cs="宋体"/>
          <w:color w:val="000000"/>
          <w:kern w:val="0"/>
          <w:szCs w:val="21"/>
          <w:highlight w:val="none"/>
          <w:u w:val="single"/>
        </w:rPr>
        <w:t>50</w:t>
      </w:r>
      <w:r>
        <w:rPr>
          <w:rFonts w:hint="eastAsia" w:ascii="宋体" w:hAnsi="宋体" w:cs="宋体"/>
          <w:color w:val="000000"/>
          <w:kern w:val="0"/>
          <w:szCs w:val="21"/>
          <w:highlight w:val="none"/>
          <w:lang w:val="zh-CN"/>
        </w:rPr>
        <w:t>周岁以下，具有</w:t>
      </w:r>
      <w:r>
        <w:rPr>
          <w:rFonts w:hint="eastAsia" w:ascii="宋体" w:hAnsi="宋体" w:cs="宋体"/>
          <w:color w:val="000000"/>
          <w:kern w:val="0"/>
          <w:szCs w:val="21"/>
          <w:highlight w:val="none"/>
          <w:u w:val="single"/>
        </w:rPr>
        <w:t>2</w:t>
      </w:r>
      <w:r>
        <w:rPr>
          <w:rFonts w:hint="eastAsia" w:ascii="宋体" w:hAnsi="宋体" w:cs="宋体"/>
          <w:color w:val="000000"/>
          <w:kern w:val="0"/>
          <w:szCs w:val="21"/>
          <w:highlight w:val="none"/>
          <w:lang w:val="zh-CN"/>
        </w:rPr>
        <w:t>年以上工作经验，持健康证，</w:t>
      </w:r>
      <w:r>
        <w:rPr>
          <w:rFonts w:hint="eastAsia" w:ascii="宋体" w:hAnsi="宋体" w:cs="宋体"/>
          <w:bCs/>
          <w:color w:val="000000"/>
          <w:kern w:val="0"/>
          <w:szCs w:val="21"/>
          <w:highlight w:val="none"/>
        </w:rPr>
        <w:t>具有面点师证书初级（或中级（含）以上）</w:t>
      </w:r>
      <w:r>
        <w:rPr>
          <w:rFonts w:hint="eastAsia" w:ascii="宋体" w:hAnsi="宋体" w:cs="宋体"/>
          <w:color w:val="000000"/>
          <w:kern w:val="0"/>
          <w:szCs w:val="21"/>
          <w:highlight w:val="none"/>
          <w:lang w:val="zh-CN"/>
        </w:rPr>
        <w:t>。</w:t>
      </w:r>
    </w:p>
    <w:p w14:paraId="783B356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切配（</w:t>
      </w:r>
      <w:r>
        <w:rPr>
          <w:rFonts w:hint="eastAsia" w:ascii="宋体" w:hAnsi="宋体" w:cs="宋体"/>
          <w:color w:val="000000"/>
          <w:kern w:val="0"/>
          <w:szCs w:val="21"/>
          <w:highlight w:val="none"/>
          <w:u w:val="single"/>
        </w:rPr>
        <w:t>4</w:t>
      </w:r>
      <w:r>
        <w:rPr>
          <w:rFonts w:hint="eastAsia" w:ascii="宋体" w:hAnsi="宋体" w:cs="宋体"/>
          <w:color w:val="000000"/>
          <w:kern w:val="0"/>
          <w:szCs w:val="21"/>
          <w:highlight w:val="none"/>
          <w:lang w:val="zh-CN"/>
        </w:rPr>
        <w:t>人）：</w:t>
      </w:r>
      <w:r>
        <w:rPr>
          <w:rFonts w:hint="eastAsia" w:ascii="宋体" w:hAnsi="宋体" w:cs="宋体"/>
          <w:color w:val="000000"/>
          <w:kern w:val="0"/>
          <w:szCs w:val="21"/>
          <w:highlight w:val="none"/>
          <w:u w:val="single"/>
        </w:rPr>
        <w:t>55</w:t>
      </w:r>
      <w:r>
        <w:rPr>
          <w:rFonts w:hint="eastAsia" w:ascii="宋体" w:hAnsi="宋体" w:cs="宋体"/>
          <w:color w:val="000000"/>
          <w:kern w:val="0"/>
          <w:szCs w:val="21"/>
          <w:highlight w:val="none"/>
          <w:lang w:val="zh-CN"/>
        </w:rPr>
        <w:t>周岁以下，具有</w:t>
      </w:r>
      <w:r>
        <w:rPr>
          <w:rFonts w:hint="eastAsia" w:ascii="宋体" w:hAnsi="宋体" w:cs="宋体"/>
          <w:color w:val="000000"/>
          <w:kern w:val="0"/>
          <w:szCs w:val="21"/>
          <w:highlight w:val="none"/>
          <w:u w:val="single"/>
        </w:rPr>
        <w:t>1</w:t>
      </w:r>
      <w:r>
        <w:rPr>
          <w:rFonts w:hint="eastAsia" w:ascii="宋体" w:hAnsi="宋体" w:cs="宋体"/>
          <w:color w:val="000000"/>
          <w:kern w:val="0"/>
          <w:szCs w:val="21"/>
          <w:highlight w:val="none"/>
          <w:lang w:val="zh-CN"/>
        </w:rPr>
        <w:t>年以上工作经验，持健康证。</w:t>
      </w:r>
    </w:p>
    <w:p w14:paraId="5638D29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保洁</w:t>
      </w:r>
      <w:r>
        <w:rPr>
          <w:rFonts w:hint="eastAsia" w:ascii="宋体" w:hAnsi="宋体" w:cs="宋体"/>
          <w:color w:val="000000"/>
          <w:kern w:val="0"/>
          <w:szCs w:val="21"/>
          <w:highlight w:val="none"/>
          <w:lang w:val="zh-CN"/>
        </w:rPr>
        <w:t>（</w:t>
      </w:r>
      <w:r>
        <w:rPr>
          <w:rFonts w:hint="eastAsia" w:ascii="宋体" w:hAnsi="宋体" w:cs="宋体"/>
          <w:color w:val="000000"/>
          <w:kern w:val="0"/>
          <w:szCs w:val="21"/>
          <w:highlight w:val="none"/>
          <w:u w:val="single"/>
        </w:rPr>
        <w:t>2</w:t>
      </w:r>
      <w:r>
        <w:rPr>
          <w:rFonts w:hint="eastAsia" w:ascii="宋体" w:hAnsi="宋体" w:cs="宋体"/>
          <w:color w:val="000000"/>
          <w:kern w:val="0"/>
          <w:szCs w:val="21"/>
          <w:highlight w:val="none"/>
          <w:lang w:val="zh-CN"/>
        </w:rPr>
        <w:t>人）：</w:t>
      </w:r>
      <w:r>
        <w:rPr>
          <w:rFonts w:hint="eastAsia" w:ascii="宋体" w:hAnsi="宋体" w:cs="宋体"/>
          <w:color w:val="000000"/>
          <w:kern w:val="0"/>
          <w:szCs w:val="21"/>
          <w:highlight w:val="none"/>
          <w:u w:val="single"/>
        </w:rPr>
        <w:t>65</w:t>
      </w:r>
      <w:r>
        <w:rPr>
          <w:rFonts w:hint="eastAsia" w:ascii="宋体" w:hAnsi="宋体" w:cs="宋体"/>
          <w:color w:val="000000"/>
          <w:kern w:val="0"/>
          <w:szCs w:val="21"/>
          <w:highlight w:val="none"/>
          <w:lang w:val="zh-CN"/>
        </w:rPr>
        <w:t>周岁以下，持健康证。</w:t>
      </w:r>
    </w:p>
    <w:p w14:paraId="7E6F3B2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投标人按照上述岗位设置配置人员，实际工作中根据任务要求，科学合理分工调配。</w:t>
      </w:r>
    </w:p>
    <w:p w14:paraId="38D5230E">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zh-CN"/>
        </w:rPr>
        <w:t>所有人员必须持有健康合格证上岗，定期复查。认真执行国家有关劳动保护的规定，重视劳动保护教育，落实劳动保护措施，逐步改善劳动条件，确保职工的安全与健康。</w:t>
      </w:r>
      <w:r>
        <w:rPr>
          <w:rFonts w:hint="eastAsia" w:ascii="宋体" w:hAnsi="宋体" w:cs="宋体"/>
          <w:color w:val="000000"/>
          <w:kern w:val="0"/>
          <w:szCs w:val="21"/>
          <w:highlight w:val="none"/>
        </w:rPr>
        <w:t>依法签订劳动合同。</w:t>
      </w:r>
    </w:p>
    <w:p w14:paraId="483B2B7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（4）</w:t>
      </w:r>
      <w:r>
        <w:rPr>
          <w:rFonts w:hint="eastAsia" w:ascii="宋体" w:hAnsi="宋体" w:cs="宋体"/>
          <w:color w:val="000000"/>
          <w:kern w:val="0"/>
          <w:szCs w:val="21"/>
          <w:highlight w:val="none"/>
          <w:lang w:val="zh-CN"/>
        </w:rPr>
        <w:t>投标人应将聘用人员的相关材料（包括健康合格证明、年龄、从事岗位）等报采购人审查，特殊岗位必须持证上岗，上岗人员要求素质好、无不良行为记录方可录用。</w:t>
      </w:r>
    </w:p>
    <w:p w14:paraId="2839D8A9">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（5）</w:t>
      </w:r>
      <w:r>
        <w:rPr>
          <w:rFonts w:hint="eastAsia" w:ascii="宋体" w:hAnsi="宋体" w:cs="宋体"/>
          <w:color w:val="000000"/>
          <w:kern w:val="0"/>
          <w:szCs w:val="21"/>
          <w:highlight w:val="none"/>
          <w:lang w:val="zh-CN"/>
        </w:rPr>
        <w:t>食堂内工作人员一律不得留宿。上班时间谢绝无关人员进入食堂或加工售菜区域。</w:t>
      </w:r>
    </w:p>
    <w:p w14:paraId="12C06D83">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（6）中标人</w:t>
      </w:r>
      <w:r>
        <w:rPr>
          <w:rFonts w:hint="eastAsia" w:ascii="宋体" w:hAnsi="宋体" w:cs="宋体"/>
          <w:color w:val="000000"/>
          <w:kern w:val="0"/>
          <w:szCs w:val="21"/>
          <w:highlight w:val="none"/>
          <w:lang w:val="zh-CN"/>
        </w:rPr>
        <w:t>需为员工买人身意外险，需针对单位食堂买食品责任安全险</w:t>
      </w:r>
    </w:p>
    <w:p w14:paraId="215A7ED7">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①</w:t>
      </w:r>
      <w:r>
        <w:rPr>
          <w:rFonts w:hint="eastAsia" w:ascii="宋体" w:hAnsi="宋体" w:cs="宋体"/>
          <w:color w:val="000000"/>
          <w:kern w:val="0"/>
          <w:szCs w:val="21"/>
          <w:highlight w:val="none"/>
          <w:lang w:val="zh-CN"/>
        </w:rPr>
        <w:t>员工人身意外险：在承包期内，投标人所有人员的事故由投标人自行全权负责（如投标人应对其员工投保人身意外险），及时为进场人员投保第三者责任险并及时向采购人出示保险凭证，</w:t>
      </w:r>
      <w:r>
        <w:rPr>
          <w:rFonts w:hint="eastAsia" w:ascii="宋体" w:hAnsi="宋体" w:cs="宋体"/>
          <w:color w:val="000000"/>
          <w:kern w:val="0"/>
          <w:szCs w:val="21"/>
          <w:highlight w:val="none"/>
        </w:rPr>
        <w:t>投标人应就此承担全部法律责任，如采购人因此向投标人员工支付赔偿的，有权向投标人追偿。</w:t>
      </w:r>
    </w:p>
    <w:p w14:paraId="6FCEA95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②</w:t>
      </w:r>
      <w:r>
        <w:rPr>
          <w:rFonts w:hint="eastAsia" w:ascii="宋体" w:hAnsi="宋体" w:cs="宋体"/>
          <w:color w:val="000000"/>
          <w:kern w:val="0"/>
          <w:szCs w:val="21"/>
          <w:highlight w:val="none"/>
          <w:lang w:val="zh-CN"/>
        </w:rPr>
        <w:t>其他保险及费用：投标人应按政府各部门有关规定为全体服务人员交纳所有相关的社会保险及其他相关费用。投标人应对此全权负责。</w:t>
      </w:r>
    </w:p>
    <w:p w14:paraId="0D9CB78D">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③食品责任安全险：为服务食堂购买食品责任安全险。</w:t>
      </w:r>
    </w:p>
    <w:p w14:paraId="1FA770F9">
      <w:pPr>
        <w:widowControl/>
        <w:spacing w:line="440" w:lineRule="exact"/>
        <w:contextualSpacing/>
        <w:rPr>
          <w:rFonts w:ascii="宋体" w:hAnsi="宋体" w:cs="宋体"/>
          <w:b/>
          <w:kern w:val="0"/>
          <w:szCs w:val="21"/>
          <w:highlight w:val="none"/>
        </w:rPr>
      </w:pPr>
      <w:r>
        <w:rPr>
          <w:rFonts w:hint="eastAsia" w:ascii="宋体" w:hAnsi="宋体" w:cs="宋体"/>
          <w:b/>
          <w:kern w:val="0"/>
          <w:szCs w:val="21"/>
          <w:highlight w:val="none"/>
        </w:rPr>
        <w:t>三、报价及结算要求</w:t>
      </w:r>
    </w:p>
    <w:p w14:paraId="6AD88DB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1.</w:t>
      </w:r>
      <w:r>
        <w:rPr>
          <w:rFonts w:hint="eastAsia" w:ascii="宋体" w:hAnsi="宋体" w:cs="宋体"/>
          <w:color w:val="000000"/>
          <w:kern w:val="0"/>
          <w:szCs w:val="21"/>
          <w:highlight w:val="none"/>
          <w:lang w:val="zh-CN"/>
        </w:rPr>
        <w:t>本项目投标报价为年度服务劳务报价及管理费报价，投标报价应包括投标人提供服务的人员各项费用、统一工作服（服装、帽子、饭单、袖套、毛巾、专用口罩、胶鞋、橡胶手套等）及管理费、利润、税金等相关内容，由投标人自行综合考虑报价。</w:t>
      </w:r>
    </w:p>
    <w:p w14:paraId="36E8E168">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2.结算方式：</w:t>
      </w:r>
      <w:r>
        <w:rPr>
          <w:rFonts w:hint="eastAsia" w:ascii="宋体" w:hAnsi="宋体" w:cs="宋体"/>
          <w:color w:val="000000"/>
          <w:kern w:val="0"/>
          <w:szCs w:val="21"/>
          <w:highlight w:val="none"/>
          <w:lang w:val="zh-CN"/>
        </w:rPr>
        <w:t>中标人按合同履约并通过考核，采购人每</w:t>
      </w:r>
      <w:r>
        <w:rPr>
          <w:rFonts w:hint="eastAsia" w:ascii="宋体" w:hAnsi="宋体" w:cs="宋体"/>
          <w:color w:val="000000"/>
          <w:kern w:val="0"/>
          <w:szCs w:val="21"/>
          <w:highlight w:val="none"/>
        </w:rPr>
        <w:t>季度</w:t>
      </w:r>
      <w:r>
        <w:rPr>
          <w:rFonts w:hint="eastAsia" w:ascii="宋体" w:hAnsi="宋体" w:cs="宋体"/>
          <w:color w:val="000000"/>
          <w:kern w:val="0"/>
          <w:szCs w:val="21"/>
          <w:highlight w:val="none"/>
          <w:lang w:val="zh-CN"/>
        </w:rPr>
        <w:t>支付一次，在每</w:t>
      </w:r>
      <w:r>
        <w:rPr>
          <w:rFonts w:hint="eastAsia" w:ascii="宋体" w:hAnsi="宋体" w:cs="宋体"/>
          <w:color w:val="000000"/>
          <w:kern w:val="0"/>
          <w:szCs w:val="21"/>
          <w:highlight w:val="none"/>
        </w:rPr>
        <w:t>季度</w:t>
      </w:r>
      <w:r>
        <w:rPr>
          <w:rFonts w:hint="eastAsia" w:ascii="宋体" w:hAnsi="宋体" w:cs="宋体"/>
          <w:color w:val="000000"/>
          <w:kern w:val="0"/>
          <w:szCs w:val="21"/>
          <w:highlight w:val="none"/>
          <w:lang w:val="zh-CN"/>
        </w:rPr>
        <w:t>结束</w:t>
      </w:r>
      <w:r>
        <w:rPr>
          <w:rFonts w:hint="eastAsia" w:ascii="宋体" w:hAnsi="宋体" w:cs="宋体"/>
          <w:color w:val="000000"/>
          <w:kern w:val="0"/>
          <w:szCs w:val="21"/>
          <w:highlight w:val="none"/>
        </w:rPr>
        <w:t>、完成考核后根据考核结果在</w:t>
      </w:r>
      <w:r>
        <w:rPr>
          <w:rFonts w:hint="eastAsia" w:ascii="宋体" w:hAnsi="宋体" w:cs="宋体"/>
          <w:color w:val="000000"/>
          <w:kern w:val="0"/>
          <w:szCs w:val="21"/>
          <w:highlight w:val="none"/>
          <w:lang w:val="zh-CN"/>
        </w:rPr>
        <w:t>收到发票后10个工作日之内付款。（考核办法附件</w:t>
      </w:r>
      <w:r>
        <w:rPr>
          <w:rFonts w:hint="eastAsia" w:ascii="宋体" w:hAnsi="宋体" w:cs="宋体"/>
          <w:color w:val="000000"/>
          <w:kern w:val="0"/>
          <w:szCs w:val="21"/>
          <w:highlight w:val="none"/>
        </w:rPr>
        <w:t>3</w:t>
      </w:r>
      <w:r>
        <w:rPr>
          <w:rFonts w:hint="eastAsia" w:ascii="宋体" w:hAnsi="宋体" w:cs="宋体"/>
          <w:color w:val="000000"/>
          <w:kern w:val="0"/>
          <w:szCs w:val="21"/>
          <w:highlight w:val="none"/>
          <w:lang w:val="zh-CN"/>
        </w:rPr>
        <w:t>）</w:t>
      </w:r>
    </w:p>
    <w:p w14:paraId="5AC762F0">
      <w:pPr>
        <w:widowControl/>
        <w:spacing w:line="440" w:lineRule="exact"/>
        <w:contextualSpacing/>
        <w:rPr>
          <w:rFonts w:ascii="宋体" w:hAnsi="宋体" w:cs="宋体"/>
          <w:b/>
          <w:kern w:val="0"/>
          <w:szCs w:val="21"/>
          <w:highlight w:val="none"/>
        </w:rPr>
      </w:pPr>
      <w:r>
        <w:rPr>
          <w:rFonts w:hint="eastAsia" w:ascii="宋体" w:hAnsi="宋体" w:cs="宋体"/>
          <w:b/>
          <w:kern w:val="0"/>
          <w:szCs w:val="21"/>
          <w:highlight w:val="none"/>
        </w:rPr>
        <w:t>四、其他要求</w:t>
      </w:r>
    </w:p>
    <w:p w14:paraId="5A1A85C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1</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投标人负责人全权代表投标人与采购人保持密切联系并保证承包区域服务工作。</w:t>
      </w:r>
    </w:p>
    <w:p w14:paraId="57B2234D">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2</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投标人要为承包区域的服务工作配备足够的人员，且聘用的工作人员必须符合劳动部门有关用工规定，并经投标人相关专业培训考核合格后持证上岗，采购人有权进行审核，该类费用开支由投标人负担。</w:t>
      </w:r>
    </w:p>
    <w:p w14:paraId="4ED09B4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3</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投标人更换或调整人员应提前征求采购人意见，在征得采购人同意后方可更换、调整。</w:t>
      </w:r>
    </w:p>
    <w:p w14:paraId="18895E6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4</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投标人应加强对员工的管理，做好食堂节电、节水、节气工作。</w:t>
      </w:r>
    </w:p>
    <w:p w14:paraId="04561776">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5</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投标人应重视安全工作各环节的管理，科学安排餐饮服务的工作流程，做到精细化管理，如发生餐饮安全、卫生事故（如在菜品里发现异物），采购人将采取重罚措施，直至解除合同。</w:t>
      </w:r>
    </w:p>
    <w:p w14:paraId="4A77DD7C">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6</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遇检查或突发事件时，投标人必须配合采购人及有关部门做好工作，并指定专职人员协助工作，直到完成。</w:t>
      </w:r>
    </w:p>
    <w:p w14:paraId="0E44EB9E">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7</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承包期满或合同解除，采购人按原移交清单进行财产清单验收，除正常损耗外，如有短缺或损坏，投标人应承担赔偿责任。</w:t>
      </w:r>
    </w:p>
    <w:p w14:paraId="1495408B">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8</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采购人保证投标人的员工按规定正常进入承包区域开展服务工作，保证投标人正常的水、电能源供应，如出现故障，应及时维修，确保投标人正常开展服务。</w:t>
      </w:r>
    </w:p>
    <w:p w14:paraId="46DB3941">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9</w:t>
      </w:r>
      <w:r>
        <w:rPr>
          <w:rFonts w:hint="eastAsia" w:ascii="宋体" w:hAnsi="宋体" w:cs="宋体"/>
          <w:color w:val="000000"/>
          <w:kern w:val="0"/>
          <w:szCs w:val="21"/>
          <w:highlight w:val="none"/>
        </w:rPr>
        <w:t>.</w:t>
      </w:r>
      <w:r>
        <w:rPr>
          <w:rFonts w:hint="eastAsia" w:ascii="宋体" w:hAnsi="宋体" w:cs="宋体"/>
          <w:color w:val="000000"/>
          <w:kern w:val="0"/>
          <w:szCs w:val="21"/>
          <w:highlight w:val="none"/>
          <w:lang w:val="zh-CN"/>
        </w:rPr>
        <w:t>禁止事项</w:t>
      </w:r>
    </w:p>
    <w:p w14:paraId="4AFD8312">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9.1</w:t>
      </w:r>
      <w:r>
        <w:rPr>
          <w:rFonts w:hint="eastAsia" w:ascii="宋体" w:hAnsi="宋体" w:cs="宋体"/>
          <w:color w:val="000000"/>
          <w:kern w:val="0"/>
          <w:szCs w:val="21"/>
          <w:highlight w:val="none"/>
          <w:lang w:val="zh-CN"/>
        </w:rPr>
        <w:t>投标人不得以任何理由向采购人工作人员支付小费或赠送实物，违者将</w:t>
      </w:r>
      <w:r>
        <w:rPr>
          <w:rFonts w:hint="eastAsia" w:ascii="宋体" w:hAnsi="宋体" w:cs="宋体"/>
          <w:color w:val="000000"/>
          <w:kern w:val="0"/>
          <w:szCs w:val="21"/>
          <w:highlight w:val="none"/>
        </w:rPr>
        <w:t>解除</w:t>
      </w:r>
      <w:r>
        <w:rPr>
          <w:rFonts w:hint="eastAsia" w:ascii="宋体" w:hAnsi="宋体" w:cs="宋体"/>
          <w:color w:val="000000"/>
          <w:kern w:val="0"/>
          <w:szCs w:val="21"/>
          <w:highlight w:val="none"/>
          <w:lang w:val="zh-CN"/>
        </w:rPr>
        <w:t>合同。投标人人员也不得以任何形式向采购人大楼内相关人员索取小费或钱物等。</w:t>
      </w:r>
    </w:p>
    <w:p w14:paraId="118E70B4">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9.2</w:t>
      </w:r>
      <w:r>
        <w:rPr>
          <w:rFonts w:hint="eastAsia" w:ascii="宋体" w:hAnsi="宋体" w:cs="宋体"/>
          <w:color w:val="000000"/>
          <w:kern w:val="0"/>
          <w:szCs w:val="21"/>
          <w:highlight w:val="none"/>
          <w:lang w:val="zh-CN"/>
        </w:rPr>
        <w:t>投标人不得在承包区域住宿或从事非法活动，也不得从事有损采购人利益的活动，同时不允许在承包区域对采购人正常办公有滋扰性的行为。</w:t>
      </w:r>
    </w:p>
    <w:p w14:paraId="3D390F60">
      <w:pPr>
        <w:widowControl/>
        <w:spacing w:line="440" w:lineRule="exact"/>
        <w:ind w:firstLine="420" w:firstLineChars="200"/>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rPr>
        <w:t>9.3</w:t>
      </w:r>
      <w:r>
        <w:rPr>
          <w:rFonts w:hint="eastAsia" w:ascii="宋体" w:hAnsi="宋体" w:cs="宋体"/>
          <w:color w:val="000000"/>
          <w:kern w:val="0"/>
          <w:szCs w:val="21"/>
          <w:highlight w:val="none"/>
          <w:lang w:val="zh-CN"/>
        </w:rPr>
        <w:t>未获采购人书面同意，投标人任何时候都不能在承包区域存放易燃易爆有毒、挥发性大或气味浓烈的物品等。</w:t>
      </w:r>
    </w:p>
    <w:p w14:paraId="5A59BDE7">
      <w:pPr>
        <w:widowControl/>
        <w:spacing w:line="440" w:lineRule="exact"/>
        <w:contextualSpacing/>
        <w:rPr>
          <w:rFonts w:ascii="宋体" w:hAnsi="宋体" w:cs="宋体"/>
          <w:b/>
          <w:kern w:val="0"/>
          <w:szCs w:val="21"/>
          <w:highlight w:val="none"/>
        </w:rPr>
      </w:pPr>
      <w:r>
        <w:rPr>
          <w:rFonts w:hint="eastAsia" w:ascii="宋体" w:hAnsi="宋体" w:cs="宋体"/>
          <w:b/>
          <w:kern w:val="0"/>
          <w:szCs w:val="21"/>
          <w:highlight w:val="none"/>
        </w:rPr>
        <w:t>五、服务期限</w:t>
      </w:r>
    </w:p>
    <w:p w14:paraId="38B229CE">
      <w:pPr>
        <w:widowControl/>
        <w:spacing w:line="440" w:lineRule="exact"/>
        <w:ind w:firstLine="420" w:firstLineChars="200"/>
        <w:contextualSpacing/>
        <w:rPr>
          <w:rFonts w:ascii="宋体" w:hAnsi="宋体" w:cs="宋体"/>
          <w:color w:val="000000"/>
          <w:kern w:val="0"/>
          <w:szCs w:val="21"/>
          <w:highlight w:val="none"/>
        </w:rPr>
      </w:pPr>
      <w:r>
        <w:rPr>
          <w:rFonts w:hint="eastAsia" w:ascii="宋体" w:hAnsi="宋体" w:cs="宋体"/>
          <w:color w:val="000000"/>
          <w:kern w:val="0"/>
          <w:szCs w:val="21"/>
          <w:highlight w:val="none"/>
        </w:rPr>
        <w:t>合同签订后1年，服务期满后根据中标单位的绩效评价、服务对象满意度考核情况即季度考核分平均分在90分（含）以上的，可续签合同一年。</w:t>
      </w:r>
    </w:p>
    <w:p w14:paraId="76859574">
      <w:pPr>
        <w:rPr>
          <w:rFonts w:ascii="宋体" w:hAnsi="宋体" w:cs="宋体"/>
          <w:highlight w:val="none"/>
        </w:rPr>
      </w:pPr>
      <w:r>
        <w:rPr>
          <w:rFonts w:hint="eastAsia" w:ascii="宋体" w:hAnsi="宋体" w:cs="宋体"/>
          <w:highlight w:val="none"/>
        </w:rPr>
        <w:br w:type="page"/>
      </w:r>
    </w:p>
    <w:p w14:paraId="47737F40">
      <w:pPr>
        <w:widowControl/>
        <w:spacing w:line="360" w:lineRule="auto"/>
        <w:contextualSpacing/>
        <w:rPr>
          <w:rFonts w:ascii="宋体" w:hAnsi="宋体" w:cs="宋体"/>
          <w:kern w:val="0"/>
          <w:sz w:val="24"/>
          <w:highlight w:val="none"/>
        </w:rPr>
      </w:pPr>
      <w:r>
        <w:rPr>
          <w:rFonts w:hint="eastAsia" w:ascii="宋体" w:hAnsi="宋体" w:cs="宋体"/>
          <w:kern w:val="0"/>
          <w:sz w:val="24"/>
          <w:highlight w:val="none"/>
        </w:rPr>
        <w:t>附件1：保洁内容及要求</w:t>
      </w:r>
    </w:p>
    <w:tbl>
      <w:tblPr>
        <w:tblStyle w:val="48"/>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61"/>
        <w:gridCol w:w="7029"/>
      </w:tblGrid>
      <w:tr w14:paraId="3305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2466" w:type="dxa"/>
            <w:gridSpan w:val="2"/>
          </w:tcPr>
          <w:p w14:paraId="069131B5">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内容</w:t>
            </w:r>
          </w:p>
        </w:tc>
        <w:tc>
          <w:tcPr>
            <w:tcW w:w="7029" w:type="dxa"/>
          </w:tcPr>
          <w:p w14:paraId="67BCE3EE">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要求</w:t>
            </w:r>
          </w:p>
        </w:tc>
      </w:tr>
      <w:tr w14:paraId="6E66D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restart"/>
            <w:vAlign w:val="center"/>
          </w:tcPr>
          <w:p w14:paraId="614B787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厨房、家属楼及大队办公楼室内区域</w:t>
            </w:r>
          </w:p>
        </w:tc>
        <w:tc>
          <w:tcPr>
            <w:tcW w:w="1561" w:type="dxa"/>
            <w:vAlign w:val="center"/>
          </w:tcPr>
          <w:p w14:paraId="653D400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一、服务功能性用房（办公室、会议室、休息区、物资库等独立区域）</w:t>
            </w:r>
          </w:p>
        </w:tc>
        <w:tc>
          <w:tcPr>
            <w:tcW w:w="7029" w:type="dxa"/>
          </w:tcPr>
          <w:p w14:paraId="6D1D903F">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1.踢脚线等处无积垢、灰尘、水迹和胶黏物等。</w:t>
            </w:r>
          </w:p>
          <w:p w14:paraId="55984A8F">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2.地面保持干燥洁净、无污垢、纸屑。</w:t>
            </w:r>
          </w:p>
          <w:p w14:paraId="3C1D59C6">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3.大厅环境应整洁，大理石墙面应清洁光亮，地面无纸屑和水迹。</w:t>
            </w:r>
          </w:p>
          <w:p w14:paraId="7E15CD3E">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4.内墙面、天花、顶角、转角及墙踢脚等处无积尘、霉斑和蜘蛛网。</w:t>
            </w:r>
          </w:p>
          <w:p w14:paraId="74AFB1BC">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5.玻璃门、玻璃窗等表面应洁净、明亮，无水迹、指印和张贴物。</w:t>
            </w:r>
          </w:p>
          <w:p w14:paraId="3EC8278E">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6.窗台及上下四周接缝处等应光洁，无灰尘。</w:t>
            </w:r>
          </w:p>
          <w:p w14:paraId="2C08D9C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7.门面、门框、门背等应无油迹和灰尘，金属门饰、门锁、门附件等应保持金属光亮，无锈斑、污迹。</w:t>
            </w:r>
          </w:p>
          <w:p w14:paraId="4A9ABCD5">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8.办公家具应保持表面无灰尘；辅助设施的物件表面无积尘和污迹。</w:t>
            </w:r>
          </w:p>
        </w:tc>
      </w:tr>
      <w:tr w14:paraId="6877B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vAlign w:val="center"/>
          </w:tcPr>
          <w:p w14:paraId="3014FB64">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476B637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二、走道、楼梯</w:t>
            </w:r>
          </w:p>
        </w:tc>
        <w:tc>
          <w:tcPr>
            <w:tcW w:w="7029" w:type="dxa"/>
          </w:tcPr>
          <w:p w14:paraId="3A497F46">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1.楼梯无痰迹、油污、纸屑、烟蒂和废弃物。</w:t>
            </w:r>
          </w:p>
          <w:p w14:paraId="4DC02686">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2.扶手栏杆应洁净，无污迹、锈斑及灰尘。</w:t>
            </w:r>
          </w:p>
          <w:p w14:paraId="795A574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3.楼梯墙面无污迹、鞋印等。</w:t>
            </w:r>
          </w:p>
          <w:p w14:paraId="30C244C3">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4.通道设施、消防设施等无积灰，广告字体等装饰物无积灰、水印。</w:t>
            </w:r>
          </w:p>
          <w:p w14:paraId="457AEF7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5.通风窗窗框、窗槽及窗沿无积灰、积水、杂物及悬挂蛛网等，玻璃明亮。</w:t>
            </w:r>
          </w:p>
        </w:tc>
      </w:tr>
      <w:tr w14:paraId="4DB17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vAlign w:val="center"/>
          </w:tcPr>
          <w:p w14:paraId="05342BA0">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07BD8E7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三、洗手间</w:t>
            </w:r>
          </w:p>
        </w:tc>
        <w:tc>
          <w:tcPr>
            <w:tcW w:w="7029" w:type="dxa"/>
          </w:tcPr>
          <w:p w14:paraId="27E9E713">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1.镜面应明净，无水迹。</w:t>
            </w:r>
          </w:p>
          <w:p w14:paraId="19BF64C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2.台盆和台面应无积垢、无锈迹、皂迹和毛发。</w:t>
            </w:r>
          </w:p>
          <w:p w14:paraId="6ED58AD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3.面池水龙头应无皂迹、锈迹和污垢。</w:t>
            </w:r>
          </w:p>
          <w:p w14:paraId="1840FF62">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4.便斗内应放置清洁球，无积垢、黄迹，无堵塞。</w:t>
            </w:r>
          </w:p>
          <w:p w14:paraId="0138D120">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5.大便池外部无积垢，内部无黄斑、霉斑，便盖无污迹、无积灰。</w:t>
            </w:r>
          </w:p>
          <w:p w14:paraId="66DE8932">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6.废纸篓无拖挂、无漫溢，废弃物袋装化，及时倾倒，清洗消毒。</w:t>
            </w:r>
          </w:p>
          <w:p w14:paraId="69D005E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7.地面无积水和脚印，地砖缝隙无霉斑、无积垢。</w:t>
            </w:r>
          </w:p>
          <w:p w14:paraId="6637D833">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8.墙面隔板无积灰、无蛛网、无锈迹、无乱张贴。</w:t>
            </w:r>
          </w:p>
          <w:p w14:paraId="1FA14402">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9.通风窗窗框、窗槽及窗沿无积灰、积水、杂物及悬挂蛛网等，玻璃明亮。</w:t>
            </w:r>
          </w:p>
          <w:p w14:paraId="67A323B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10.洗手液、香皂、卫生纸、擦手纸定期补足，摆放整齐，各类设施无积灰。</w:t>
            </w:r>
          </w:p>
          <w:p w14:paraId="1F6BC49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11.洗手间整体无异味、清洁明亮。</w:t>
            </w:r>
          </w:p>
        </w:tc>
      </w:tr>
      <w:tr w14:paraId="15CCA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tcPr>
          <w:p w14:paraId="70E4B169">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5EEB023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四、大厅</w:t>
            </w:r>
          </w:p>
        </w:tc>
        <w:tc>
          <w:tcPr>
            <w:tcW w:w="7029" w:type="dxa"/>
          </w:tcPr>
          <w:p w14:paraId="04BAC79B">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1.大厅地坪地面，无垃圾、水迹及脚印，表面光亮。</w:t>
            </w:r>
          </w:p>
          <w:p w14:paraId="0DED478E">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2.挑空厅顶及吊顶灯无蛛网、无长期积灰。</w:t>
            </w:r>
          </w:p>
          <w:p w14:paraId="688A64C2">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3.大厅环境应整洁，墙面、立柱应无污渍，无积灰。</w:t>
            </w:r>
          </w:p>
          <w:p w14:paraId="0A60B55A">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4.大厅内各类摆设、装饰物无积灰，摆放整齐。</w:t>
            </w:r>
          </w:p>
          <w:p w14:paraId="6FF8E979">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5.落地玻璃明亮，无手印、无水迹，定期清洗。</w:t>
            </w:r>
          </w:p>
          <w:p w14:paraId="7FFA855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6.进门地毯定期清洗，更换、无破损。</w:t>
            </w:r>
          </w:p>
          <w:p w14:paraId="3DC47DA9">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7.直立式垃圾桶，清洁无污垢，无异味，无漫溢拖挂，摆放合理、整齐。</w:t>
            </w:r>
          </w:p>
        </w:tc>
      </w:tr>
      <w:tr w14:paraId="1E761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tcPr>
          <w:p w14:paraId="5AAF586E">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5AEE1A0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五、设备房</w:t>
            </w:r>
          </w:p>
        </w:tc>
        <w:tc>
          <w:tcPr>
            <w:tcW w:w="7029" w:type="dxa"/>
          </w:tcPr>
          <w:p w14:paraId="1BD2CDDC">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1.无卫生死角，无废弃物堆积，无蛛网，无积水。</w:t>
            </w:r>
          </w:p>
          <w:p w14:paraId="5B921CF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2.管道漆面干净，无锈斑，无油渍，无积灰。</w:t>
            </w:r>
          </w:p>
        </w:tc>
      </w:tr>
      <w:tr w14:paraId="53677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tcPr>
          <w:p w14:paraId="4CA34B6A">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32F9ED4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六、营区、停车场</w:t>
            </w:r>
          </w:p>
        </w:tc>
        <w:tc>
          <w:tcPr>
            <w:tcW w:w="7029" w:type="dxa"/>
          </w:tcPr>
          <w:p w14:paraId="69FFE82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1.地面应保持干净，路面标识清洁。无大面积积水、无大面积落叶，无青苔、无杂草、无油污。</w:t>
            </w:r>
          </w:p>
          <w:p w14:paraId="5B80AAF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2.道路广告牌、照明等无积灰、无污垢。</w:t>
            </w:r>
          </w:p>
          <w:p w14:paraId="27BAFC2C">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3.绿化带内无烟蒂、杂物，无白色垃圾。</w:t>
            </w:r>
          </w:p>
          <w:p w14:paraId="7208B2C7">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4.各类设施设备无蛛网悬挂，无严重积灰。</w:t>
            </w:r>
          </w:p>
          <w:p w14:paraId="1FD601F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5.明沟下水通畅，无垃圾、落叶、淤泥等堆积，定期清理。</w:t>
            </w:r>
          </w:p>
        </w:tc>
      </w:tr>
      <w:tr w14:paraId="3F0B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tcPr>
          <w:p w14:paraId="5C803712">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4A721DE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七、水池</w:t>
            </w:r>
          </w:p>
        </w:tc>
        <w:tc>
          <w:tcPr>
            <w:tcW w:w="7029" w:type="dxa"/>
          </w:tcPr>
          <w:p w14:paraId="60F14D9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1.喷水池应保持水质清澈，无沉积物，无异味。</w:t>
            </w:r>
          </w:p>
          <w:p w14:paraId="4735D75B">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2.无死亡生物。</w:t>
            </w:r>
          </w:p>
        </w:tc>
      </w:tr>
      <w:tr w14:paraId="2C664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05" w:type="dxa"/>
            <w:vMerge w:val="continue"/>
          </w:tcPr>
          <w:p w14:paraId="1A090CF8">
            <w:pPr>
              <w:widowControl/>
              <w:spacing w:line="400" w:lineRule="exact"/>
              <w:ind w:firstLine="420" w:firstLineChars="200"/>
              <w:contextualSpacing/>
              <w:rPr>
                <w:rFonts w:ascii="宋体" w:hAnsi="宋体" w:cs="宋体"/>
                <w:kern w:val="0"/>
                <w:szCs w:val="21"/>
                <w:highlight w:val="none"/>
                <w:lang w:val="zh-CN"/>
              </w:rPr>
            </w:pPr>
          </w:p>
        </w:tc>
        <w:tc>
          <w:tcPr>
            <w:tcW w:w="1561" w:type="dxa"/>
            <w:vAlign w:val="center"/>
          </w:tcPr>
          <w:p w14:paraId="663AF5D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八、垃圾分类亭</w:t>
            </w:r>
          </w:p>
        </w:tc>
        <w:tc>
          <w:tcPr>
            <w:tcW w:w="7029" w:type="dxa"/>
          </w:tcPr>
          <w:p w14:paraId="4310F31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rPr>
              <w:t>1.</w:t>
            </w:r>
            <w:r>
              <w:rPr>
                <w:rFonts w:hint="eastAsia" w:ascii="宋体" w:hAnsi="宋体" w:cs="宋体"/>
                <w:kern w:val="0"/>
                <w:szCs w:val="21"/>
                <w:highlight w:val="none"/>
                <w:lang w:val="zh-CN"/>
              </w:rPr>
              <w:t>垃圾亭内设施设备整洁、无异味。</w:t>
            </w:r>
          </w:p>
          <w:p w14:paraId="76D086F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rPr>
              <w:t>2</w:t>
            </w:r>
            <w:r>
              <w:rPr>
                <w:rFonts w:hint="eastAsia" w:ascii="宋体" w:hAnsi="宋体" w:cs="宋体"/>
                <w:kern w:val="0"/>
                <w:szCs w:val="21"/>
                <w:highlight w:val="none"/>
                <w:lang w:val="zh-CN"/>
              </w:rPr>
              <w:t>.垃圾亭内定期清洗。</w:t>
            </w:r>
          </w:p>
        </w:tc>
      </w:tr>
    </w:tbl>
    <w:p w14:paraId="26C5F1FB">
      <w:pPr>
        <w:widowControl/>
        <w:spacing w:line="360" w:lineRule="auto"/>
        <w:ind w:firstLine="480" w:firstLineChars="200"/>
        <w:contextualSpacing/>
        <w:rPr>
          <w:rFonts w:ascii="宋体" w:hAnsi="宋体" w:cs="宋体"/>
          <w:kern w:val="0"/>
          <w:sz w:val="24"/>
          <w:highlight w:val="none"/>
        </w:rPr>
      </w:pPr>
    </w:p>
    <w:p w14:paraId="747629FD">
      <w:pPr>
        <w:rPr>
          <w:rFonts w:ascii="宋体" w:hAnsi="宋体" w:cs="宋体"/>
          <w:kern w:val="0"/>
          <w:sz w:val="24"/>
          <w:highlight w:val="none"/>
          <w:lang w:val="zh-CN"/>
        </w:rPr>
      </w:pPr>
      <w:r>
        <w:rPr>
          <w:rFonts w:hint="eastAsia" w:ascii="宋体" w:hAnsi="宋体" w:cs="宋体"/>
          <w:kern w:val="0"/>
          <w:sz w:val="24"/>
          <w:highlight w:val="none"/>
        </w:rPr>
        <w:t>附件2：保洁作业频率及标准</w:t>
      </w:r>
    </w:p>
    <w:tbl>
      <w:tblPr>
        <w:tblStyle w:val="48"/>
        <w:tblW w:w="95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2"/>
        <w:gridCol w:w="388"/>
        <w:gridCol w:w="2870"/>
        <w:gridCol w:w="2126"/>
        <w:gridCol w:w="2126"/>
        <w:gridCol w:w="1478"/>
      </w:tblGrid>
      <w:tr w14:paraId="0BE53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30" w:type="dxa"/>
            <w:gridSpan w:val="2"/>
            <w:vAlign w:val="center"/>
          </w:tcPr>
          <w:p w14:paraId="2D036CF6">
            <w:pPr>
              <w:widowControl/>
              <w:spacing w:line="400" w:lineRule="exact"/>
              <w:contextualSpacing/>
              <w:rPr>
                <w:rFonts w:ascii="宋体" w:hAnsi="宋体" w:cs="宋体"/>
                <w:kern w:val="0"/>
                <w:szCs w:val="21"/>
                <w:highlight w:val="none"/>
                <w:lang w:val="zh-CN"/>
              </w:rPr>
            </w:pPr>
            <w:r>
              <w:rPr>
                <w:rFonts w:hint="eastAsia" w:ascii="宋体" w:hAnsi="宋体" w:cs="宋体"/>
                <w:kern w:val="0"/>
                <w:szCs w:val="21"/>
                <w:highlight w:val="none"/>
                <w:lang w:val="zh-CN"/>
              </w:rPr>
              <w:t>清洁</w:t>
            </w:r>
          </w:p>
          <w:p w14:paraId="0B821505">
            <w:pPr>
              <w:widowControl/>
              <w:spacing w:line="400" w:lineRule="exact"/>
              <w:contextualSpacing/>
              <w:rPr>
                <w:rFonts w:ascii="宋体" w:hAnsi="宋体" w:cs="宋体"/>
                <w:kern w:val="0"/>
                <w:szCs w:val="21"/>
                <w:highlight w:val="none"/>
                <w:lang w:val="zh-CN"/>
              </w:rPr>
            </w:pPr>
            <w:r>
              <w:rPr>
                <w:rFonts w:hint="eastAsia" w:ascii="宋体" w:hAnsi="宋体" w:cs="宋体"/>
                <w:kern w:val="0"/>
                <w:szCs w:val="21"/>
                <w:highlight w:val="none"/>
                <w:lang w:val="zh-CN"/>
              </w:rPr>
              <w:t>项目</w:t>
            </w:r>
          </w:p>
          <w:p w14:paraId="28ED71D1">
            <w:pPr>
              <w:widowControl/>
              <w:spacing w:line="400" w:lineRule="exact"/>
              <w:contextualSpacing/>
              <w:rPr>
                <w:rFonts w:ascii="宋体" w:hAnsi="宋体" w:cs="宋体"/>
                <w:kern w:val="0"/>
                <w:szCs w:val="21"/>
                <w:highlight w:val="none"/>
                <w:lang w:val="zh-CN"/>
              </w:rPr>
            </w:pPr>
            <w:r>
              <w:rPr>
                <w:rFonts w:hint="eastAsia" w:ascii="宋体" w:hAnsi="宋体" w:cs="宋体"/>
                <w:kern w:val="0"/>
                <w:szCs w:val="21"/>
                <w:highlight w:val="none"/>
                <w:lang w:val="zh-CN"/>
              </w:rPr>
              <w:t>分类</w:t>
            </w:r>
          </w:p>
        </w:tc>
        <w:tc>
          <w:tcPr>
            <w:tcW w:w="2870" w:type="dxa"/>
            <w:vAlign w:val="center"/>
          </w:tcPr>
          <w:p w14:paraId="2A59ADA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作业内容</w:t>
            </w:r>
          </w:p>
        </w:tc>
        <w:tc>
          <w:tcPr>
            <w:tcW w:w="2126" w:type="dxa"/>
            <w:vAlign w:val="center"/>
          </w:tcPr>
          <w:p w14:paraId="0C9B860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作业频率</w:t>
            </w:r>
          </w:p>
        </w:tc>
        <w:tc>
          <w:tcPr>
            <w:tcW w:w="2126" w:type="dxa"/>
            <w:vAlign w:val="center"/>
          </w:tcPr>
          <w:p w14:paraId="6A0B4AA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作业标准（与上述地方标准有冲突的，取要求高者）</w:t>
            </w:r>
          </w:p>
        </w:tc>
        <w:tc>
          <w:tcPr>
            <w:tcW w:w="1478" w:type="dxa"/>
            <w:vAlign w:val="center"/>
          </w:tcPr>
          <w:p w14:paraId="5106946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检验方法</w:t>
            </w:r>
          </w:p>
        </w:tc>
      </w:tr>
      <w:tr w14:paraId="6841B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restart"/>
            <w:vAlign w:val="center"/>
          </w:tcPr>
          <w:p w14:paraId="246B71B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卫卫生间</w:t>
            </w:r>
          </w:p>
        </w:tc>
        <w:tc>
          <w:tcPr>
            <w:tcW w:w="388" w:type="dxa"/>
            <w:vMerge w:val="restart"/>
            <w:vAlign w:val="center"/>
          </w:tcPr>
          <w:p w14:paraId="6843039B">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日常清洁</w:t>
            </w:r>
          </w:p>
        </w:tc>
        <w:tc>
          <w:tcPr>
            <w:tcW w:w="2870" w:type="dxa"/>
            <w:vAlign w:val="center"/>
          </w:tcPr>
          <w:p w14:paraId="2C34489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地面（扫、拖、擦）</w:t>
            </w:r>
          </w:p>
        </w:tc>
        <w:tc>
          <w:tcPr>
            <w:tcW w:w="2126" w:type="dxa"/>
            <w:vAlign w:val="center"/>
          </w:tcPr>
          <w:p w14:paraId="6F23F53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每日</w:t>
            </w:r>
            <w:r>
              <w:rPr>
                <w:rFonts w:hint="eastAsia" w:ascii="宋体" w:hAnsi="宋体" w:cs="宋体"/>
                <w:kern w:val="0"/>
                <w:szCs w:val="21"/>
                <w:highlight w:val="none"/>
              </w:rPr>
              <w:t>3</w:t>
            </w:r>
            <w:r>
              <w:rPr>
                <w:rFonts w:hint="eastAsia" w:ascii="宋体" w:hAnsi="宋体" w:cs="宋体"/>
                <w:kern w:val="0"/>
                <w:szCs w:val="21"/>
                <w:highlight w:val="none"/>
                <w:lang w:val="zh-CN"/>
              </w:rPr>
              <w:t>次，巡视清洁</w:t>
            </w:r>
          </w:p>
        </w:tc>
        <w:tc>
          <w:tcPr>
            <w:tcW w:w="2126" w:type="dxa"/>
            <w:vAlign w:val="center"/>
          </w:tcPr>
          <w:p w14:paraId="033931A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无垃圾、杂物、污迹</w:t>
            </w:r>
          </w:p>
        </w:tc>
        <w:tc>
          <w:tcPr>
            <w:tcW w:w="1478" w:type="dxa"/>
            <w:vAlign w:val="center"/>
          </w:tcPr>
          <w:p w14:paraId="19A7F3F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242E36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CF8377B">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85F189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ECA803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台盆、小便器、大便器（清洁、刷洗、消毒）</w:t>
            </w:r>
          </w:p>
        </w:tc>
        <w:tc>
          <w:tcPr>
            <w:tcW w:w="2126" w:type="dxa"/>
            <w:vAlign w:val="center"/>
          </w:tcPr>
          <w:p w14:paraId="403E342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每日</w:t>
            </w:r>
            <w:r>
              <w:rPr>
                <w:rFonts w:hint="eastAsia" w:ascii="宋体" w:hAnsi="宋体" w:cs="宋体"/>
                <w:kern w:val="0"/>
                <w:szCs w:val="21"/>
                <w:highlight w:val="none"/>
              </w:rPr>
              <w:t>3</w:t>
            </w:r>
            <w:r>
              <w:rPr>
                <w:rFonts w:hint="eastAsia" w:ascii="宋体" w:hAnsi="宋体" w:cs="宋体"/>
                <w:kern w:val="0"/>
                <w:szCs w:val="21"/>
                <w:highlight w:val="none"/>
                <w:lang w:val="zh-CN"/>
              </w:rPr>
              <w:t>次，巡视清洁</w:t>
            </w:r>
          </w:p>
        </w:tc>
        <w:tc>
          <w:tcPr>
            <w:tcW w:w="2126" w:type="dxa"/>
            <w:vAlign w:val="center"/>
          </w:tcPr>
          <w:p w14:paraId="020AB1F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无尿垢、便渍、污迹、无异味</w:t>
            </w:r>
          </w:p>
        </w:tc>
        <w:tc>
          <w:tcPr>
            <w:tcW w:w="1478" w:type="dxa"/>
            <w:vAlign w:val="center"/>
          </w:tcPr>
          <w:p w14:paraId="5443210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8A4A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5A9A56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387F28C">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063377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便厕卫生纸架、冲水阀（清洁消毒）</w:t>
            </w:r>
          </w:p>
        </w:tc>
        <w:tc>
          <w:tcPr>
            <w:tcW w:w="2126" w:type="dxa"/>
            <w:vAlign w:val="center"/>
          </w:tcPr>
          <w:p w14:paraId="59F6ED4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4B7C8B8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29541F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4CA54B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C70CEB1">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05E56B4">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3D51FC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水龙头、洗手台面（清洁）</w:t>
            </w:r>
          </w:p>
        </w:tc>
        <w:tc>
          <w:tcPr>
            <w:tcW w:w="2126" w:type="dxa"/>
            <w:vAlign w:val="center"/>
          </w:tcPr>
          <w:p w14:paraId="2C8043E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每日4次，巡视清洁</w:t>
            </w:r>
          </w:p>
        </w:tc>
        <w:tc>
          <w:tcPr>
            <w:tcW w:w="2126" w:type="dxa"/>
            <w:vAlign w:val="center"/>
          </w:tcPr>
          <w:p w14:paraId="35F4AD7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无水渍、污迹</w:t>
            </w:r>
          </w:p>
        </w:tc>
        <w:tc>
          <w:tcPr>
            <w:tcW w:w="1478" w:type="dxa"/>
            <w:vAlign w:val="center"/>
          </w:tcPr>
          <w:p w14:paraId="5AC5B46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754E5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02FECF9">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717657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D7BBBC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镜子（擦拭、刮洗）</w:t>
            </w:r>
          </w:p>
        </w:tc>
        <w:tc>
          <w:tcPr>
            <w:tcW w:w="2126" w:type="dxa"/>
            <w:vAlign w:val="center"/>
          </w:tcPr>
          <w:p w14:paraId="68FA09A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每日4次，巡视清洁</w:t>
            </w:r>
          </w:p>
        </w:tc>
        <w:tc>
          <w:tcPr>
            <w:tcW w:w="2126" w:type="dxa"/>
            <w:vAlign w:val="center"/>
          </w:tcPr>
          <w:p w14:paraId="2344977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无水渍、污迹、清洁光亮</w:t>
            </w:r>
          </w:p>
        </w:tc>
        <w:tc>
          <w:tcPr>
            <w:tcW w:w="1478" w:type="dxa"/>
            <w:vAlign w:val="center"/>
          </w:tcPr>
          <w:p w14:paraId="4070134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753AD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2C49D51">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3A07BA3C">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8D0228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擦手纸盒、洗手液等摆设表面（擦拭）</w:t>
            </w:r>
          </w:p>
        </w:tc>
        <w:tc>
          <w:tcPr>
            <w:tcW w:w="2126" w:type="dxa"/>
            <w:vAlign w:val="center"/>
          </w:tcPr>
          <w:p w14:paraId="46B6AA3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518246B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无水渍、污迹、清洁光亮</w:t>
            </w:r>
          </w:p>
        </w:tc>
        <w:tc>
          <w:tcPr>
            <w:tcW w:w="1478" w:type="dxa"/>
            <w:vAlign w:val="center"/>
          </w:tcPr>
          <w:p w14:paraId="187F111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14738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625854B">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A6D2B60">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57A2D23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废纸篓（收理、清洁、套垃圾袋）</w:t>
            </w:r>
          </w:p>
        </w:tc>
        <w:tc>
          <w:tcPr>
            <w:tcW w:w="2126" w:type="dxa"/>
            <w:vAlign w:val="center"/>
          </w:tcPr>
          <w:p w14:paraId="733CF2D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4次/天，巡视清洁，保持干净、收理</w:t>
            </w:r>
          </w:p>
        </w:tc>
        <w:tc>
          <w:tcPr>
            <w:tcW w:w="2126" w:type="dxa"/>
            <w:vAlign w:val="center"/>
          </w:tcPr>
          <w:p w14:paraId="36D45A5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无垃圾溢出、不超容积2/3</w:t>
            </w:r>
          </w:p>
        </w:tc>
        <w:tc>
          <w:tcPr>
            <w:tcW w:w="1478" w:type="dxa"/>
            <w:vAlign w:val="center"/>
          </w:tcPr>
          <w:p w14:paraId="0A9CB3E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D81DA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A55C26D">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20DD854">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79A277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卫生纸、擦手纸、洗手液、芳香除臭滤洁块（补充）</w:t>
            </w:r>
          </w:p>
        </w:tc>
        <w:tc>
          <w:tcPr>
            <w:tcW w:w="2126" w:type="dxa"/>
            <w:vAlign w:val="center"/>
          </w:tcPr>
          <w:p w14:paraId="1177519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巡视清洁，保持干净</w:t>
            </w:r>
          </w:p>
        </w:tc>
        <w:tc>
          <w:tcPr>
            <w:tcW w:w="2126" w:type="dxa"/>
            <w:vAlign w:val="center"/>
          </w:tcPr>
          <w:p w14:paraId="7B7EE59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无短缺、无异味</w:t>
            </w:r>
          </w:p>
        </w:tc>
        <w:tc>
          <w:tcPr>
            <w:tcW w:w="1478" w:type="dxa"/>
            <w:vAlign w:val="center"/>
          </w:tcPr>
          <w:p w14:paraId="63D855A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79638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656EFD4F">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2C3D00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E4512B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墩布池、清洁工具（清洁、整理）</w:t>
            </w:r>
          </w:p>
        </w:tc>
        <w:tc>
          <w:tcPr>
            <w:tcW w:w="2126" w:type="dxa"/>
            <w:vAlign w:val="center"/>
          </w:tcPr>
          <w:p w14:paraId="192C35F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巡视清洁，保持干净、整理</w:t>
            </w:r>
          </w:p>
        </w:tc>
        <w:tc>
          <w:tcPr>
            <w:tcW w:w="2126" w:type="dxa"/>
            <w:vAlign w:val="center"/>
          </w:tcPr>
          <w:p w14:paraId="1650D27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无污迹、规定位置摆放整齐</w:t>
            </w:r>
          </w:p>
        </w:tc>
        <w:tc>
          <w:tcPr>
            <w:tcW w:w="1478" w:type="dxa"/>
            <w:vAlign w:val="center"/>
          </w:tcPr>
          <w:p w14:paraId="792C1CF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00257D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DB9F92A">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62864B5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1BB8AC7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墙面（清洁剂清洗）</w:t>
            </w:r>
          </w:p>
        </w:tc>
        <w:tc>
          <w:tcPr>
            <w:tcW w:w="2126" w:type="dxa"/>
            <w:vAlign w:val="center"/>
          </w:tcPr>
          <w:p w14:paraId="4A1BE10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2756579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洁净光亮</w:t>
            </w:r>
          </w:p>
        </w:tc>
        <w:tc>
          <w:tcPr>
            <w:tcW w:w="1478" w:type="dxa"/>
            <w:vAlign w:val="center"/>
          </w:tcPr>
          <w:p w14:paraId="120F09C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4C07E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E9A60F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4E1789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F426AF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天花板（擦拭）</w:t>
            </w:r>
          </w:p>
        </w:tc>
        <w:tc>
          <w:tcPr>
            <w:tcW w:w="2126" w:type="dxa"/>
            <w:vAlign w:val="center"/>
          </w:tcPr>
          <w:p w14:paraId="48ECF85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698D46E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566B24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606DF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DCED0E6">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D3D79A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DE54D6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厕所门面（擦拭）</w:t>
            </w:r>
          </w:p>
        </w:tc>
        <w:tc>
          <w:tcPr>
            <w:tcW w:w="2126" w:type="dxa"/>
            <w:vAlign w:val="center"/>
          </w:tcPr>
          <w:p w14:paraId="65CD498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21FD7E9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561F3A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7060C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633FE418">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78E054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8DECE4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照明灯具</w:t>
            </w:r>
          </w:p>
        </w:tc>
        <w:tc>
          <w:tcPr>
            <w:tcW w:w="2126" w:type="dxa"/>
            <w:vAlign w:val="center"/>
          </w:tcPr>
          <w:p w14:paraId="0993675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1次/季</w:t>
            </w:r>
          </w:p>
        </w:tc>
        <w:tc>
          <w:tcPr>
            <w:tcW w:w="2126" w:type="dxa"/>
            <w:vAlign w:val="center"/>
          </w:tcPr>
          <w:p w14:paraId="5DD50C7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364F1B5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7DA9AD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43210FF">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F39EB7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5C57B3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窗台（框、槽）、玻璃内侧（清洁剂清洁）</w:t>
            </w:r>
          </w:p>
        </w:tc>
        <w:tc>
          <w:tcPr>
            <w:tcW w:w="2126" w:type="dxa"/>
            <w:vAlign w:val="center"/>
          </w:tcPr>
          <w:p w14:paraId="7026C69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7E9CA86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无积灰、污迹、清洁光亮</w:t>
            </w:r>
          </w:p>
        </w:tc>
        <w:tc>
          <w:tcPr>
            <w:tcW w:w="1478" w:type="dxa"/>
            <w:vAlign w:val="center"/>
          </w:tcPr>
          <w:p w14:paraId="5A9066F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1396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restart"/>
            <w:textDirection w:val="tbRlV"/>
            <w:vAlign w:val="center"/>
          </w:tcPr>
          <w:p w14:paraId="3523B94E">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大厅</w:t>
            </w:r>
          </w:p>
        </w:tc>
        <w:tc>
          <w:tcPr>
            <w:tcW w:w="388" w:type="dxa"/>
            <w:vMerge w:val="restart"/>
            <w:vAlign w:val="center"/>
          </w:tcPr>
          <w:p w14:paraId="7AB8F18C">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日常清洁</w:t>
            </w:r>
          </w:p>
        </w:tc>
        <w:tc>
          <w:tcPr>
            <w:tcW w:w="2870" w:type="dxa"/>
            <w:vAlign w:val="center"/>
          </w:tcPr>
          <w:p w14:paraId="664F053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地面（推尘）</w:t>
            </w:r>
          </w:p>
        </w:tc>
        <w:tc>
          <w:tcPr>
            <w:tcW w:w="2126" w:type="dxa"/>
            <w:vAlign w:val="center"/>
          </w:tcPr>
          <w:p w14:paraId="0BF843C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32D206D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无积灰、垃圾、污迹、水迹、光亮</w:t>
            </w:r>
          </w:p>
        </w:tc>
        <w:tc>
          <w:tcPr>
            <w:tcW w:w="1478" w:type="dxa"/>
            <w:vAlign w:val="center"/>
          </w:tcPr>
          <w:p w14:paraId="7B1DB05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76058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5A1ED3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3FD295F">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15F1E0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防尘地垫（清扫、吸尘）</w:t>
            </w:r>
          </w:p>
        </w:tc>
        <w:tc>
          <w:tcPr>
            <w:tcW w:w="2126" w:type="dxa"/>
            <w:vAlign w:val="center"/>
          </w:tcPr>
          <w:p w14:paraId="70EE0B7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56DDE2F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无垃圾、污渍</w:t>
            </w:r>
          </w:p>
        </w:tc>
        <w:tc>
          <w:tcPr>
            <w:tcW w:w="1478" w:type="dxa"/>
            <w:vAlign w:val="center"/>
          </w:tcPr>
          <w:p w14:paraId="75B23A0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259A3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7CC40D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75B0326">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9A5925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玻璃门手印擦拭</w:t>
            </w:r>
          </w:p>
        </w:tc>
        <w:tc>
          <w:tcPr>
            <w:tcW w:w="2126" w:type="dxa"/>
            <w:vAlign w:val="center"/>
          </w:tcPr>
          <w:p w14:paraId="7429963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6D1EC28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无污迹、洁净光亮</w:t>
            </w:r>
          </w:p>
        </w:tc>
        <w:tc>
          <w:tcPr>
            <w:tcW w:w="1478" w:type="dxa"/>
            <w:vAlign w:val="center"/>
          </w:tcPr>
          <w:p w14:paraId="4CAC353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12A7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17C44CE">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33748B24">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9BBE21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大厅内家具摆设（擦拭）</w:t>
            </w:r>
          </w:p>
        </w:tc>
        <w:tc>
          <w:tcPr>
            <w:tcW w:w="2126" w:type="dxa"/>
            <w:vAlign w:val="center"/>
          </w:tcPr>
          <w:p w14:paraId="2BE4EB5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2B4DAE4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20FB2F4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695A7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6BE81AD">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3C9E6A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66E362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植物花盆</w:t>
            </w:r>
          </w:p>
        </w:tc>
        <w:tc>
          <w:tcPr>
            <w:tcW w:w="2126" w:type="dxa"/>
            <w:vAlign w:val="center"/>
          </w:tcPr>
          <w:p w14:paraId="62DFD5C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64743C9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w:t>
            </w:r>
          </w:p>
        </w:tc>
        <w:tc>
          <w:tcPr>
            <w:tcW w:w="1478" w:type="dxa"/>
            <w:vAlign w:val="center"/>
          </w:tcPr>
          <w:p w14:paraId="36DF58E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72F5B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B9626BD">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1B3330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4B26A7D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电源开关、插座（擦拭）</w:t>
            </w:r>
          </w:p>
        </w:tc>
        <w:tc>
          <w:tcPr>
            <w:tcW w:w="2126" w:type="dxa"/>
            <w:vAlign w:val="center"/>
          </w:tcPr>
          <w:p w14:paraId="61A1170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5CB47B6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336E076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DF35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594B14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2C9FCE6">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FC8C0D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门框表面、把手（擦拭）</w:t>
            </w:r>
          </w:p>
        </w:tc>
        <w:tc>
          <w:tcPr>
            <w:tcW w:w="2126" w:type="dxa"/>
            <w:vAlign w:val="center"/>
          </w:tcPr>
          <w:p w14:paraId="3C9BEE6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30F1745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461BBBD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68846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71B2C82">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20FC5204">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4F812C7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2米以下墙、柱面（擦拭）</w:t>
            </w:r>
          </w:p>
        </w:tc>
        <w:tc>
          <w:tcPr>
            <w:tcW w:w="2126" w:type="dxa"/>
            <w:vAlign w:val="center"/>
          </w:tcPr>
          <w:p w14:paraId="645DDE7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8DAE39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无积灰、污迹、虫网</w:t>
            </w:r>
          </w:p>
        </w:tc>
        <w:tc>
          <w:tcPr>
            <w:tcW w:w="1478" w:type="dxa"/>
            <w:vAlign w:val="center"/>
          </w:tcPr>
          <w:p w14:paraId="7080B3E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7CFDC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0FB0B00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AB4048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6D9B98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2 -4米墙面（擦拭）</w:t>
            </w:r>
          </w:p>
        </w:tc>
        <w:tc>
          <w:tcPr>
            <w:tcW w:w="2126" w:type="dxa"/>
            <w:vAlign w:val="center"/>
          </w:tcPr>
          <w:p w14:paraId="2EA4CBE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3234CBA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无积灰、虫网、污迹、洁净光亮</w:t>
            </w:r>
          </w:p>
        </w:tc>
        <w:tc>
          <w:tcPr>
            <w:tcW w:w="1478" w:type="dxa"/>
            <w:vAlign w:val="center"/>
          </w:tcPr>
          <w:p w14:paraId="6C8F1BD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7C9F0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05268B3">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BC534FC">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D07CD8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大厅3米以下玻璃（刮洗、擦拭）</w:t>
            </w:r>
          </w:p>
        </w:tc>
        <w:tc>
          <w:tcPr>
            <w:tcW w:w="2126" w:type="dxa"/>
            <w:vAlign w:val="center"/>
          </w:tcPr>
          <w:p w14:paraId="78861F6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492544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无手印、尘灰、污迹、洁净光亮</w:t>
            </w:r>
          </w:p>
        </w:tc>
        <w:tc>
          <w:tcPr>
            <w:tcW w:w="1478" w:type="dxa"/>
            <w:vAlign w:val="center"/>
          </w:tcPr>
          <w:p w14:paraId="5A0C9F0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301EA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2E067B1">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69836E3">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1F675B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玻璃门（刮洗、擦拭）</w:t>
            </w:r>
          </w:p>
        </w:tc>
        <w:tc>
          <w:tcPr>
            <w:tcW w:w="2126" w:type="dxa"/>
            <w:vAlign w:val="center"/>
          </w:tcPr>
          <w:p w14:paraId="184CBEA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B43215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无手印、尘灰、污迹、洁净光亮</w:t>
            </w:r>
          </w:p>
        </w:tc>
        <w:tc>
          <w:tcPr>
            <w:tcW w:w="1478" w:type="dxa"/>
            <w:vAlign w:val="center"/>
          </w:tcPr>
          <w:p w14:paraId="779BBFA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26B8D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2553F32">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25AD86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13B5AF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踢脚线（擦拭）</w:t>
            </w:r>
          </w:p>
        </w:tc>
        <w:tc>
          <w:tcPr>
            <w:tcW w:w="2126" w:type="dxa"/>
            <w:vAlign w:val="center"/>
          </w:tcPr>
          <w:p w14:paraId="149A67E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53426F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无积尘</w:t>
            </w:r>
          </w:p>
        </w:tc>
        <w:tc>
          <w:tcPr>
            <w:tcW w:w="1478" w:type="dxa"/>
            <w:vAlign w:val="center"/>
          </w:tcPr>
          <w:p w14:paraId="28B948B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47C6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315AAEB">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4A654C0">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585586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照明灯具</w:t>
            </w:r>
          </w:p>
        </w:tc>
        <w:tc>
          <w:tcPr>
            <w:tcW w:w="2126" w:type="dxa"/>
            <w:vAlign w:val="center"/>
          </w:tcPr>
          <w:p w14:paraId="1379F77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1次/季</w:t>
            </w:r>
          </w:p>
        </w:tc>
        <w:tc>
          <w:tcPr>
            <w:tcW w:w="2126" w:type="dxa"/>
            <w:vAlign w:val="center"/>
          </w:tcPr>
          <w:p w14:paraId="273C1CE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2F21501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1508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083CA12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1296B9C">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B1A553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空调出风口（清洁剂擦拭）</w:t>
            </w:r>
          </w:p>
        </w:tc>
        <w:tc>
          <w:tcPr>
            <w:tcW w:w="2126" w:type="dxa"/>
            <w:vAlign w:val="center"/>
          </w:tcPr>
          <w:p w14:paraId="71CD812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1次/季</w:t>
            </w:r>
          </w:p>
        </w:tc>
        <w:tc>
          <w:tcPr>
            <w:tcW w:w="2126" w:type="dxa"/>
            <w:vAlign w:val="center"/>
          </w:tcPr>
          <w:p w14:paraId="61D9873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58AF4CA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5336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36CC8A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549319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DA64A1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消防栓等消防设备（擦拭）</w:t>
            </w:r>
          </w:p>
        </w:tc>
        <w:tc>
          <w:tcPr>
            <w:tcW w:w="2126" w:type="dxa"/>
            <w:vAlign w:val="center"/>
          </w:tcPr>
          <w:p w14:paraId="4953FF2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3E97006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34F3C9D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29C6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jc w:val="center"/>
        </w:trPr>
        <w:tc>
          <w:tcPr>
            <w:tcW w:w="542" w:type="dxa"/>
            <w:vMerge w:val="continue"/>
            <w:vAlign w:val="center"/>
          </w:tcPr>
          <w:p w14:paraId="5ED362F6">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61EDE11">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4A4AA0D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防尘地垫（冲洗）</w:t>
            </w:r>
          </w:p>
        </w:tc>
        <w:tc>
          <w:tcPr>
            <w:tcW w:w="2126" w:type="dxa"/>
            <w:vAlign w:val="center"/>
          </w:tcPr>
          <w:p w14:paraId="3024481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7C7896A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无油污渍</w:t>
            </w:r>
          </w:p>
        </w:tc>
        <w:tc>
          <w:tcPr>
            <w:tcW w:w="1478" w:type="dxa"/>
            <w:vAlign w:val="center"/>
          </w:tcPr>
          <w:p w14:paraId="182B7B6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67C27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64A1744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9603B57">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9597D8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大堂地面石材（清洗、镜面养护）</w:t>
            </w:r>
          </w:p>
        </w:tc>
        <w:tc>
          <w:tcPr>
            <w:tcW w:w="2126" w:type="dxa"/>
            <w:vAlign w:val="center"/>
          </w:tcPr>
          <w:p w14:paraId="28B5B55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4A10C67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洁净光亮</w:t>
            </w:r>
          </w:p>
        </w:tc>
        <w:tc>
          <w:tcPr>
            <w:tcW w:w="1478" w:type="dxa"/>
            <w:vAlign w:val="center"/>
          </w:tcPr>
          <w:p w14:paraId="147AD7D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58D4F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2FB1C78">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C1433B3">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584E14F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轿厢地毯（清洗）</w:t>
            </w:r>
          </w:p>
        </w:tc>
        <w:tc>
          <w:tcPr>
            <w:tcW w:w="2126" w:type="dxa"/>
            <w:vAlign w:val="center"/>
          </w:tcPr>
          <w:p w14:paraId="2B004AB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FDF2ED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无积灰、垃圾、污迹</w:t>
            </w:r>
          </w:p>
        </w:tc>
        <w:tc>
          <w:tcPr>
            <w:tcW w:w="1478" w:type="dxa"/>
            <w:vAlign w:val="center"/>
          </w:tcPr>
          <w:p w14:paraId="3D40B97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2C203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047D47A">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BFA55D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B6686D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轿厢墙面、门面、内呼按键（不锈钢光亮剂保养）</w:t>
            </w:r>
          </w:p>
        </w:tc>
        <w:tc>
          <w:tcPr>
            <w:tcW w:w="2126" w:type="dxa"/>
            <w:vAlign w:val="center"/>
          </w:tcPr>
          <w:p w14:paraId="0118965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7915700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无手印、污迹、洁净光亮</w:t>
            </w:r>
          </w:p>
        </w:tc>
        <w:tc>
          <w:tcPr>
            <w:tcW w:w="1478" w:type="dxa"/>
            <w:vAlign w:val="center"/>
          </w:tcPr>
          <w:p w14:paraId="3BD14B6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2EF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jc w:val="center"/>
        </w:trPr>
        <w:tc>
          <w:tcPr>
            <w:tcW w:w="542" w:type="dxa"/>
            <w:vMerge w:val="continue"/>
            <w:vAlign w:val="center"/>
          </w:tcPr>
          <w:p w14:paraId="185F9453">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5982BD7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EFC6D4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梯门槽、门框（吸尘、刷洗、擦拭）</w:t>
            </w:r>
          </w:p>
        </w:tc>
        <w:tc>
          <w:tcPr>
            <w:tcW w:w="2126" w:type="dxa"/>
            <w:vAlign w:val="center"/>
          </w:tcPr>
          <w:p w14:paraId="5CB3EE1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5EF56FF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5029694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5000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1E8F77A">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E8760A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10411B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顶部风口（擦拭）</w:t>
            </w:r>
          </w:p>
        </w:tc>
        <w:tc>
          <w:tcPr>
            <w:tcW w:w="2126" w:type="dxa"/>
            <w:vAlign w:val="center"/>
          </w:tcPr>
          <w:p w14:paraId="7B23F00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4B4FBD4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03FB025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597F3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restart"/>
            <w:textDirection w:val="tbRlV"/>
            <w:vAlign w:val="center"/>
          </w:tcPr>
          <w:p w14:paraId="68E30A76">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公共通道</w:t>
            </w:r>
          </w:p>
        </w:tc>
        <w:tc>
          <w:tcPr>
            <w:tcW w:w="388" w:type="dxa"/>
            <w:vMerge w:val="restart"/>
            <w:vAlign w:val="center"/>
          </w:tcPr>
          <w:p w14:paraId="291AD1E8">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日常清洁</w:t>
            </w:r>
          </w:p>
        </w:tc>
        <w:tc>
          <w:tcPr>
            <w:tcW w:w="2870" w:type="dxa"/>
            <w:vAlign w:val="center"/>
          </w:tcPr>
          <w:p w14:paraId="7DC6EBD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地面（牵尘或拖擦）</w:t>
            </w:r>
          </w:p>
        </w:tc>
        <w:tc>
          <w:tcPr>
            <w:tcW w:w="2126" w:type="dxa"/>
            <w:vAlign w:val="center"/>
          </w:tcPr>
          <w:p w14:paraId="5894A09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6BC672A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无垃圾、污迹、水迹、光亮</w:t>
            </w:r>
          </w:p>
        </w:tc>
        <w:tc>
          <w:tcPr>
            <w:tcW w:w="1478" w:type="dxa"/>
            <w:vAlign w:val="center"/>
          </w:tcPr>
          <w:p w14:paraId="002832D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4CB0A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C605C9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4276CDE">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4D25CE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电源开关、插座（擦拭）</w:t>
            </w:r>
          </w:p>
        </w:tc>
        <w:tc>
          <w:tcPr>
            <w:tcW w:w="2126" w:type="dxa"/>
            <w:vAlign w:val="center"/>
          </w:tcPr>
          <w:p w14:paraId="6EABF25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26F4852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7AABE11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753ED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0E16D2BA">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71FDB90">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0669C6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消防栓等消防设备（擦拭）</w:t>
            </w:r>
          </w:p>
        </w:tc>
        <w:tc>
          <w:tcPr>
            <w:tcW w:w="2126" w:type="dxa"/>
            <w:vAlign w:val="center"/>
          </w:tcPr>
          <w:p w14:paraId="50339C0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510F148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566BE50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66D2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63452BF1">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0E36E3C2">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57943AC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地面（清洗、石材地面镜面养护）</w:t>
            </w:r>
          </w:p>
        </w:tc>
        <w:tc>
          <w:tcPr>
            <w:tcW w:w="2126" w:type="dxa"/>
            <w:vAlign w:val="center"/>
          </w:tcPr>
          <w:p w14:paraId="7B3E0B2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7C78EA6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无积灰、污迹、水迹、光亮</w:t>
            </w:r>
          </w:p>
        </w:tc>
        <w:tc>
          <w:tcPr>
            <w:tcW w:w="1478" w:type="dxa"/>
            <w:vAlign w:val="center"/>
          </w:tcPr>
          <w:p w14:paraId="03B0066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7558D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A27D8E0">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F36F22A">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8984A6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墙面（清洁、擦拭）</w:t>
            </w:r>
          </w:p>
        </w:tc>
        <w:tc>
          <w:tcPr>
            <w:tcW w:w="2126" w:type="dxa"/>
            <w:vAlign w:val="center"/>
          </w:tcPr>
          <w:p w14:paraId="52B0524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3B9D593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无积灰、污迹、虫网</w:t>
            </w:r>
          </w:p>
        </w:tc>
        <w:tc>
          <w:tcPr>
            <w:tcW w:w="1478" w:type="dxa"/>
            <w:vAlign w:val="center"/>
          </w:tcPr>
          <w:p w14:paraId="5B2A0DB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0C0A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539482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B23D7F2">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28CA85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通道门面（擦拭）</w:t>
            </w:r>
          </w:p>
        </w:tc>
        <w:tc>
          <w:tcPr>
            <w:tcW w:w="2126" w:type="dxa"/>
            <w:vAlign w:val="center"/>
          </w:tcPr>
          <w:p w14:paraId="05DBE7F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39F15D7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849DB1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5564F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342F222">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5EE2B76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5BF55C7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踢脚线（擦拭）</w:t>
            </w:r>
          </w:p>
        </w:tc>
        <w:tc>
          <w:tcPr>
            <w:tcW w:w="2126" w:type="dxa"/>
            <w:vAlign w:val="center"/>
          </w:tcPr>
          <w:p w14:paraId="542465F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2A66DF3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362BAC4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160D7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F65DA53">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525268F">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3D1E64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通道门框（擦拭）</w:t>
            </w:r>
          </w:p>
        </w:tc>
        <w:tc>
          <w:tcPr>
            <w:tcW w:w="2126" w:type="dxa"/>
            <w:vAlign w:val="center"/>
          </w:tcPr>
          <w:p w14:paraId="62397BA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1B22DE2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48917B5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5B500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F2AF57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D5B3B2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769052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窗台（框、槽）、玻璃内侧（清洁剂清洁）</w:t>
            </w:r>
          </w:p>
        </w:tc>
        <w:tc>
          <w:tcPr>
            <w:tcW w:w="2126" w:type="dxa"/>
            <w:vAlign w:val="center"/>
          </w:tcPr>
          <w:p w14:paraId="0A88242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4C14C7F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无积灰、污迹、清洁光亮</w:t>
            </w:r>
          </w:p>
        </w:tc>
        <w:tc>
          <w:tcPr>
            <w:tcW w:w="1478" w:type="dxa"/>
            <w:vAlign w:val="center"/>
          </w:tcPr>
          <w:p w14:paraId="268F7FF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4ADD2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9619DEA">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EE6B831">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4A9CBA5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照明灯具</w:t>
            </w:r>
          </w:p>
        </w:tc>
        <w:tc>
          <w:tcPr>
            <w:tcW w:w="2126" w:type="dxa"/>
            <w:vAlign w:val="center"/>
          </w:tcPr>
          <w:p w14:paraId="234C4ED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1次/季</w:t>
            </w:r>
          </w:p>
        </w:tc>
        <w:tc>
          <w:tcPr>
            <w:tcW w:w="2126" w:type="dxa"/>
            <w:vAlign w:val="center"/>
          </w:tcPr>
          <w:p w14:paraId="180B5D4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2BFB0D5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04E55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1A9F47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21CB3E4">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343183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扶手</w:t>
            </w:r>
          </w:p>
        </w:tc>
        <w:tc>
          <w:tcPr>
            <w:tcW w:w="2126" w:type="dxa"/>
            <w:vAlign w:val="center"/>
          </w:tcPr>
          <w:p w14:paraId="11B3884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w:t>
            </w:r>
          </w:p>
        </w:tc>
        <w:tc>
          <w:tcPr>
            <w:tcW w:w="2126" w:type="dxa"/>
            <w:vAlign w:val="center"/>
          </w:tcPr>
          <w:p w14:paraId="4BAD19A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无积灰、垃圾杂物、污迹</w:t>
            </w:r>
          </w:p>
        </w:tc>
        <w:tc>
          <w:tcPr>
            <w:tcW w:w="1478" w:type="dxa"/>
            <w:vAlign w:val="center"/>
          </w:tcPr>
          <w:p w14:paraId="063570A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3160D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6E5B35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5363564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4588334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通道门（擦拭）</w:t>
            </w:r>
          </w:p>
        </w:tc>
        <w:tc>
          <w:tcPr>
            <w:tcW w:w="2126" w:type="dxa"/>
            <w:vAlign w:val="center"/>
          </w:tcPr>
          <w:p w14:paraId="22255DA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w:t>
            </w:r>
          </w:p>
        </w:tc>
        <w:tc>
          <w:tcPr>
            <w:tcW w:w="2126" w:type="dxa"/>
            <w:vAlign w:val="center"/>
          </w:tcPr>
          <w:p w14:paraId="56C99BC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23FD0DF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1F540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BECDAB5">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41D9250C">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06EF830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地面、梯级（拖擦）</w:t>
            </w:r>
          </w:p>
        </w:tc>
        <w:tc>
          <w:tcPr>
            <w:tcW w:w="2126" w:type="dxa"/>
            <w:vAlign w:val="center"/>
          </w:tcPr>
          <w:p w14:paraId="6348B86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2次/周</w:t>
            </w:r>
          </w:p>
        </w:tc>
        <w:tc>
          <w:tcPr>
            <w:tcW w:w="2126" w:type="dxa"/>
            <w:vAlign w:val="center"/>
          </w:tcPr>
          <w:p w14:paraId="3B77505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5CF1C55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1E7E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F0EE84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6378945">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E84025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栏杆</w:t>
            </w:r>
          </w:p>
        </w:tc>
        <w:tc>
          <w:tcPr>
            <w:tcW w:w="2126" w:type="dxa"/>
            <w:vAlign w:val="center"/>
          </w:tcPr>
          <w:p w14:paraId="764A46E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4E54EDF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61792A9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6220A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6A27A08">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B7D9B6D">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8E93AB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照明灯具</w:t>
            </w:r>
          </w:p>
        </w:tc>
        <w:tc>
          <w:tcPr>
            <w:tcW w:w="2126" w:type="dxa"/>
            <w:vAlign w:val="center"/>
          </w:tcPr>
          <w:p w14:paraId="0FFDCC8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1次/季</w:t>
            </w:r>
          </w:p>
        </w:tc>
        <w:tc>
          <w:tcPr>
            <w:tcW w:w="2126" w:type="dxa"/>
            <w:vAlign w:val="center"/>
          </w:tcPr>
          <w:p w14:paraId="05F51A0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7C722AE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4FB11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350F200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3C383C6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A8031F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墙面（清洁、擦拭）</w:t>
            </w:r>
          </w:p>
        </w:tc>
        <w:tc>
          <w:tcPr>
            <w:tcW w:w="2126" w:type="dxa"/>
            <w:vAlign w:val="center"/>
          </w:tcPr>
          <w:p w14:paraId="2603BE2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295F5DD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无积灰、污迹、虫网</w:t>
            </w:r>
          </w:p>
        </w:tc>
        <w:tc>
          <w:tcPr>
            <w:tcW w:w="1478" w:type="dxa"/>
            <w:vAlign w:val="center"/>
          </w:tcPr>
          <w:p w14:paraId="055E38D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22071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FC73E21">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50CBAC6">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308B3F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踢脚线（擦拭）</w:t>
            </w:r>
          </w:p>
        </w:tc>
        <w:tc>
          <w:tcPr>
            <w:tcW w:w="2126" w:type="dxa"/>
            <w:vAlign w:val="center"/>
          </w:tcPr>
          <w:p w14:paraId="1FE2DEE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2C6C0D6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0D0CB32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3504D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68C01919">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291630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D1D5546">
            <w:pPr>
              <w:widowControl/>
              <w:spacing w:line="400" w:lineRule="exact"/>
              <w:ind w:firstLine="420" w:firstLineChars="200"/>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窗台（框、槽）、玻璃内侧（清洁剂清洁）</w:t>
            </w:r>
          </w:p>
        </w:tc>
        <w:tc>
          <w:tcPr>
            <w:tcW w:w="2126" w:type="dxa"/>
            <w:vAlign w:val="center"/>
          </w:tcPr>
          <w:p w14:paraId="62066FE9">
            <w:pPr>
              <w:widowControl/>
              <w:spacing w:line="400" w:lineRule="exact"/>
              <w:ind w:firstLine="420" w:firstLineChars="200"/>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74EDA288">
            <w:pPr>
              <w:widowControl/>
              <w:spacing w:line="400" w:lineRule="exact"/>
              <w:ind w:firstLine="420" w:firstLineChars="200"/>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无积灰、污迹、清洁光亮</w:t>
            </w:r>
          </w:p>
        </w:tc>
        <w:tc>
          <w:tcPr>
            <w:tcW w:w="1478" w:type="dxa"/>
            <w:vAlign w:val="center"/>
          </w:tcPr>
          <w:p w14:paraId="6980399B">
            <w:pPr>
              <w:widowControl/>
              <w:spacing w:line="400" w:lineRule="exact"/>
              <w:ind w:firstLine="420" w:firstLineChars="200"/>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20310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E89BD70">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5B05C7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232F5E2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通道门（擦拭）</w:t>
            </w:r>
          </w:p>
        </w:tc>
        <w:tc>
          <w:tcPr>
            <w:tcW w:w="2126" w:type="dxa"/>
            <w:vAlign w:val="center"/>
          </w:tcPr>
          <w:p w14:paraId="64EC314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w:t>
            </w:r>
          </w:p>
        </w:tc>
        <w:tc>
          <w:tcPr>
            <w:tcW w:w="2126" w:type="dxa"/>
            <w:vAlign w:val="center"/>
          </w:tcPr>
          <w:p w14:paraId="7826261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41531B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24331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C6D0572">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4503ADD3">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26CC9D9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天台公共设施设备（擦拭）</w:t>
            </w:r>
          </w:p>
        </w:tc>
        <w:tc>
          <w:tcPr>
            <w:tcW w:w="2126" w:type="dxa"/>
            <w:vAlign w:val="center"/>
          </w:tcPr>
          <w:p w14:paraId="08E9B55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3AE5E28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BFC9FC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404D8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E23C861">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16617B3">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5840F6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地面、排水明沟（冲洗、去除下水口阻塞物）</w:t>
            </w:r>
          </w:p>
        </w:tc>
        <w:tc>
          <w:tcPr>
            <w:tcW w:w="2126" w:type="dxa"/>
            <w:vAlign w:val="center"/>
          </w:tcPr>
          <w:p w14:paraId="377696B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1EB89E2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无泥沙、垃圾杂物、通畅</w:t>
            </w:r>
          </w:p>
        </w:tc>
        <w:tc>
          <w:tcPr>
            <w:tcW w:w="1478" w:type="dxa"/>
            <w:vAlign w:val="center"/>
          </w:tcPr>
          <w:p w14:paraId="4991842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650CD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716297E4">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5FD15D1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03828B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围栏、扶手（清洁剂擦拭）</w:t>
            </w:r>
          </w:p>
        </w:tc>
        <w:tc>
          <w:tcPr>
            <w:tcW w:w="2126" w:type="dxa"/>
            <w:vAlign w:val="center"/>
          </w:tcPr>
          <w:p w14:paraId="7B130B53">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4939264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48E0745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目视、手摸</w:t>
            </w:r>
          </w:p>
        </w:tc>
      </w:tr>
      <w:tr w14:paraId="0C360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restart"/>
            <w:vAlign w:val="center"/>
          </w:tcPr>
          <w:p w14:paraId="79F67893">
            <w:pPr>
              <w:widowControl/>
              <w:spacing w:line="400" w:lineRule="exact"/>
              <w:contextualSpacing/>
              <w:rPr>
                <w:rFonts w:ascii="宋体" w:hAnsi="宋体" w:cs="宋体"/>
                <w:kern w:val="0"/>
                <w:szCs w:val="21"/>
                <w:highlight w:val="none"/>
                <w:lang w:val="zh-CN"/>
              </w:rPr>
            </w:pPr>
            <w:r>
              <w:rPr>
                <w:rFonts w:hint="eastAsia" w:ascii="宋体" w:hAnsi="宋体" w:cs="宋体"/>
                <w:kern w:val="0"/>
                <w:szCs w:val="21"/>
                <w:highlight w:val="none"/>
                <w:lang w:val="zh-CN"/>
              </w:rPr>
              <w:t>外围</w:t>
            </w:r>
          </w:p>
        </w:tc>
        <w:tc>
          <w:tcPr>
            <w:tcW w:w="388" w:type="dxa"/>
            <w:vMerge w:val="restart"/>
            <w:vAlign w:val="center"/>
          </w:tcPr>
          <w:p w14:paraId="13EB4757">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日常清洁</w:t>
            </w:r>
          </w:p>
        </w:tc>
        <w:tc>
          <w:tcPr>
            <w:tcW w:w="2870" w:type="dxa"/>
            <w:vAlign w:val="center"/>
          </w:tcPr>
          <w:p w14:paraId="6E81EB8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地面停车场</w:t>
            </w:r>
          </w:p>
        </w:tc>
        <w:tc>
          <w:tcPr>
            <w:tcW w:w="2126" w:type="dxa"/>
            <w:vAlign w:val="center"/>
          </w:tcPr>
          <w:p w14:paraId="3DF5876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5735F84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无白色垃圾、杂物、大量落叶</w:t>
            </w:r>
          </w:p>
        </w:tc>
        <w:tc>
          <w:tcPr>
            <w:tcW w:w="1478" w:type="dxa"/>
            <w:vAlign w:val="center"/>
          </w:tcPr>
          <w:p w14:paraId="7AB0524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147443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02CF702">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A85E338">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200FC7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绿化带（草坪）</w:t>
            </w:r>
          </w:p>
        </w:tc>
        <w:tc>
          <w:tcPr>
            <w:tcW w:w="2126" w:type="dxa"/>
            <w:vAlign w:val="center"/>
          </w:tcPr>
          <w:p w14:paraId="7740B69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w:t>
            </w:r>
          </w:p>
        </w:tc>
        <w:tc>
          <w:tcPr>
            <w:tcW w:w="2126" w:type="dxa"/>
            <w:vAlign w:val="center"/>
          </w:tcPr>
          <w:p w14:paraId="5226E023">
            <w:pPr>
              <w:widowControl/>
              <w:spacing w:line="400" w:lineRule="exact"/>
              <w:ind w:firstLine="420" w:firstLineChars="200"/>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无白色垃圾、杂物、大量落叶</w:t>
            </w:r>
          </w:p>
        </w:tc>
        <w:tc>
          <w:tcPr>
            <w:tcW w:w="1478" w:type="dxa"/>
            <w:vAlign w:val="center"/>
          </w:tcPr>
          <w:p w14:paraId="3F717EC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3E554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D7F439F">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0D18FAB7">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3C59927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营区广告牌（擦拭）</w:t>
            </w:r>
          </w:p>
        </w:tc>
        <w:tc>
          <w:tcPr>
            <w:tcW w:w="2126" w:type="dxa"/>
            <w:vAlign w:val="center"/>
          </w:tcPr>
          <w:p w14:paraId="2B393C4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3BE2EC4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1E53C8F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检查、手摸</w:t>
            </w:r>
          </w:p>
        </w:tc>
      </w:tr>
      <w:tr w14:paraId="43BB0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9336AC3">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9240E46">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49D01DA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水池（打捞漂浮物）</w:t>
            </w:r>
          </w:p>
        </w:tc>
        <w:tc>
          <w:tcPr>
            <w:tcW w:w="2126" w:type="dxa"/>
            <w:vAlign w:val="center"/>
          </w:tcPr>
          <w:p w14:paraId="421B7F3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2FE337D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5C50117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52C3B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01B5EDA7">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6F896765">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71DCD0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室外附着设施（擦拭）</w:t>
            </w:r>
          </w:p>
        </w:tc>
        <w:tc>
          <w:tcPr>
            <w:tcW w:w="2126" w:type="dxa"/>
            <w:vAlign w:val="center"/>
          </w:tcPr>
          <w:p w14:paraId="001D93B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4C99C71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w:t>
            </w:r>
          </w:p>
        </w:tc>
        <w:tc>
          <w:tcPr>
            <w:tcW w:w="1478" w:type="dxa"/>
            <w:vAlign w:val="center"/>
          </w:tcPr>
          <w:p w14:paraId="09E374CA">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检查、手摸</w:t>
            </w:r>
          </w:p>
        </w:tc>
      </w:tr>
      <w:tr w14:paraId="5DBD7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52FCF14F">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4EC99810">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1F9ACF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室外分类垃圾箱（擦拭、收理、套垃圾袋）</w:t>
            </w:r>
          </w:p>
        </w:tc>
        <w:tc>
          <w:tcPr>
            <w:tcW w:w="2126" w:type="dxa"/>
            <w:vAlign w:val="center"/>
          </w:tcPr>
          <w:p w14:paraId="0922078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1次/天，巡视清洁，保持干净</w:t>
            </w:r>
          </w:p>
        </w:tc>
        <w:tc>
          <w:tcPr>
            <w:tcW w:w="2126" w:type="dxa"/>
            <w:vAlign w:val="center"/>
          </w:tcPr>
          <w:p w14:paraId="3544A3ED">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无污迹、垃圾不超2/3、无异味</w:t>
            </w:r>
          </w:p>
        </w:tc>
        <w:tc>
          <w:tcPr>
            <w:tcW w:w="1478" w:type="dxa"/>
            <w:vAlign w:val="center"/>
          </w:tcPr>
          <w:p w14:paraId="70B3D3D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3DF44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BDB128C">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340DD6D1">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0D4D4E4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垃圾亭、桶冲洗</w:t>
            </w:r>
          </w:p>
        </w:tc>
        <w:tc>
          <w:tcPr>
            <w:tcW w:w="2126" w:type="dxa"/>
            <w:vAlign w:val="center"/>
          </w:tcPr>
          <w:p w14:paraId="5348FE7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1次/天</w:t>
            </w:r>
          </w:p>
        </w:tc>
        <w:tc>
          <w:tcPr>
            <w:tcW w:w="2126" w:type="dxa"/>
            <w:vAlign w:val="center"/>
          </w:tcPr>
          <w:p w14:paraId="684FA084">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无污迹、无异味</w:t>
            </w:r>
          </w:p>
        </w:tc>
        <w:tc>
          <w:tcPr>
            <w:tcW w:w="1478" w:type="dxa"/>
            <w:vAlign w:val="center"/>
          </w:tcPr>
          <w:p w14:paraId="239BADA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6D6A5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4D8C9FAE">
            <w:pPr>
              <w:widowControl/>
              <w:spacing w:line="400" w:lineRule="exact"/>
              <w:ind w:firstLine="420" w:firstLineChars="200"/>
              <w:contextualSpacing/>
              <w:rPr>
                <w:rFonts w:ascii="宋体" w:hAnsi="宋体" w:cs="宋体"/>
                <w:kern w:val="0"/>
                <w:szCs w:val="21"/>
                <w:highlight w:val="none"/>
                <w:lang w:val="zh-CN"/>
              </w:rPr>
            </w:pPr>
          </w:p>
        </w:tc>
        <w:tc>
          <w:tcPr>
            <w:tcW w:w="388" w:type="dxa"/>
            <w:vMerge w:val="restart"/>
            <w:vAlign w:val="center"/>
          </w:tcPr>
          <w:p w14:paraId="1F8933F1">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6425773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通道地面（清洁剂冲洗）</w:t>
            </w:r>
          </w:p>
        </w:tc>
        <w:tc>
          <w:tcPr>
            <w:tcW w:w="2126" w:type="dxa"/>
            <w:vAlign w:val="center"/>
          </w:tcPr>
          <w:p w14:paraId="715A164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5247D76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无泥沙、垃圾杂物、污迹</w:t>
            </w:r>
          </w:p>
        </w:tc>
        <w:tc>
          <w:tcPr>
            <w:tcW w:w="1478" w:type="dxa"/>
            <w:vAlign w:val="center"/>
          </w:tcPr>
          <w:p w14:paraId="503C781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59843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52BDAAB">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7A057200">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7B9CC2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排水明沟、窨井盖及周边（清洗）</w:t>
            </w:r>
          </w:p>
        </w:tc>
        <w:tc>
          <w:tcPr>
            <w:tcW w:w="2126" w:type="dxa"/>
            <w:vAlign w:val="center"/>
          </w:tcPr>
          <w:p w14:paraId="1CB6E5F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1次/月</w:t>
            </w:r>
          </w:p>
        </w:tc>
        <w:tc>
          <w:tcPr>
            <w:tcW w:w="2126" w:type="dxa"/>
            <w:vAlign w:val="center"/>
          </w:tcPr>
          <w:p w14:paraId="309907C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无泥沙、垃圾杂物、通畅</w:t>
            </w:r>
          </w:p>
        </w:tc>
        <w:tc>
          <w:tcPr>
            <w:tcW w:w="1478" w:type="dxa"/>
            <w:vAlign w:val="center"/>
          </w:tcPr>
          <w:p w14:paraId="7A4905E7">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w:t>
            </w:r>
          </w:p>
        </w:tc>
      </w:tr>
      <w:tr w14:paraId="759F0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19746E88">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11FB6C0E">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791E031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路灯、泛光照明等设施（擦拭）</w:t>
            </w:r>
          </w:p>
        </w:tc>
        <w:tc>
          <w:tcPr>
            <w:tcW w:w="2126" w:type="dxa"/>
            <w:vAlign w:val="center"/>
          </w:tcPr>
          <w:p w14:paraId="5872D1B6">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2次/月</w:t>
            </w:r>
          </w:p>
        </w:tc>
        <w:tc>
          <w:tcPr>
            <w:tcW w:w="2126" w:type="dxa"/>
            <w:vAlign w:val="center"/>
          </w:tcPr>
          <w:p w14:paraId="225F7D5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无积灰、污迹、虫网</w:t>
            </w:r>
          </w:p>
        </w:tc>
        <w:tc>
          <w:tcPr>
            <w:tcW w:w="1478" w:type="dxa"/>
            <w:vAlign w:val="center"/>
          </w:tcPr>
          <w:p w14:paraId="08FEB2C2">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检查、手摸</w:t>
            </w:r>
          </w:p>
        </w:tc>
      </w:tr>
      <w:tr w14:paraId="6942C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05348585">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3CD5C99">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188B66F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雨蓬（清洁剂清洗）</w:t>
            </w:r>
          </w:p>
        </w:tc>
        <w:tc>
          <w:tcPr>
            <w:tcW w:w="2126" w:type="dxa"/>
            <w:vAlign w:val="center"/>
          </w:tcPr>
          <w:p w14:paraId="2ADDF93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67E912A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无积灰泥沙、污迹、</w:t>
            </w:r>
          </w:p>
        </w:tc>
        <w:tc>
          <w:tcPr>
            <w:tcW w:w="1478" w:type="dxa"/>
            <w:vAlign w:val="center"/>
          </w:tcPr>
          <w:p w14:paraId="71C6CECB">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6C01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Merge w:val="continue"/>
            <w:vAlign w:val="center"/>
          </w:tcPr>
          <w:p w14:paraId="29686BCD">
            <w:pPr>
              <w:widowControl/>
              <w:spacing w:line="400" w:lineRule="exact"/>
              <w:ind w:firstLine="420" w:firstLineChars="200"/>
              <w:contextualSpacing/>
              <w:rPr>
                <w:rFonts w:ascii="宋体" w:hAnsi="宋体" w:cs="宋体"/>
                <w:kern w:val="0"/>
                <w:szCs w:val="21"/>
                <w:highlight w:val="none"/>
                <w:lang w:val="zh-CN"/>
              </w:rPr>
            </w:pPr>
          </w:p>
        </w:tc>
        <w:tc>
          <w:tcPr>
            <w:tcW w:w="388" w:type="dxa"/>
            <w:vMerge w:val="continue"/>
            <w:vAlign w:val="center"/>
          </w:tcPr>
          <w:p w14:paraId="2DE3C864">
            <w:pPr>
              <w:widowControl/>
              <w:spacing w:line="400" w:lineRule="exact"/>
              <w:ind w:firstLine="420" w:firstLineChars="200"/>
              <w:contextualSpacing/>
              <w:rPr>
                <w:rFonts w:ascii="宋体" w:hAnsi="宋体" w:cs="宋体"/>
                <w:kern w:val="0"/>
                <w:szCs w:val="21"/>
                <w:highlight w:val="none"/>
                <w:lang w:val="zh-CN"/>
              </w:rPr>
            </w:pPr>
          </w:p>
        </w:tc>
        <w:tc>
          <w:tcPr>
            <w:tcW w:w="2870" w:type="dxa"/>
            <w:vAlign w:val="center"/>
          </w:tcPr>
          <w:p w14:paraId="615DEBEE">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垃圾亭（消毒）</w:t>
            </w:r>
          </w:p>
        </w:tc>
        <w:tc>
          <w:tcPr>
            <w:tcW w:w="2126" w:type="dxa"/>
            <w:vAlign w:val="center"/>
          </w:tcPr>
          <w:p w14:paraId="30F2BA10">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1次/周</w:t>
            </w:r>
          </w:p>
        </w:tc>
        <w:tc>
          <w:tcPr>
            <w:tcW w:w="2126" w:type="dxa"/>
            <w:vAlign w:val="center"/>
          </w:tcPr>
          <w:p w14:paraId="0871D94F">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无积尘、污迹</w:t>
            </w:r>
          </w:p>
        </w:tc>
        <w:tc>
          <w:tcPr>
            <w:tcW w:w="1478" w:type="dxa"/>
            <w:vAlign w:val="center"/>
          </w:tcPr>
          <w:p w14:paraId="6AE85971">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r w14:paraId="201B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42" w:type="dxa"/>
            <w:vAlign w:val="center"/>
          </w:tcPr>
          <w:p w14:paraId="42AD1C5D">
            <w:pPr>
              <w:widowControl/>
              <w:spacing w:line="400" w:lineRule="exact"/>
              <w:contextualSpacing/>
              <w:rPr>
                <w:rFonts w:ascii="宋体" w:hAnsi="宋体" w:cs="宋体"/>
                <w:kern w:val="0"/>
                <w:szCs w:val="21"/>
                <w:highlight w:val="none"/>
                <w:lang w:val="zh-CN"/>
              </w:rPr>
            </w:pPr>
            <w:r>
              <w:rPr>
                <w:rFonts w:hint="eastAsia" w:ascii="宋体" w:hAnsi="宋体" w:cs="宋体"/>
                <w:kern w:val="0"/>
                <w:szCs w:val="21"/>
                <w:highlight w:val="none"/>
                <w:lang w:val="zh-CN"/>
              </w:rPr>
              <w:t>其他</w:t>
            </w:r>
          </w:p>
        </w:tc>
        <w:tc>
          <w:tcPr>
            <w:tcW w:w="388" w:type="dxa"/>
            <w:vAlign w:val="center"/>
          </w:tcPr>
          <w:p w14:paraId="1763BA5F">
            <w:pPr>
              <w:widowControl/>
              <w:spacing w:line="400" w:lineRule="exact"/>
              <w:ind w:firstLine="420" w:firstLineChars="200"/>
              <w:contextualSpacing/>
              <w:rPr>
                <w:rFonts w:ascii="宋体" w:hAnsi="宋体" w:cs="宋体"/>
                <w:kern w:val="0"/>
                <w:szCs w:val="21"/>
                <w:highlight w:val="none"/>
                <w:lang w:val="zh-CN"/>
              </w:rPr>
            </w:pPr>
            <w:r>
              <w:rPr>
                <w:rFonts w:hint="eastAsia" w:ascii="宋体" w:hAnsi="宋体" w:cs="宋体"/>
                <w:kern w:val="0"/>
                <w:szCs w:val="21"/>
                <w:highlight w:val="none"/>
                <w:lang w:val="zh-CN"/>
              </w:rPr>
              <w:t>定期清洁</w:t>
            </w:r>
          </w:p>
        </w:tc>
        <w:tc>
          <w:tcPr>
            <w:tcW w:w="2870" w:type="dxa"/>
            <w:vAlign w:val="center"/>
          </w:tcPr>
          <w:p w14:paraId="2B230585">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采购人指定的领导办公室</w:t>
            </w:r>
          </w:p>
        </w:tc>
        <w:tc>
          <w:tcPr>
            <w:tcW w:w="2126" w:type="dxa"/>
            <w:vAlign w:val="center"/>
          </w:tcPr>
          <w:p w14:paraId="7CBD0498">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按采购人要求清洗</w:t>
            </w:r>
          </w:p>
        </w:tc>
        <w:tc>
          <w:tcPr>
            <w:tcW w:w="2126" w:type="dxa"/>
            <w:vAlign w:val="center"/>
          </w:tcPr>
          <w:p w14:paraId="32AC2E8C">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无明显污迹</w:t>
            </w:r>
          </w:p>
        </w:tc>
        <w:tc>
          <w:tcPr>
            <w:tcW w:w="1478" w:type="dxa"/>
            <w:vAlign w:val="center"/>
          </w:tcPr>
          <w:p w14:paraId="349C1A69">
            <w:pPr>
              <w:widowControl/>
              <w:spacing w:line="400" w:lineRule="exact"/>
              <w:contextualSpacing/>
              <w:jc w:val="center"/>
              <w:rPr>
                <w:rFonts w:ascii="宋体" w:hAnsi="宋体" w:cs="宋体"/>
                <w:kern w:val="0"/>
                <w:szCs w:val="21"/>
                <w:highlight w:val="none"/>
                <w:lang w:val="zh-CN"/>
              </w:rPr>
            </w:pPr>
            <w:r>
              <w:rPr>
                <w:rFonts w:hint="eastAsia" w:ascii="宋体" w:hAnsi="宋体" w:cs="宋体"/>
                <w:kern w:val="0"/>
                <w:szCs w:val="21"/>
                <w:highlight w:val="none"/>
                <w:lang w:val="zh-CN"/>
              </w:rPr>
              <w:t>目视</w:t>
            </w:r>
          </w:p>
        </w:tc>
      </w:tr>
    </w:tbl>
    <w:p w14:paraId="3DD5D9E6">
      <w:pPr>
        <w:widowControl/>
        <w:spacing w:line="360" w:lineRule="auto"/>
        <w:contextualSpacing/>
        <w:rPr>
          <w:rFonts w:ascii="宋体" w:hAnsi="宋体" w:cs="宋体"/>
          <w:kern w:val="0"/>
          <w:sz w:val="24"/>
          <w:highlight w:val="none"/>
          <w:lang w:val="zh-CN"/>
        </w:rPr>
      </w:pPr>
      <w:r>
        <w:rPr>
          <w:rFonts w:hint="eastAsia" w:ascii="宋体" w:hAnsi="宋体" w:cs="宋体"/>
          <w:kern w:val="0"/>
          <w:sz w:val="24"/>
          <w:highlight w:val="none"/>
          <w:lang w:val="zh-CN"/>
        </w:rPr>
        <w:t>附件</w:t>
      </w:r>
      <w:r>
        <w:rPr>
          <w:rFonts w:hint="eastAsia" w:ascii="宋体" w:hAnsi="宋体" w:cs="宋体"/>
          <w:kern w:val="0"/>
          <w:sz w:val="24"/>
          <w:highlight w:val="none"/>
        </w:rPr>
        <w:t>3：考核办法</w:t>
      </w:r>
    </w:p>
    <w:tbl>
      <w:tblPr>
        <w:tblStyle w:val="48"/>
        <w:tblW w:w="5596" w:type="pct"/>
        <w:tblInd w:w="-491" w:type="dxa"/>
        <w:tblLayout w:type="autofit"/>
        <w:tblCellMar>
          <w:top w:w="0" w:type="dxa"/>
          <w:left w:w="108" w:type="dxa"/>
          <w:bottom w:w="0" w:type="dxa"/>
          <w:right w:w="108" w:type="dxa"/>
        </w:tblCellMar>
      </w:tblPr>
      <w:tblGrid>
        <w:gridCol w:w="1117"/>
        <w:gridCol w:w="992"/>
        <w:gridCol w:w="3594"/>
        <w:gridCol w:w="2198"/>
        <w:gridCol w:w="855"/>
        <w:gridCol w:w="782"/>
      </w:tblGrid>
      <w:tr w14:paraId="781F20B4">
        <w:tblPrEx>
          <w:tblCellMar>
            <w:top w:w="0" w:type="dxa"/>
            <w:left w:w="108" w:type="dxa"/>
            <w:bottom w:w="0" w:type="dxa"/>
            <w:right w:w="108" w:type="dxa"/>
          </w:tblCellMar>
        </w:tblPrEx>
        <w:trPr>
          <w:trHeight w:val="590" w:hRule="atLeast"/>
        </w:trPr>
        <w:tc>
          <w:tcPr>
            <w:tcW w:w="5000" w:type="pct"/>
            <w:gridSpan w:val="6"/>
            <w:tcBorders>
              <w:top w:val="single" w:color="000000" w:sz="4" w:space="0"/>
              <w:left w:val="single" w:color="000000" w:sz="4" w:space="0"/>
              <w:bottom w:val="single" w:color="000000" w:sz="4" w:space="0"/>
              <w:right w:val="single" w:color="000000" w:sz="4" w:space="0"/>
            </w:tcBorders>
            <w:noWrap/>
            <w:vAlign w:val="center"/>
          </w:tcPr>
          <w:p w14:paraId="5FC03216">
            <w:pPr>
              <w:widowControl/>
              <w:spacing w:line="400" w:lineRule="exact"/>
              <w:jc w:val="center"/>
              <w:textAlignment w:val="center"/>
              <w:rPr>
                <w:rFonts w:ascii="宋体" w:hAnsi="宋体" w:cs="宋体"/>
                <w:sz w:val="36"/>
                <w:szCs w:val="36"/>
                <w:highlight w:val="none"/>
              </w:rPr>
            </w:pPr>
            <w:r>
              <w:rPr>
                <w:rFonts w:hint="eastAsia" w:ascii="宋体" w:hAnsi="宋体" w:cs="宋体"/>
                <w:kern w:val="0"/>
                <w:sz w:val="36"/>
                <w:szCs w:val="36"/>
                <w:highlight w:val="none"/>
              </w:rPr>
              <w:t>物业考核评分标准</w:t>
            </w:r>
          </w:p>
        </w:tc>
      </w:tr>
      <w:tr w14:paraId="11D18579">
        <w:tblPrEx>
          <w:tblCellMar>
            <w:top w:w="0" w:type="dxa"/>
            <w:left w:w="108" w:type="dxa"/>
            <w:bottom w:w="0" w:type="dxa"/>
            <w:right w:w="108" w:type="dxa"/>
          </w:tblCellMar>
        </w:tblPrEx>
        <w:trPr>
          <w:trHeight w:val="660" w:hRule="atLeast"/>
        </w:trPr>
        <w:tc>
          <w:tcPr>
            <w:tcW w:w="586" w:type="pct"/>
            <w:tcBorders>
              <w:top w:val="single" w:color="000000" w:sz="4" w:space="0"/>
              <w:left w:val="single" w:color="000000" w:sz="4" w:space="0"/>
              <w:bottom w:val="single" w:color="000000" w:sz="4" w:space="0"/>
              <w:right w:val="single" w:color="000000" w:sz="4" w:space="0"/>
            </w:tcBorders>
            <w:noWrap/>
            <w:vAlign w:val="center"/>
          </w:tcPr>
          <w:p w14:paraId="7EF57F0A">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项目</w:t>
            </w:r>
          </w:p>
        </w:tc>
        <w:tc>
          <w:tcPr>
            <w:tcW w:w="2404" w:type="pct"/>
            <w:gridSpan w:val="2"/>
            <w:tcBorders>
              <w:top w:val="single" w:color="000000" w:sz="4" w:space="0"/>
              <w:left w:val="single" w:color="000000" w:sz="4" w:space="0"/>
              <w:bottom w:val="single" w:color="000000" w:sz="4" w:space="0"/>
              <w:right w:val="single" w:color="000000" w:sz="4" w:space="0"/>
            </w:tcBorders>
            <w:noWrap/>
            <w:vAlign w:val="center"/>
          </w:tcPr>
          <w:p w14:paraId="3EB64E9A">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检查具体内容</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617B5628">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评分标准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E6D5A9E">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分值</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6EC52381">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得分</w:t>
            </w:r>
          </w:p>
        </w:tc>
      </w:tr>
      <w:tr w14:paraId="5B88A5ED">
        <w:tblPrEx>
          <w:tblCellMar>
            <w:top w:w="0" w:type="dxa"/>
            <w:left w:w="108" w:type="dxa"/>
            <w:bottom w:w="0" w:type="dxa"/>
            <w:right w:w="108" w:type="dxa"/>
          </w:tblCellMar>
        </w:tblPrEx>
        <w:trPr>
          <w:trHeight w:val="1260" w:hRule="atLeast"/>
        </w:trPr>
        <w:tc>
          <w:tcPr>
            <w:tcW w:w="586" w:type="pct"/>
            <w:vMerge w:val="restart"/>
            <w:tcBorders>
              <w:top w:val="single" w:color="000000" w:sz="4" w:space="0"/>
              <w:left w:val="single" w:color="000000" w:sz="4" w:space="0"/>
              <w:bottom w:val="single" w:color="000000" w:sz="4" w:space="0"/>
              <w:right w:val="single" w:color="000000" w:sz="4" w:space="0"/>
            </w:tcBorders>
            <w:vAlign w:val="center"/>
          </w:tcPr>
          <w:p w14:paraId="5DB393B5">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伙食质量（20分）</w:t>
            </w:r>
          </w:p>
        </w:tc>
        <w:tc>
          <w:tcPr>
            <w:tcW w:w="520" w:type="pct"/>
            <w:tcBorders>
              <w:top w:val="single" w:color="000000" w:sz="4" w:space="0"/>
              <w:left w:val="single" w:color="000000" w:sz="4" w:space="0"/>
              <w:bottom w:val="nil"/>
              <w:right w:val="single" w:color="000000" w:sz="4" w:space="0"/>
            </w:tcBorders>
            <w:vAlign w:val="center"/>
          </w:tcPr>
          <w:p w14:paraId="65E8596D">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饭菜</w:t>
            </w:r>
          </w:p>
        </w:tc>
        <w:tc>
          <w:tcPr>
            <w:tcW w:w="1884" w:type="pct"/>
            <w:tcBorders>
              <w:top w:val="single" w:color="000000" w:sz="4" w:space="0"/>
              <w:left w:val="single" w:color="000000" w:sz="4" w:space="0"/>
              <w:bottom w:val="single" w:color="000000" w:sz="4" w:space="0"/>
              <w:right w:val="single" w:color="000000" w:sz="4" w:space="0"/>
            </w:tcBorders>
            <w:vAlign w:val="center"/>
          </w:tcPr>
          <w:p w14:paraId="57C9CD0B">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1、饭菜不热或口感较差现象；             2、饭菜内发现异物、杂物；                 3、供应隔夜饭菜；                      4、早餐、中餐、晚餐需做到准时开餐、质量保证；                    </w:t>
            </w:r>
          </w:p>
        </w:tc>
        <w:tc>
          <w:tcPr>
            <w:tcW w:w="1152" w:type="pct"/>
            <w:tcBorders>
              <w:top w:val="single" w:color="000000" w:sz="4" w:space="0"/>
              <w:left w:val="single" w:color="000000" w:sz="4" w:space="0"/>
              <w:bottom w:val="single" w:color="000000" w:sz="4" w:space="0"/>
              <w:right w:val="single" w:color="000000" w:sz="4" w:space="0"/>
            </w:tcBorders>
            <w:vAlign w:val="center"/>
          </w:tcPr>
          <w:p w14:paraId="67373DD5">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发现一次或有人举报（经核实后）扣两分</w:t>
            </w:r>
          </w:p>
        </w:tc>
        <w:tc>
          <w:tcPr>
            <w:tcW w:w="448" w:type="pct"/>
            <w:tcBorders>
              <w:top w:val="single" w:color="000000" w:sz="4" w:space="0"/>
              <w:left w:val="single" w:color="000000" w:sz="4" w:space="0"/>
              <w:bottom w:val="nil"/>
              <w:right w:val="single" w:color="000000" w:sz="4" w:space="0"/>
            </w:tcBorders>
            <w:noWrap/>
            <w:vAlign w:val="center"/>
          </w:tcPr>
          <w:p w14:paraId="585AF281">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10</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2B605C2B">
            <w:pPr>
              <w:spacing w:line="400" w:lineRule="exact"/>
              <w:jc w:val="center"/>
              <w:rPr>
                <w:rFonts w:ascii="宋体" w:hAnsi="宋体" w:cs="宋体"/>
                <w:sz w:val="22"/>
                <w:szCs w:val="22"/>
                <w:highlight w:val="none"/>
              </w:rPr>
            </w:pPr>
          </w:p>
        </w:tc>
      </w:tr>
      <w:tr w14:paraId="0BAFD03A">
        <w:tblPrEx>
          <w:tblCellMar>
            <w:top w:w="0" w:type="dxa"/>
            <w:left w:w="108" w:type="dxa"/>
            <w:bottom w:w="0" w:type="dxa"/>
            <w:right w:w="108" w:type="dxa"/>
          </w:tblCellMar>
        </w:tblPrEx>
        <w:trPr>
          <w:trHeight w:val="450"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37239AA3">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06FFD04F">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菜谱</w:t>
            </w:r>
          </w:p>
        </w:tc>
        <w:tc>
          <w:tcPr>
            <w:tcW w:w="1884" w:type="pct"/>
            <w:tcBorders>
              <w:top w:val="single" w:color="000000" w:sz="4" w:space="0"/>
              <w:left w:val="single" w:color="000000" w:sz="4" w:space="0"/>
              <w:bottom w:val="single" w:color="000000" w:sz="4" w:space="0"/>
              <w:right w:val="single" w:color="000000" w:sz="4" w:space="0"/>
            </w:tcBorders>
            <w:noWrap/>
            <w:vAlign w:val="center"/>
          </w:tcPr>
          <w:p w14:paraId="4041ED51">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4、实际饭菜是否与菜谱吻合</w:t>
            </w:r>
          </w:p>
        </w:tc>
        <w:tc>
          <w:tcPr>
            <w:tcW w:w="1152" w:type="pct"/>
            <w:tcBorders>
              <w:top w:val="nil"/>
              <w:left w:val="single" w:color="000000" w:sz="4" w:space="0"/>
              <w:bottom w:val="single" w:color="000000" w:sz="4" w:space="0"/>
              <w:right w:val="single" w:color="000000" w:sz="4" w:space="0"/>
            </w:tcBorders>
            <w:vAlign w:val="center"/>
          </w:tcPr>
          <w:p w14:paraId="20C2AE7A">
            <w:pPr>
              <w:spacing w:line="400" w:lineRule="exact"/>
              <w:jc w:val="center"/>
              <w:rPr>
                <w:rFonts w:ascii="宋体" w:hAnsi="宋体" w:cs="宋体"/>
                <w:sz w:val="22"/>
                <w:szCs w:val="22"/>
                <w:highlight w:val="none"/>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267B7733">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10</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9B0046E">
            <w:pPr>
              <w:spacing w:line="400" w:lineRule="exact"/>
              <w:jc w:val="center"/>
              <w:rPr>
                <w:rFonts w:ascii="宋体" w:hAnsi="宋体" w:cs="宋体"/>
                <w:sz w:val="22"/>
                <w:szCs w:val="22"/>
                <w:highlight w:val="none"/>
              </w:rPr>
            </w:pPr>
          </w:p>
        </w:tc>
      </w:tr>
      <w:tr w14:paraId="44342048">
        <w:tblPrEx>
          <w:tblCellMar>
            <w:top w:w="0" w:type="dxa"/>
            <w:left w:w="108" w:type="dxa"/>
            <w:bottom w:w="0" w:type="dxa"/>
            <w:right w:w="108" w:type="dxa"/>
          </w:tblCellMar>
        </w:tblPrEx>
        <w:trPr>
          <w:trHeight w:val="885" w:hRule="atLeast"/>
        </w:trPr>
        <w:tc>
          <w:tcPr>
            <w:tcW w:w="586" w:type="pct"/>
            <w:vMerge w:val="restart"/>
            <w:tcBorders>
              <w:top w:val="single" w:color="000000" w:sz="4" w:space="0"/>
              <w:left w:val="single" w:color="000000" w:sz="4" w:space="0"/>
              <w:bottom w:val="single" w:color="000000" w:sz="4" w:space="0"/>
              <w:right w:val="single" w:color="000000" w:sz="4" w:space="0"/>
            </w:tcBorders>
            <w:vAlign w:val="center"/>
          </w:tcPr>
          <w:p w14:paraId="44F3BC83">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服务质量（18分）</w:t>
            </w:r>
          </w:p>
        </w:tc>
        <w:tc>
          <w:tcPr>
            <w:tcW w:w="520" w:type="pct"/>
            <w:tcBorders>
              <w:top w:val="single" w:color="000000" w:sz="4" w:space="0"/>
              <w:left w:val="single" w:color="000000" w:sz="4" w:space="0"/>
              <w:bottom w:val="single" w:color="000000" w:sz="4" w:space="0"/>
              <w:right w:val="single" w:color="000000" w:sz="4" w:space="0"/>
            </w:tcBorders>
            <w:vAlign w:val="center"/>
          </w:tcPr>
          <w:p w14:paraId="2BA856E7">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仪表仪容</w:t>
            </w:r>
          </w:p>
        </w:tc>
        <w:tc>
          <w:tcPr>
            <w:tcW w:w="1884" w:type="pct"/>
            <w:tcBorders>
              <w:top w:val="single" w:color="000000" w:sz="4" w:space="0"/>
              <w:left w:val="single" w:color="000000" w:sz="4" w:space="0"/>
              <w:bottom w:val="single" w:color="000000" w:sz="4" w:space="0"/>
              <w:right w:val="single" w:color="000000" w:sz="4" w:space="0"/>
            </w:tcBorders>
            <w:vAlign w:val="center"/>
          </w:tcPr>
          <w:p w14:paraId="55A8D21C">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1、工作期间需着整洁干净的工作服；                 </w:t>
            </w:r>
          </w:p>
          <w:p w14:paraId="3C34470F">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 xml:space="preserve">2、工作人员必须保持整洁，和双手干净；                          3、工作区禁止吸烟；                 </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70A3AED5">
            <w:pPr>
              <w:spacing w:line="400" w:lineRule="exact"/>
              <w:jc w:val="center"/>
              <w:rPr>
                <w:rFonts w:ascii="宋体" w:hAnsi="宋体" w:cs="宋体"/>
                <w:sz w:val="22"/>
                <w:szCs w:val="22"/>
                <w:highlight w:val="none"/>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60B057DC">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12</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1332635F">
            <w:pPr>
              <w:spacing w:line="400" w:lineRule="exact"/>
              <w:jc w:val="center"/>
              <w:rPr>
                <w:rFonts w:ascii="宋体" w:hAnsi="宋体" w:cs="宋体"/>
                <w:sz w:val="22"/>
                <w:szCs w:val="22"/>
                <w:highlight w:val="none"/>
              </w:rPr>
            </w:pPr>
          </w:p>
        </w:tc>
      </w:tr>
      <w:tr w14:paraId="443E565B">
        <w:tblPrEx>
          <w:tblCellMar>
            <w:top w:w="0" w:type="dxa"/>
            <w:left w:w="108" w:type="dxa"/>
            <w:bottom w:w="0" w:type="dxa"/>
            <w:right w:w="108" w:type="dxa"/>
          </w:tblCellMar>
        </w:tblPrEx>
        <w:trPr>
          <w:trHeight w:val="645"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686A079E">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57181D8E">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服务</w:t>
            </w:r>
          </w:p>
        </w:tc>
        <w:tc>
          <w:tcPr>
            <w:tcW w:w="1884" w:type="pct"/>
            <w:tcBorders>
              <w:top w:val="single" w:color="000000" w:sz="4" w:space="0"/>
              <w:left w:val="single" w:color="000000" w:sz="4" w:space="0"/>
              <w:bottom w:val="single" w:color="000000" w:sz="4" w:space="0"/>
              <w:right w:val="single" w:color="000000" w:sz="4" w:space="0"/>
            </w:tcBorders>
            <w:vAlign w:val="center"/>
          </w:tcPr>
          <w:p w14:paraId="48048855">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1、服务人员要微笑、文明服务；           2、不得发生吵架、打骂不文明行为</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525A9C66">
            <w:pPr>
              <w:spacing w:line="400" w:lineRule="exact"/>
              <w:jc w:val="center"/>
              <w:rPr>
                <w:rFonts w:ascii="宋体" w:hAnsi="宋体" w:cs="宋体"/>
                <w:sz w:val="22"/>
                <w:szCs w:val="22"/>
                <w:highlight w:val="none"/>
              </w:rPr>
            </w:pP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48FD440F">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6</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38DA588">
            <w:pPr>
              <w:spacing w:line="400" w:lineRule="exact"/>
              <w:jc w:val="center"/>
              <w:rPr>
                <w:rFonts w:ascii="宋体" w:hAnsi="宋体" w:cs="宋体"/>
                <w:sz w:val="22"/>
                <w:szCs w:val="22"/>
                <w:highlight w:val="none"/>
              </w:rPr>
            </w:pPr>
          </w:p>
        </w:tc>
      </w:tr>
      <w:tr w14:paraId="0A55D8B0">
        <w:tblPrEx>
          <w:tblCellMar>
            <w:top w:w="0" w:type="dxa"/>
            <w:left w:w="108" w:type="dxa"/>
            <w:bottom w:w="0" w:type="dxa"/>
            <w:right w:w="108" w:type="dxa"/>
          </w:tblCellMar>
        </w:tblPrEx>
        <w:trPr>
          <w:trHeight w:val="1650" w:hRule="atLeast"/>
        </w:trPr>
        <w:tc>
          <w:tcPr>
            <w:tcW w:w="586" w:type="pct"/>
            <w:vMerge w:val="restart"/>
            <w:tcBorders>
              <w:top w:val="single" w:color="000000" w:sz="4" w:space="0"/>
              <w:left w:val="single" w:color="000000" w:sz="4" w:space="0"/>
              <w:bottom w:val="single" w:color="000000" w:sz="4" w:space="0"/>
              <w:right w:val="single" w:color="000000" w:sz="4" w:space="0"/>
            </w:tcBorders>
            <w:vAlign w:val="center"/>
          </w:tcPr>
          <w:p w14:paraId="005C27C1">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卫生标准（62分）</w:t>
            </w:r>
          </w:p>
        </w:tc>
        <w:tc>
          <w:tcPr>
            <w:tcW w:w="520" w:type="pct"/>
            <w:tcBorders>
              <w:top w:val="single" w:color="000000" w:sz="4" w:space="0"/>
              <w:left w:val="single" w:color="000000" w:sz="4" w:space="0"/>
              <w:bottom w:val="single" w:color="000000" w:sz="4" w:space="0"/>
              <w:right w:val="single" w:color="000000" w:sz="4" w:space="0"/>
            </w:tcBorders>
            <w:vAlign w:val="center"/>
          </w:tcPr>
          <w:p w14:paraId="5FAA20D4">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制作</w:t>
            </w:r>
          </w:p>
        </w:tc>
        <w:tc>
          <w:tcPr>
            <w:tcW w:w="1884" w:type="pct"/>
            <w:tcBorders>
              <w:top w:val="single" w:color="000000" w:sz="4" w:space="0"/>
              <w:left w:val="single" w:color="000000" w:sz="4" w:space="0"/>
              <w:bottom w:val="single" w:color="000000" w:sz="4" w:space="0"/>
              <w:right w:val="single" w:color="000000" w:sz="4" w:space="0"/>
            </w:tcBorders>
            <w:vAlign w:val="center"/>
          </w:tcPr>
          <w:p w14:paraId="57CFF749">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1、原料、半成品、成品的加工，存放及使用容器是否存在交叉污染并有明显的区分标志；                                 2、生熟食品分开；                      3、食品存放分类分架；                   4、无过期、变质食品原材料</w:t>
            </w:r>
          </w:p>
        </w:tc>
        <w:tc>
          <w:tcPr>
            <w:tcW w:w="1152" w:type="pct"/>
            <w:tcBorders>
              <w:top w:val="single" w:color="000000" w:sz="4" w:space="0"/>
              <w:left w:val="single" w:color="000000" w:sz="4" w:space="0"/>
              <w:bottom w:val="single" w:color="000000" w:sz="4" w:space="0"/>
              <w:right w:val="single" w:color="000000" w:sz="4" w:space="0"/>
            </w:tcBorders>
            <w:vAlign w:val="center"/>
          </w:tcPr>
          <w:p w14:paraId="2298E2E2">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存在交叉污染的或无明显区分标志的扣2分；生熟食品为分来、食品存放无分类的扣3分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8E9B54F">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10</w:t>
            </w:r>
          </w:p>
        </w:tc>
        <w:tc>
          <w:tcPr>
            <w:tcW w:w="408" w:type="pct"/>
            <w:tcBorders>
              <w:top w:val="single" w:color="000000" w:sz="4" w:space="0"/>
              <w:left w:val="nil"/>
              <w:bottom w:val="single" w:color="000000" w:sz="4" w:space="0"/>
              <w:right w:val="single" w:color="000000" w:sz="4" w:space="0"/>
            </w:tcBorders>
            <w:noWrap/>
            <w:vAlign w:val="center"/>
          </w:tcPr>
          <w:p w14:paraId="1C3E29E2">
            <w:pPr>
              <w:spacing w:line="400" w:lineRule="exact"/>
              <w:jc w:val="center"/>
              <w:rPr>
                <w:rFonts w:ascii="宋体" w:hAnsi="宋体" w:cs="宋体"/>
                <w:sz w:val="22"/>
                <w:szCs w:val="22"/>
                <w:highlight w:val="none"/>
              </w:rPr>
            </w:pPr>
          </w:p>
        </w:tc>
      </w:tr>
      <w:tr w14:paraId="6726B953">
        <w:tblPrEx>
          <w:tblCellMar>
            <w:top w:w="0" w:type="dxa"/>
            <w:left w:w="108" w:type="dxa"/>
            <w:bottom w:w="0" w:type="dxa"/>
            <w:right w:w="108" w:type="dxa"/>
          </w:tblCellMar>
        </w:tblPrEx>
        <w:trPr>
          <w:trHeight w:val="640"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314238F8">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3F20C9A6">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厨房、餐厅、库房</w:t>
            </w:r>
          </w:p>
        </w:tc>
        <w:tc>
          <w:tcPr>
            <w:tcW w:w="1884" w:type="pct"/>
            <w:tcBorders>
              <w:top w:val="single" w:color="000000" w:sz="4" w:space="0"/>
              <w:left w:val="single" w:color="000000" w:sz="4" w:space="0"/>
              <w:bottom w:val="single" w:color="000000" w:sz="4" w:space="0"/>
              <w:right w:val="single" w:color="000000" w:sz="4" w:space="0"/>
            </w:tcBorders>
            <w:vAlign w:val="center"/>
          </w:tcPr>
          <w:p w14:paraId="2D691A0E">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1、灯管、风扇、抽烟机、排风扇、墙壁、抽油烟机等干净，无油污、灰尘、蜘蛛网等；     </w:t>
            </w:r>
          </w:p>
          <w:p w14:paraId="16588E5C">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2、各种蒸饭、烧面等炉具整洁，里外干净光亮，饭盘无油渍、饭粒；                  </w:t>
            </w:r>
          </w:p>
          <w:p w14:paraId="0EFCD990">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3、工作间、餐厅、地面干净、无积水、无杂物；                                   4、货架经常擦拭，保持干净，各种刀具手套等摆放整齐，餐桌摆成一条线，干净整洁无污渍；；                                                    5、洗菜池，餐具、热食容器定期消毒并保持清洁，做到“一洗二净三冲四消毒。”；       </w:t>
            </w:r>
          </w:p>
          <w:p w14:paraId="065F1E59">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6、残余回收处干燥整洁无残渣；</w:t>
            </w:r>
          </w:p>
        </w:tc>
        <w:tc>
          <w:tcPr>
            <w:tcW w:w="1152" w:type="pct"/>
            <w:tcBorders>
              <w:top w:val="single" w:color="000000" w:sz="4" w:space="0"/>
              <w:left w:val="single" w:color="000000" w:sz="4" w:space="0"/>
              <w:bottom w:val="single" w:color="000000" w:sz="4" w:space="0"/>
              <w:right w:val="single" w:color="000000" w:sz="4" w:space="0"/>
            </w:tcBorders>
            <w:vAlign w:val="center"/>
          </w:tcPr>
          <w:p w14:paraId="53B9A383">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有一项不清洁扣1分，没消毒扣2分；不按食品安全工作制度规定执行扣2分；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9B5F0FD">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12</w:t>
            </w:r>
          </w:p>
        </w:tc>
        <w:tc>
          <w:tcPr>
            <w:tcW w:w="408" w:type="pct"/>
            <w:tcBorders>
              <w:top w:val="single" w:color="000000" w:sz="4" w:space="0"/>
              <w:left w:val="nil"/>
              <w:bottom w:val="single" w:color="000000" w:sz="4" w:space="0"/>
              <w:right w:val="single" w:color="000000" w:sz="4" w:space="0"/>
            </w:tcBorders>
            <w:noWrap/>
            <w:vAlign w:val="center"/>
          </w:tcPr>
          <w:p w14:paraId="4B008ADB">
            <w:pPr>
              <w:spacing w:line="400" w:lineRule="exact"/>
              <w:jc w:val="center"/>
              <w:rPr>
                <w:rFonts w:ascii="宋体" w:hAnsi="宋体" w:cs="宋体"/>
                <w:sz w:val="22"/>
                <w:szCs w:val="22"/>
                <w:highlight w:val="none"/>
              </w:rPr>
            </w:pPr>
          </w:p>
        </w:tc>
      </w:tr>
      <w:tr w14:paraId="40E17DF5">
        <w:tblPrEx>
          <w:tblCellMar>
            <w:top w:w="0" w:type="dxa"/>
            <w:left w:w="108" w:type="dxa"/>
            <w:bottom w:w="0" w:type="dxa"/>
            <w:right w:w="108" w:type="dxa"/>
          </w:tblCellMar>
        </w:tblPrEx>
        <w:trPr>
          <w:trHeight w:val="3150"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12EE6727">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464AD162">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办公楼及其附属设施室内区域及楼梯间</w:t>
            </w:r>
          </w:p>
        </w:tc>
        <w:tc>
          <w:tcPr>
            <w:tcW w:w="1884" w:type="pct"/>
            <w:tcBorders>
              <w:top w:val="single" w:color="000000" w:sz="4" w:space="0"/>
              <w:left w:val="single" w:color="000000" w:sz="4" w:space="0"/>
              <w:bottom w:val="single" w:color="000000" w:sz="4" w:space="0"/>
              <w:right w:val="single" w:color="000000" w:sz="4" w:space="0"/>
            </w:tcBorders>
            <w:vAlign w:val="center"/>
          </w:tcPr>
          <w:p w14:paraId="077510A8">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1、保洁区域内的环境卫生整洁干净，楼梯走廊无灰尘、无污迹；                         2、门窗、天花板应定期擦拭、除尘；        </w:t>
            </w:r>
          </w:p>
          <w:p w14:paraId="67F41D63">
            <w:pPr>
              <w:widowControl/>
              <w:spacing w:line="400" w:lineRule="exact"/>
              <w:jc w:val="left"/>
              <w:textAlignment w:val="center"/>
              <w:rPr>
                <w:rFonts w:ascii="宋体" w:hAnsi="宋体" w:cs="宋体"/>
                <w:kern w:val="0"/>
                <w:sz w:val="22"/>
                <w:szCs w:val="22"/>
                <w:highlight w:val="none"/>
              </w:rPr>
            </w:pPr>
            <w:r>
              <w:rPr>
                <w:rFonts w:hint="eastAsia" w:ascii="宋体" w:hAnsi="宋体" w:cs="宋体"/>
                <w:kern w:val="0"/>
                <w:sz w:val="22"/>
                <w:szCs w:val="22"/>
                <w:highlight w:val="none"/>
              </w:rPr>
              <w:t xml:space="preserve">3、厕所内门、天花板、门窗、挡板、四周墙裙无积灰、粪污渍、痰渍、蜘蛛网；           </w:t>
            </w:r>
          </w:p>
          <w:p w14:paraId="257E2CFA">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 xml:space="preserve">4、地面完好干净、无纸片、积水，达到采购方要求；                                 5、卫生间、茶水间地面清洁无异味，物品摆放有序，无垃圾、无污迹、无积水、无堆积杂物，洁具、台面、镜面等光洁无水迹，电器设施外观清洁；                             </w:t>
            </w:r>
          </w:p>
        </w:tc>
        <w:tc>
          <w:tcPr>
            <w:tcW w:w="1152" w:type="pct"/>
            <w:tcBorders>
              <w:top w:val="single" w:color="000000" w:sz="4" w:space="0"/>
              <w:left w:val="single" w:color="000000" w:sz="4" w:space="0"/>
              <w:bottom w:val="single" w:color="000000" w:sz="4" w:space="0"/>
              <w:right w:val="single" w:color="000000" w:sz="4" w:space="0"/>
            </w:tcBorders>
            <w:vAlign w:val="center"/>
          </w:tcPr>
          <w:p w14:paraId="709B4D2C">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每一处不达标扣1分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67562C6">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14</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53C0A7E7">
            <w:pPr>
              <w:spacing w:line="400" w:lineRule="exact"/>
              <w:jc w:val="center"/>
              <w:rPr>
                <w:rFonts w:ascii="宋体" w:hAnsi="宋体" w:cs="宋体"/>
                <w:sz w:val="22"/>
                <w:szCs w:val="22"/>
                <w:highlight w:val="none"/>
              </w:rPr>
            </w:pPr>
          </w:p>
        </w:tc>
      </w:tr>
      <w:tr w14:paraId="3944C535">
        <w:tblPrEx>
          <w:tblCellMar>
            <w:top w:w="0" w:type="dxa"/>
            <w:left w:w="108" w:type="dxa"/>
            <w:bottom w:w="0" w:type="dxa"/>
            <w:right w:w="108" w:type="dxa"/>
          </w:tblCellMar>
        </w:tblPrEx>
        <w:trPr>
          <w:trHeight w:val="1920"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6E6A36DF">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3D35B728">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家属楼外公共区域、营区、外墙、停车场地面</w:t>
            </w:r>
          </w:p>
        </w:tc>
        <w:tc>
          <w:tcPr>
            <w:tcW w:w="1884" w:type="pct"/>
            <w:tcBorders>
              <w:top w:val="single" w:color="000000" w:sz="4" w:space="0"/>
              <w:left w:val="single" w:color="000000" w:sz="4" w:space="0"/>
              <w:bottom w:val="single" w:color="000000" w:sz="4" w:space="0"/>
              <w:right w:val="single" w:color="000000" w:sz="4" w:space="0"/>
            </w:tcBorders>
            <w:vAlign w:val="center"/>
          </w:tcPr>
          <w:p w14:paraId="684784E6">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1、园区围墙内外所有室外场地、白色垃圾、自然掉落树枝树叶和其他杂物等要及时赶早清扫；                                    2、落叶高峰期每天清扫一次；              3、上下午各巡查一次，将临时丢弃的垃圾及时清理干净；</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468236B3">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每一处不达标扣1分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0389F129">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14</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7BA2C71D">
            <w:pPr>
              <w:spacing w:line="400" w:lineRule="exact"/>
              <w:jc w:val="center"/>
              <w:rPr>
                <w:rFonts w:ascii="宋体" w:hAnsi="宋体" w:cs="宋体"/>
                <w:sz w:val="22"/>
                <w:szCs w:val="22"/>
                <w:highlight w:val="none"/>
              </w:rPr>
            </w:pPr>
          </w:p>
        </w:tc>
      </w:tr>
      <w:tr w14:paraId="5E262765">
        <w:tblPrEx>
          <w:tblCellMar>
            <w:top w:w="0" w:type="dxa"/>
            <w:left w:w="108" w:type="dxa"/>
            <w:bottom w:w="0" w:type="dxa"/>
            <w:right w:w="108" w:type="dxa"/>
          </w:tblCellMar>
        </w:tblPrEx>
        <w:trPr>
          <w:trHeight w:val="1170" w:hRule="atLeast"/>
        </w:trPr>
        <w:tc>
          <w:tcPr>
            <w:tcW w:w="586" w:type="pct"/>
            <w:vMerge w:val="continue"/>
            <w:tcBorders>
              <w:top w:val="single" w:color="000000" w:sz="4" w:space="0"/>
              <w:left w:val="single" w:color="000000" w:sz="4" w:space="0"/>
              <w:bottom w:val="single" w:color="000000" w:sz="4" w:space="0"/>
              <w:right w:val="single" w:color="000000" w:sz="4" w:space="0"/>
            </w:tcBorders>
            <w:vAlign w:val="center"/>
          </w:tcPr>
          <w:p w14:paraId="1FA0F8D1">
            <w:pPr>
              <w:spacing w:line="400" w:lineRule="exact"/>
              <w:jc w:val="center"/>
              <w:rPr>
                <w:rFonts w:ascii="宋体" w:hAnsi="宋体" w:cs="宋体"/>
                <w:sz w:val="22"/>
                <w:szCs w:val="22"/>
                <w:highlight w:val="none"/>
              </w:rPr>
            </w:pPr>
          </w:p>
        </w:tc>
        <w:tc>
          <w:tcPr>
            <w:tcW w:w="520" w:type="pct"/>
            <w:tcBorders>
              <w:top w:val="single" w:color="000000" w:sz="4" w:space="0"/>
              <w:left w:val="single" w:color="000000" w:sz="4" w:space="0"/>
              <w:bottom w:val="single" w:color="000000" w:sz="4" w:space="0"/>
              <w:right w:val="single" w:color="000000" w:sz="4" w:space="0"/>
            </w:tcBorders>
            <w:vAlign w:val="center"/>
          </w:tcPr>
          <w:p w14:paraId="4C387F19">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垃圾分类</w:t>
            </w:r>
          </w:p>
        </w:tc>
        <w:tc>
          <w:tcPr>
            <w:tcW w:w="1884" w:type="pct"/>
            <w:tcBorders>
              <w:top w:val="single" w:color="000000" w:sz="4" w:space="0"/>
              <w:left w:val="single" w:color="000000" w:sz="4" w:space="0"/>
              <w:bottom w:val="single" w:color="000000" w:sz="4" w:space="0"/>
              <w:right w:val="single" w:color="000000" w:sz="4" w:space="0"/>
            </w:tcBorders>
            <w:vAlign w:val="center"/>
          </w:tcPr>
          <w:p w14:paraId="513FDA50">
            <w:pPr>
              <w:widowControl/>
              <w:spacing w:line="400" w:lineRule="exact"/>
              <w:jc w:val="left"/>
              <w:textAlignment w:val="center"/>
              <w:rPr>
                <w:rFonts w:ascii="宋体" w:hAnsi="宋体" w:cs="宋体"/>
                <w:sz w:val="22"/>
                <w:szCs w:val="22"/>
                <w:highlight w:val="none"/>
              </w:rPr>
            </w:pPr>
            <w:r>
              <w:rPr>
                <w:rFonts w:hint="eastAsia" w:ascii="宋体" w:hAnsi="宋体" w:cs="宋体"/>
                <w:kern w:val="0"/>
                <w:sz w:val="22"/>
                <w:szCs w:val="22"/>
                <w:highlight w:val="none"/>
              </w:rPr>
              <w:t>1、垃圾、废弃物按分类要求收集，日产日清，保持常年清洁；                          2、垃圾桶（房）外侧表面清洁、内侧无残留物，无异味；</w:t>
            </w:r>
          </w:p>
        </w:tc>
        <w:tc>
          <w:tcPr>
            <w:tcW w:w="1152" w:type="pct"/>
            <w:tcBorders>
              <w:top w:val="single" w:color="000000" w:sz="4" w:space="0"/>
              <w:left w:val="single" w:color="000000" w:sz="4" w:space="0"/>
              <w:bottom w:val="single" w:color="000000" w:sz="4" w:space="0"/>
              <w:right w:val="single" w:color="000000" w:sz="4" w:space="0"/>
            </w:tcBorders>
            <w:noWrap/>
            <w:vAlign w:val="center"/>
          </w:tcPr>
          <w:p w14:paraId="082A4106">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每一处不达标扣1分</w:t>
            </w:r>
          </w:p>
        </w:tc>
        <w:tc>
          <w:tcPr>
            <w:tcW w:w="448" w:type="pct"/>
            <w:tcBorders>
              <w:top w:val="single" w:color="000000" w:sz="4" w:space="0"/>
              <w:left w:val="single" w:color="000000" w:sz="4" w:space="0"/>
              <w:bottom w:val="single" w:color="000000" w:sz="4" w:space="0"/>
              <w:right w:val="single" w:color="000000" w:sz="4" w:space="0"/>
            </w:tcBorders>
            <w:noWrap/>
            <w:vAlign w:val="center"/>
          </w:tcPr>
          <w:p w14:paraId="7D1C061C">
            <w:pPr>
              <w:widowControl/>
              <w:spacing w:line="400" w:lineRule="exact"/>
              <w:jc w:val="center"/>
              <w:textAlignment w:val="center"/>
              <w:rPr>
                <w:rFonts w:ascii="宋体" w:hAnsi="宋体" w:cs="宋体"/>
                <w:sz w:val="22"/>
                <w:szCs w:val="22"/>
                <w:highlight w:val="none"/>
              </w:rPr>
            </w:pPr>
            <w:r>
              <w:rPr>
                <w:rFonts w:hint="eastAsia" w:ascii="宋体" w:hAnsi="宋体" w:cs="宋体"/>
                <w:kern w:val="0"/>
                <w:sz w:val="22"/>
                <w:szCs w:val="22"/>
                <w:highlight w:val="none"/>
              </w:rPr>
              <w:t>12</w:t>
            </w:r>
          </w:p>
        </w:tc>
        <w:tc>
          <w:tcPr>
            <w:tcW w:w="408" w:type="pct"/>
            <w:tcBorders>
              <w:top w:val="single" w:color="000000" w:sz="4" w:space="0"/>
              <w:left w:val="single" w:color="000000" w:sz="4" w:space="0"/>
              <w:bottom w:val="single" w:color="000000" w:sz="4" w:space="0"/>
              <w:right w:val="single" w:color="000000" w:sz="4" w:space="0"/>
            </w:tcBorders>
            <w:noWrap/>
            <w:vAlign w:val="center"/>
          </w:tcPr>
          <w:p w14:paraId="435E9225">
            <w:pPr>
              <w:spacing w:line="400" w:lineRule="exact"/>
              <w:jc w:val="center"/>
              <w:rPr>
                <w:rFonts w:ascii="宋体" w:hAnsi="宋体" w:cs="宋体"/>
                <w:sz w:val="22"/>
                <w:szCs w:val="22"/>
                <w:highlight w:val="none"/>
              </w:rPr>
            </w:pPr>
          </w:p>
        </w:tc>
      </w:tr>
    </w:tbl>
    <w:p w14:paraId="232EB066">
      <w:pPr>
        <w:rPr>
          <w:rFonts w:ascii="宋体" w:hAnsi="宋体" w:cs="宋体"/>
          <w:highlight w:val="none"/>
        </w:rPr>
      </w:pPr>
    </w:p>
    <w:p w14:paraId="0C29CEF0">
      <w:pPr>
        <w:spacing w:line="440" w:lineRule="exact"/>
        <w:rPr>
          <w:rFonts w:ascii="宋体" w:hAnsi="宋体" w:cs="宋体"/>
          <w:bCs/>
          <w:kern w:val="0"/>
          <w:szCs w:val="21"/>
          <w:highlight w:val="none"/>
        </w:rPr>
      </w:pPr>
      <w:r>
        <w:rPr>
          <w:rFonts w:hint="eastAsia" w:ascii="宋体" w:hAnsi="宋体" w:cs="宋体"/>
          <w:bCs/>
          <w:kern w:val="0"/>
          <w:szCs w:val="21"/>
          <w:highlight w:val="none"/>
        </w:rPr>
        <w:t>物业管理服务水平考核定级付费办法</w:t>
      </w:r>
    </w:p>
    <w:p w14:paraId="73C830D1">
      <w:pPr>
        <w:spacing w:line="440" w:lineRule="exact"/>
        <w:rPr>
          <w:rFonts w:ascii="宋体" w:hAnsi="宋体" w:cs="宋体"/>
          <w:bCs/>
          <w:kern w:val="0"/>
          <w:szCs w:val="21"/>
          <w:highlight w:val="none"/>
        </w:rPr>
      </w:pPr>
      <w:r>
        <w:rPr>
          <w:rFonts w:hint="eastAsia" w:ascii="宋体" w:hAnsi="宋体" w:cs="宋体"/>
          <w:bCs/>
          <w:kern w:val="0"/>
          <w:szCs w:val="21"/>
          <w:highlight w:val="none"/>
        </w:rPr>
        <w:t>按照物业考核评分标准，每月考核一次，3个月取一次平均分，物业管理考核评定与支付物业服务费挂勾，物业管理考核的评定分为三个等级： A 级、 B 级、 C 级。每3个月按考核的平均成绩套入相应的等级，奖罚评定按下列标准执行。</w:t>
      </w:r>
    </w:p>
    <w:p w14:paraId="7F904C64">
      <w:pPr>
        <w:spacing w:line="440" w:lineRule="exact"/>
        <w:rPr>
          <w:rFonts w:ascii="宋体" w:hAnsi="宋体" w:cs="宋体"/>
          <w:bCs/>
          <w:kern w:val="0"/>
          <w:szCs w:val="21"/>
          <w:highlight w:val="none"/>
        </w:rPr>
      </w:pPr>
      <w:r>
        <w:rPr>
          <w:rFonts w:hint="eastAsia" w:ascii="宋体" w:hAnsi="宋体" w:cs="宋体"/>
          <w:bCs/>
          <w:kern w:val="0"/>
          <w:szCs w:val="21"/>
          <w:highlight w:val="none"/>
        </w:rPr>
        <w:t xml:space="preserve"> A 级（按合同价支付）</w:t>
      </w:r>
    </w:p>
    <w:p w14:paraId="3946E14D">
      <w:pPr>
        <w:spacing w:line="440" w:lineRule="exact"/>
        <w:rPr>
          <w:rFonts w:ascii="宋体" w:hAnsi="宋体" w:cs="宋体"/>
          <w:bCs/>
          <w:kern w:val="0"/>
          <w:szCs w:val="21"/>
          <w:highlight w:val="none"/>
        </w:rPr>
      </w:pPr>
      <w:r>
        <w:rPr>
          <w:rFonts w:hint="eastAsia" w:ascii="宋体" w:hAnsi="宋体" w:cs="宋体"/>
          <w:bCs/>
          <w:kern w:val="0"/>
          <w:szCs w:val="21"/>
          <w:highlight w:val="none"/>
        </w:rPr>
        <w:t>三个月内未出现过任何事故及求助，服务质量达到合同条款及服务标准要求，考核分在90分以上（含90分）。</w:t>
      </w:r>
    </w:p>
    <w:p w14:paraId="5976A4F3">
      <w:pPr>
        <w:spacing w:line="440" w:lineRule="exact"/>
        <w:rPr>
          <w:rFonts w:ascii="宋体" w:hAnsi="宋体" w:cs="宋体"/>
          <w:bCs/>
          <w:kern w:val="0"/>
          <w:szCs w:val="21"/>
          <w:highlight w:val="none"/>
        </w:rPr>
      </w:pPr>
      <w:r>
        <w:rPr>
          <w:rFonts w:hint="eastAsia" w:ascii="宋体" w:hAnsi="宋体" w:cs="宋体"/>
          <w:bCs/>
          <w:kern w:val="0"/>
          <w:szCs w:val="21"/>
          <w:highlight w:val="none"/>
        </w:rPr>
        <w:t xml:space="preserve"> B 级（按合同价下浮5%)</w:t>
      </w:r>
    </w:p>
    <w:p w14:paraId="7C337705">
      <w:pPr>
        <w:spacing w:line="440" w:lineRule="exact"/>
        <w:rPr>
          <w:rFonts w:ascii="宋体" w:hAnsi="宋体" w:cs="宋体"/>
          <w:bCs/>
          <w:kern w:val="0"/>
          <w:szCs w:val="21"/>
          <w:highlight w:val="none"/>
        </w:rPr>
      </w:pPr>
      <w:r>
        <w:rPr>
          <w:rFonts w:hint="eastAsia" w:ascii="宋体" w:hAnsi="宋体" w:cs="宋体"/>
          <w:bCs/>
          <w:kern w:val="0"/>
          <w:szCs w:val="21"/>
          <w:highlight w:val="none"/>
        </w:rPr>
        <w:t>三个月内未出现过任何事故，口头及书面投诉不超过二次，服务质量达到合同条款及服务标准要求，考核分在80以上（含80分）</w:t>
      </w:r>
    </w:p>
    <w:p w14:paraId="5F54D2BC">
      <w:pPr>
        <w:spacing w:line="440" w:lineRule="exact"/>
        <w:rPr>
          <w:rFonts w:ascii="宋体" w:hAnsi="宋体" w:cs="宋体"/>
          <w:bCs/>
          <w:kern w:val="0"/>
          <w:szCs w:val="21"/>
          <w:highlight w:val="none"/>
        </w:rPr>
      </w:pPr>
      <w:r>
        <w:rPr>
          <w:rFonts w:hint="eastAsia" w:ascii="宋体" w:hAnsi="宋体" w:cs="宋体"/>
          <w:bCs/>
          <w:kern w:val="0"/>
          <w:szCs w:val="21"/>
          <w:highlight w:val="none"/>
        </w:rPr>
        <w:t>C级（按合同价下浮20%)</w:t>
      </w:r>
    </w:p>
    <w:p w14:paraId="26BB9E84">
      <w:pPr>
        <w:spacing w:line="440" w:lineRule="exact"/>
        <w:rPr>
          <w:rFonts w:ascii="宋体" w:hAnsi="宋体" w:cs="宋体"/>
          <w:bCs/>
          <w:kern w:val="0"/>
          <w:szCs w:val="21"/>
          <w:highlight w:val="none"/>
        </w:rPr>
      </w:pPr>
      <w:r>
        <w:rPr>
          <w:rFonts w:hint="eastAsia" w:ascii="宋体" w:hAnsi="宋体" w:cs="宋体"/>
          <w:bCs/>
          <w:kern w:val="0"/>
          <w:szCs w:val="21"/>
          <w:highlight w:val="none"/>
        </w:rPr>
        <w:t>3个月内出现重大事故或一般事故超过二次，口头及书面投诉超过三次。服务质量未能达到合同条款及服务标准要求，考核分在70分以下（不含70分）。根据具体情况，甲方有权解除合同。</w:t>
      </w:r>
    </w:p>
    <w:p w14:paraId="03D55326">
      <w:pPr>
        <w:spacing w:line="440" w:lineRule="exact"/>
        <w:rPr>
          <w:rFonts w:ascii="宋体" w:hAnsi="宋体" w:cs="宋体"/>
          <w:bCs/>
          <w:kern w:val="0"/>
          <w:szCs w:val="21"/>
          <w:highlight w:val="none"/>
        </w:rPr>
      </w:pPr>
      <w:r>
        <w:rPr>
          <w:rFonts w:hint="eastAsia" w:ascii="宋体" w:hAnsi="宋体" w:cs="宋体"/>
          <w:bCs/>
          <w:kern w:val="0"/>
          <w:szCs w:val="21"/>
          <w:highlight w:val="none"/>
        </w:rPr>
        <w:t>注：重大事故﹣﹣因管理不严或处理不当以致物管区域内出现火警、火灾、盗窃等事故，未能即时妥当处理且造成恶劣影响。</w:t>
      </w:r>
    </w:p>
    <w:p w14:paraId="5A925F2C">
      <w:pPr>
        <w:pStyle w:val="59"/>
        <w:spacing w:line="440" w:lineRule="exact"/>
        <w:rPr>
          <w:rFonts w:ascii="宋体" w:hAnsi="宋体" w:cs="宋体"/>
          <w:kern w:val="0"/>
          <w:szCs w:val="21"/>
          <w:highlight w:val="none"/>
          <w:lang w:val="zh-CN"/>
        </w:rPr>
      </w:pPr>
      <w:r>
        <w:rPr>
          <w:rFonts w:hint="eastAsia" w:ascii="宋体" w:hAnsi="宋体" w:cs="宋体"/>
          <w:bCs/>
          <w:kern w:val="0"/>
          <w:szCs w:val="21"/>
          <w:highlight w:val="none"/>
        </w:rPr>
        <w:t>一般事故﹣﹣因管理不善或处理不当以致物管区域内出现火灾、盗窃等事故，能及时妥当处理，未造成重大影响。</w:t>
      </w:r>
    </w:p>
    <w:p w14:paraId="311BBCF5">
      <w:pPr>
        <w:rPr>
          <w:rFonts w:ascii="宋体" w:hAnsi="宋体" w:cs="宋体"/>
          <w:highlight w:val="none"/>
        </w:rPr>
      </w:pPr>
      <w:r>
        <w:rPr>
          <w:rFonts w:hint="eastAsia" w:ascii="宋体" w:hAnsi="宋体" w:cs="宋体"/>
          <w:highlight w:val="none"/>
        </w:rPr>
        <w:br w:type="page"/>
      </w:r>
    </w:p>
    <w:p w14:paraId="0983456A">
      <w:pPr>
        <w:pStyle w:val="80"/>
        <w:rPr>
          <w:rStyle w:val="133"/>
          <w:rFonts w:ascii="宋体" w:eastAsia="宋体" w:cs="宋体"/>
          <w:b/>
          <w:highlight w:val="none"/>
        </w:rPr>
      </w:pPr>
      <w:r>
        <w:rPr>
          <w:rStyle w:val="133"/>
          <w:rFonts w:hint="eastAsia" w:ascii="宋体" w:eastAsia="宋体" w:cs="宋体"/>
          <w:b/>
          <w:highlight w:val="none"/>
        </w:rPr>
        <w:t>第三章  投标人须知</w:t>
      </w:r>
    </w:p>
    <w:p w14:paraId="72F44BE6">
      <w:pPr>
        <w:spacing w:line="360" w:lineRule="auto"/>
        <w:ind w:firstLine="422" w:firstLineChars="200"/>
        <w:jc w:val="center"/>
        <w:outlineLvl w:val="1"/>
        <w:rPr>
          <w:rFonts w:ascii="宋体" w:hAnsi="宋体" w:cs="宋体"/>
          <w:b/>
          <w:szCs w:val="21"/>
          <w:highlight w:val="none"/>
        </w:rPr>
      </w:pPr>
      <w:bookmarkStart w:id="9" w:name="_Toc17413"/>
      <w:bookmarkStart w:id="10" w:name="_Toc50012816"/>
      <w:bookmarkStart w:id="11" w:name="_Toc177870535"/>
      <w:bookmarkStart w:id="12" w:name="_Toc493511543"/>
      <w:r>
        <w:rPr>
          <w:rFonts w:hint="eastAsia" w:ascii="宋体" w:hAnsi="宋体" w:cs="宋体"/>
          <w:b/>
          <w:szCs w:val="21"/>
          <w:highlight w:val="none"/>
        </w:rPr>
        <w:t>前附表</w:t>
      </w:r>
      <w:bookmarkEnd w:id="9"/>
      <w:bookmarkEnd w:id="10"/>
      <w:bookmarkEnd w:id="11"/>
      <w:bookmarkEnd w:id="12"/>
    </w:p>
    <w:tbl>
      <w:tblPr>
        <w:tblStyle w:val="48"/>
        <w:tblW w:w="9288" w:type="dxa"/>
        <w:tblInd w:w="-10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36"/>
        <w:gridCol w:w="8652"/>
      </w:tblGrid>
      <w:tr w14:paraId="766141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 w:hRule="atLeast"/>
        </w:trPr>
        <w:tc>
          <w:tcPr>
            <w:tcW w:w="636" w:type="dxa"/>
            <w:tcBorders>
              <w:top w:val="single" w:color="auto" w:sz="4" w:space="0"/>
              <w:left w:val="single" w:color="auto" w:sz="4" w:space="0"/>
              <w:bottom w:val="single" w:color="auto" w:sz="4" w:space="0"/>
              <w:right w:val="single" w:color="auto" w:sz="4" w:space="0"/>
            </w:tcBorders>
            <w:vAlign w:val="center"/>
          </w:tcPr>
          <w:p w14:paraId="71E3C040">
            <w:pPr>
              <w:snapToGrid w:val="0"/>
              <w:spacing w:line="400" w:lineRule="exact"/>
              <w:jc w:val="center"/>
              <w:rPr>
                <w:rFonts w:ascii="宋体" w:hAnsi="宋体" w:cs="宋体"/>
                <w:szCs w:val="21"/>
                <w:highlight w:val="none"/>
              </w:rPr>
            </w:pPr>
            <w:r>
              <w:rPr>
                <w:rFonts w:hint="eastAsia" w:ascii="宋体" w:hAnsi="宋体" w:cs="宋体"/>
                <w:szCs w:val="21"/>
                <w:highlight w:val="none"/>
              </w:rPr>
              <w:t>序号</w:t>
            </w:r>
          </w:p>
        </w:tc>
        <w:tc>
          <w:tcPr>
            <w:tcW w:w="8652" w:type="dxa"/>
            <w:tcBorders>
              <w:top w:val="single" w:color="auto" w:sz="4" w:space="0"/>
              <w:left w:val="single" w:color="auto" w:sz="4" w:space="0"/>
              <w:bottom w:val="single" w:color="auto" w:sz="4" w:space="0"/>
              <w:right w:val="single" w:color="auto" w:sz="4" w:space="0"/>
            </w:tcBorders>
            <w:vAlign w:val="center"/>
          </w:tcPr>
          <w:p w14:paraId="4330797C">
            <w:pPr>
              <w:snapToGrid w:val="0"/>
              <w:spacing w:line="400" w:lineRule="exact"/>
              <w:jc w:val="center"/>
              <w:rPr>
                <w:rFonts w:ascii="宋体" w:hAnsi="宋体" w:cs="宋体"/>
                <w:szCs w:val="21"/>
                <w:highlight w:val="none"/>
              </w:rPr>
            </w:pPr>
            <w:r>
              <w:rPr>
                <w:rFonts w:hint="eastAsia" w:ascii="宋体" w:hAnsi="宋体" w:cs="宋体"/>
                <w:szCs w:val="21"/>
                <w:highlight w:val="none"/>
              </w:rPr>
              <w:t>内容、要求</w:t>
            </w:r>
          </w:p>
        </w:tc>
      </w:tr>
      <w:tr w14:paraId="499764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7" w:hRule="atLeast"/>
        </w:trPr>
        <w:tc>
          <w:tcPr>
            <w:tcW w:w="636" w:type="dxa"/>
            <w:tcBorders>
              <w:top w:val="single" w:color="auto" w:sz="4" w:space="0"/>
              <w:left w:val="single" w:color="auto" w:sz="4" w:space="0"/>
              <w:bottom w:val="single" w:color="auto" w:sz="4" w:space="0"/>
              <w:right w:val="single" w:color="auto" w:sz="4" w:space="0"/>
            </w:tcBorders>
            <w:vAlign w:val="center"/>
          </w:tcPr>
          <w:p w14:paraId="6B063D50">
            <w:pPr>
              <w:snapToGrid w:val="0"/>
              <w:spacing w:line="400" w:lineRule="exact"/>
              <w:jc w:val="center"/>
              <w:rPr>
                <w:rFonts w:ascii="宋体" w:hAnsi="宋体" w:cs="宋体"/>
                <w:szCs w:val="21"/>
                <w:highlight w:val="none"/>
              </w:rPr>
            </w:pPr>
            <w:r>
              <w:rPr>
                <w:rFonts w:hint="eastAsia" w:ascii="宋体" w:hAnsi="宋体" w:cs="宋体"/>
                <w:szCs w:val="21"/>
                <w:highlight w:val="none"/>
              </w:rPr>
              <w:t>1</w:t>
            </w:r>
          </w:p>
        </w:tc>
        <w:tc>
          <w:tcPr>
            <w:tcW w:w="8652" w:type="dxa"/>
            <w:tcBorders>
              <w:top w:val="single" w:color="auto" w:sz="4" w:space="0"/>
              <w:left w:val="single" w:color="auto" w:sz="4" w:space="0"/>
              <w:bottom w:val="single" w:color="auto" w:sz="4" w:space="0"/>
              <w:right w:val="single" w:color="auto" w:sz="4" w:space="0"/>
            </w:tcBorders>
            <w:vAlign w:val="center"/>
          </w:tcPr>
          <w:p w14:paraId="47253AAE">
            <w:pPr>
              <w:snapToGrid w:val="0"/>
              <w:spacing w:line="400" w:lineRule="exact"/>
              <w:jc w:val="left"/>
              <w:rPr>
                <w:rFonts w:ascii="宋体" w:hAnsi="宋体" w:cs="宋体"/>
                <w:szCs w:val="21"/>
                <w:highlight w:val="none"/>
              </w:rPr>
            </w:pPr>
            <w:r>
              <w:rPr>
                <w:rFonts w:hint="eastAsia" w:ascii="宋体" w:hAnsi="宋体" w:cs="宋体"/>
                <w:szCs w:val="21"/>
                <w:highlight w:val="none"/>
              </w:rPr>
              <w:t>项目名称：</w:t>
            </w:r>
            <w:r>
              <w:rPr>
                <w:rFonts w:hint="eastAsia" w:ascii="宋体" w:hAnsi="宋体" w:cs="宋体"/>
                <w:b/>
                <w:szCs w:val="21"/>
                <w:highlight w:val="none"/>
              </w:rPr>
              <w:t>浙江省嘉兴支队海盐县消防救援大队2024-2025年度物业管理服务采购项目</w:t>
            </w:r>
          </w:p>
        </w:tc>
      </w:tr>
      <w:tr w14:paraId="6FDB46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636" w:type="dxa"/>
            <w:tcBorders>
              <w:top w:val="single" w:color="auto" w:sz="4" w:space="0"/>
              <w:left w:val="single" w:color="auto" w:sz="4" w:space="0"/>
              <w:bottom w:val="single" w:color="auto" w:sz="4" w:space="0"/>
              <w:right w:val="single" w:color="auto" w:sz="4" w:space="0"/>
            </w:tcBorders>
            <w:vAlign w:val="center"/>
          </w:tcPr>
          <w:p w14:paraId="5FEBB9A4">
            <w:pPr>
              <w:snapToGrid w:val="0"/>
              <w:spacing w:line="400" w:lineRule="exact"/>
              <w:jc w:val="center"/>
              <w:rPr>
                <w:rFonts w:ascii="宋体" w:hAnsi="宋体" w:cs="宋体"/>
                <w:szCs w:val="21"/>
                <w:highlight w:val="none"/>
              </w:rPr>
            </w:pPr>
            <w:r>
              <w:rPr>
                <w:rFonts w:hint="eastAsia" w:ascii="宋体" w:hAnsi="宋体" w:cs="宋体"/>
                <w:szCs w:val="21"/>
                <w:highlight w:val="none"/>
              </w:rPr>
              <w:t>2</w:t>
            </w:r>
          </w:p>
        </w:tc>
        <w:tc>
          <w:tcPr>
            <w:tcW w:w="8652" w:type="dxa"/>
            <w:tcBorders>
              <w:top w:val="single" w:color="auto" w:sz="4" w:space="0"/>
              <w:left w:val="single" w:color="auto" w:sz="4" w:space="0"/>
              <w:bottom w:val="single" w:color="auto" w:sz="4" w:space="0"/>
              <w:right w:val="single" w:color="auto" w:sz="4" w:space="0"/>
            </w:tcBorders>
            <w:vAlign w:val="center"/>
          </w:tcPr>
          <w:p w14:paraId="7C23C3F2">
            <w:pPr>
              <w:snapToGrid w:val="0"/>
              <w:spacing w:line="400" w:lineRule="exact"/>
              <w:jc w:val="left"/>
              <w:rPr>
                <w:rFonts w:ascii="宋体" w:hAnsi="宋体" w:cs="宋体"/>
                <w:szCs w:val="21"/>
                <w:highlight w:val="none"/>
              </w:rPr>
            </w:pPr>
            <w:r>
              <w:rPr>
                <w:rFonts w:hint="eastAsia" w:ascii="宋体" w:hAnsi="宋体" w:cs="宋体"/>
                <w:szCs w:val="21"/>
                <w:highlight w:val="none"/>
              </w:rPr>
              <w:t>项目编号：嘉消采-GK2024016</w:t>
            </w:r>
          </w:p>
        </w:tc>
      </w:tr>
      <w:tr w14:paraId="30282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636" w:type="dxa"/>
            <w:tcBorders>
              <w:top w:val="single" w:color="auto" w:sz="4" w:space="0"/>
              <w:left w:val="single" w:color="auto" w:sz="4" w:space="0"/>
              <w:bottom w:val="single" w:color="auto" w:sz="4" w:space="0"/>
              <w:right w:val="single" w:color="auto" w:sz="4" w:space="0"/>
            </w:tcBorders>
            <w:vAlign w:val="center"/>
          </w:tcPr>
          <w:p w14:paraId="358CC1D4">
            <w:pPr>
              <w:snapToGrid w:val="0"/>
              <w:spacing w:line="400" w:lineRule="exact"/>
              <w:jc w:val="center"/>
              <w:rPr>
                <w:rFonts w:ascii="宋体" w:hAnsi="宋体" w:cs="宋体"/>
                <w:szCs w:val="21"/>
                <w:highlight w:val="none"/>
              </w:rPr>
            </w:pPr>
            <w:r>
              <w:rPr>
                <w:rFonts w:hint="eastAsia" w:ascii="宋体" w:hAnsi="宋体" w:cs="宋体"/>
                <w:szCs w:val="21"/>
                <w:highlight w:val="none"/>
              </w:rPr>
              <w:t>3</w:t>
            </w:r>
          </w:p>
        </w:tc>
        <w:tc>
          <w:tcPr>
            <w:tcW w:w="8652" w:type="dxa"/>
            <w:tcBorders>
              <w:top w:val="single" w:color="auto" w:sz="4" w:space="0"/>
              <w:left w:val="single" w:color="auto" w:sz="4" w:space="0"/>
              <w:bottom w:val="single" w:color="auto" w:sz="4" w:space="0"/>
              <w:right w:val="single" w:color="auto" w:sz="4" w:space="0"/>
            </w:tcBorders>
            <w:vAlign w:val="center"/>
          </w:tcPr>
          <w:p w14:paraId="0FCE4F75">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投标报价及费用：</w:t>
            </w:r>
          </w:p>
          <w:p w14:paraId="56A6C6D6">
            <w:pPr>
              <w:spacing w:line="400" w:lineRule="exact"/>
              <w:rPr>
                <w:rFonts w:ascii="宋体" w:hAnsi="宋体" w:cs="宋体"/>
                <w:color w:val="auto"/>
                <w:szCs w:val="21"/>
                <w:highlight w:val="none"/>
              </w:rPr>
            </w:pPr>
            <w:r>
              <w:rPr>
                <w:rFonts w:hint="eastAsia" w:ascii="宋体" w:hAnsi="宋体" w:cs="宋体"/>
                <w:color w:val="auto"/>
                <w:szCs w:val="21"/>
                <w:highlight w:val="none"/>
              </w:rPr>
              <w:t>1、不论投标结果如何，供应商均应自行承担所有与投标有关的全部费用；</w:t>
            </w:r>
          </w:p>
          <w:p w14:paraId="68FB74F5">
            <w:pPr>
              <w:spacing w:line="400" w:lineRule="exact"/>
              <w:rPr>
                <w:rFonts w:ascii="宋体" w:hAnsi="宋体" w:cs="宋体"/>
                <w:color w:val="auto"/>
                <w:szCs w:val="21"/>
                <w:highlight w:val="none"/>
              </w:rPr>
            </w:pPr>
            <w:r>
              <w:rPr>
                <w:rFonts w:hint="eastAsia" w:ascii="宋体" w:hAnsi="宋体" w:cs="宋体"/>
                <w:color w:val="auto"/>
                <w:szCs w:val="21"/>
                <w:highlight w:val="none"/>
              </w:rPr>
              <w:t>2、标书费：人民币500元整；</w:t>
            </w:r>
          </w:p>
          <w:p w14:paraId="5D46D1BF">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3、</w:t>
            </w:r>
            <w:r>
              <w:rPr>
                <w:rFonts w:hint="eastAsia" w:ascii="宋体" w:hAnsi="宋体" w:cs="宋体"/>
                <w:b/>
                <w:bCs/>
                <w:color w:val="auto"/>
                <w:szCs w:val="21"/>
                <w:highlight w:val="none"/>
              </w:rPr>
              <w:t>本项目招标代理费以预算金额为基数按计价格(2002)1980号收费标准70%计取，由中标单位领取中标通知书时一次性支付，请各投标单位投标报价时综合考虑此费用。户名：浙江中明工程咨询有限公司；开户银行：交通银行嘉兴禾城支行；账号：334603000018170031720</w:t>
            </w:r>
          </w:p>
        </w:tc>
      </w:tr>
      <w:tr w14:paraId="11C1B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636" w:type="dxa"/>
            <w:tcBorders>
              <w:top w:val="single" w:color="auto" w:sz="4" w:space="0"/>
              <w:left w:val="single" w:color="auto" w:sz="4" w:space="0"/>
              <w:bottom w:val="single" w:color="auto" w:sz="4" w:space="0"/>
              <w:right w:val="single" w:color="auto" w:sz="4" w:space="0"/>
            </w:tcBorders>
            <w:vAlign w:val="center"/>
          </w:tcPr>
          <w:p w14:paraId="6BA93713">
            <w:pPr>
              <w:snapToGrid w:val="0"/>
              <w:spacing w:line="400" w:lineRule="exact"/>
              <w:jc w:val="center"/>
              <w:rPr>
                <w:rFonts w:ascii="宋体" w:hAnsi="宋体" w:cs="宋体"/>
                <w:szCs w:val="21"/>
                <w:highlight w:val="none"/>
              </w:rPr>
            </w:pPr>
            <w:r>
              <w:rPr>
                <w:rFonts w:hint="eastAsia" w:ascii="宋体" w:hAnsi="宋体" w:cs="宋体"/>
                <w:szCs w:val="21"/>
                <w:highlight w:val="none"/>
              </w:rPr>
              <w:t>4</w:t>
            </w:r>
          </w:p>
        </w:tc>
        <w:tc>
          <w:tcPr>
            <w:tcW w:w="8652" w:type="dxa"/>
            <w:tcBorders>
              <w:top w:val="single" w:color="auto" w:sz="4" w:space="0"/>
              <w:left w:val="single" w:color="auto" w:sz="4" w:space="0"/>
              <w:bottom w:val="single" w:color="auto" w:sz="4" w:space="0"/>
              <w:right w:val="single" w:color="auto" w:sz="4" w:space="0"/>
            </w:tcBorders>
            <w:vAlign w:val="center"/>
          </w:tcPr>
          <w:p w14:paraId="61350EAA">
            <w:pPr>
              <w:pStyle w:val="43"/>
              <w:snapToGrid w:val="0"/>
              <w:spacing w:before="0" w:beforeAutospacing="0" w:after="0" w:afterAutospacing="0" w:line="400" w:lineRule="exact"/>
              <w:contextualSpacing/>
              <w:rPr>
                <w:rFonts w:cs="宋体"/>
                <w:color w:val="auto"/>
                <w:szCs w:val="21"/>
                <w:highlight w:val="none"/>
              </w:rPr>
            </w:pPr>
            <w:r>
              <w:rPr>
                <w:rFonts w:hint="eastAsia" w:cs="宋体"/>
                <w:color w:val="auto"/>
                <w:sz w:val="21"/>
                <w:szCs w:val="21"/>
                <w:highlight w:val="none"/>
              </w:rPr>
              <w:t>▲预算金额：89.016万元，投标报价超过预算金额的其投标文件作无效标处理。</w:t>
            </w:r>
          </w:p>
        </w:tc>
      </w:tr>
      <w:tr w14:paraId="4CB817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 w:hRule="atLeast"/>
        </w:trPr>
        <w:tc>
          <w:tcPr>
            <w:tcW w:w="636" w:type="dxa"/>
            <w:tcBorders>
              <w:top w:val="single" w:color="auto" w:sz="4" w:space="0"/>
              <w:left w:val="single" w:color="auto" w:sz="4" w:space="0"/>
              <w:bottom w:val="single" w:color="auto" w:sz="4" w:space="0"/>
              <w:right w:val="single" w:color="auto" w:sz="4" w:space="0"/>
            </w:tcBorders>
            <w:vAlign w:val="center"/>
          </w:tcPr>
          <w:p w14:paraId="29ACB1DF">
            <w:pPr>
              <w:snapToGrid w:val="0"/>
              <w:spacing w:line="400" w:lineRule="exact"/>
              <w:jc w:val="center"/>
              <w:rPr>
                <w:rFonts w:ascii="宋体" w:hAnsi="宋体" w:cs="宋体"/>
                <w:szCs w:val="21"/>
                <w:highlight w:val="none"/>
              </w:rPr>
            </w:pPr>
            <w:r>
              <w:rPr>
                <w:rFonts w:hint="eastAsia" w:ascii="宋体" w:hAnsi="宋体" w:cs="宋体"/>
                <w:szCs w:val="21"/>
                <w:highlight w:val="none"/>
              </w:rPr>
              <w:t>5</w:t>
            </w:r>
          </w:p>
        </w:tc>
        <w:tc>
          <w:tcPr>
            <w:tcW w:w="8652" w:type="dxa"/>
            <w:tcBorders>
              <w:top w:val="single" w:color="auto" w:sz="4" w:space="0"/>
              <w:left w:val="single" w:color="auto" w:sz="4" w:space="0"/>
              <w:bottom w:val="single" w:color="auto" w:sz="4" w:space="0"/>
              <w:right w:val="single" w:color="auto" w:sz="4" w:space="0"/>
            </w:tcBorders>
            <w:vAlign w:val="center"/>
          </w:tcPr>
          <w:p w14:paraId="2CA2BD03">
            <w:pPr>
              <w:snapToGrid w:val="0"/>
              <w:spacing w:line="400" w:lineRule="exact"/>
              <w:rPr>
                <w:rFonts w:ascii="宋体" w:hAnsi="宋体" w:cs="宋体"/>
                <w:color w:val="auto"/>
                <w:szCs w:val="21"/>
                <w:highlight w:val="none"/>
              </w:rPr>
            </w:pPr>
            <w:r>
              <w:rPr>
                <w:rFonts w:hint="eastAsia" w:ascii="宋体" w:hAnsi="宋体" w:cs="宋体"/>
                <w:color w:val="auto"/>
                <w:szCs w:val="21"/>
                <w:highlight w:val="none"/>
              </w:rPr>
              <w:t>投标保证金：本项目不设投标保证金</w:t>
            </w:r>
          </w:p>
        </w:tc>
      </w:tr>
      <w:tr w14:paraId="4C880F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636" w:type="dxa"/>
            <w:tcBorders>
              <w:top w:val="single" w:color="auto" w:sz="4" w:space="0"/>
              <w:left w:val="single" w:color="auto" w:sz="4" w:space="0"/>
              <w:bottom w:val="single" w:color="auto" w:sz="4" w:space="0"/>
              <w:right w:val="single" w:color="auto" w:sz="4" w:space="0"/>
            </w:tcBorders>
            <w:vAlign w:val="center"/>
          </w:tcPr>
          <w:p w14:paraId="54A75880">
            <w:pPr>
              <w:snapToGrid w:val="0"/>
              <w:spacing w:line="400" w:lineRule="exact"/>
              <w:jc w:val="center"/>
              <w:rPr>
                <w:rFonts w:ascii="宋体" w:hAnsi="宋体" w:cs="宋体"/>
                <w:szCs w:val="21"/>
                <w:highlight w:val="none"/>
              </w:rPr>
            </w:pPr>
            <w:r>
              <w:rPr>
                <w:rFonts w:hint="eastAsia" w:ascii="宋体" w:hAnsi="宋体" w:cs="宋体"/>
                <w:szCs w:val="21"/>
                <w:highlight w:val="none"/>
              </w:rPr>
              <w:t>6</w:t>
            </w:r>
          </w:p>
        </w:tc>
        <w:tc>
          <w:tcPr>
            <w:tcW w:w="8652" w:type="dxa"/>
            <w:tcBorders>
              <w:top w:val="single" w:color="auto" w:sz="4" w:space="0"/>
              <w:left w:val="single" w:color="auto" w:sz="4" w:space="0"/>
              <w:bottom w:val="single" w:color="auto" w:sz="4" w:space="0"/>
              <w:right w:val="single" w:color="auto" w:sz="4" w:space="0"/>
            </w:tcBorders>
            <w:vAlign w:val="center"/>
          </w:tcPr>
          <w:p w14:paraId="76EC3C9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现场踏勘：自行踏勘（费用自理）若因投标人未踏勘造成的报价不准确，由投标人自行承担所有责任。联系人：陆先生，联系方式：15958150024</w:t>
            </w:r>
          </w:p>
        </w:tc>
      </w:tr>
      <w:tr w14:paraId="489FD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trPr>
        <w:tc>
          <w:tcPr>
            <w:tcW w:w="636" w:type="dxa"/>
            <w:tcBorders>
              <w:top w:val="single" w:color="auto" w:sz="4" w:space="0"/>
              <w:left w:val="single" w:color="auto" w:sz="4" w:space="0"/>
              <w:bottom w:val="single" w:color="auto" w:sz="4" w:space="0"/>
              <w:right w:val="single" w:color="auto" w:sz="4" w:space="0"/>
            </w:tcBorders>
            <w:vAlign w:val="center"/>
          </w:tcPr>
          <w:p w14:paraId="4F7CB3F9">
            <w:pPr>
              <w:snapToGrid w:val="0"/>
              <w:spacing w:line="400" w:lineRule="exact"/>
              <w:jc w:val="center"/>
              <w:rPr>
                <w:rFonts w:ascii="宋体" w:hAnsi="宋体" w:cs="宋体"/>
                <w:szCs w:val="21"/>
                <w:highlight w:val="none"/>
              </w:rPr>
            </w:pPr>
            <w:r>
              <w:rPr>
                <w:rFonts w:hint="eastAsia" w:ascii="宋体" w:hAnsi="宋体" w:cs="宋体"/>
                <w:szCs w:val="21"/>
                <w:highlight w:val="none"/>
              </w:rPr>
              <w:t>7</w:t>
            </w:r>
          </w:p>
        </w:tc>
        <w:tc>
          <w:tcPr>
            <w:tcW w:w="8652" w:type="dxa"/>
            <w:tcBorders>
              <w:top w:val="single" w:color="auto" w:sz="4" w:space="0"/>
              <w:left w:val="single" w:color="auto" w:sz="4" w:space="0"/>
              <w:bottom w:val="single" w:color="auto" w:sz="4" w:space="0"/>
              <w:right w:val="single" w:color="auto" w:sz="4" w:space="0"/>
            </w:tcBorders>
            <w:vAlign w:val="center"/>
          </w:tcPr>
          <w:p w14:paraId="1F9F16F5">
            <w:pPr>
              <w:spacing w:line="400" w:lineRule="exact"/>
              <w:rPr>
                <w:rFonts w:ascii="宋体" w:hAnsi="宋体" w:cs="宋体"/>
                <w:color w:val="auto"/>
                <w:highlight w:val="none"/>
              </w:rPr>
            </w:pPr>
            <w:r>
              <w:rPr>
                <w:rFonts w:hint="eastAsia" w:ascii="宋体" w:hAnsi="宋体" w:cs="宋体"/>
                <w:color w:val="auto"/>
                <w:highlight w:val="none"/>
              </w:rPr>
              <w:t>演示时间及地点：</w:t>
            </w:r>
          </w:p>
          <w:p w14:paraId="2183DB99">
            <w:pPr>
              <w:snapToGrid w:val="0"/>
              <w:spacing w:line="400" w:lineRule="exact"/>
              <w:jc w:val="left"/>
              <w:rPr>
                <w:rFonts w:ascii="宋体" w:hAnsi="宋体" w:cs="宋体"/>
                <w:color w:val="auto"/>
                <w:szCs w:val="21"/>
                <w:highlight w:val="none"/>
              </w:rPr>
            </w:pPr>
            <w:sdt>
              <w:sdtPr>
                <w:rPr>
                  <w:rFonts w:hint="eastAsia" w:ascii="宋体" w:hAnsi="宋体" w:cs="宋体"/>
                  <w:color w:val="auto"/>
                  <w:szCs w:val="21"/>
                  <w:highlight w:val="none"/>
                </w:rPr>
                <w:id w:val="-1859348549"/>
              </w:sdtPr>
              <w:sdtEndPr>
                <w:rPr>
                  <w:rFonts w:hint="eastAsia" w:ascii="宋体" w:hAnsi="宋体" w:cs="宋体"/>
                  <w:color w:val="auto"/>
                  <w:szCs w:val="21"/>
                  <w:highlight w:val="none"/>
                </w:rPr>
              </w:sdtEndPr>
              <w:sdtContent>
                <w:sdt>
                  <w:sdtPr>
                    <w:rPr>
                      <w:rFonts w:hint="eastAsia" w:ascii="宋体" w:hAnsi="宋体" w:cs="宋体"/>
                      <w:color w:val="auto"/>
                      <w:kern w:val="0"/>
                      <w:szCs w:val="21"/>
                      <w:highlight w:val="none"/>
                    </w:rPr>
                    <w:id w:val="147469788"/>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sym w:font="Wingdings" w:char="00FE"/>
                    </w:r>
                  </w:sdtContent>
                </w:sdt>
              </w:sdtContent>
            </w:sdt>
            <w:r>
              <w:rPr>
                <w:rFonts w:hint="eastAsia" w:ascii="宋体" w:hAnsi="宋体" w:cs="宋体"/>
                <w:color w:val="auto"/>
                <w:szCs w:val="21"/>
                <w:highlight w:val="none"/>
              </w:rPr>
              <w:t>A不组织。</w:t>
            </w:r>
          </w:p>
          <w:p w14:paraId="4C6210C3">
            <w:pPr>
              <w:snapToGrid w:val="0"/>
              <w:spacing w:line="400" w:lineRule="exact"/>
              <w:jc w:val="left"/>
              <w:rPr>
                <w:rFonts w:ascii="宋体" w:hAnsi="宋体" w:cs="宋体"/>
                <w:color w:val="auto"/>
                <w:szCs w:val="21"/>
                <w:highlight w:val="none"/>
              </w:rPr>
            </w:pPr>
            <w:sdt>
              <w:sdtPr>
                <w:rPr>
                  <w:rFonts w:hint="eastAsia" w:ascii="宋体" w:hAnsi="宋体" w:cs="宋体"/>
                  <w:color w:val="auto"/>
                  <w:szCs w:val="21"/>
                  <w:highlight w:val="none"/>
                </w:rPr>
                <w:id w:val="1174071719"/>
              </w:sdtPr>
              <w:sdtEndPr>
                <w:rPr>
                  <w:rFonts w:hint="eastAsia" w:ascii="宋体" w:hAnsi="宋体" w:cs="宋体"/>
                  <w:color w:val="auto"/>
                  <w:szCs w:val="21"/>
                  <w:highlight w:val="none"/>
                </w:rPr>
              </w:sdtEndPr>
              <w:sdtContent>
                <w:r>
                  <w:rPr>
                    <w:rFonts w:hint="eastAsia" w:ascii="宋体" w:hAnsi="宋体" w:cs="宋体"/>
                    <w:color w:val="auto"/>
                    <w:szCs w:val="21"/>
                    <w:highlight w:val="none"/>
                  </w:rPr>
                  <w:t>☐</w:t>
                </w:r>
              </w:sdtContent>
            </w:sdt>
            <w:r>
              <w:rPr>
                <w:rFonts w:hint="eastAsia" w:ascii="宋体" w:hAnsi="宋体" w:cs="宋体"/>
                <w:color w:val="auto"/>
                <w:szCs w:val="21"/>
                <w:highlight w:val="none"/>
              </w:rPr>
              <w:t>B组织。</w:t>
            </w:r>
          </w:p>
          <w:p w14:paraId="46D37D83">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1）在评标时安排每个投标人进行方案讲解演示。每个投标人时间不超过20（编制时可根据项目情况进行调整）分钟，讲解次序以投标文件解密时间先后次序为准，讲解演示人员不超过1（编制时可根据项目情况进行调整）人。讲解演示结束后按要求解答评标委员会提问。</w:t>
            </w:r>
          </w:p>
          <w:p w14:paraId="2BF7C9DE">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（2）方案讲解演示可选择以下其中一种方式：</w:t>
            </w:r>
          </w:p>
          <w:p w14:paraId="0DE3342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方式一：钉钉在线讲解演示。钉钉会议视频功能在线讲解需投标人根据钉钉软件操作要求做好准备工作，提前完善软硬件配置环境。</w:t>
            </w:r>
          </w:p>
          <w:p w14:paraId="5266000C">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方式二：现场讲解演示。现场讲解地点为在评标现场，讲解演示所用电脑等设备由投标人自备。现场讲解演示人员进场时提供讲解人员名单（加盖公章或授权代表签名）及身份证明，否则不得讲解演示。</w:t>
            </w:r>
          </w:p>
          <w:p w14:paraId="06B6C4AB">
            <w:pPr>
              <w:snapToGrid w:val="0"/>
              <w:spacing w:line="400" w:lineRule="exact"/>
              <w:jc w:val="left"/>
              <w:rPr>
                <w:rFonts w:ascii="宋体" w:hAnsi="宋体" w:cs="宋体"/>
                <w:color w:val="auto"/>
                <w:highlight w:val="none"/>
              </w:rPr>
            </w:pPr>
            <w:r>
              <w:rPr>
                <w:rFonts w:hint="eastAsia" w:ascii="宋体" w:hAnsi="宋体" w:cs="宋体"/>
                <w:color w:val="auto"/>
                <w:szCs w:val="21"/>
                <w:highlight w:val="none"/>
              </w:rPr>
              <w:t>注：因投标人自身原因导致无法演示或者演示效果不理想的，责任自负。</w:t>
            </w:r>
          </w:p>
        </w:tc>
      </w:tr>
      <w:tr w14:paraId="1343E3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52" w:hRule="atLeast"/>
        </w:trPr>
        <w:tc>
          <w:tcPr>
            <w:tcW w:w="636" w:type="dxa"/>
            <w:tcBorders>
              <w:top w:val="single" w:color="auto" w:sz="4" w:space="0"/>
              <w:left w:val="single" w:color="auto" w:sz="4" w:space="0"/>
              <w:bottom w:val="single" w:color="auto" w:sz="4" w:space="0"/>
              <w:right w:val="single" w:color="auto" w:sz="4" w:space="0"/>
            </w:tcBorders>
            <w:vAlign w:val="center"/>
          </w:tcPr>
          <w:p w14:paraId="765DDE3C">
            <w:pPr>
              <w:snapToGrid w:val="0"/>
              <w:spacing w:line="400" w:lineRule="exact"/>
              <w:jc w:val="center"/>
              <w:rPr>
                <w:rFonts w:ascii="宋体" w:hAnsi="宋体" w:cs="宋体"/>
                <w:szCs w:val="21"/>
                <w:highlight w:val="none"/>
              </w:rPr>
            </w:pPr>
            <w:r>
              <w:rPr>
                <w:rFonts w:hint="eastAsia" w:ascii="宋体" w:hAnsi="宋体" w:cs="宋体"/>
                <w:szCs w:val="21"/>
                <w:highlight w:val="none"/>
              </w:rPr>
              <w:t>8</w:t>
            </w:r>
          </w:p>
        </w:tc>
        <w:tc>
          <w:tcPr>
            <w:tcW w:w="8652" w:type="dxa"/>
            <w:tcBorders>
              <w:top w:val="single" w:color="auto" w:sz="4" w:space="0"/>
              <w:left w:val="single" w:color="auto" w:sz="4" w:space="0"/>
              <w:bottom w:val="single" w:color="auto" w:sz="4" w:space="0"/>
              <w:right w:val="single" w:color="auto" w:sz="4" w:space="0"/>
            </w:tcBorders>
            <w:vAlign w:val="center"/>
          </w:tcPr>
          <w:p w14:paraId="7E72D6D6">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分包：</w:t>
            </w:r>
          </w:p>
          <w:p w14:paraId="5E543A75">
            <w:pPr>
              <w:snapToGrid w:val="0"/>
              <w:spacing w:line="400" w:lineRule="exact"/>
              <w:jc w:val="left"/>
              <w:rPr>
                <w:rFonts w:ascii="宋体" w:hAnsi="宋体" w:cs="宋体"/>
                <w:color w:val="auto"/>
                <w:szCs w:val="21"/>
                <w:highlight w:val="none"/>
              </w:rPr>
            </w:pPr>
            <w:sdt>
              <w:sdtPr>
                <w:rPr>
                  <w:rFonts w:hint="eastAsia" w:ascii="宋体" w:hAnsi="宋体" w:cs="宋体"/>
                  <w:color w:val="auto"/>
                  <w:szCs w:val="21"/>
                  <w:highlight w:val="none"/>
                </w:rPr>
                <w:id w:val="-1477286927"/>
              </w:sdtPr>
              <w:sdtEndPr>
                <w:rPr>
                  <w:rFonts w:hint="eastAsia" w:ascii="宋体" w:hAnsi="宋体" w:cs="宋体"/>
                  <w:color w:val="auto"/>
                  <w:szCs w:val="21"/>
                  <w:highlight w:val="none"/>
                </w:rPr>
              </w:sdtEndPr>
              <w:sdtContent>
                <w:r>
                  <w:rPr>
                    <w:rFonts w:hint="eastAsia" w:ascii="宋体" w:hAnsi="宋体" w:cs="宋体"/>
                    <w:color w:val="auto"/>
                    <w:szCs w:val="21"/>
                    <w:highlight w:val="none"/>
                  </w:rPr>
                  <w:t>☐</w:t>
                </w:r>
              </w:sdtContent>
            </w:sdt>
            <w:r>
              <w:rPr>
                <w:rFonts w:hint="eastAsia" w:ascii="宋体" w:hAnsi="宋体" w:cs="宋体"/>
                <w:color w:val="auto"/>
                <w:szCs w:val="21"/>
                <w:highlight w:val="none"/>
              </w:rPr>
              <w:t xml:space="preserve"> A同意将非主体、非关键性的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工作分包。</w:t>
            </w:r>
          </w:p>
          <w:p w14:paraId="3D5B4CB3">
            <w:pPr>
              <w:spacing w:line="400" w:lineRule="exact"/>
              <w:jc w:val="left"/>
              <w:rPr>
                <w:rFonts w:ascii="宋体" w:hAnsi="宋体" w:cs="宋体"/>
                <w:color w:val="auto"/>
                <w:szCs w:val="21"/>
                <w:highlight w:val="none"/>
              </w:rPr>
            </w:pPr>
            <w:r>
              <w:rPr>
                <w:rFonts w:hint="eastAsia" w:ascii="宋体" w:hAnsi="宋体" w:cs="宋体"/>
                <w:color w:val="auto"/>
                <w:szCs w:val="21"/>
                <w:highlight w:val="none"/>
              </w:rPr>
              <w:t>共分为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个包，第1包:分包名称，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万元，第2包:分包名称，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万元，第3包:分包名称，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p>
          <w:p w14:paraId="779A4757">
            <w:pPr>
              <w:pStyle w:val="6"/>
              <w:spacing w:line="400" w:lineRule="exact"/>
              <w:rPr>
                <w:rFonts w:ascii="宋体" w:hAnsi="宋体" w:cs="宋体"/>
                <w:color w:val="auto"/>
                <w:highlight w:val="none"/>
              </w:rPr>
            </w:pPr>
            <w:r>
              <w:rPr>
                <w:rFonts w:hint="eastAsia" w:ascii="宋体" w:hAnsi="宋体" w:cs="宋体"/>
                <w:color w:val="auto"/>
                <w:szCs w:val="21"/>
                <w:highlight w:val="none"/>
              </w:rPr>
              <w:t>注：每个分包需注明预留中小企业份额</w:t>
            </w:r>
          </w:p>
          <w:p w14:paraId="05DC5CB4">
            <w:pPr>
              <w:snapToGrid w:val="0"/>
              <w:spacing w:line="400" w:lineRule="exact"/>
              <w:jc w:val="left"/>
              <w:rPr>
                <w:rFonts w:ascii="宋体" w:hAnsi="宋体" w:cs="宋体"/>
                <w:color w:val="auto"/>
                <w:szCs w:val="21"/>
                <w:highlight w:val="none"/>
              </w:rPr>
            </w:pPr>
            <w:sdt>
              <w:sdtPr>
                <w:rPr>
                  <w:rFonts w:hint="eastAsia" w:ascii="宋体" w:hAnsi="宋体" w:cs="宋体"/>
                  <w:color w:val="auto"/>
                  <w:szCs w:val="21"/>
                  <w:highlight w:val="none"/>
                </w:rPr>
                <w:id w:val="-1276331357"/>
              </w:sdtPr>
              <w:sdtEndPr>
                <w:rPr>
                  <w:rFonts w:hint="eastAsia" w:ascii="宋体" w:hAnsi="宋体" w:cs="宋体"/>
                  <w:color w:val="auto"/>
                  <w:szCs w:val="21"/>
                  <w:highlight w:val="none"/>
                </w:rPr>
              </w:sdtEndPr>
              <w:sdtContent>
                <w:sdt>
                  <w:sdtPr>
                    <w:rPr>
                      <w:rFonts w:hint="eastAsia" w:ascii="宋体" w:hAnsi="宋体" w:cs="宋体"/>
                      <w:color w:val="auto"/>
                      <w:kern w:val="0"/>
                      <w:szCs w:val="21"/>
                      <w:highlight w:val="none"/>
                    </w:rPr>
                    <w:id w:val="147454372"/>
                  </w:sdtPr>
                  <w:sdtEndPr>
                    <w:rPr>
                      <w:rFonts w:hint="eastAsia" w:ascii="宋体" w:hAnsi="宋体" w:cs="宋体"/>
                      <w:color w:val="auto"/>
                      <w:kern w:val="0"/>
                      <w:szCs w:val="21"/>
                      <w:highlight w:val="none"/>
                    </w:rPr>
                  </w:sdtEndPr>
                  <w:sdtContent>
                    <w:r>
                      <w:rPr>
                        <w:rFonts w:hint="eastAsia" w:ascii="宋体" w:hAnsi="宋体" w:cs="宋体"/>
                        <w:color w:val="auto"/>
                        <w:kern w:val="0"/>
                        <w:szCs w:val="21"/>
                        <w:highlight w:val="none"/>
                      </w:rPr>
                      <w:sym w:font="Wingdings" w:char="00FE"/>
                    </w:r>
                  </w:sdtContent>
                </w:sdt>
              </w:sdtContent>
            </w:sdt>
            <w:r>
              <w:rPr>
                <w:rFonts w:hint="eastAsia" w:ascii="宋体" w:hAnsi="宋体" w:cs="宋体"/>
                <w:color w:val="auto"/>
                <w:szCs w:val="21"/>
                <w:highlight w:val="none"/>
              </w:rPr>
              <w:t>B不同意分包。</w:t>
            </w:r>
          </w:p>
          <w:p w14:paraId="2A20A482">
            <w:pPr>
              <w:snapToGrid w:val="0"/>
              <w:spacing w:line="400" w:lineRule="exact"/>
              <w:jc w:val="left"/>
              <w:rPr>
                <w:rFonts w:ascii="宋体" w:hAnsi="宋体" w:cs="宋体"/>
                <w:color w:val="auto"/>
                <w:szCs w:val="21"/>
                <w:highlight w:val="none"/>
              </w:rPr>
            </w:pPr>
            <w:r>
              <w:rPr>
                <w:rFonts w:hint="eastAsia" w:ascii="宋体" w:hAnsi="宋体" w:cs="宋体"/>
                <w:color w:val="auto"/>
                <w:szCs w:val="21"/>
                <w:highlight w:val="none"/>
              </w:rPr>
              <w:t>注：不得限制大中型企业向小微企业合理分包。</w:t>
            </w:r>
          </w:p>
        </w:tc>
      </w:tr>
      <w:tr w14:paraId="6AA41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 w:hRule="atLeast"/>
        </w:trPr>
        <w:tc>
          <w:tcPr>
            <w:tcW w:w="636" w:type="dxa"/>
            <w:tcBorders>
              <w:top w:val="single" w:color="auto" w:sz="4" w:space="0"/>
              <w:left w:val="single" w:color="auto" w:sz="4" w:space="0"/>
              <w:bottom w:val="single" w:color="auto" w:sz="4" w:space="0"/>
              <w:right w:val="single" w:color="auto" w:sz="4" w:space="0"/>
            </w:tcBorders>
            <w:vAlign w:val="center"/>
          </w:tcPr>
          <w:p w14:paraId="153749D7">
            <w:pPr>
              <w:snapToGrid w:val="0"/>
              <w:spacing w:line="400" w:lineRule="exact"/>
              <w:jc w:val="center"/>
              <w:rPr>
                <w:rFonts w:ascii="宋体" w:hAnsi="宋体" w:cs="宋体"/>
                <w:szCs w:val="21"/>
              </w:rPr>
            </w:pPr>
            <w:r>
              <w:rPr>
                <w:rFonts w:hint="eastAsia" w:ascii="宋体" w:hAnsi="宋体" w:cs="宋体"/>
                <w:szCs w:val="21"/>
              </w:rPr>
              <w:t>9</w:t>
            </w:r>
          </w:p>
        </w:tc>
        <w:tc>
          <w:tcPr>
            <w:tcW w:w="8652" w:type="dxa"/>
            <w:tcBorders>
              <w:top w:val="single" w:color="auto" w:sz="4" w:space="0"/>
              <w:left w:val="single" w:color="auto" w:sz="4" w:space="0"/>
              <w:bottom w:val="single" w:color="auto" w:sz="4" w:space="0"/>
              <w:right w:val="single" w:color="auto" w:sz="4" w:space="0"/>
            </w:tcBorders>
            <w:vAlign w:val="center"/>
          </w:tcPr>
          <w:p w14:paraId="0A82B975">
            <w:pPr>
              <w:snapToGrid w:val="0"/>
              <w:spacing w:line="400" w:lineRule="exact"/>
              <w:jc w:val="left"/>
              <w:rPr>
                <w:rFonts w:ascii="宋体" w:hAnsi="宋体" w:cs="宋体"/>
                <w:color w:val="auto"/>
                <w:szCs w:val="21"/>
              </w:rPr>
            </w:pPr>
            <w:r>
              <w:rPr>
                <w:rFonts w:hint="eastAsia" w:ascii="宋体" w:hAnsi="宋体" w:cs="宋体"/>
                <w:color w:val="auto"/>
                <w:szCs w:val="21"/>
              </w:rPr>
              <w:t>答疑与澄清：详见招标文件</w:t>
            </w:r>
          </w:p>
        </w:tc>
      </w:tr>
      <w:tr w14:paraId="682C92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36" w:type="dxa"/>
            <w:tcBorders>
              <w:top w:val="single" w:color="auto" w:sz="4" w:space="0"/>
              <w:left w:val="single" w:color="auto" w:sz="4" w:space="0"/>
              <w:bottom w:val="single" w:color="auto" w:sz="4" w:space="0"/>
              <w:right w:val="single" w:color="auto" w:sz="4" w:space="0"/>
            </w:tcBorders>
            <w:vAlign w:val="center"/>
          </w:tcPr>
          <w:p w14:paraId="159F967C">
            <w:pPr>
              <w:snapToGrid w:val="0"/>
              <w:spacing w:line="400" w:lineRule="exact"/>
              <w:jc w:val="center"/>
              <w:rPr>
                <w:rFonts w:ascii="宋体" w:hAnsi="宋体" w:cs="宋体"/>
                <w:szCs w:val="21"/>
              </w:rPr>
            </w:pPr>
            <w:r>
              <w:rPr>
                <w:rFonts w:hint="eastAsia" w:ascii="宋体" w:hAnsi="宋体" w:cs="宋体"/>
                <w:szCs w:val="21"/>
              </w:rPr>
              <w:t>10</w:t>
            </w:r>
          </w:p>
        </w:tc>
        <w:tc>
          <w:tcPr>
            <w:tcW w:w="8652" w:type="dxa"/>
            <w:tcBorders>
              <w:top w:val="single" w:color="auto" w:sz="4" w:space="0"/>
              <w:left w:val="single" w:color="auto" w:sz="4" w:space="0"/>
              <w:bottom w:val="single" w:color="auto" w:sz="4" w:space="0"/>
              <w:right w:val="single" w:color="auto" w:sz="4" w:space="0"/>
            </w:tcBorders>
            <w:vAlign w:val="center"/>
          </w:tcPr>
          <w:p w14:paraId="65C31A52">
            <w:pPr>
              <w:autoSpaceDE w:val="0"/>
              <w:autoSpaceDN w:val="0"/>
              <w:snapToGrid w:val="0"/>
              <w:spacing w:line="400" w:lineRule="exact"/>
              <w:jc w:val="left"/>
              <w:textAlignment w:val="bottom"/>
              <w:rPr>
                <w:rFonts w:ascii="宋体" w:hAnsi="宋体" w:cs="宋体"/>
                <w:color w:val="auto"/>
                <w:szCs w:val="21"/>
              </w:rPr>
            </w:pPr>
            <w:r>
              <w:rPr>
                <w:rFonts w:hint="eastAsia" w:ascii="宋体" w:hAnsi="宋体" w:cs="宋体"/>
                <w:color w:val="auto"/>
                <w:szCs w:val="21"/>
              </w:rPr>
              <w:t>投标文件组成：</w:t>
            </w:r>
            <w:r>
              <w:rPr>
                <w:rFonts w:hint="eastAsia" w:ascii="宋体" w:hAnsi="宋体" w:cs="宋体"/>
                <w:b/>
                <w:bCs/>
                <w:color w:val="auto"/>
                <w:szCs w:val="21"/>
              </w:rPr>
              <w:t>报价文件、资信商务及技术文件正本各1份；副本各3份；并提供响应文件的电子文档PDF一份（u盘或光盘）。</w:t>
            </w:r>
          </w:p>
        </w:tc>
      </w:tr>
      <w:tr w14:paraId="7320E4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4" w:hRule="atLeast"/>
        </w:trPr>
        <w:tc>
          <w:tcPr>
            <w:tcW w:w="636" w:type="dxa"/>
            <w:tcBorders>
              <w:top w:val="single" w:color="auto" w:sz="4" w:space="0"/>
              <w:left w:val="single" w:color="auto" w:sz="4" w:space="0"/>
              <w:bottom w:val="single" w:color="auto" w:sz="4" w:space="0"/>
              <w:right w:val="single" w:color="auto" w:sz="4" w:space="0"/>
            </w:tcBorders>
            <w:vAlign w:val="center"/>
          </w:tcPr>
          <w:p w14:paraId="1B5E34AD">
            <w:pPr>
              <w:snapToGrid w:val="0"/>
              <w:spacing w:line="400" w:lineRule="exact"/>
              <w:jc w:val="center"/>
              <w:rPr>
                <w:rFonts w:ascii="宋体" w:hAnsi="宋体" w:cs="宋体"/>
                <w:szCs w:val="21"/>
              </w:rPr>
            </w:pPr>
            <w:r>
              <w:rPr>
                <w:rFonts w:hint="eastAsia" w:ascii="宋体" w:hAnsi="宋体" w:cs="宋体"/>
                <w:szCs w:val="21"/>
              </w:rPr>
              <w:t>11</w:t>
            </w:r>
          </w:p>
        </w:tc>
        <w:tc>
          <w:tcPr>
            <w:tcW w:w="8652" w:type="dxa"/>
            <w:tcBorders>
              <w:top w:val="single" w:color="auto" w:sz="4" w:space="0"/>
              <w:left w:val="single" w:color="auto" w:sz="4" w:space="0"/>
              <w:bottom w:val="single" w:color="auto" w:sz="4" w:space="0"/>
              <w:right w:val="single" w:color="auto" w:sz="4" w:space="0"/>
            </w:tcBorders>
            <w:vAlign w:val="center"/>
          </w:tcPr>
          <w:p w14:paraId="34DEE14D">
            <w:pPr>
              <w:pStyle w:val="43"/>
              <w:spacing w:before="0" w:beforeAutospacing="0" w:after="0" w:afterAutospacing="0" w:line="400" w:lineRule="exact"/>
              <w:rPr>
                <w:rFonts w:cs="宋体"/>
                <w:color w:val="auto"/>
                <w:szCs w:val="21"/>
              </w:rPr>
            </w:pPr>
            <w:r>
              <w:rPr>
                <w:rFonts w:hint="eastAsia" w:cs="宋体"/>
                <w:color w:val="auto"/>
                <w:sz w:val="21"/>
                <w:szCs w:val="21"/>
              </w:rPr>
              <w:t>提交投标文件截止时间及地点：投标人应于</w:t>
            </w:r>
            <w:r>
              <w:rPr>
                <w:rFonts w:hint="eastAsia" w:cs="宋体"/>
                <w:b/>
                <w:bCs/>
                <w:color w:val="auto"/>
                <w:sz w:val="21"/>
                <w:szCs w:val="21"/>
                <w:lang w:eastAsia="zh-CN"/>
              </w:rPr>
              <w:t>2024年11月05日09:30分</w:t>
            </w:r>
            <w:r>
              <w:rPr>
                <w:rFonts w:hint="eastAsia" w:cs="宋体"/>
                <w:color w:val="auto"/>
                <w:sz w:val="21"/>
                <w:szCs w:val="21"/>
              </w:rPr>
              <w:t>（北京时间）前将投标文件密封送交到嘉兴市消防救援支队4楼开标室（嘉兴市长水路1500号），逾期送达不予接收。</w:t>
            </w:r>
          </w:p>
        </w:tc>
      </w:tr>
      <w:tr w14:paraId="7E03B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636" w:type="dxa"/>
            <w:tcBorders>
              <w:top w:val="single" w:color="auto" w:sz="4" w:space="0"/>
              <w:left w:val="single" w:color="auto" w:sz="4" w:space="0"/>
              <w:bottom w:val="single" w:color="auto" w:sz="4" w:space="0"/>
              <w:right w:val="single" w:color="auto" w:sz="4" w:space="0"/>
            </w:tcBorders>
            <w:vAlign w:val="center"/>
          </w:tcPr>
          <w:p w14:paraId="2B810272">
            <w:pPr>
              <w:snapToGrid w:val="0"/>
              <w:spacing w:line="400" w:lineRule="exact"/>
              <w:jc w:val="center"/>
              <w:rPr>
                <w:rFonts w:ascii="宋体" w:hAnsi="宋体" w:cs="宋体"/>
                <w:szCs w:val="21"/>
              </w:rPr>
            </w:pPr>
            <w:r>
              <w:rPr>
                <w:rFonts w:hint="eastAsia" w:ascii="宋体" w:hAnsi="宋体" w:cs="宋体"/>
                <w:szCs w:val="21"/>
              </w:rPr>
              <w:t>12</w:t>
            </w:r>
          </w:p>
        </w:tc>
        <w:tc>
          <w:tcPr>
            <w:tcW w:w="8652" w:type="dxa"/>
            <w:tcBorders>
              <w:top w:val="single" w:color="auto" w:sz="4" w:space="0"/>
              <w:left w:val="single" w:color="auto" w:sz="4" w:space="0"/>
              <w:bottom w:val="single" w:color="auto" w:sz="4" w:space="0"/>
              <w:right w:val="single" w:color="auto" w:sz="4" w:space="0"/>
            </w:tcBorders>
            <w:vAlign w:val="center"/>
          </w:tcPr>
          <w:p w14:paraId="34C7592E">
            <w:pPr>
              <w:pStyle w:val="43"/>
              <w:spacing w:before="0" w:beforeAutospacing="0" w:after="0" w:afterAutospacing="0" w:line="400" w:lineRule="exact"/>
              <w:rPr>
                <w:rFonts w:cs="宋体"/>
                <w:color w:val="auto"/>
                <w:sz w:val="21"/>
                <w:szCs w:val="21"/>
              </w:rPr>
            </w:pPr>
            <w:r>
              <w:rPr>
                <w:rFonts w:hint="eastAsia" w:cs="宋体"/>
                <w:color w:val="auto"/>
                <w:sz w:val="21"/>
                <w:szCs w:val="21"/>
              </w:rPr>
              <w:t>开标时间：</w:t>
            </w:r>
            <w:r>
              <w:rPr>
                <w:rFonts w:hint="eastAsia" w:cs="宋体"/>
                <w:b/>
                <w:bCs/>
                <w:color w:val="auto"/>
                <w:sz w:val="21"/>
                <w:szCs w:val="21"/>
                <w:lang w:eastAsia="zh-CN"/>
              </w:rPr>
              <w:t>2024年11月05日09:30分</w:t>
            </w:r>
            <w:r>
              <w:rPr>
                <w:rFonts w:hint="eastAsia" w:cs="宋体"/>
                <w:color w:val="auto"/>
                <w:sz w:val="21"/>
                <w:szCs w:val="21"/>
              </w:rPr>
              <w:t>（北京时间）</w:t>
            </w:r>
          </w:p>
          <w:p w14:paraId="0AB7ECC7">
            <w:pPr>
              <w:autoSpaceDE w:val="0"/>
              <w:autoSpaceDN w:val="0"/>
              <w:snapToGrid w:val="0"/>
              <w:spacing w:line="400" w:lineRule="exact"/>
              <w:jc w:val="left"/>
              <w:textAlignment w:val="bottom"/>
              <w:rPr>
                <w:rFonts w:ascii="宋体" w:hAnsi="宋体" w:cs="宋体"/>
                <w:color w:val="auto"/>
                <w:szCs w:val="21"/>
              </w:rPr>
            </w:pPr>
            <w:r>
              <w:rPr>
                <w:rFonts w:hint="eastAsia" w:ascii="宋体" w:hAnsi="宋体" w:cs="宋体"/>
                <w:color w:val="auto"/>
                <w:szCs w:val="21"/>
              </w:rPr>
              <w:t>开标地点：在嘉兴市消防救援支队4楼开标室（嘉兴市长水路1500号）开标，</w:t>
            </w:r>
            <w:r>
              <w:rPr>
                <w:rFonts w:hint="eastAsia" w:ascii="宋体" w:hAnsi="宋体" w:cs="宋体"/>
                <w:b/>
                <w:bCs/>
                <w:color w:val="auto"/>
                <w:szCs w:val="21"/>
              </w:rPr>
              <w:t>请投标单位派1名授权代表前往参加。</w:t>
            </w:r>
          </w:p>
        </w:tc>
      </w:tr>
      <w:tr w14:paraId="70281C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636" w:type="dxa"/>
            <w:tcBorders>
              <w:top w:val="single" w:color="auto" w:sz="4" w:space="0"/>
              <w:left w:val="single" w:color="auto" w:sz="4" w:space="0"/>
              <w:bottom w:val="single" w:color="auto" w:sz="4" w:space="0"/>
              <w:right w:val="single" w:color="auto" w:sz="4" w:space="0"/>
            </w:tcBorders>
            <w:vAlign w:val="center"/>
          </w:tcPr>
          <w:p w14:paraId="0B7B129E">
            <w:pPr>
              <w:snapToGrid w:val="0"/>
              <w:spacing w:line="400" w:lineRule="exact"/>
              <w:jc w:val="center"/>
              <w:rPr>
                <w:rFonts w:ascii="宋体" w:hAnsi="宋体" w:cs="宋体"/>
                <w:szCs w:val="21"/>
              </w:rPr>
            </w:pPr>
            <w:r>
              <w:rPr>
                <w:rFonts w:hint="eastAsia" w:ascii="宋体" w:hAnsi="宋体" w:cs="宋体"/>
                <w:szCs w:val="21"/>
              </w:rPr>
              <w:t>13</w:t>
            </w:r>
          </w:p>
        </w:tc>
        <w:tc>
          <w:tcPr>
            <w:tcW w:w="8652" w:type="dxa"/>
            <w:tcBorders>
              <w:top w:val="single" w:color="auto" w:sz="4" w:space="0"/>
              <w:left w:val="single" w:color="auto" w:sz="4" w:space="0"/>
              <w:bottom w:val="single" w:color="auto" w:sz="4" w:space="0"/>
              <w:right w:val="single" w:color="auto" w:sz="4" w:space="0"/>
            </w:tcBorders>
            <w:vAlign w:val="center"/>
          </w:tcPr>
          <w:p w14:paraId="139B6F23">
            <w:pPr>
              <w:autoSpaceDE w:val="0"/>
              <w:autoSpaceDN w:val="0"/>
              <w:snapToGrid w:val="0"/>
              <w:spacing w:line="400" w:lineRule="exact"/>
              <w:jc w:val="left"/>
              <w:textAlignment w:val="bottom"/>
              <w:rPr>
                <w:rFonts w:ascii="宋体" w:hAnsi="宋体" w:cs="宋体"/>
                <w:color w:val="auto"/>
                <w:szCs w:val="21"/>
              </w:rPr>
            </w:pPr>
            <w:r>
              <w:rPr>
                <w:rFonts w:hint="eastAsia" w:ascii="宋体" w:hAnsi="宋体" w:cs="宋体"/>
                <w:color w:val="auto"/>
                <w:szCs w:val="21"/>
              </w:rPr>
              <w:t>签订合同时间：中标通知书发出后30日内。</w:t>
            </w:r>
          </w:p>
        </w:tc>
      </w:tr>
      <w:tr w14:paraId="4E506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 w:hRule="atLeast"/>
        </w:trPr>
        <w:tc>
          <w:tcPr>
            <w:tcW w:w="636" w:type="dxa"/>
            <w:tcBorders>
              <w:top w:val="single" w:color="auto" w:sz="4" w:space="0"/>
              <w:left w:val="single" w:color="auto" w:sz="4" w:space="0"/>
              <w:bottom w:val="single" w:color="auto" w:sz="4" w:space="0"/>
              <w:right w:val="single" w:color="auto" w:sz="4" w:space="0"/>
            </w:tcBorders>
            <w:vAlign w:val="center"/>
          </w:tcPr>
          <w:p w14:paraId="4EBFE5CD">
            <w:pPr>
              <w:snapToGrid w:val="0"/>
              <w:spacing w:line="400" w:lineRule="exact"/>
              <w:jc w:val="center"/>
              <w:rPr>
                <w:rFonts w:ascii="宋体" w:hAnsi="宋体" w:cs="宋体"/>
                <w:szCs w:val="21"/>
              </w:rPr>
            </w:pPr>
            <w:r>
              <w:rPr>
                <w:rFonts w:hint="eastAsia" w:ascii="宋体" w:hAnsi="宋体" w:cs="宋体"/>
                <w:szCs w:val="21"/>
              </w:rPr>
              <w:t>14</w:t>
            </w:r>
          </w:p>
        </w:tc>
        <w:tc>
          <w:tcPr>
            <w:tcW w:w="8652" w:type="dxa"/>
            <w:tcBorders>
              <w:top w:val="single" w:color="auto" w:sz="4" w:space="0"/>
              <w:left w:val="single" w:color="auto" w:sz="4" w:space="0"/>
              <w:bottom w:val="single" w:color="auto" w:sz="4" w:space="0"/>
              <w:right w:val="single" w:color="auto" w:sz="4" w:space="0"/>
            </w:tcBorders>
            <w:vAlign w:val="center"/>
          </w:tcPr>
          <w:p w14:paraId="272337D1">
            <w:pPr>
              <w:autoSpaceDE w:val="0"/>
              <w:autoSpaceDN w:val="0"/>
              <w:snapToGrid w:val="0"/>
              <w:spacing w:line="400" w:lineRule="exact"/>
              <w:jc w:val="left"/>
              <w:textAlignment w:val="bottom"/>
              <w:rPr>
                <w:rFonts w:ascii="宋体" w:hAnsi="宋体" w:cs="宋体"/>
                <w:color w:val="auto"/>
                <w:szCs w:val="21"/>
              </w:rPr>
            </w:pPr>
            <w:r>
              <w:rPr>
                <w:rFonts w:hint="eastAsia" w:ascii="宋体" w:hAnsi="宋体" w:cs="宋体"/>
                <w:color w:val="auto"/>
                <w:szCs w:val="21"/>
              </w:rPr>
              <w:t>履约保证金的收取及退还：</w:t>
            </w:r>
          </w:p>
          <w:p w14:paraId="1EFB6449">
            <w:pPr>
              <w:tabs>
                <w:tab w:val="left" w:pos="0"/>
              </w:tabs>
              <w:spacing w:line="400" w:lineRule="exact"/>
              <w:ind w:firstLine="482"/>
              <w:jc w:val="left"/>
              <w:rPr>
                <w:rFonts w:ascii="宋体" w:hAnsi="宋体" w:cs="宋体"/>
                <w:color w:val="auto"/>
                <w:szCs w:val="21"/>
              </w:rPr>
            </w:pPr>
            <w:sdt>
              <w:sdtPr>
                <w:rPr>
                  <w:rFonts w:hint="eastAsia" w:ascii="宋体" w:hAnsi="宋体" w:cs="宋体"/>
                  <w:color w:val="auto"/>
                  <w:szCs w:val="21"/>
                </w:rPr>
                <w:id w:val="249396817"/>
              </w:sdtPr>
              <w:sdtEndPr>
                <w:rPr>
                  <w:rFonts w:hint="eastAsia" w:ascii="宋体" w:hAnsi="宋体" w:cs="宋体"/>
                  <w:color w:val="auto"/>
                  <w:szCs w:val="21"/>
                </w:rPr>
              </w:sdtEndPr>
              <w:sdtContent>
                <w:r>
                  <w:rPr>
                    <w:rFonts w:hint="eastAsia" w:ascii="宋体" w:hAnsi="宋体" w:cs="宋体"/>
                    <w:color w:val="auto"/>
                    <w:szCs w:val="21"/>
                  </w:rPr>
                  <w:t>☐</w:t>
                </w:r>
              </w:sdtContent>
            </w:sdt>
            <w:r>
              <w:rPr>
                <w:rFonts w:hint="eastAsia" w:ascii="宋体" w:hAnsi="宋体" w:cs="宋体"/>
                <w:color w:val="auto"/>
                <w:szCs w:val="21"/>
              </w:rPr>
              <w:t>无；</w:t>
            </w:r>
          </w:p>
          <w:p w14:paraId="78163EB2">
            <w:pPr>
              <w:tabs>
                <w:tab w:val="left" w:pos="0"/>
              </w:tabs>
              <w:spacing w:line="400" w:lineRule="exact"/>
              <w:ind w:firstLine="482"/>
              <w:jc w:val="left"/>
              <w:rPr>
                <w:rFonts w:ascii="宋体" w:hAnsi="宋体" w:cs="宋体"/>
                <w:color w:val="auto"/>
                <w:szCs w:val="21"/>
              </w:rPr>
            </w:pPr>
            <w:sdt>
              <w:sdtPr>
                <w:rPr>
                  <w:rFonts w:hint="eastAsia" w:ascii="宋体" w:hAnsi="宋体" w:cs="宋体"/>
                  <w:color w:val="auto"/>
                  <w:szCs w:val="21"/>
                </w:rPr>
                <w:id w:val="1465620494"/>
              </w:sdtPr>
              <w:sdtEndPr>
                <w:rPr>
                  <w:rFonts w:hint="eastAsia" w:ascii="宋体" w:hAnsi="宋体" w:cs="宋体"/>
                  <w:color w:val="auto"/>
                  <w:szCs w:val="21"/>
                </w:rPr>
              </w:sdtEndPr>
              <w:sdtContent>
                <w:sdt>
                  <w:sdtPr>
                    <w:rPr>
                      <w:rFonts w:hint="eastAsia" w:ascii="宋体" w:hAnsi="宋体" w:cs="宋体"/>
                      <w:color w:val="auto"/>
                      <w:szCs w:val="21"/>
                    </w:rPr>
                    <w:id w:val="147469812"/>
                    <w:showingPlcHdr/>
                  </w:sdtPr>
                  <w:sdtEndPr>
                    <w:rPr>
                      <w:rFonts w:hint="eastAsia" w:ascii="宋体" w:hAnsi="宋体" w:cs="宋体"/>
                      <w:color w:val="auto"/>
                      <w:szCs w:val="21"/>
                    </w:rPr>
                  </w:sdtEndPr>
                  <w:sdtContent>
                    <w:r>
                      <w:rPr>
                        <w:rFonts w:hint="eastAsia" w:ascii="宋体" w:hAnsi="宋体" w:cs="宋体"/>
                        <w:color w:val="auto"/>
                        <w:szCs w:val="21"/>
                      </w:rPr>
                      <w:sym w:font="Wingdings" w:char="00FE"/>
                    </w:r>
                  </w:sdtContent>
                </w:sdt>
              </w:sdtContent>
            </w:sdt>
            <w:r>
              <w:rPr>
                <w:rFonts w:hint="eastAsia" w:ascii="宋体" w:hAnsi="宋体" w:cs="宋体"/>
                <w:color w:val="auto"/>
                <w:szCs w:val="21"/>
              </w:rPr>
              <w:t>有：合同签订后5个工作日内，供应商向采购人缴纳合同价的1%作为履约保证金，供应商应当以支票、汇票、本票或者金融机构、担保机构出具的保函等非现金形式提交，采购单位不得拒收。履约保证金的在合同履行完毕后及时退还，延迟退还的，应当按照合同约定和法律规定承担相应的赔偿责任。</w:t>
            </w:r>
          </w:p>
        </w:tc>
      </w:tr>
      <w:tr w14:paraId="1B4C00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636" w:type="dxa"/>
            <w:tcBorders>
              <w:top w:val="single" w:color="auto" w:sz="4" w:space="0"/>
              <w:left w:val="single" w:color="auto" w:sz="4" w:space="0"/>
              <w:bottom w:val="single" w:color="auto" w:sz="4" w:space="0"/>
              <w:right w:val="single" w:color="auto" w:sz="4" w:space="0"/>
            </w:tcBorders>
            <w:vAlign w:val="center"/>
          </w:tcPr>
          <w:p w14:paraId="27C14259">
            <w:pPr>
              <w:snapToGrid w:val="0"/>
              <w:spacing w:line="400" w:lineRule="exact"/>
              <w:jc w:val="center"/>
              <w:rPr>
                <w:rFonts w:ascii="宋体" w:hAnsi="宋体" w:cs="宋体"/>
                <w:szCs w:val="21"/>
              </w:rPr>
            </w:pPr>
            <w:r>
              <w:rPr>
                <w:rFonts w:hint="eastAsia" w:ascii="宋体" w:hAnsi="宋体" w:cs="宋体"/>
                <w:szCs w:val="21"/>
              </w:rPr>
              <w:t>15</w:t>
            </w:r>
          </w:p>
        </w:tc>
        <w:tc>
          <w:tcPr>
            <w:tcW w:w="8652" w:type="dxa"/>
            <w:tcBorders>
              <w:top w:val="single" w:color="auto" w:sz="4" w:space="0"/>
              <w:left w:val="single" w:color="auto" w:sz="4" w:space="0"/>
              <w:bottom w:val="single" w:color="auto" w:sz="4" w:space="0"/>
              <w:right w:val="single" w:color="auto" w:sz="4" w:space="0"/>
            </w:tcBorders>
            <w:vAlign w:val="center"/>
          </w:tcPr>
          <w:p w14:paraId="4F42F8B4">
            <w:pPr>
              <w:snapToGrid w:val="0"/>
              <w:spacing w:line="400" w:lineRule="exact"/>
              <w:jc w:val="left"/>
              <w:rPr>
                <w:rFonts w:ascii="宋体" w:hAnsi="宋体" w:cs="宋体"/>
                <w:szCs w:val="21"/>
              </w:rPr>
            </w:pPr>
            <w:r>
              <w:rPr>
                <w:rFonts w:hint="eastAsia" w:ascii="宋体" w:hAnsi="宋体" w:cs="宋体"/>
                <w:szCs w:val="21"/>
              </w:rPr>
              <w:t>投标文件有效期：</w:t>
            </w:r>
            <w:r>
              <w:rPr>
                <w:rFonts w:hint="eastAsia" w:ascii="宋体" w:hAnsi="宋体" w:cs="宋体"/>
                <w:szCs w:val="21"/>
                <w:u w:val="single"/>
              </w:rPr>
              <w:t>90</w:t>
            </w:r>
            <w:r>
              <w:rPr>
                <w:rFonts w:hint="eastAsia" w:ascii="宋体" w:hAnsi="宋体" w:cs="宋体"/>
                <w:szCs w:val="21"/>
              </w:rPr>
              <w:t>天</w:t>
            </w:r>
          </w:p>
        </w:tc>
      </w:tr>
      <w:tr w14:paraId="448226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5" w:hRule="atLeast"/>
        </w:trPr>
        <w:tc>
          <w:tcPr>
            <w:tcW w:w="636" w:type="dxa"/>
            <w:tcBorders>
              <w:top w:val="single" w:color="auto" w:sz="4" w:space="0"/>
              <w:left w:val="single" w:color="auto" w:sz="4" w:space="0"/>
              <w:bottom w:val="single" w:color="auto" w:sz="4" w:space="0"/>
              <w:right w:val="single" w:color="auto" w:sz="4" w:space="0"/>
            </w:tcBorders>
            <w:vAlign w:val="center"/>
          </w:tcPr>
          <w:p w14:paraId="0C60EA6A">
            <w:pPr>
              <w:snapToGrid w:val="0"/>
              <w:spacing w:line="400" w:lineRule="exact"/>
              <w:jc w:val="center"/>
              <w:rPr>
                <w:rFonts w:ascii="宋体" w:hAnsi="宋体" w:cs="宋体"/>
                <w:szCs w:val="21"/>
                <w:highlight w:val="none"/>
              </w:rPr>
            </w:pPr>
            <w:r>
              <w:rPr>
                <w:rFonts w:hint="eastAsia" w:ascii="宋体" w:hAnsi="宋体" w:cs="宋体"/>
                <w:szCs w:val="21"/>
                <w:highlight w:val="none"/>
              </w:rPr>
              <w:t>16</w:t>
            </w:r>
          </w:p>
        </w:tc>
        <w:tc>
          <w:tcPr>
            <w:tcW w:w="8652" w:type="dxa"/>
            <w:tcBorders>
              <w:top w:val="single" w:color="auto" w:sz="4" w:space="0"/>
              <w:left w:val="single" w:color="auto" w:sz="4" w:space="0"/>
              <w:bottom w:val="single" w:color="auto" w:sz="4" w:space="0"/>
              <w:right w:val="single" w:color="auto" w:sz="4" w:space="0"/>
            </w:tcBorders>
            <w:vAlign w:val="center"/>
          </w:tcPr>
          <w:p w14:paraId="77B912E1">
            <w:pPr>
              <w:snapToGrid w:val="0"/>
              <w:spacing w:line="400" w:lineRule="exact"/>
              <w:jc w:val="left"/>
              <w:rPr>
                <w:rFonts w:ascii="宋体" w:hAnsi="宋体" w:cs="宋体"/>
                <w:szCs w:val="21"/>
                <w:highlight w:val="none"/>
              </w:rPr>
            </w:pPr>
            <w:r>
              <w:rPr>
                <w:rFonts w:hint="eastAsia" w:ascii="宋体" w:hAnsi="宋体" w:cs="宋体"/>
                <w:b/>
                <w:bCs/>
                <w:highlight w:val="none"/>
              </w:rPr>
              <w:t>根据《政府采购促进中小企业发展管理办法》财库〔2020〕46号文件的规定，本项目属于预留份额专门面向中小企业采购。</w:t>
            </w:r>
            <w:r>
              <w:rPr>
                <w:rFonts w:hint="eastAsia" w:ascii="宋体" w:hAnsi="宋体" w:cs="宋体"/>
                <w:b/>
                <w:bCs/>
                <w:szCs w:val="21"/>
                <w:highlight w:val="none"/>
              </w:rPr>
              <w:t>本项目为</w:t>
            </w:r>
            <w:r>
              <w:rPr>
                <w:rFonts w:hint="eastAsia" w:ascii="宋体" w:hAnsi="宋体" w:cs="宋体"/>
                <w:b/>
                <w:bCs/>
                <w:szCs w:val="21"/>
                <w:highlight w:val="none"/>
                <w:u w:val="single"/>
              </w:rPr>
              <w:t>服</w:t>
            </w:r>
            <w:r>
              <w:rPr>
                <w:rFonts w:hint="eastAsia" w:ascii="宋体" w:hAnsi="宋体" w:cs="宋体"/>
                <w:b/>
                <w:bCs/>
                <w:highlight w:val="none"/>
                <w:u w:val="single"/>
              </w:rPr>
              <w:t>务类</w:t>
            </w:r>
            <w:r>
              <w:rPr>
                <w:rFonts w:hint="eastAsia" w:ascii="宋体" w:hAnsi="宋体" w:cs="宋体"/>
                <w:b/>
                <w:bCs/>
                <w:highlight w:val="none"/>
              </w:rPr>
              <w:t>，采购标的为</w:t>
            </w:r>
            <w:r>
              <w:rPr>
                <w:rFonts w:hint="eastAsia" w:ascii="宋体" w:hAnsi="宋体" w:cs="宋体"/>
                <w:b/>
                <w:bCs/>
                <w:highlight w:val="none"/>
                <w:u w:val="single"/>
              </w:rPr>
              <w:t>浙江省嘉兴支队海盐县消防救援大队2024-2025年度物业管理服务采购项目</w:t>
            </w:r>
            <w:r>
              <w:rPr>
                <w:rFonts w:hint="eastAsia" w:ascii="宋体" w:hAnsi="宋体" w:cs="宋体"/>
                <w:b/>
                <w:bCs/>
                <w:highlight w:val="none"/>
              </w:rPr>
              <w:t>，所属行业为</w:t>
            </w:r>
            <w:r>
              <w:rPr>
                <w:rFonts w:hint="eastAsia" w:ascii="宋体" w:hAnsi="宋体" w:cs="宋体"/>
                <w:b/>
                <w:bCs/>
                <w:highlight w:val="none"/>
                <w:u w:val="single"/>
              </w:rPr>
              <w:t>物业管理</w:t>
            </w:r>
            <w:r>
              <w:rPr>
                <w:rFonts w:hint="eastAsia" w:ascii="宋体" w:hAnsi="宋体" w:cs="宋体"/>
                <w:b/>
                <w:bCs/>
                <w:highlight w:val="none"/>
              </w:rPr>
              <w:t>行业。</w:t>
            </w:r>
          </w:p>
        </w:tc>
      </w:tr>
      <w:tr w14:paraId="40773B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636" w:type="dxa"/>
            <w:tcBorders>
              <w:top w:val="single" w:color="auto" w:sz="4" w:space="0"/>
              <w:left w:val="single" w:color="auto" w:sz="4" w:space="0"/>
              <w:bottom w:val="single" w:color="auto" w:sz="4" w:space="0"/>
              <w:right w:val="single" w:color="auto" w:sz="4" w:space="0"/>
            </w:tcBorders>
            <w:vAlign w:val="center"/>
          </w:tcPr>
          <w:p w14:paraId="2CAEA995">
            <w:pPr>
              <w:snapToGrid w:val="0"/>
              <w:spacing w:line="400" w:lineRule="exact"/>
              <w:jc w:val="center"/>
              <w:rPr>
                <w:rFonts w:ascii="宋体" w:hAnsi="宋体" w:cs="宋体"/>
                <w:szCs w:val="21"/>
              </w:rPr>
            </w:pPr>
            <w:r>
              <w:rPr>
                <w:rFonts w:hint="eastAsia" w:ascii="宋体" w:hAnsi="宋体" w:cs="宋体"/>
                <w:szCs w:val="21"/>
              </w:rPr>
              <w:t>17</w:t>
            </w:r>
          </w:p>
        </w:tc>
        <w:tc>
          <w:tcPr>
            <w:tcW w:w="8652" w:type="dxa"/>
            <w:tcBorders>
              <w:top w:val="single" w:color="auto" w:sz="4" w:space="0"/>
              <w:left w:val="single" w:color="auto" w:sz="4" w:space="0"/>
              <w:bottom w:val="single" w:color="auto" w:sz="4" w:space="0"/>
              <w:right w:val="single" w:color="auto" w:sz="4" w:space="0"/>
            </w:tcBorders>
            <w:vAlign w:val="center"/>
          </w:tcPr>
          <w:p w14:paraId="36C3D249">
            <w:pPr>
              <w:spacing w:line="400" w:lineRule="exact"/>
              <w:jc w:val="left"/>
              <w:rPr>
                <w:rFonts w:ascii="宋体" w:hAnsi="宋体" w:cs="宋体"/>
                <w:szCs w:val="21"/>
              </w:rPr>
            </w:pPr>
            <w:r>
              <w:rPr>
                <w:rFonts w:hint="eastAsia" w:ascii="宋体" w:hAnsi="宋体" w:cs="宋体"/>
                <w:szCs w:val="21"/>
              </w:rPr>
              <w:t>评标结果公告：评标结束且采购人确认采购结果后，中标结果公告于中国政府采购网(http://www.ccgp.gov.cn/)、浙江政府采购网(</w:t>
            </w:r>
            <w:r>
              <w:fldChar w:fldCharType="begin"/>
            </w:r>
            <w:r>
              <w:instrText xml:space="preserve"> HYPERLINK "http://zfcg.czt.zj.gov.cn/" </w:instrText>
            </w:r>
            <w:r>
              <w:fldChar w:fldCharType="separate"/>
            </w:r>
            <w:r>
              <w:rPr>
                <w:rStyle w:val="55"/>
                <w:rFonts w:hint="eastAsia" w:ascii="宋体" w:hAnsi="宋体" w:cs="宋体"/>
                <w:color w:val="auto"/>
                <w:szCs w:val="21"/>
              </w:rPr>
              <w:t>http://zfcg.czt.zj.gov.cn/</w:t>
            </w:r>
            <w:r>
              <w:rPr>
                <w:rStyle w:val="55"/>
                <w:rFonts w:hint="eastAsia" w:ascii="宋体" w:hAnsi="宋体" w:cs="宋体"/>
                <w:color w:val="auto"/>
                <w:szCs w:val="21"/>
              </w:rPr>
              <w:fldChar w:fldCharType="end"/>
            </w:r>
            <w:r>
              <w:rPr>
                <w:rFonts w:hint="eastAsia" w:ascii="宋体" w:hAnsi="宋体" w:cs="宋体"/>
                <w:szCs w:val="21"/>
              </w:rPr>
              <w:t>)、嘉兴市公共资源交易网（https://jxszwsjb.jiaxing.gov.cn/）。</w:t>
            </w:r>
          </w:p>
        </w:tc>
      </w:tr>
      <w:tr w14:paraId="0529F2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 w:hRule="atLeast"/>
        </w:trPr>
        <w:tc>
          <w:tcPr>
            <w:tcW w:w="636" w:type="dxa"/>
            <w:tcBorders>
              <w:top w:val="single" w:color="auto" w:sz="4" w:space="0"/>
              <w:left w:val="single" w:color="auto" w:sz="4" w:space="0"/>
              <w:bottom w:val="single" w:color="auto" w:sz="4" w:space="0"/>
              <w:right w:val="single" w:color="auto" w:sz="4" w:space="0"/>
            </w:tcBorders>
            <w:vAlign w:val="center"/>
          </w:tcPr>
          <w:p w14:paraId="55B29BA4">
            <w:pPr>
              <w:snapToGrid w:val="0"/>
              <w:spacing w:line="400" w:lineRule="exact"/>
              <w:jc w:val="center"/>
              <w:rPr>
                <w:rFonts w:ascii="宋体" w:hAnsi="宋体" w:cs="宋体"/>
                <w:szCs w:val="21"/>
              </w:rPr>
            </w:pPr>
            <w:r>
              <w:rPr>
                <w:rFonts w:hint="eastAsia" w:ascii="宋体" w:hAnsi="宋体" w:cs="宋体"/>
                <w:szCs w:val="21"/>
              </w:rPr>
              <w:t>18</w:t>
            </w:r>
          </w:p>
        </w:tc>
        <w:tc>
          <w:tcPr>
            <w:tcW w:w="8652" w:type="dxa"/>
            <w:tcBorders>
              <w:top w:val="single" w:color="auto" w:sz="4" w:space="0"/>
              <w:left w:val="single" w:color="auto" w:sz="4" w:space="0"/>
              <w:bottom w:val="single" w:color="auto" w:sz="4" w:space="0"/>
              <w:right w:val="single" w:color="auto" w:sz="4" w:space="0"/>
            </w:tcBorders>
            <w:vAlign w:val="center"/>
          </w:tcPr>
          <w:p w14:paraId="1513D148">
            <w:pPr>
              <w:snapToGrid w:val="0"/>
              <w:spacing w:line="400" w:lineRule="exact"/>
              <w:jc w:val="left"/>
              <w:rPr>
                <w:rFonts w:ascii="宋体" w:hAnsi="宋体" w:cs="宋体"/>
                <w:szCs w:val="21"/>
              </w:rPr>
            </w:pPr>
            <w:r>
              <w:rPr>
                <w:rFonts w:hint="eastAsia" w:ascii="宋体" w:hAnsi="宋体" w:cs="宋体"/>
                <w:szCs w:val="21"/>
              </w:rPr>
              <w:t>解释：本招标文件的解释权属于招标采购单位。</w:t>
            </w:r>
          </w:p>
        </w:tc>
      </w:tr>
      <w:bookmarkEnd w:id="6"/>
      <w:bookmarkEnd w:id="7"/>
      <w:bookmarkEnd w:id="8"/>
    </w:tbl>
    <w:p w14:paraId="6D494F63">
      <w:pPr>
        <w:snapToGrid w:val="0"/>
        <w:spacing w:line="360" w:lineRule="auto"/>
        <w:ind w:firstLine="422" w:firstLineChars="200"/>
        <w:jc w:val="left"/>
        <w:outlineLvl w:val="1"/>
        <w:rPr>
          <w:rFonts w:ascii="宋体" w:hAnsi="宋体" w:cs="宋体"/>
          <w:b/>
          <w:szCs w:val="21"/>
        </w:rPr>
      </w:pPr>
      <w:bookmarkStart w:id="13" w:name="_Toc493511580"/>
      <w:bookmarkStart w:id="14" w:name="_Toc50012817"/>
      <w:bookmarkStart w:id="15" w:name="_Toc177870536"/>
    </w:p>
    <w:p w14:paraId="068A2557">
      <w:pPr>
        <w:snapToGrid w:val="0"/>
        <w:spacing w:line="420" w:lineRule="exact"/>
        <w:ind w:firstLine="422" w:firstLineChars="200"/>
        <w:jc w:val="left"/>
        <w:outlineLvl w:val="1"/>
        <w:rPr>
          <w:rFonts w:ascii="宋体" w:hAnsi="宋体" w:cs="宋体"/>
          <w:b/>
          <w:szCs w:val="21"/>
        </w:rPr>
      </w:pPr>
      <w:bookmarkStart w:id="16" w:name="_Toc2096"/>
      <w:r>
        <w:rPr>
          <w:rFonts w:hint="eastAsia" w:ascii="宋体" w:hAnsi="宋体" w:cs="宋体"/>
          <w:b/>
          <w:szCs w:val="21"/>
        </w:rPr>
        <w:t>一、总  则</w:t>
      </w:r>
      <w:bookmarkEnd w:id="13"/>
      <w:bookmarkEnd w:id="14"/>
      <w:bookmarkEnd w:id="15"/>
      <w:bookmarkEnd w:id="16"/>
    </w:p>
    <w:p w14:paraId="3660EEA8">
      <w:pPr>
        <w:snapToGrid w:val="0"/>
        <w:spacing w:line="420" w:lineRule="exact"/>
        <w:ind w:firstLine="420" w:firstLineChars="200"/>
        <w:jc w:val="left"/>
        <w:outlineLvl w:val="1"/>
        <w:rPr>
          <w:rFonts w:ascii="宋体" w:hAnsi="宋体" w:cs="宋体"/>
          <w:szCs w:val="21"/>
        </w:rPr>
      </w:pPr>
      <w:bookmarkStart w:id="17" w:name="_Toc177824872"/>
      <w:bookmarkStart w:id="18" w:name="_Toc427915759"/>
      <w:bookmarkStart w:id="19" w:name="_Toc177824939"/>
      <w:bookmarkStart w:id="20" w:name="_Toc50012818"/>
      <w:bookmarkStart w:id="21" w:name="_Toc493511581"/>
      <w:bookmarkStart w:id="22" w:name="_Toc177870537"/>
      <w:bookmarkStart w:id="23" w:name="_Toc8394"/>
      <w:bookmarkStart w:id="24" w:name="_Toc177825120"/>
      <w:r>
        <w:rPr>
          <w:rFonts w:hint="eastAsia" w:ascii="宋体" w:hAnsi="宋体" w:cs="宋体"/>
          <w:szCs w:val="21"/>
        </w:rPr>
        <w:t>1、 适用范围</w:t>
      </w:r>
      <w:bookmarkEnd w:id="17"/>
      <w:bookmarkEnd w:id="18"/>
      <w:bookmarkEnd w:id="19"/>
      <w:bookmarkEnd w:id="20"/>
      <w:bookmarkEnd w:id="21"/>
      <w:bookmarkEnd w:id="22"/>
      <w:bookmarkEnd w:id="23"/>
      <w:bookmarkEnd w:id="24"/>
    </w:p>
    <w:p w14:paraId="45784BB9">
      <w:pPr>
        <w:snapToGrid w:val="0"/>
        <w:spacing w:line="420" w:lineRule="exact"/>
        <w:ind w:firstLine="420" w:firstLineChars="200"/>
        <w:jc w:val="left"/>
        <w:outlineLvl w:val="1"/>
        <w:rPr>
          <w:rFonts w:ascii="宋体" w:hAnsi="宋体" w:cs="宋体"/>
          <w:szCs w:val="21"/>
        </w:rPr>
      </w:pPr>
      <w:bookmarkStart w:id="25" w:name="_Toc50012819"/>
      <w:bookmarkStart w:id="26" w:name="_Toc493511582"/>
      <w:bookmarkStart w:id="27" w:name="_Toc30106"/>
      <w:r>
        <w:rPr>
          <w:rFonts w:hint="eastAsia" w:ascii="宋体" w:hAnsi="宋体" w:cs="宋体"/>
          <w:szCs w:val="21"/>
        </w:rPr>
        <w:t>1.1、本招标文件适用于本次所述项目的招标。</w:t>
      </w:r>
      <w:bookmarkEnd w:id="25"/>
      <w:bookmarkEnd w:id="26"/>
      <w:bookmarkEnd w:id="27"/>
      <w:bookmarkStart w:id="28" w:name="_Toc177825121"/>
      <w:bookmarkStart w:id="29" w:name="_Toc427915760"/>
      <w:bookmarkStart w:id="30" w:name="_Toc177824940"/>
      <w:bookmarkStart w:id="31" w:name="_Toc177870538"/>
      <w:bookmarkStart w:id="32" w:name="_Toc177824873"/>
    </w:p>
    <w:p w14:paraId="23A77B65">
      <w:pPr>
        <w:snapToGrid w:val="0"/>
        <w:spacing w:line="420" w:lineRule="exact"/>
        <w:ind w:firstLine="420" w:firstLineChars="200"/>
        <w:jc w:val="left"/>
        <w:outlineLvl w:val="1"/>
        <w:rPr>
          <w:rFonts w:ascii="宋体" w:hAnsi="宋体" w:cs="宋体"/>
          <w:szCs w:val="21"/>
        </w:rPr>
      </w:pPr>
      <w:bookmarkStart w:id="33" w:name="_Toc29052"/>
      <w:bookmarkStart w:id="34" w:name="_Toc493511583"/>
      <w:bookmarkStart w:id="35" w:name="_Toc50012820"/>
      <w:r>
        <w:rPr>
          <w:rFonts w:hint="eastAsia" w:ascii="宋体" w:hAnsi="宋体" w:cs="宋体"/>
          <w:szCs w:val="21"/>
        </w:rPr>
        <w:t>2、定义</w:t>
      </w:r>
      <w:bookmarkEnd w:id="28"/>
      <w:bookmarkEnd w:id="29"/>
      <w:bookmarkEnd w:id="30"/>
      <w:bookmarkEnd w:id="31"/>
      <w:bookmarkEnd w:id="32"/>
      <w:bookmarkEnd w:id="33"/>
      <w:bookmarkEnd w:id="34"/>
      <w:bookmarkEnd w:id="35"/>
    </w:p>
    <w:p w14:paraId="7E77ABC0">
      <w:pPr>
        <w:snapToGrid w:val="0"/>
        <w:spacing w:line="420" w:lineRule="exact"/>
        <w:ind w:firstLine="420" w:firstLineChars="200"/>
        <w:jc w:val="left"/>
        <w:outlineLvl w:val="1"/>
        <w:rPr>
          <w:rFonts w:ascii="宋体" w:hAnsi="宋体" w:cs="宋体"/>
          <w:szCs w:val="21"/>
        </w:rPr>
      </w:pPr>
      <w:bookmarkStart w:id="36" w:name="_Toc19542"/>
      <w:bookmarkStart w:id="37" w:name="_Toc50012821"/>
      <w:bookmarkStart w:id="38" w:name="_Toc493511584"/>
      <w:r>
        <w:rPr>
          <w:rFonts w:hint="eastAsia" w:ascii="宋体" w:hAnsi="宋体" w:cs="宋体"/>
          <w:szCs w:val="21"/>
        </w:rPr>
        <w:t>2.1、“招标人”系指组织本次招标的代理机构或采购人。</w:t>
      </w:r>
      <w:bookmarkEnd w:id="36"/>
      <w:bookmarkEnd w:id="37"/>
      <w:bookmarkEnd w:id="38"/>
    </w:p>
    <w:p w14:paraId="44562DD7">
      <w:pPr>
        <w:snapToGrid w:val="0"/>
        <w:spacing w:line="420" w:lineRule="exact"/>
        <w:ind w:firstLine="420" w:firstLineChars="200"/>
        <w:jc w:val="left"/>
        <w:outlineLvl w:val="1"/>
        <w:rPr>
          <w:rFonts w:ascii="宋体" w:hAnsi="宋体" w:cs="宋体"/>
          <w:szCs w:val="21"/>
        </w:rPr>
      </w:pPr>
      <w:bookmarkStart w:id="39" w:name="_Toc22525"/>
      <w:bookmarkStart w:id="40" w:name="_Toc50012822"/>
      <w:bookmarkStart w:id="41" w:name="_Toc493511585"/>
      <w:r>
        <w:rPr>
          <w:rFonts w:hint="eastAsia" w:ascii="宋体" w:hAnsi="宋体" w:cs="宋体"/>
          <w:szCs w:val="21"/>
        </w:rPr>
        <w:t>2.2、“投标人”系指向招标方提交投标文件的投标人。</w:t>
      </w:r>
      <w:bookmarkEnd w:id="39"/>
      <w:bookmarkEnd w:id="40"/>
      <w:bookmarkEnd w:id="41"/>
    </w:p>
    <w:p w14:paraId="638C7FB2">
      <w:pPr>
        <w:snapToGrid w:val="0"/>
        <w:spacing w:line="420" w:lineRule="exact"/>
        <w:ind w:firstLine="420" w:firstLineChars="200"/>
        <w:jc w:val="left"/>
        <w:outlineLvl w:val="1"/>
        <w:rPr>
          <w:rFonts w:ascii="宋体" w:hAnsi="宋体" w:cs="宋体"/>
          <w:szCs w:val="21"/>
        </w:rPr>
      </w:pPr>
      <w:bookmarkStart w:id="42" w:name="_Toc2392"/>
      <w:bookmarkStart w:id="43" w:name="_Toc493511586"/>
      <w:bookmarkStart w:id="44" w:name="_Toc50012823"/>
      <w:r>
        <w:rPr>
          <w:rFonts w:hint="eastAsia" w:ascii="宋体" w:hAnsi="宋体" w:cs="宋体"/>
          <w:szCs w:val="21"/>
        </w:rPr>
        <w:t>2.3、“产品”系指供方按招标文件规定，须向采购人提供的一切设备、保险、税金、备品备件、工具、手册及其他有关技术资料和材料。</w:t>
      </w:r>
      <w:bookmarkEnd w:id="42"/>
      <w:bookmarkEnd w:id="43"/>
      <w:bookmarkEnd w:id="44"/>
    </w:p>
    <w:p w14:paraId="4F538A72">
      <w:pPr>
        <w:snapToGrid w:val="0"/>
        <w:spacing w:line="420" w:lineRule="exact"/>
        <w:ind w:firstLine="420" w:firstLineChars="200"/>
        <w:jc w:val="left"/>
        <w:outlineLvl w:val="1"/>
        <w:rPr>
          <w:rFonts w:ascii="宋体" w:hAnsi="宋体" w:cs="宋体"/>
          <w:szCs w:val="21"/>
        </w:rPr>
      </w:pPr>
      <w:bookmarkStart w:id="45" w:name="_Toc50012824"/>
      <w:bookmarkStart w:id="46" w:name="_Toc15752"/>
      <w:bookmarkStart w:id="47" w:name="_Toc493511587"/>
      <w:r>
        <w:rPr>
          <w:rFonts w:hint="eastAsia" w:ascii="宋体" w:hAnsi="宋体" w:cs="宋体"/>
          <w:szCs w:val="21"/>
        </w:rPr>
        <w:t>2.4、“服务”系指招标文件规定投标人须承担的安装、调试、技术协助、校准、培训、技术指导以及其他类似的义务。</w:t>
      </w:r>
      <w:bookmarkEnd w:id="45"/>
      <w:bookmarkEnd w:id="46"/>
      <w:bookmarkEnd w:id="47"/>
    </w:p>
    <w:p w14:paraId="4CAD9CAE">
      <w:pPr>
        <w:snapToGrid w:val="0"/>
        <w:spacing w:line="420" w:lineRule="exact"/>
        <w:ind w:firstLine="420" w:firstLineChars="200"/>
        <w:jc w:val="left"/>
        <w:outlineLvl w:val="1"/>
        <w:rPr>
          <w:rFonts w:ascii="宋体" w:hAnsi="宋体" w:cs="宋体"/>
          <w:szCs w:val="21"/>
        </w:rPr>
      </w:pPr>
      <w:bookmarkStart w:id="48" w:name="_Toc14499"/>
      <w:bookmarkStart w:id="49" w:name="_Toc493511588"/>
      <w:bookmarkStart w:id="50" w:name="_Toc50012825"/>
      <w:r>
        <w:rPr>
          <w:rFonts w:hint="eastAsia" w:ascii="宋体" w:hAnsi="宋体" w:cs="宋体"/>
          <w:szCs w:val="21"/>
        </w:rPr>
        <w:t>2.5、“项目”系指投标人按招标文件规定向采购人提供的产品和服务。</w:t>
      </w:r>
      <w:bookmarkEnd w:id="48"/>
      <w:bookmarkEnd w:id="49"/>
      <w:bookmarkEnd w:id="50"/>
    </w:p>
    <w:p w14:paraId="52586875">
      <w:pPr>
        <w:snapToGrid w:val="0"/>
        <w:spacing w:line="420" w:lineRule="exact"/>
        <w:ind w:firstLine="420" w:firstLineChars="200"/>
        <w:jc w:val="left"/>
        <w:outlineLvl w:val="1"/>
        <w:rPr>
          <w:rFonts w:ascii="宋体" w:hAnsi="宋体" w:cs="宋体"/>
          <w:szCs w:val="21"/>
        </w:rPr>
      </w:pPr>
      <w:bookmarkStart w:id="51" w:name="_Toc50012826"/>
      <w:bookmarkStart w:id="52" w:name="_Toc28414"/>
      <w:bookmarkStart w:id="53" w:name="_Toc493511589"/>
      <w:r>
        <w:rPr>
          <w:rFonts w:hint="eastAsia" w:ascii="宋体" w:hAnsi="宋体" w:cs="宋体"/>
          <w:szCs w:val="21"/>
        </w:rPr>
        <w:t>2.6、“书面形式”包括信函、传真、电报、电子文档等。</w:t>
      </w:r>
      <w:bookmarkEnd w:id="51"/>
      <w:bookmarkEnd w:id="52"/>
      <w:bookmarkEnd w:id="53"/>
    </w:p>
    <w:p w14:paraId="673364F1">
      <w:pPr>
        <w:snapToGrid w:val="0"/>
        <w:spacing w:line="420" w:lineRule="exact"/>
        <w:ind w:firstLine="420" w:firstLineChars="200"/>
        <w:jc w:val="left"/>
        <w:outlineLvl w:val="1"/>
        <w:rPr>
          <w:rFonts w:ascii="宋体" w:hAnsi="宋体" w:cs="宋体"/>
          <w:szCs w:val="21"/>
        </w:rPr>
      </w:pPr>
      <w:bookmarkStart w:id="54" w:name="_Toc18649"/>
      <w:bookmarkStart w:id="55" w:name="_Toc493511590"/>
      <w:bookmarkStart w:id="56" w:name="_Toc50012827"/>
      <w:r>
        <w:rPr>
          <w:rFonts w:hint="eastAsia" w:ascii="宋体" w:hAnsi="宋体" w:cs="宋体"/>
          <w:szCs w:val="21"/>
        </w:rPr>
        <w:t>2.7、</w:t>
      </w:r>
      <w:bookmarkEnd w:id="54"/>
      <w:bookmarkEnd w:id="55"/>
      <w:bookmarkEnd w:id="56"/>
      <w:bookmarkStart w:id="57" w:name="_Toc177870539"/>
      <w:bookmarkStart w:id="58" w:name="_Toc427915761"/>
      <w:r>
        <w:rPr>
          <w:rFonts w:hint="eastAsia" w:ascii="宋体" w:hAnsi="宋体" w:cs="宋体"/>
          <w:szCs w:val="21"/>
        </w:rPr>
        <w:t>“▲”为重要技术指标，一项不满足的作无效标处理。“</w:t>
      </w:r>
      <w:r>
        <w:rPr>
          <w:rFonts w:hint="eastAsia" w:ascii="宋体" w:hAnsi="宋体" w:cs="宋体"/>
          <w:kern w:val="0"/>
          <w:szCs w:val="21"/>
        </w:rPr>
        <w:t>○</w:t>
      </w:r>
      <w:r>
        <w:rPr>
          <w:rFonts w:hint="eastAsia" w:ascii="宋体" w:hAnsi="宋体" w:cs="宋体"/>
          <w:szCs w:val="21"/>
        </w:rPr>
        <w:t>”为主要技术指标,投标时产生偏离的将影响评分。</w:t>
      </w:r>
    </w:p>
    <w:p w14:paraId="7AEB4E5C">
      <w:pPr>
        <w:snapToGrid w:val="0"/>
        <w:spacing w:line="420" w:lineRule="exact"/>
        <w:ind w:firstLine="420" w:firstLineChars="200"/>
        <w:jc w:val="left"/>
        <w:outlineLvl w:val="1"/>
        <w:rPr>
          <w:rFonts w:ascii="宋体" w:hAnsi="宋体" w:cs="宋体"/>
          <w:szCs w:val="21"/>
        </w:rPr>
      </w:pPr>
      <w:bookmarkStart w:id="59" w:name="_Toc50012828"/>
      <w:bookmarkStart w:id="60" w:name="_Toc10422"/>
      <w:bookmarkStart w:id="61" w:name="_Toc493511591"/>
      <w:r>
        <w:rPr>
          <w:rFonts w:hint="eastAsia" w:ascii="宋体" w:hAnsi="宋体" w:cs="宋体"/>
          <w:szCs w:val="21"/>
        </w:rPr>
        <w:t>3、招标方式</w:t>
      </w:r>
      <w:bookmarkEnd w:id="57"/>
      <w:bookmarkEnd w:id="58"/>
      <w:bookmarkEnd w:id="59"/>
      <w:bookmarkEnd w:id="60"/>
      <w:bookmarkEnd w:id="61"/>
    </w:p>
    <w:p w14:paraId="7661D5EA">
      <w:pPr>
        <w:snapToGrid w:val="0"/>
        <w:spacing w:line="420" w:lineRule="exact"/>
        <w:ind w:firstLine="420" w:firstLineChars="200"/>
        <w:jc w:val="left"/>
        <w:outlineLvl w:val="1"/>
        <w:rPr>
          <w:rFonts w:ascii="宋体" w:hAnsi="宋体" w:cs="宋体"/>
          <w:szCs w:val="21"/>
        </w:rPr>
      </w:pPr>
      <w:bookmarkStart w:id="62" w:name="_Toc21572"/>
      <w:bookmarkStart w:id="63" w:name="_Toc493511592"/>
      <w:bookmarkStart w:id="64" w:name="_Toc50012829"/>
      <w:r>
        <w:rPr>
          <w:rFonts w:hint="eastAsia" w:ascii="宋体" w:hAnsi="宋体" w:cs="宋体"/>
          <w:szCs w:val="21"/>
        </w:rPr>
        <w:t>本次招标采用公开招标方式进行。</w:t>
      </w:r>
      <w:bookmarkEnd w:id="62"/>
      <w:bookmarkEnd w:id="63"/>
      <w:bookmarkEnd w:id="64"/>
    </w:p>
    <w:p w14:paraId="49724C57">
      <w:pPr>
        <w:snapToGrid w:val="0"/>
        <w:spacing w:line="420" w:lineRule="exact"/>
        <w:ind w:firstLine="420" w:firstLineChars="200"/>
        <w:jc w:val="left"/>
        <w:outlineLvl w:val="1"/>
        <w:rPr>
          <w:rFonts w:ascii="宋体" w:hAnsi="宋体" w:cs="宋体"/>
          <w:szCs w:val="21"/>
        </w:rPr>
      </w:pPr>
      <w:bookmarkStart w:id="65" w:name="_Toc50012830"/>
      <w:bookmarkStart w:id="66" w:name="_Toc493511593"/>
      <w:bookmarkStart w:id="67" w:name="_Toc30170"/>
      <w:r>
        <w:rPr>
          <w:rFonts w:hint="eastAsia" w:ascii="宋体" w:hAnsi="宋体" w:cs="宋体"/>
          <w:szCs w:val="21"/>
        </w:rPr>
        <w:t>4、本次招标设定上限价详见前附表。</w:t>
      </w:r>
      <w:bookmarkEnd w:id="65"/>
      <w:bookmarkEnd w:id="66"/>
      <w:bookmarkEnd w:id="67"/>
      <w:bookmarkStart w:id="68" w:name="_Toc177824941"/>
      <w:bookmarkStart w:id="69" w:name="_Toc177870540"/>
      <w:bookmarkStart w:id="70" w:name="_Toc177825122"/>
      <w:bookmarkStart w:id="71" w:name="_Toc427915762"/>
      <w:bookmarkStart w:id="72" w:name="_Toc177824874"/>
    </w:p>
    <w:bookmarkEnd w:id="68"/>
    <w:bookmarkEnd w:id="69"/>
    <w:bookmarkEnd w:id="70"/>
    <w:bookmarkEnd w:id="71"/>
    <w:bookmarkEnd w:id="72"/>
    <w:p w14:paraId="3E85F41F">
      <w:pPr>
        <w:snapToGrid w:val="0"/>
        <w:spacing w:line="420" w:lineRule="exact"/>
        <w:ind w:firstLine="420" w:firstLineChars="200"/>
        <w:jc w:val="left"/>
        <w:outlineLvl w:val="1"/>
        <w:rPr>
          <w:rFonts w:ascii="宋体" w:hAnsi="宋体" w:cs="宋体"/>
          <w:szCs w:val="21"/>
        </w:rPr>
      </w:pPr>
      <w:bookmarkStart w:id="73" w:name="_Toc2927"/>
      <w:bookmarkStart w:id="74" w:name="_Toc50012833"/>
      <w:bookmarkStart w:id="75" w:name="_Toc177824942"/>
      <w:bookmarkStart w:id="76" w:name="_Toc493511596"/>
      <w:bookmarkStart w:id="77" w:name="_Toc177870541"/>
      <w:bookmarkStart w:id="78" w:name="_Toc427915763"/>
      <w:bookmarkStart w:id="79" w:name="_Toc177825123"/>
      <w:bookmarkStart w:id="80" w:name="_Toc177824875"/>
      <w:r>
        <w:rPr>
          <w:rFonts w:hint="eastAsia" w:ascii="宋体" w:hAnsi="宋体" w:cs="宋体"/>
          <w:szCs w:val="21"/>
        </w:rPr>
        <w:t>5、投标费用</w:t>
      </w:r>
      <w:bookmarkEnd w:id="73"/>
      <w:bookmarkEnd w:id="74"/>
      <w:bookmarkEnd w:id="75"/>
      <w:bookmarkEnd w:id="76"/>
      <w:bookmarkEnd w:id="77"/>
      <w:bookmarkEnd w:id="78"/>
      <w:bookmarkEnd w:id="79"/>
      <w:bookmarkEnd w:id="80"/>
    </w:p>
    <w:p w14:paraId="568E7F67">
      <w:pPr>
        <w:snapToGrid w:val="0"/>
        <w:spacing w:line="420" w:lineRule="exact"/>
        <w:ind w:firstLine="420" w:firstLineChars="200"/>
        <w:jc w:val="left"/>
        <w:outlineLvl w:val="1"/>
        <w:rPr>
          <w:rFonts w:ascii="宋体" w:hAnsi="宋体" w:cs="宋体"/>
          <w:szCs w:val="21"/>
        </w:rPr>
      </w:pPr>
      <w:bookmarkStart w:id="81" w:name="_Toc50012834"/>
      <w:bookmarkStart w:id="82" w:name="_Toc2682"/>
      <w:bookmarkStart w:id="83" w:name="_Toc493511597"/>
      <w:r>
        <w:rPr>
          <w:rFonts w:hint="eastAsia" w:ascii="宋体" w:hAnsi="宋体" w:cs="宋体"/>
          <w:szCs w:val="21"/>
        </w:rPr>
        <w:t>不论投标结果如何，投标人均应自行承担所有与投标有关的全部费用。</w:t>
      </w:r>
      <w:bookmarkEnd w:id="81"/>
      <w:bookmarkEnd w:id="82"/>
      <w:bookmarkEnd w:id="83"/>
    </w:p>
    <w:p w14:paraId="1080254E">
      <w:pPr>
        <w:snapToGrid w:val="0"/>
        <w:spacing w:line="420" w:lineRule="exact"/>
        <w:ind w:firstLine="420" w:firstLineChars="200"/>
        <w:jc w:val="left"/>
        <w:outlineLvl w:val="1"/>
        <w:rPr>
          <w:rFonts w:ascii="宋体" w:hAnsi="宋体" w:cs="宋体"/>
          <w:szCs w:val="21"/>
        </w:rPr>
      </w:pPr>
      <w:bookmarkStart w:id="84" w:name="_Toc50012835"/>
      <w:bookmarkStart w:id="85" w:name="_Toc26432"/>
      <w:bookmarkStart w:id="86" w:name="_Toc493511598"/>
      <w:r>
        <w:rPr>
          <w:rFonts w:hint="eastAsia" w:ascii="宋体" w:hAnsi="宋体" w:cs="宋体"/>
          <w:szCs w:val="21"/>
        </w:rPr>
        <w:t>6、联合体投标</w:t>
      </w:r>
      <w:bookmarkEnd w:id="84"/>
      <w:bookmarkEnd w:id="85"/>
      <w:bookmarkEnd w:id="86"/>
    </w:p>
    <w:p w14:paraId="558577A1">
      <w:pPr>
        <w:snapToGrid w:val="0"/>
        <w:spacing w:line="420" w:lineRule="exact"/>
        <w:ind w:firstLine="420" w:firstLineChars="200"/>
        <w:jc w:val="left"/>
        <w:outlineLvl w:val="1"/>
        <w:rPr>
          <w:rFonts w:ascii="宋体" w:hAnsi="宋体" w:cs="宋体"/>
          <w:szCs w:val="21"/>
        </w:rPr>
      </w:pPr>
      <w:bookmarkStart w:id="87" w:name="_Toc30057"/>
      <w:bookmarkStart w:id="88" w:name="_Toc493511599"/>
      <w:bookmarkStart w:id="89" w:name="_Toc50012836"/>
      <w:r>
        <w:rPr>
          <w:rFonts w:hint="eastAsia" w:ascii="宋体" w:hAnsi="宋体" w:cs="宋体"/>
          <w:szCs w:val="21"/>
        </w:rPr>
        <w:t>本项目不接受联合体投标。</w:t>
      </w:r>
      <w:bookmarkEnd w:id="87"/>
      <w:bookmarkEnd w:id="88"/>
      <w:bookmarkEnd w:id="89"/>
      <w:bookmarkStart w:id="90" w:name="_Toc177870544"/>
    </w:p>
    <w:p w14:paraId="34AF5769">
      <w:pPr>
        <w:snapToGrid w:val="0"/>
        <w:spacing w:line="420" w:lineRule="exact"/>
        <w:ind w:firstLine="422" w:firstLineChars="200"/>
        <w:jc w:val="left"/>
        <w:outlineLvl w:val="1"/>
        <w:rPr>
          <w:rFonts w:ascii="宋体" w:hAnsi="宋体" w:cs="宋体"/>
          <w:b/>
          <w:szCs w:val="21"/>
        </w:rPr>
      </w:pPr>
      <w:bookmarkStart w:id="91" w:name="_Toc1772"/>
      <w:bookmarkStart w:id="92" w:name="_Toc50012837"/>
      <w:r>
        <w:rPr>
          <w:rFonts w:hint="eastAsia" w:ascii="宋体" w:hAnsi="宋体" w:cs="宋体"/>
          <w:b/>
          <w:szCs w:val="21"/>
        </w:rPr>
        <w:t>7.转包与分包</w:t>
      </w:r>
      <w:bookmarkEnd w:id="91"/>
      <w:bookmarkEnd w:id="92"/>
    </w:p>
    <w:p w14:paraId="2C0FBBF4">
      <w:pPr>
        <w:snapToGrid w:val="0"/>
        <w:spacing w:line="420" w:lineRule="exact"/>
        <w:ind w:firstLine="420" w:firstLineChars="200"/>
        <w:jc w:val="left"/>
        <w:outlineLvl w:val="1"/>
        <w:rPr>
          <w:rFonts w:ascii="宋体" w:hAnsi="宋体" w:cs="宋体"/>
          <w:szCs w:val="21"/>
        </w:rPr>
      </w:pPr>
      <w:bookmarkStart w:id="93" w:name="_Toc50012838"/>
      <w:bookmarkStart w:id="94" w:name="_Toc25115"/>
      <w:r>
        <w:rPr>
          <w:rFonts w:hint="eastAsia" w:ascii="宋体" w:hAnsi="宋体" w:cs="宋体"/>
          <w:szCs w:val="21"/>
        </w:rPr>
        <w:t>7.1本项目不允许转包；</w:t>
      </w:r>
      <w:bookmarkEnd w:id="93"/>
      <w:bookmarkEnd w:id="94"/>
    </w:p>
    <w:p w14:paraId="7BEA859C">
      <w:pPr>
        <w:snapToGrid w:val="0"/>
        <w:spacing w:line="420" w:lineRule="exact"/>
        <w:ind w:firstLine="420" w:firstLineChars="200"/>
        <w:jc w:val="left"/>
        <w:outlineLvl w:val="1"/>
        <w:rPr>
          <w:rFonts w:ascii="宋体" w:hAnsi="宋体" w:cs="宋体"/>
          <w:kern w:val="0"/>
          <w:szCs w:val="21"/>
        </w:rPr>
      </w:pPr>
      <w:bookmarkStart w:id="95" w:name="_Toc50012839"/>
      <w:bookmarkStart w:id="96" w:name="_Toc5717"/>
      <w:r>
        <w:rPr>
          <w:rFonts w:hint="eastAsia" w:ascii="宋体" w:hAnsi="宋体" w:cs="宋体"/>
          <w:kern w:val="0"/>
          <w:szCs w:val="21"/>
        </w:rPr>
        <w:t>7.2</w:t>
      </w:r>
      <w:r>
        <w:rPr>
          <w:rFonts w:hint="eastAsia" w:ascii="宋体" w:hAnsi="宋体" w:cs="宋体"/>
          <w:szCs w:val="21"/>
        </w:rPr>
        <w:t>本项目不可以分包。</w:t>
      </w:r>
      <w:bookmarkEnd w:id="95"/>
      <w:bookmarkEnd w:id="96"/>
      <w:bookmarkStart w:id="97" w:name="_Toc177870542"/>
      <w:bookmarkStart w:id="98" w:name="_Toc430786267"/>
    </w:p>
    <w:p w14:paraId="68794986">
      <w:pPr>
        <w:snapToGrid w:val="0"/>
        <w:spacing w:line="420" w:lineRule="exact"/>
        <w:ind w:firstLine="422" w:firstLineChars="200"/>
        <w:jc w:val="left"/>
        <w:outlineLvl w:val="1"/>
        <w:rPr>
          <w:rFonts w:ascii="宋体" w:hAnsi="宋体" w:cs="宋体"/>
          <w:b/>
          <w:szCs w:val="21"/>
        </w:rPr>
      </w:pPr>
      <w:bookmarkStart w:id="99" w:name="_Toc50012840"/>
      <w:bookmarkStart w:id="100" w:name="_Toc2435"/>
      <w:r>
        <w:rPr>
          <w:rFonts w:hint="eastAsia" w:ascii="宋体" w:hAnsi="宋体" w:cs="宋体"/>
          <w:b/>
          <w:szCs w:val="21"/>
        </w:rPr>
        <w:t>8.特别说明：</w:t>
      </w:r>
      <w:bookmarkEnd w:id="97"/>
      <w:bookmarkEnd w:id="98"/>
      <w:bookmarkEnd w:id="99"/>
      <w:bookmarkEnd w:id="100"/>
    </w:p>
    <w:p w14:paraId="47682051">
      <w:pPr>
        <w:snapToGrid w:val="0"/>
        <w:spacing w:line="420" w:lineRule="exact"/>
        <w:ind w:firstLine="420" w:firstLineChars="200"/>
        <w:jc w:val="left"/>
        <w:outlineLvl w:val="1"/>
        <w:rPr>
          <w:rFonts w:ascii="宋体" w:hAnsi="宋体" w:cs="宋体"/>
          <w:szCs w:val="21"/>
        </w:rPr>
      </w:pPr>
      <w:bookmarkStart w:id="101" w:name="_Toc495603533"/>
      <w:bookmarkStart w:id="102" w:name="_Toc177870543"/>
      <w:bookmarkStart w:id="103" w:name="_Toc430786268"/>
      <w:r>
        <w:rPr>
          <w:rFonts w:hint="eastAsia" w:ascii="宋体" w:hAnsi="宋体" w:cs="宋体"/>
          <w:szCs w:val="21"/>
        </w:rPr>
        <w:t>8.1投标人投标所使用的资格、信誉、荣誉、业绩与企业认证必须为本法人所拥有。投标人投标所使用的采购项目实施人员必须为本法人员工（或必须为本法人或控股公司正式员工）。</w:t>
      </w:r>
    </w:p>
    <w:p w14:paraId="72CC0415">
      <w:pPr>
        <w:snapToGrid w:val="0"/>
        <w:spacing w:line="420" w:lineRule="exact"/>
        <w:ind w:firstLine="420" w:firstLineChars="200"/>
        <w:jc w:val="left"/>
        <w:outlineLvl w:val="1"/>
        <w:rPr>
          <w:rFonts w:ascii="宋体" w:hAnsi="宋体" w:cs="宋体"/>
          <w:szCs w:val="21"/>
        </w:rPr>
      </w:pPr>
      <w:bookmarkStart w:id="104" w:name="_Toc7381"/>
      <w:bookmarkStart w:id="105" w:name="_Toc50012841"/>
      <w:r>
        <w:rPr>
          <w:rFonts w:hint="eastAsia" w:ascii="宋体" w:hAnsi="宋体" w:cs="宋体"/>
          <w:szCs w:val="21"/>
        </w:rPr>
        <w:t>8.2投标人应仔细阅读招标文件的所有内容，按照招标文件的要求提交投标文件，并对所提供的全部资料的真实性承担法律责任。</w:t>
      </w:r>
    </w:p>
    <w:p w14:paraId="35F4934E">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8.3投标人在投标活动中提供任何虚假材料，其投标无效，并报监管部门查处；中标后发现的，根据相关规定由中标人赔偿采购人，且民事赔偿并不免除违法投标人的行政与刑事责任。</w:t>
      </w:r>
    </w:p>
    <w:p w14:paraId="4A07DB76">
      <w:pPr>
        <w:snapToGrid w:val="0"/>
        <w:spacing w:line="420" w:lineRule="exact"/>
        <w:ind w:firstLine="422" w:firstLineChars="200"/>
        <w:jc w:val="left"/>
        <w:outlineLvl w:val="1"/>
        <w:rPr>
          <w:rFonts w:ascii="宋体" w:hAnsi="宋体" w:cs="宋体"/>
          <w:b/>
          <w:szCs w:val="21"/>
        </w:rPr>
      </w:pPr>
      <w:r>
        <w:rPr>
          <w:rFonts w:hint="eastAsia" w:ascii="宋体" w:hAnsi="宋体" w:cs="宋体"/>
          <w:b/>
          <w:szCs w:val="21"/>
        </w:rPr>
        <w:t>9.质疑</w:t>
      </w:r>
      <w:bookmarkEnd w:id="101"/>
      <w:bookmarkEnd w:id="102"/>
      <w:bookmarkEnd w:id="103"/>
      <w:bookmarkEnd w:id="104"/>
      <w:bookmarkEnd w:id="105"/>
    </w:p>
    <w:p w14:paraId="448DF361">
      <w:pPr>
        <w:pStyle w:val="25"/>
        <w:spacing w:line="420" w:lineRule="exact"/>
        <w:ind w:firstLine="422" w:firstLineChars="200"/>
        <w:jc w:val="left"/>
        <w:outlineLvl w:val="1"/>
        <w:rPr>
          <w:rFonts w:hAnsi="宋体" w:cs="宋体"/>
          <w:b/>
          <w:szCs w:val="21"/>
        </w:rPr>
      </w:pPr>
      <w:bookmarkStart w:id="106" w:name="_Toc495603534"/>
      <w:bookmarkStart w:id="107" w:name="_Toc50012842"/>
      <w:bookmarkStart w:id="108" w:name="_Toc1791"/>
      <w:r>
        <w:rPr>
          <w:rFonts w:hint="eastAsia" w:hAnsi="宋体" w:cs="宋体"/>
          <w:b/>
          <w:szCs w:val="21"/>
        </w:rPr>
        <w:t>9.1投标人认为招标文件、招标过程或中标结果使自己的合法权益受到损害的，应当在知道或者应知其权益受到损害之日起七个工作日内，以书面形式向采购人、代理机构提出质疑。投标人对招标采购单位的质疑答复不满意或者招标采购单位未在规定时间内作出答复的，可以在答复期满后十五个工作日内向同级采购监管部门投诉。</w:t>
      </w:r>
      <w:bookmarkEnd w:id="106"/>
      <w:bookmarkEnd w:id="107"/>
      <w:bookmarkEnd w:id="108"/>
      <w:bookmarkStart w:id="109" w:name="_Toc495603535"/>
    </w:p>
    <w:p w14:paraId="7BA59B9C">
      <w:pPr>
        <w:pStyle w:val="25"/>
        <w:spacing w:line="420" w:lineRule="exact"/>
        <w:ind w:firstLine="422" w:firstLineChars="200"/>
        <w:jc w:val="left"/>
        <w:outlineLvl w:val="1"/>
        <w:rPr>
          <w:rFonts w:hAnsi="宋体" w:cs="宋体"/>
          <w:b/>
          <w:szCs w:val="21"/>
        </w:rPr>
      </w:pPr>
      <w:bookmarkStart w:id="110" w:name="_Toc50012843"/>
      <w:bookmarkStart w:id="111" w:name="_Toc23570"/>
      <w:r>
        <w:rPr>
          <w:rFonts w:hint="eastAsia" w:hAnsi="宋体" w:cs="宋体"/>
          <w:b/>
          <w:szCs w:val="21"/>
        </w:rPr>
        <w:t>9.2质疑、投诉应当采用书面形式，质疑书、投诉书均应明确阐述招标文件、招标过程或中标结果中使自己合法权益受到损害的实质性内容，提供相关事实、依据和证据及其来源或线索，便于有关单位调查、答复和处理。</w:t>
      </w:r>
      <w:bookmarkEnd w:id="109"/>
      <w:bookmarkEnd w:id="110"/>
      <w:bookmarkEnd w:id="111"/>
    </w:p>
    <w:p w14:paraId="4C0EC7D5">
      <w:pPr>
        <w:snapToGrid w:val="0"/>
        <w:spacing w:line="420" w:lineRule="exact"/>
        <w:ind w:firstLine="422" w:firstLineChars="200"/>
        <w:jc w:val="left"/>
        <w:outlineLvl w:val="2"/>
        <w:rPr>
          <w:rFonts w:ascii="宋体" w:hAnsi="宋体" w:cs="宋体"/>
          <w:b/>
        </w:rPr>
      </w:pPr>
      <w:r>
        <w:rPr>
          <w:rFonts w:hint="eastAsia" w:ascii="宋体" w:hAnsi="宋体" w:cs="宋体"/>
          <w:b/>
          <w:szCs w:val="21"/>
        </w:rPr>
        <w:t>10.</w:t>
      </w:r>
      <w:r>
        <w:rPr>
          <w:rFonts w:hint="eastAsia" w:ascii="宋体" w:hAnsi="宋体" w:cs="宋体"/>
          <w:b/>
        </w:rPr>
        <w:t>相关政府采购政策</w:t>
      </w:r>
    </w:p>
    <w:p w14:paraId="57DAC93C">
      <w:pPr>
        <w:snapToGrid w:val="0"/>
        <w:spacing w:line="420" w:lineRule="exact"/>
        <w:ind w:firstLine="420" w:firstLineChars="200"/>
        <w:jc w:val="left"/>
        <w:rPr>
          <w:rFonts w:ascii="宋体" w:hAnsi="宋体" w:cs="宋体"/>
          <w:szCs w:val="21"/>
        </w:rPr>
      </w:pPr>
      <w:r>
        <w:rPr>
          <w:rFonts w:hint="eastAsia" w:ascii="宋体" w:hAnsi="宋体" w:cs="宋体"/>
          <w:szCs w:val="21"/>
        </w:rPr>
        <w:t>10.1支持中小企业发展</w:t>
      </w:r>
    </w:p>
    <w:p w14:paraId="213EE806">
      <w:pPr>
        <w:snapToGrid w:val="0"/>
        <w:spacing w:line="420" w:lineRule="exact"/>
        <w:ind w:firstLine="420" w:firstLineChars="200"/>
        <w:jc w:val="left"/>
        <w:rPr>
          <w:rFonts w:ascii="宋体" w:hAnsi="宋体" w:cs="宋体"/>
          <w:szCs w:val="21"/>
        </w:rPr>
      </w:pPr>
      <w:r>
        <w:rPr>
          <w:rFonts w:hint="eastAsia" w:ascii="宋体" w:hAnsi="宋体" w:cs="宋体"/>
          <w:szCs w:val="21"/>
        </w:rPr>
        <w:t>10.1.1中小企业，是指在中华人民共和国境内依法设立，依据国务院批准的中小企业划分标准确定的中型企业、小型企业和微型企业，但与大企业的负责人为同一人，或者与大企业存在直接控股、管理关系的除外。</w:t>
      </w:r>
    </w:p>
    <w:p w14:paraId="42DD53DF">
      <w:pPr>
        <w:snapToGrid w:val="0"/>
        <w:spacing w:line="420" w:lineRule="exact"/>
        <w:ind w:firstLine="420" w:firstLineChars="200"/>
        <w:jc w:val="left"/>
        <w:rPr>
          <w:rFonts w:ascii="宋体" w:hAnsi="宋体" w:cs="宋体"/>
          <w:szCs w:val="21"/>
        </w:rPr>
      </w:pPr>
      <w:r>
        <w:rPr>
          <w:rFonts w:hint="eastAsia" w:ascii="宋体" w:hAnsi="宋体" w:cs="宋体"/>
          <w:szCs w:val="21"/>
        </w:rPr>
        <w:t>符合中小企业划分标准的个体工商户，在政府采购活动中视同中小企业。</w:t>
      </w:r>
    </w:p>
    <w:p w14:paraId="0AF1C41D">
      <w:pPr>
        <w:snapToGrid w:val="0"/>
        <w:spacing w:line="420" w:lineRule="exact"/>
        <w:ind w:firstLine="420" w:firstLineChars="200"/>
        <w:jc w:val="left"/>
        <w:rPr>
          <w:rFonts w:ascii="宋体" w:hAnsi="宋体" w:cs="宋体"/>
          <w:szCs w:val="21"/>
        </w:rPr>
      </w:pPr>
      <w:r>
        <w:rPr>
          <w:rFonts w:hint="eastAsia" w:ascii="宋体" w:hAnsi="宋体" w:cs="宋体"/>
          <w:szCs w:val="21"/>
        </w:rPr>
        <w:t>10.1.2在政府采购活动中，投标供应商提供的货物、工程或者服务符合下列情形的，享受中小企业扶持政策：</w:t>
      </w:r>
    </w:p>
    <w:p w14:paraId="1FCCEC70">
      <w:pPr>
        <w:snapToGrid w:val="0"/>
        <w:spacing w:line="420" w:lineRule="exact"/>
        <w:ind w:firstLine="420" w:firstLineChars="200"/>
        <w:jc w:val="left"/>
        <w:rPr>
          <w:rFonts w:ascii="宋体" w:hAnsi="宋体" w:cs="宋体"/>
          <w:szCs w:val="21"/>
        </w:rPr>
      </w:pPr>
      <w:r>
        <w:rPr>
          <w:rFonts w:hint="eastAsia" w:ascii="宋体" w:hAnsi="宋体" w:cs="宋体"/>
          <w:szCs w:val="21"/>
        </w:rPr>
        <w:t>10.1.2.1在货物采购项目中，货物由中小企业制造，即货物由中小企业生产且使用该中小企业商号或者注册商标；</w:t>
      </w:r>
    </w:p>
    <w:p w14:paraId="7F24B693">
      <w:pPr>
        <w:snapToGrid w:val="0"/>
        <w:spacing w:line="420" w:lineRule="exact"/>
        <w:ind w:firstLine="420" w:firstLineChars="200"/>
        <w:jc w:val="left"/>
        <w:rPr>
          <w:rFonts w:ascii="宋体" w:hAnsi="宋体" w:cs="宋体"/>
          <w:szCs w:val="21"/>
        </w:rPr>
      </w:pPr>
      <w:r>
        <w:rPr>
          <w:rFonts w:hint="eastAsia" w:ascii="宋体" w:hAnsi="宋体" w:cs="宋体"/>
          <w:szCs w:val="21"/>
        </w:rPr>
        <w:t>10.1.2.2在工程采购项目中，工程由中小企业承建，即工程施工单位为中小企业；</w:t>
      </w:r>
    </w:p>
    <w:p w14:paraId="3626095F">
      <w:pPr>
        <w:snapToGrid w:val="0"/>
        <w:spacing w:line="420" w:lineRule="exact"/>
        <w:ind w:firstLine="420" w:firstLineChars="200"/>
        <w:jc w:val="left"/>
        <w:rPr>
          <w:rFonts w:ascii="宋体" w:hAnsi="宋体" w:cs="宋体"/>
          <w:szCs w:val="21"/>
        </w:rPr>
      </w:pPr>
      <w:r>
        <w:rPr>
          <w:rFonts w:hint="eastAsia" w:ascii="宋体" w:hAnsi="宋体" w:cs="宋体"/>
          <w:szCs w:val="21"/>
        </w:rPr>
        <w:t>10.1.2.3在服务采购项目中，服务由中小企业承接，即提供服务的人员为中小企业依照民法典订立劳动合同的从业人员。</w:t>
      </w:r>
    </w:p>
    <w:p w14:paraId="0E47B0CE">
      <w:pPr>
        <w:snapToGrid w:val="0"/>
        <w:spacing w:line="420" w:lineRule="exact"/>
        <w:ind w:firstLine="420" w:firstLineChars="200"/>
        <w:jc w:val="left"/>
        <w:rPr>
          <w:rFonts w:ascii="宋体" w:hAnsi="宋体" w:cs="宋体"/>
          <w:szCs w:val="21"/>
        </w:rPr>
      </w:pPr>
      <w:r>
        <w:rPr>
          <w:rFonts w:hint="eastAsia" w:ascii="宋体" w:hAnsi="宋体" w:cs="宋体"/>
          <w:szCs w:val="21"/>
        </w:rPr>
        <w:t>在货物采购项目中，投标供应商提供的货物既有中小企业制造货物，也有大型企业制造货物的，不享受中小企业扶持政策。</w:t>
      </w:r>
    </w:p>
    <w:p w14:paraId="18F794EB">
      <w:pPr>
        <w:snapToGrid w:val="0"/>
        <w:spacing w:line="420" w:lineRule="exact"/>
        <w:ind w:firstLine="420" w:firstLineChars="200"/>
        <w:jc w:val="left"/>
        <w:rPr>
          <w:rFonts w:ascii="宋体" w:hAnsi="宋体" w:cs="宋体"/>
          <w:szCs w:val="21"/>
        </w:rPr>
      </w:pPr>
      <w:r>
        <w:rPr>
          <w:rFonts w:hint="eastAsia" w:ascii="宋体" w:hAnsi="宋体" w:cs="宋体"/>
          <w:szCs w:val="21"/>
        </w:rPr>
        <w:t>以联合体形式参加政府采购活动，联合体各方均为中小企业的，联合体视同中小企业。其中，联合体各方均为小微企业的，联合体视同小微企业。</w:t>
      </w:r>
    </w:p>
    <w:p w14:paraId="23D6E11E">
      <w:pPr>
        <w:snapToGrid w:val="0"/>
        <w:spacing w:line="420" w:lineRule="exact"/>
        <w:ind w:firstLine="420" w:firstLineChars="200"/>
        <w:jc w:val="left"/>
        <w:rPr>
          <w:rFonts w:ascii="宋体" w:hAnsi="宋体" w:cs="宋体"/>
          <w:szCs w:val="21"/>
        </w:rPr>
      </w:pPr>
      <w:r>
        <w:rPr>
          <w:rFonts w:hint="eastAsia" w:ascii="宋体" w:hAnsi="宋体" w:cs="宋体"/>
          <w:szCs w:val="21"/>
        </w:rPr>
        <w:t>10.1.3符合《关于促进残疾人就业政府采购政策的通知》（财库〔2017〕141号）规定的条件并提供《残疾人福利性单位声明函》的残疾人福利性单位视同小型、微型企业；</w:t>
      </w:r>
    </w:p>
    <w:p w14:paraId="59206424">
      <w:pPr>
        <w:snapToGrid w:val="0"/>
        <w:spacing w:line="420" w:lineRule="exact"/>
        <w:ind w:firstLine="420" w:firstLineChars="200"/>
        <w:jc w:val="left"/>
        <w:rPr>
          <w:rFonts w:ascii="宋体" w:hAnsi="宋体" w:cs="宋体"/>
          <w:szCs w:val="21"/>
        </w:rPr>
      </w:pPr>
      <w:r>
        <w:rPr>
          <w:rFonts w:hint="eastAsia" w:ascii="宋体" w:hAnsi="宋体" w:cs="宋体"/>
          <w:szCs w:val="21"/>
        </w:rPr>
        <w:t>10.1.4符合《关于政府采购支持监狱企业发展有关问题的通知》（财库[2014]68号）规定的监狱企业并提供由省级以上监狱管理局、戒毒管理局（含新疆生产建设兵团）出具的属于监狱企业证明文件的，视同为小型、微型企业。</w:t>
      </w:r>
    </w:p>
    <w:p w14:paraId="7F16C573">
      <w:pPr>
        <w:snapToGrid w:val="0"/>
        <w:spacing w:line="420" w:lineRule="exact"/>
        <w:ind w:firstLine="420" w:firstLineChars="200"/>
        <w:jc w:val="left"/>
        <w:rPr>
          <w:rFonts w:ascii="宋体" w:hAnsi="宋体" w:cs="宋体"/>
          <w:szCs w:val="21"/>
        </w:rPr>
      </w:pPr>
      <w:r>
        <w:rPr>
          <w:rFonts w:hint="eastAsia" w:ascii="宋体" w:hAnsi="宋体" w:cs="宋体"/>
          <w:szCs w:val="21"/>
        </w:rPr>
        <w:t>10.1.5可享受中小企业扶持政策的投标供应商应按照招标文件格式要求提供《中小企业声明函》，投标供应商提供的《中小企业声明函》与实际情况不符的，不享受中小企业扶持政策。声明内容不实的，属于提供虚假材料谋取中标、成交的，依法承担法律责任。</w:t>
      </w:r>
    </w:p>
    <w:p w14:paraId="5D70C1C2">
      <w:pPr>
        <w:pStyle w:val="25"/>
        <w:spacing w:line="420" w:lineRule="exact"/>
        <w:ind w:firstLine="420" w:firstLineChars="200"/>
        <w:jc w:val="left"/>
        <w:outlineLvl w:val="1"/>
        <w:rPr>
          <w:rFonts w:hAnsi="宋体" w:cs="宋体"/>
          <w:szCs w:val="21"/>
        </w:rPr>
      </w:pPr>
      <w:r>
        <w:rPr>
          <w:rFonts w:hint="eastAsia" w:hAnsi="宋体" w:cs="宋体"/>
          <w:szCs w:val="21"/>
        </w:rPr>
        <w:t>10.1.6中小企业享受扶持政策获得政府采购合同的，小微企业不得将合同分包给大中型企业，中型企业不得将合同分包给大型企业。</w:t>
      </w:r>
    </w:p>
    <w:p w14:paraId="1BE28C3D">
      <w:pPr>
        <w:snapToGrid w:val="0"/>
        <w:spacing w:line="420" w:lineRule="exact"/>
        <w:ind w:firstLine="422" w:firstLineChars="200"/>
        <w:jc w:val="left"/>
        <w:outlineLvl w:val="1"/>
        <w:rPr>
          <w:rFonts w:ascii="宋体" w:hAnsi="宋体" w:cs="宋体"/>
          <w:b/>
          <w:szCs w:val="21"/>
        </w:rPr>
      </w:pPr>
      <w:bookmarkStart w:id="112" w:name="_Toc493511613"/>
      <w:bookmarkStart w:id="113" w:name="_Toc25169"/>
      <w:bookmarkStart w:id="114" w:name="_Toc50012844"/>
      <w:r>
        <w:rPr>
          <w:rFonts w:hint="eastAsia" w:ascii="宋体" w:hAnsi="宋体" w:cs="宋体"/>
          <w:b/>
          <w:szCs w:val="21"/>
        </w:rPr>
        <w:t>二、招标文件</w:t>
      </w:r>
      <w:bookmarkEnd w:id="90"/>
      <w:bookmarkEnd w:id="112"/>
      <w:bookmarkEnd w:id="113"/>
      <w:bookmarkEnd w:id="114"/>
    </w:p>
    <w:p w14:paraId="7DE8455F">
      <w:pPr>
        <w:snapToGrid w:val="0"/>
        <w:spacing w:line="420" w:lineRule="exact"/>
        <w:ind w:firstLine="422" w:firstLineChars="200"/>
        <w:jc w:val="left"/>
        <w:outlineLvl w:val="1"/>
        <w:rPr>
          <w:rFonts w:ascii="宋体" w:hAnsi="宋体" w:cs="宋体"/>
          <w:b/>
          <w:szCs w:val="21"/>
        </w:rPr>
      </w:pPr>
      <w:bookmarkStart w:id="115" w:name="_Toc493511614"/>
      <w:bookmarkStart w:id="116" w:name="_Toc16026"/>
      <w:bookmarkStart w:id="117" w:name="_Toc50012845"/>
      <w:r>
        <w:rPr>
          <w:rFonts w:hint="eastAsia" w:ascii="宋体" w:hAnsi="宋体" w:cs="宋体"/>
          <w:b/>
          <w:szCs w:val="21"/>
        </w:rPr>
        <w:t>1、招标文件的构成</w:t>
      </w:r>
      <w:bookmarkEnd w:id="115"/>
      <w:bookmarkEnd w:id="116"/>
      <w:bookmarkEnd w:id="117"/>
    </w:p>
    <w:p w14:paraId="009C7306">
      <w:pPr>
        <w:snapToGrid w:val="0"/>
        <w:spacing w:line="420" w:lineRule="exact"/>
        <w:ind w:firstLine="420" w:firstLineChars="200"/>
        <w:jc w:val="left"/>
        <w:outlineLvl w:val="1"/>
        <w:rPr>
          <w:rFonts w:ascii="宋体" w:hAnsi="宋体" w:cs="宋体"/>
          <w:szCs w:val="21"/>
        </w:rPr>
      </w:pPr>
      <w:bookmarkStart w:id="118" w:name="_Toc493511615"/>
      <w:bookmarkStart w:id="119" w:name="_Toc7778"/>
      <w:bookmarkStart w:id="120" w:name="_Toc50012846"/>
      <w:r>
        <w:rPr>
          <w:rFonts w:hint="eastAsia" w:ascii="宋体" w:hAnsi="宋体" w:cs="宋体"/>
          <w:szCs w:val="21"/>
        </w:rPr>
        <w:t>1.1、公开招标采购公告</w:t>
      </w:r>
      <w:bookmarkEnd w:id="118"/>
      <w:bookmarkEnd w:id="119"/>
      <w:bookmarkEnd w:id="120"/>
    </w:p>
    <w:p w14:paraId="23BFA57A">
      <w:pPr>
        <w:snapToGrid w:val="0"/>
        <w:spacing w:line="420" w:lineRule="exact"/>
        <w:ind w:firstLine="420" w:firstLineChars="200"/>
        <w:jc w:val="left"/>
        <w:outlineLvl w:val="1"/>
        <w:rPr>
          <w:rFonts w:ascii="宋体" w:hAnsi="宋体" w:cs="宋体"/>
          <w:szCs w:val="21"/>
        </w:rPr>
      </w:pPr>
      <w:bookmarkStart w:id="121" w:name="_Toc50012847"/>
      <w:bookmarkStart w:id="122" w:name="_Toc7186"/>
      <w:bookmarkStart w:id="123" w:name="_Toc493511616"/>
      <w:r>
        <w:rPr>
          <w:rFonts w:hint="eastAsia" w:ascii="宋体" w:hAnsi="宋体" w:cs="宋体"/>
          <w:szCs w:val="21"/>
        </w:rPr>
        <w:t>1.2、采购需求</w:t>
      </w:r>
      <w:bookmarkEnd w:id="121"/>
      <w:bookmarkEnd w:id="122"/>
      <w:bookmarkEnd w:id="123"/>
    </w:p>
    <w:p w14:paraId="624AD1D1">
      <w:pPr>
        <w:snapToGrid w:val="0"/>
        <w:spacing w:line="420" w:lineRule="exact"/>
        <w:ind w:firstLine="420" w:firstLineChars="200"/>
        <w:jc w:val="left"/>
        <w:outlineLvl w:val="1"/>
        <w:rPr>
          <w:rFonts w:ascii="宋体" w:hAnsi="宋体" w:cs="宋体"/>
          <w:szCs w:val="21"/>
        </w:rPr>
      </w:pPr>
      <w:bookmarkStart w:id="124" w:name="_Toc50012848"/>
      <w:bookmarkStart w:id="125" w:name="_Toc6933"/>
      <w:bookmarkStart w:id="126" w:name="_Toc493511617"/>
      <w:r>
        <w:rPr>
          <w:rFonts w:hint="eastAsia" w:ascii="宋体" w:hAnsi="宋体" w:cs="宋体"/>
          <w:szCs w:val="21"/>
        </w:rPr>
        <w:t>1.3、投标人须知</w:t>
      </w:r>
      <w:bookmarkEnd w:id="124"/>
      <w:bookmarkEnd w:id="125"/>
      <w:bookmarkEnd w:id="126"/>
    </w:p>
    <w:p w14:paraId="056D5F94">
      <w:pPr>
        <w:snapToGrid w:val="0"/>
        <w:spacing w:line="420" w:lineRule="exact"/>
        <w:ind w:firstLine="420" w:firstLineChars="200"/>
        <w:jc w:val="left"/>
        <w:outlineLvl w:val="1"/>
        <w:rPr>
          <w:rFonts w:ascii="宋体" w:hAnsi="宋体" w:cs="宋体"/>
          <w:szCs w:val="21"/>
        </w:rPr>
      </w:pPr>
      <w:bookmarkStart w:id="127" w:name="_Toc2119"/>
      <w:bookmarkStart w:id="128" w:name="_Toc493511618"/>
      <w:bookmarkStart w:id="129" w:name="_Toc50012849"/>
      <w:r>
        <w:rPr>
          <w:rFonts w:hint="eastAsia" w:ascii="宋体" w:hAnsi="宋体" w:cs="宋体"/>
          <w:szCs w:val="21"/>
        </w:rPr>
        <w:t>1.4、评标办法</w:t>
      </w:r>
      <w:bookmarkEnd w:id="127"/>
      <w:bookmarkEnd w:id="128"/>
      <w:bookmarkEnd w:id="129"/>
    </w:p>
    <w:p w14:paraId="1E2C058F">
      <w:pPr>
        <w:snapToGrid w:val="0"/>
        <w:spacing w:line="420" w:lineRule="exact"/>
        <w:ind w:firstLine="420" w:firstLineChars="200"/>
        <w:jc w:val="left"/>
        <w:outlineLvl w:val="1"/>
        <w:rPr>
          <w:rFonts w:ascii="宋体" w:hAnsi="宋体" w:cs="宋体"/>
          <w:szCs w:val="21"/>
        </w:rPr>
      </w:pPr>
      <w:bookmarkStart w:id="130" w:name="_Toc19120"/>
      <w:bookmarkStart w:id="131" w:name="_Toc50012850"/>
      <w:bookmarkStart w:id="132" w:name="_Toc493511619"/>
      <w:r>
        <w:rPr>
          <w:rFonts w:hint="eastAsia" w:ascii="宋体" w:hAnsi="宋体" w:cs="宋体"/>
          <w:szCs w:val="21"/>
        </w:rPr>
        <w:t>1.5、政府采购合同</w:t>
      </w:r>
      <w:bookmarkEnd w:id="130"/>
      <w:bookmarkEnd w:id="131"/>
      <w:bookmarkEnd w:id="132"/>
    </w:p>
    <w:p w14:paraId="2407C8FD">
      <w:pPr>
        <w:snapToGrid w:val="0"/>
        <w:spacing w:line="420" w:lineRule="exact"/>
        <w:ind w:firstLine="420" w:firstLineChars="200"/>
        <w:jc w:val="left"/>
        <w:outlineLvl w:val="1"/>
        <w:rPr>
          <w:rFonts w:ascii="宋体" w:hAnsi="宋体" w:cs="宋体"/>
          <w:szCs w:val="21"/>
        </w:rPr>
      </w:pPr>
      <w:bookmarkStart w:id="133" w:name="_Toc19300"/>
      <w:bookmarkStart w:id="134" w:name="_Toc50012851"/>
      <w:bookmarkStart w:id="135" w:name="_Toc493511620"/>
      <w:r>
        <w:rPr>
          <w:rFonts w:hint="eastAsia" w:ascii="宋体" w:hAnsi="宋体" w:cs="宋体"/>
          <w:szCs w:val="21"/>
        </w:rPr>
        <w:t>1.6、投标文件相关文件格式</w:t>
      </w:r>
      <w:bookmarkEnd w:id="133"/>
      <w:bookmarkEnd w:id="134"/>
      <w:bookmarkEnd w:id="135"/>
      <w:bookmarkStart w:id="136" w:name="_Toc482363722"/>
    </w:p>
    <w:p w14:paraId="6533E42F">
      <w:pPr>
        <w:snapToGrid w:val="0"/>
        <w:spacing w:line="420" w:lineRule="exact"/>
        <w:ind w:firstLine="420" w:firstLineChars="200"/>
        <w:jc w:val="left"/>
        <w:outlineLvl w:val="1"/>
        <w:rPr>
          <w:rFonts w:ascii="宋体" w:hAnsi="宋体" w:cs="宋体"/>
          <w:szCs w:val="21"/>
        </w:rPr>
      </w:pPr>
      <w:bookmarkStart w:id="137" w:name="_Toc493511621"/>
      <w:bookmarkStart w:id="138" w:name="_Toc50012852"/>
      <w:bookmarkStart w:id="139" w:name="_Toc32687"/>
      <w:r>
        <w:rPr>
          <w:rFonts w:hint="eastAsia" w:ascii="宋体" w:hAnsi="宋体" w:cs="宋体"/>
          <w:szCs w:val="21"/>
        </w:rPr>
        <w:t>1.7、本项目招标文件的澄清、答复、修改、补充的内容（所有内容将以邮件形式发送给已成功申领招标文件的有效投标人）。澄清、答复、修改、补充的内容均作为招标文件的组成部分，具有约束作用。）</w:t>
      </w:r>
      <w:bookmarkEnd w:id="136"/>
      <w:bookmarkEnd w:id="137"/>
      <w:bookmarkEnd w:id="138"/>
      <w:bookmarkEnd w:id="139"/>
    </w:p>
    <w:p w14:paraId="260F13C4">
      <w:pPr>
        <w:snapToGrid w:val="0"/>
        <w:spacing w:line="420" w:lineRule="exact"/>
        <w:ind w:firstLine="422" w:firstLineChars="200"/>
        <w:jc w:val="left"/>
        <w:outlineLvl w:val="1"/>
        <w:rPr>
          <w:rFonts w:ascii="宋体" w:hAnsi="宋体" w:cs="宋体"/>
          <w:b/>
          <w:szCs w:val="21"/>
        </w:rPr>
      </w:pPr>
      <w:bookmarkStart w:id="140" w:name="_Toc21770"/>
      <w:bookmarkStart w:id="141" w:name="_Toc493511622"/>
      <w:bookmarkStart w:id="142" w:name="_Toc50012853"/>
      <w:r>
        <w:rPr>
          <w:rFonts w:hint="eastAsia" w:ascii="宋体" w:hAnsi="宋体" w:cs="宋体"/>
          <w:b/>
          <w:szCs w:val="21"/>
        </w:rPr>
        <w:t>2、存在的风险</w:t>
      </w:r>
      <w:bookmarkEnd w:id="140"/>
      <w:bookmarkEnd w:id="141"/>
      <w:bookmarkEnd w:id="142"/>
    </w:p>
    <w:p w14:paraId="7D4BD332">
      <w:pPr>
        <w:snapToGrid w:val="0"/>
        <w:spacing w:line="420" w:lineRule="exact"/>
        <w:ind w:firstLine="420" w:firstLineChars="200"/>
        <w:jc w:val="left"/>
        <w:outlineLvl w:val="1"/>
        <w:rPr>
          <w:rFonts w:ascii="宋体" w:hAnsi="宋体" w:cs="宋体"/>
          <w:szCs w:val="21"/>
        </w:rPr>
      </w:pPr>
      <w:bookmarkStart w:id="143" w:name="_Toc493511623"/>
      <w:bookmarkStart w:id="144" w:name="_Toc32245"/>
      <w:bookmarkStart w:id="145" w:name="_Toc50012854"/>
      <w:r>
        <w:rPr>
          <w:rFonts w:hint="eastAsia" w:ascii="宋体" w:hAnsi="宋体" w:cs="宋体"/>
          <w:szCs w:val="21"/>
        </w:rPr>
        <w:t>投标人没有按照招标文件要求提供全部资料，或者投标人没有对招标文件在各方面作出实质性响应是投标人的风险，并可能导致其投标无效。</w:t>
      </w:r>
      <w:bookmarkEnd w:id="143"/>
      <w:bookmarkEnd w:id="144"/>
      <w:bookmarkEnd w:id="145"/>
    </w:p>
    <w:p w14:paraId="63DE2086">
      <w:pPr>
        <w:snapToGrid w:val="0"/>
        <w:spacing w:line="420" w:lineRule="exact"/>
        <w:ind w:firstLine="422" w:firstLineChars="200"/>
        <w:jc w:val="left"/>
        <w:outlineLvl w:val="1"/>
        <w:rPr>
          <w:rFonts w:ascii="宋体" w:hAnsi="宋体" w:cs="宋体"/>
          <w:b/>
          <w:szCs w:val="21"/>
        </w:rPr>
      </w:pPr>
      <w:bookmarkStart w:id="146" w:name="_Toc493511624"/>
      <w:bookmarkStart w:id="147" w:name="_Toc50012855"/>
      <w:bookmarkStart w:id="148" w:name="_Toc18736"/>
      <w:r>
        <w:rPr>
          <w:rFonts w:hint="eastAsia" w:ascii="宋体" w:hAnsi="宋体" w:cs="宋体"/>
          <w:b/>
          <w:szCs w:val="21"/>
        </w:rPr>
        <w:t>3、招标文件的澄清与修改</w:t>
      </w:r>
      <w:bookmarkEnd w:id="146"/>
      <w:bookmarkEnd w:id="147"/>
      <w:bookmarkEnd w:id="148"/>
    </w:p>
    <w:p w14:paraId="687B2AC3">
      <w:pPr>
        <w:snapToGrid w:val="0"/>
        <w:spacing w:line="420" w:lineRule="exact"/>
        <w:ind w:firstLine="420" w:firstLineChars="200"/>
        <w:jc w:val="left"/>
        <w:outlineLvl w:val="1"/>
        <w:rPr>
          <w:rFonts w:ascii="宋体" w:hAnsi="宋体" w:cs="宋体"/>
          <w:szCs w:val="21"/>
        </w:rPr>
      </w:pPr>
      <w:bookmarkStart w:id="149" w:name="_Toc493511630"/>
      <w:bookmarkStart w:id="150" w:name="_Toc177870545"/>
      <w:bookmarkStart w:id="151" w:name="_Toc8175"/>
      <w:bookmarkStart w:id="152" w:name="_Toc50012861"/>
      <w:r>
        <w:rPr>
          <w:rFonts w:hint="eastAsia" w:ascii="宋体" w:hAnsi="宋体" w:cs="宋体"/>
          <w:szCs w:val="21"/>
        </w:rPr>
        <w:t>3.1已获取招标文件的潜在投标人应认真阅读本采购文件，若发现其中有误或有要求不合理的，投标人必须在投标截止时间15天前以书面形式要求招标采购单位澄清，逾期对招标文件提出异议的，招标采购单位将不予受理及答复。</w:t>
      </w:r>
    </w:p>
    <w:p w14:paraId="05FE3FC0">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3.2不论招标采购单位向投标人发送的资料文件，还是投标人提出的问题，均采用书面形式，任何口头提问及答复一律无效。</w:t>
      </w:r>
    </w:p>
    <w:p w14:paraId="6859C5A5">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3.3招标采购单位对已发出的采购文件进行必要澄清、答复、修改或补充的，应当在采购文件要求提交投标文件截止时间15天前，在财政部门指定的政府采购信息发布媒体上发布更正公告的形式通知所有已获取采购文件的潜在投标人。且自采购文件的答复、澄清、修改、补充通知发出之日起至投标截止时间止不足15天的，招标采购单位可视情况推迟投标截止时间和开标时间，按规定在财政部门指定的政府采购信息发布媒体上发布更正公告的形式通知所有已获取采购文件的潜在投标人。但至少应当在招标文件要求提交投标文件的截止时间3日前在财政部门指定的政府采购信息发布媒体上发布变更公告。</w:t>
      </w:r>
    </w:p>
    <w:p w14:paraId="02B1DE4D">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3.4澄清或者修改的内容作为招标文件的组成部分。</w:t>
      </w:r>
    </w:p>
    <w:p w14:paraId="7C16AF47">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3.5招标文件澄清、答复、修改、补充的内容为招标文件的组成部分。当招标文件与招标文件的答复、澄清、修改、补充通知就同一内容的表述不一致时，以最后发出的变更公告为准。</w:t>
      </w:r>
    </w:p>
    <w:p w14:paraId="30EE92C6">
      <w:pPr>
        <w:snapToGrid w:val="0"/>
        <w:spacing w:line="420" w:lineRule="exact"/>
        <w:ind w:firstLine="420" w:firstLineChars="200"/>
        <w:jc w:val="left"/>
        <w:outlineLvl w:val="1"/>
        <w:rPr>
          <w:rFonts w:ascii="宋体" w:hAnsi="宋体" w:cs="宋体"/>
          <w:szCs w:val="21"/>
        </w:rPr>
      </w:pPr>
      <w:r>
        <w:rPr>
          <w:rFonts w:hint="eastAsia" w:ascii="宋体" w:hAnsi="宋体" w:cs="宋体"/>
          <w:szCs w:val="21"/>
        </w:rPr>
        <w:t>3.6招标文件的澄清、答复、修改或补充都应该通过本代理机构以法定形式发布，采购人非通过本机构，不得擅自澄清、答复、修改或补充招标文件。</w:t>
      </w:r>
    </w:p>
    <w:p w14:paraId="586A553D">
      <w:pPr>
        <w:snapToGrid w:val="0"/>
        <w:spacing w:line="420" w:lineRule="exact"/>
        <w:ind w:firstLine="422" w:firstLineChars="200"/>
        <w:jc w:val="left"/>
        <w:outlineLvl w:val="1"/>
        <w:rPr>
          <w:rFonts w:ascii="宋体" w:hAnsi="宋体" w:cs="宋体"/>
          <w:b/>
          <w:szCs w:val="21"/>
        </w:rPr>
      </w:pPr>
      <w:r>
        <w:rPr>
          <w:rFonts w:hint="eastAsia" w:ascii="宋体" w:hAnsi="宋体" w:cs="宋体"/>
          <w:b/>
          <w:szCs w:val="21"/>
        </w:rPr>
        <w:t>三、投标文件的编制</w:t>
      </w:r>
      <w:bookmarkEnd w:id="149"/>
      <w:bookmarkEnd w:id="150"/>
      <w:bookmarkEnd w:id="151"/>
      <w:bookmarkEnd w:id="152"/>
    </w:p>
    <w:p w14:paraId="5F3775BD">
      <w:pPr>
        <w:pStyle w:val="25"/>
        <w:snapToGrid w:val="0"/>
        <w:spacing w:line="420" w:lineRule="exact"/>
        <w:ind w:firstLine="422" w:firstLineChars="200"/>
        <w:jc w:val="left"/>
        <w:outlineLvl w:val="1"/>
        <w:rPr>
          <w:rFonts w:hAnsi="宋体" w:cs="宋体"/>
          <w:b/>
          <w:szCs w:val="21"/>
        </w:rPr>
      </w:pPr>
      <w:bookmarkStart w:id="153" w:name="_Toc12349"/>
      <w:bookmarkStart w:id="154" w:name="_Toc50012862"/>
      <w:bookmarkStart w:id="155" w:name="_Toc33535356"/>
      <w:bookmarkStart w:id="156" w:name="_Toc493511643"/>
      <w:bookmarkStart w:id="157" w:name="_Toc177870547"/>
      <w:bookmarkStart w:id="158" w:name="_Toc177824877"/>
      <w:bookmarkStart w:id="159" w:name="_Toc177825125"/>
      <w:bookmarkStart w:id="160" w:name="_Toc177824944"/>
      <w:r>
        <w:rPr>
          <w:rFonts w:hint="eastAsia" w:hAnsi="宋体" w:cs="宋体"/>
          <w:b/>
          <w:szCs w:val="21"/>
        </w:rPr>
        <w:t>本项目所涉投标文件格式请详见第六章，未给出的格式请自拟。</w:t>
      </w:r>
      <w:bookmarkEnd w:id="153"/>
      <w:bookmarkEnd w:id="154"/>
      <w:bookmarkEnd w:id="155"/>
    </w:p>
    <w:p w14:paraId="4295115E">
      <w:pPr>
        <w:snapToGrid w:val="0"/>
        <w:spacing w:line="420" w:lineRule="exact"/>
        <w:ind w:firstLine="422" w:firstLineChars="200"/>
        <w:jc w:val="left"/>
        <w:outlineLvl w:val="0"/>
        <w:rPr>
          <w:rFonts w:ascii="宋体" w:hAnsi="宋体" w:cs="宋体"/>
          <w:b/>
          <w:szCs w:val="21"/>
        </w:rPr>
      </w:pPr>
      <w:bookmarkStart w:id="161" w:name="_Toc50012864"/>
      <w:bookmarkStart w:id="162" w:name="_Toc1053"/>
      <w:bookmarkStart w:id="163" w:name="_Toc406402988"/>
      <w:bookmarkStart w:id="164" w:name="_Toc33535358"/>
      <w:bookmarkStart w:id="165" w:name="_Toc406402944"/>
      <w:r>
        <w:rPr>
          <w:rFonts w:hint="eastAsia" w:ascii="宋体" w:hAnsi="宋体" w:cs="宋体"/>
          <w:b/>
          <w:szCs w:val="21"/>
        </w:rPr>
        <w:t>（一）投标文件的组成</w:t>
      </w:r>
      <w:bookmarkEnd w:id="161"/>
      <w:bookmarkEnd w:id="162"/>
      <w:bookmarkEnd w:id="163"/>
      <w:bookmarkEnd w:id="164"/>
      <w:bookmarkEnd w:id="165"/>
    </w:p>
    <w:p w14:paraId="69AE55A2">
      <w:pPr>
        <w:snapToGrid w:val="0"/>
        <w:spacing w:line="420" w:lineRule="exact"/>
        <w:ind w:left="420" w:leftChars="200"/>
        <w:jc w:val="left"/>
        <w:rPr>
          <w:rFonts w:ascii="宋体" w:hAnsi="宋体" w:cs="宋体"/>
          <w:b/>
          <w:bCs/>
          <w:szCs w:val="21"/>
        </w:rPr>
      </w:pPr>
      <w:r>
        <w:rPr>
          <w:rFonts w:hint="eastAsia" w:ascii="宋体" w:hAnsi="宋体" w:cs="宋体"/>
          <w:b/>
          <w:bCs/>
          <w:szCs w:val="21"/>
        </w:rPr>
        <w:t>1、资信商务及技术文件：</w:t>
      </w:r>
    </w:p>
    <w:p w14:paraId="00F323AA">
      <w:pPr>
        <w:snapToGrid w:val="0"/>
        <w:spacing w:line="420" w:lineRule="exact"/>
        <w:ind w:firstLine="420" w:firstLineChars="200"/>
        <w:jc w:val="left"/>
        <w:rPr>
          <w:rFonts w:ascii="宋体" w:hAnsi="宋体" w:cs="宋体"/>
          <w:szCs w:val="21"/>
        </w:rPr>
      </w:pPr>
      <w:r>
        <w:rPr>
          <w:rFonts w:hint="eastAsia" w:ascii="宋体" w:hAnsi="宋体" w:cs="宋体"/>
          <w:szCs w:val="21"/>
        </w:rPr>
        <w:t>1.1、投标声明书（格式见附件）；</w:t>
      </w:r>
    </w:p>
    <w:p w14:paraId="1CF9ABAB">
      <w:pPr>
        <w:snapToGrid w:val="0"/>
        <w:spacing w:line="420" w:lineRule="exact"/>
        <w:ind w:firstLine="420" w:firstLineChars="200"/>
        <w:jc w:val="left"/>
        <w:rPr>
          <w:rFonts w:ascii="宋体" w:hAnsi="宋体" w:cs="宋体"/>
          <w:szCs w:val="21"/>
        </w:rPr>
      </w:pPr>
      <w:r>
        <w:rPr>
          <w:rFonts w:hint="eastAsia" w:ascii="宋体" w:hAnsi="宋体" w:cs="宋体"/>
          <w:szCs w:val="21"/>
        </w:rPr>
        <w:t>1.2、法定代表人授权委托书（格式见附件）；</w:t>
      </w:r>
    </w:p>
    <w:p w14:paraId="3940E1FF">
      <w:pPr>
        <w:snapToGrid w:val="0"/>
        <w:spacing w:line="420" w:lineRule="exact"/>
        <w:ind w:firstLine="420" w:firstLineChars="200"/>
        <w:jc w:val="left"/>
        <w:rPr>
          <w:rFonts w:ascii="宋体" w:hAnsi="宋体" w:cs="宋体"/>
          <w:szCs w:val="21"/>
        </w:rPr>
      </w:pPr>
      <w:r>
        <w:rPr>
          <w:rFonts w:hint="eastAsia" w:ascii="宋体" w:hAnsi="宋体" w:cs="宋体"/>
          <w:szCs w:val="21"/>
        </w:rPr>
        <w:t>1.3、承诺函（格式见附件）；</w:t>
      </w:r>
    </w:p>
    <w:p w14:paraId="6AA406B7">
      <w:pPr>
        <w:snapToGrid w:val="0"/>
        <w:spacing w:line="420" w:lineRule="exact"/>
        <w:ind w:firstLine="420" w:firstLineChars="200"/>
        <w:jc w:val="left"/>
        <w:rPr>
          <w:rFonts w:ascii="宋体" w:hAnsi="宋体" w:cs="宋体"/>
          <w:szCs w:val="21"/>
        </w:rPr>
      </w:pPr>
      <w:r>
        <w:rPr>
          <w:rFonts w:hint="eastAsia" w:ascii="宋体" w:hAnsi="宋体" w:cs="宋体"/>
          <w:szCs w:val="21"/>
        </w:rPr>
        <w:t>1.4、中小企业声明函或残疾人福利性单位声明函或其他符合政策性条件的承诺函（格式见附件）；</w:t>
      </w:r>
    </w:p>
    <w:p w14:paraId="479FA0CC">
      <w:pPr>
        <w:snapToGrid w:val="0"/>
        <w:spacing w:line="420" w:lineRule="exact"/>
        <w:ind w:firstLine="420" w:firstLineChars="200"/>
        <w:jc w:val="left"/>
        <w:rPr>
          <w:rFonts w:ascii="宋体" w:hAnsi="宋体" w:cs="宋体"/>
          <w:szCs w:val="21"/>
        </w:rPr>
      </w:pPr>
      <w:r>
        <w:rPr>
          <w:rFonts w:hint="eastAsia" w:ascii="宋体" w:hAnsi="宋体" w:cs="宋体"/>
          <w:szCs w:val="21"/>
        </w:rPr>
        <w:t>1.5、类似案例成功的业绩</w:t>
      </w:r>
      <w:r>
        <w:rPr>
          <w:rFonts w:hint="eastAsia" w:ascii="宋体" w:hAnsi="宋体" w:cs="宋体"/>
          <w:b/>
          <w:szCs w:val="21"/>
        </w:rPr>
        <w:t>（合同复印件并加盖投标人公章）</w:t>
      </w:r>
      <w:r>
        <w:rPr>
          <w:rFonts w:hint="eastAsia" w:ascii="宋体" w:hAnsi="宋体" w:cs="宋体"/>
          <w:szCs w:val="21"/>
        </w:rPr>
        <w:t>；</w:t>
      </w:r>
    </w:p>
    <w:p w14:paraId="3D88E204">
      <w:pPr>
        <w:snapToGrid w:val="0"/>
        <w:spacing w:line="420" w:lineRule="exact"/>
        <w:ind w:firstLine="420" w:firstLineChars="200"/>
        <w:jc w:val="left"/>
        <w:rPr>
          <w:rFonts w:ascii="宋体" w:hAnsi="宋体" w:cs="宋体"/>
          <w:szCs w:val="21"/>
        </w:rPr>
      </w:pPr>
      <w:r>
        <w:rPr>
          <w:rFonts w:hint="eastAsia" w:ascii="宋体" w:hAnsi="宋体" w:cs="宋体"/>
          <w:szCs w:val="21"/>
        </w:rPr>
        <w:t>1.6、与本项目实施相关的投标人各类资质证书、认证证书、许可证等（如信誉荣誉、本地化服务等。</w:t>
      </w:r>
      <w:r>
        <w:rPr>
          <w:rFonts w:hint="eastAsia" w:ascii="宋体" w:hAnsi="宋体" w:cs="宋体"/>
          <w:b/>
          <w:szCs w:val="21"/>
        </w:rPr>
        <w:t>提供复印件并加盖投标人公章）（如有）</w:t>
      </w:r>
      <w:r>
        <w:rPr>
          <w:rFonts w:hint="eastAsia" w:ascii="宋体" w:hAnsi="宋体" w:cs="宋体"/>
          <w:szCs w:val="21"/>
        </w:rPr>
        <w:t>；</w:t>
      </w:r>
    </w:p>
    <w:p w14:paraId="6BCA2A9A">
      <w:pPr>
        <w:snapToGrid w:val="0"/>
        <w:spacing w:line="420" w:lineRule="exact"/>
        <w:ind w:firstLine="420" w:firstLineChars="200"/>
        <w:jc w:val="left"/>
        <w:rPr>
          <w:rFonts w:ascii="宋体" w:hAnsi="宋体" w:cs="宋体"/>
          <w:szCs w:val="21"/>
        </w:rPr>
      </w:pPr>
      <w:r>
        <w:rPr>
          <w:rFonts w:hint="eastAsia" w:ascii="宋体" w:hAnsi="宋体" w:cs="宋体"/>
          <w:szCs w:val="21"/>
        </w:rPr>
        <w:t>1.7、投标人情况介绍（后附营业执照、格式自拟）；</w:t>
      </w:r>
    </w:p>
    <w:p w14:paraId="02B9A982">
      <w:pPr>
        <w:snapToGrid w:val="0"/>
        <w:spacing w:line="420" w:lineRule="exact"/>
        <w:ind w:firstLine="420" w:firstLineChars="200"/>
        <w:jc w:val="left"/>
        <w:rPr>
          <w:rFonts w:ascii="宋体" w:hAnsi="宋体" w:cs="宋体"/>
          <w:szCs w:val="21"/>
        </w:rPr>
      </w:pPr>
      <w:r>
        <w:rPr>
          <w:rFonts w:hint="eastAsia" w:ascii="宋体" w:hAnsi="宋体" w:cs="宋体"/>
          <w:szCs w:val="21"/>
        </w:rPr>
        <w:t>1.8、商务、技术响应表（格式见附件）；</w:t>
      </w:r>
    </w:p>
    <w:p w14:paraId="13FC3970">
      <w:pPr>
        <w:snapToGrid w:val="0"/>
        <w:spacing w:line="420" w:lineRule="exact"/>
        <w:ind w:firstLine="420" w:firstLineChars="200"/>
        <w:jc w:val="left"/>
        <w:rPr>
          <w:rFonts w:ascii="宋体" w:hAnsi="宋体" w:cs="宋体"/>
        </w:rPr>
      </w:pPr>
      <w:r>
        <w:rPr>
          <w:rFonts w:hint="eastAsia" w:ascii="宋体" w:hAnsi="宋体" w:cs="宋体"/>
          <w:szCs w:val="21"/>
        </w:rPr>
        <w:t>1.9、项目实施人员（格式见附件）；</w:t>
      </w:r>
    </w:p>
    <w:p w14:paraId="010E5692">
      <w:pPr>
        <w:snapToGrid w:val="0"/>
        <w:spacing w:line="420" w:lineRule="exact"/>
        <w:ind w:firstLine="420" w:firstLineChars="200"/>
        <w:jc w:val="left"/>
        <w:rPr>
          <w:rFonts w:ascii="宋体" w:hAnsi="宋体" w:cs="宋体"/>
          <w:szCs w:val="21"/>
        </w:rPr>
      </w:pPr>
      <w:r>
        <w:rPr>
          <w:rFonts w:hint="eastAsia" w:ascii="宋体" w:hAnsi="宋体" w:cs="宋体"/>
          <w:szCs w:val="21"/>
        </w:rPr>
        <w:t>1.10、对招标项目的理解（格式自拟）；</w:t>
      </w:r>
    </w:p>
    <w:p w14:paraId="6010A134">
      <w:pPr>
        <w:snapToGrid w:val="0"/>
        <w:spacing w:line="420" w:lineRule="exact"/>
        <w:ind w:firstLine="420" w:firstLineChars="200"/>
        <w:jc w:val="left"/>
        <w:rPr>
          <w:rFonts w:ascii="宋体" w:hAnsi="宋体" w:cs="宋体"/>
          <w:szCs w:val="21"/>
        </w:rPr>
      </w:pPr>
      <w:r>
        <w:rPr>
          <w:rFonts w:hint="eastAsia" w:ascii="宋体" w:hAnsi="宋体" w:cs="宋体"/>
          <w:szCs w:val="21"/>
        </w:rPr>
        <w:t>1.11、项目实施方案（格式自拟）；</w:t>
      </w:r>
    </w:p>
    <w:p w14:paraId="074F55F1">
      <w:pPr>
        <w:snapToGrid w:val="0"/>
        <w:spacing w:line="420" w:lineRule="exact"/>
        <w:ind w:firstLine="420" w:firstLineChars="200"/>
        <w:jc w:val="left"/>
        <w:rPr>
          <w:rFonts w:ascii="宋体" w:hAnsi="宋体" w:cs="宋体"/>
          <w:szCs w:val="21"/>
        </w:rPr>
      </w:pPr>
      <w:r>
        <w:rPr>
          <w:rFonts w:hint="eastAsia" w:ascii="宋体" w:hAnsi="宋体" w:cs="宋体"/>
          <w:szCs w:val="21"/>
        </w:rPr>
        <w:t>1.12、质量保证措施、服务承诺（格式自拟）；</w:t>
      </w:r>
    </w:p>
    <w:p w14:paraId="775E7411">
      <w:pPr>
        <w:snapToGrid w:val="0"/>
        <w:spacing w:line="420" w:lineRule="exact"/>
        <w:ind w:firstLine="420" w:firstLineChars="200"/>
        <w:jc w:val="left"/>
        <w:rPr>
          <w:rFonts w:ascii="宋体" w:hAnsi="宋体" w:cs="宋体"/>
          <w:szCs w:val="21"/>
        </w:rPr>
      </w:pPr>
      <w:r>
        <w:rPr>
          <w:rFonts w:hint="eastAsia" w:ascii="宋体" w:hAnsi="宋体" w:cs="宋体"/>
          <w:szCs w:val="21"/>
        </w:rPr>
        <w:t>1.13、投标单位对本项目的合理化建议和改进措施（格式自拟）；</w:t>
      </w:r>
    </w:p>
    <w:p w14:paraId="1AA26F06">
      <w:pPr>
        <w:snapToGrid w:val="0"/>
        <w:spacing w:line="420" w:lineRule="exact"/>
        <w:ind w:firstLine="420" w:firstLineChars="200"/>
        <w:jc w:val="left"/>
        <w:rPr>
          <w:rFonts w:ascii="宋体" w:hAnsi="宋体" w:cs="宋体"/>
          <w:b/>
          <w:bCs/>
          <w:szCs w:val="21"/>
          <w:shd w:val="pct10" w:color="auto" w:fill="FFFFFF"/>
        </w:rPr>
      </w:pPr>
      <w:r>
        <w:rPr>
          <w:rFonts w:hint="eastAsia" w:ascii="宋体" w:hAnsi="宋体" w:cs="宋体"/>
          <w:szCs w:val="21"/>
        </w:rPr>
        <w:t>1.14、</w:t>
      </w:r>
      <w:r>
        <w:rPr>
          <w:rFonts w:hint="eastAsia" w:ascii="宋体" w:hAnsi="宋体" w:cs="宋体"/>
          <w:b/>
          <w:bCs/>
          <w:szCs w:val="21"/>
          <w:shd w:val="pct10" w:color="auto" w:fill="FFFFFF"/>
        </w:rPr>
        <w:t>未尽事宜请各投标人按评分细则制作。</w:t>
      </w:r>
    </w:p>
    <w:p w14:paraId="0142D0FF">
      <w:pPr>
        <w:spacing w:line="420" w:lineRule="exact"/>
        <w:ind w:firstLine="422" w:firstLineChars="200"/>
        <w:jc w:val="left"/>
        <w:rPr>
          <w:rFonts w:ascii="宋体" w:hAnsi="宋体" w:cs="宋体"/>
          <w:b/>
          <w:szCs w:val="21"/>
        </w:rPr>
      </w:pPr>
      <w:r>
        <w:rPr>
          <w:rFonts w:hint="eastAsia" w:ascii="宋体" w:hAnsi="宋体" w:cs="宋体"/>
          <w:b/>
          <w:szCs w:val="21"/>
        </w:rPr>
        <w:t>2、投标报价文件：</w:t>
      </w:r>
    </w:p>
    <w:p w14:paraId="0FA62E2E">
      <w:pPr>
        <w:snapToGrid w:val="0"/>
        <w:spacing w:line="420" w:lineRule="exact"/>
        <w:ind w:firstLine="420" w:firstLineChars="200"/>
        <w:jc w:val="left"/>
        <w:rPr>
          <w:rFonts w:ascii="宋体" w:hAnsi="宋体" w:cs="宋体"/>
          <w:szCs w:val="21"/>
        </w:rPr>
      </w:pPr>
      <w:r>
        <w:rPr>
          <w:rFonts w:hint="eastAsia" w:ascii="宋体" w:hAnsi="宋体" w:cs="宋体"/>
          <w:szCs w:val="21"/>
        </w:rPr>
        <w:t>2.1、投标函（格式见附件）；</w:t>
      </w:r>
    </w:p>
    <w:p w14:paraId="4E42ECBE">
      <w:pPr>
        <w:snapToGrid w:val="0"/>
        <w:spacing w:line="420" w:lineRule="exact"/>
        <w:ind w:firstLine="420" w:firstLineChars="200"/>
        <w:jc w:val="left"/>
        <w:rPr>
          <w:rFonts w:ascii="宋体" w:hAnsi="宋体" w:cs="宋体"/>
          <w:szCs w:val="21"/>
        </w:rPr>
      </w:pPr>
      <w:r>
        <w:rPr>
          <w:rFonts w:hint="eastAsia" w:ascii="宋体" w:hAnsi="宋体" w:cs="宋体"/>
          <w:szCs w:val="21"/>
        </w:rPr>
        <w:t>2.2、开标一览表（格式见附件）；</w:t>
      </w:r>
    </w:p>
    <w:p w14:paraId="40CF96F9">
      <w:pPr>
        <w:snapToGrid w:val="0"/>
        <w:spacing w:line="420" w:lineRule="exact"/>
        <w:ind w:firstLine="420" w:firstLineChars="200"/>
        <w:jc w:val="left"/>
        <w:rPr>
          <w:rFonts w:ascii="宋体" w:hAnsi="宋体" w:cs="宋体"/>
          <w:szCs w:val="21"/>
        </w:rPr>
      </w:pPr>
      <w:r>
        <w:rPr>
          <w:rFonts w:hint="eastAsia" w:ascii="宋体" w:hAnsi="宋体" w:cs="宋体"/>
          <w:szCs w:val="21"/>
        </w:rPr>
        <w:t>2.3、报价明细表（格式见附件）；</w:t>
      </w:r>
    </w:p>
    <w:p w14:paraId="0C79DBD0">
      <w:pPr>
        <w:snapToGrid w:val="0"/>
        <w:spacing w:line="420" w:lineRule="exact"/>
        <w:ind w:firstLine="420" w:firstLineChars="200"/>
        <w:jc w:val="left"/>
        <w:rPr>
          <w:rFonts w:ascii="宋体" w:hAnsi="宋体" w:cs="宋体"/>
          <w:szCs w:val="21"/>
        </w:rPr>
      </w:pPr>
      <w:r>
        <w:rPr>
          <w:rFonts w:hint="eastAsia" w:ascii="宋体" w:hAnsi="宋体" w:cs="宋体"/>
          <w:szCs w:val="21"/>
        </w:rPr>
        <w:t>2.4、投标人针对报价需要说明的其他文件和说明。</w:t>
      </w:r>
    </w:p>
    <w:bookmarkEnd w:id="156"/>
    <w:p w14:paraId="7ED06F5E">
      <w:pPr>
        <w:snapToGrid w:val="0"/>
        <w:spacing w:line="420" w:lineRule="exact"/>
        <w:ind w:firstLine="420" w:firstLineChars="200"/>
        <w:contextualSpacing/>
        <w:jc w:val="left"/>
        <w:outlineLvl w:val="1"/>
        <w:rPr>
          <w:rFonts w:ascii="宋体" w:hAnsi="宋体" w:cs="宋体"/>
          <w:szCs w:val="21"/>
        </w:rPr>
      </w:pPr>
      <w:bookmarkStart w:id="166" w:name="_Toc50012865"/>
      <w:bookmarkStart w:id="167" w:name="_Toc8745"/>
      <w:bookmarkStart w:id="168" w:name="_Toc493511656"/>
      <w:r>
        <w:rPr>
          <w:rFonts w:hint="eastAsia" w:ascii="宋体" w:hAnsi="宋体" w:cs="宋体"/>
          <w:szCs w:val="21"/>
        </w:rPr>
        <w:t>▲注：法定代表人授权委托书、投标声明书、投标函、开标一览表必须由法定代表人或负责人或授权代表签名并加盖单位公章。</w:t>
      </w:r>
      <w:bookmarkEnd w:id="166"/>
      <w:bookmarkEnd w:id="167"/>
      <w:bookmarkEnd w:id="168"/>
    </w:p>
    <w:bookmarkEnd w:id="157"/>
    <w:bookmarkEnd w:id="158"/>
    <w:bookmarkEnd w:id="159"/>
    <w:bookmarkEnd w:id="160"/>
    <w:p w14:paraId="5B2291C7">
      <w:pPr>
        <w:snapToGrid w:val="0"/>
        <w:spacing w:line="420" w:lineRule="exact"/>
        <w:ind w:firstLine="422" w:firstLineChars="200"/>
        <w:jc w:val="left"/>
        <w:outlineLvl w:val="0"/>
        <w:rPr>
          <w:rFonts w:ascii="宋体" w:hAnsi="宋体" w:cs="宋体"/>
          <w:b/>
          <w:szCs w:val="21"/>
        </w:rPr>
      </w:pPr>
      <w:bookmarkStart w:id="169" w:name="_Toc406402946"/>
      <w:bookmarkStart w:id="170" w:name="_Toc385854146"/>
      <w:bookmarkStart w:id="171" w:name="_Toc33535360"/>
      <w:bookmarkStart w:id="172" w:name="_Toc402963117"/>
      <w:bookmarkStart w:id="173" w:name="_Toc402963084"/>
      <w:bookmarkStart w:id="174" w:name="_Toc31513"/>
      <w:bookmarkStart w:id="175" w:name="_Toc50012866"/>
      <w:bookmarkStart w:id="176" w:name="_Toc385854100"/>
      <w:bookmarkStart w:id="177" w:name="_Toc406402990"/>
      <w:bookmarkStart w:id="178" w:name="_Toc493511751"/>
      <w:r>
        <w:rPr>
          <w:rFonts w:hint="eastAsia" w:ascii="宋体" w:hAnsi="宋体" w:cs="宋体"/>
          <w:b/>
          <w:szCs w:val="21"/>
        </w:rPr>
        <w:t>（二）投标文件的语言及计量</w:t>
      </w:r>
      <w:bookmarkEnd w:id="169"/>
      <w:bookmarkEnd w:id="170"/>
      <w:bookmarkEnd w:id="171"/>
      <w:bookmarkEnd w:id="172"/>
      <w:bookmarkEnd w:id="173"/>
      <w:bookmarkEnd w:id="174"/>
      <w:bookmarkEnd w:id="175"/>
      <w:bookmarkEnd w:id="176"/>
      <w:bookmarkEnd w:id="177"/>
    </w:p>
    <w:p w14:paraId="6CF2776D">
      <w:pPr>
        <w:snapToGrid w:val="0"/>
        <w:spacing w:line="420" w:lineRule="exact"/>
        <w:ind w:firstLine="420" w:firstLineChars="200"/>
        <w:jc w:val="left"/>
        <w:rPr>
          <w:rFonts w:ascii="宋体" w:hAnsi="宋体" w:cs="宋体"/>
          <w:szCs w:val="21"/>
        </w:rPr>
      </w:pPr>
      <w:r>
        <w:rPr>
          <w:rFonts w:hint="eastAsia" w:ascii="宋体" w:hAnsi="宋体" w:cs="宋体"/>
          <w:szCs w:val="21"/>
        </w:rPr>
        <w:t>1、投标文件以及投标方与招标方就有关投标事宜的所有来往函电，均应以中文汉语书写。除签名、盖章、专用名称等特殊情形外，以中文汉语以外的文字表述的投标文件视同未提供。</w:t>
      </w:r>
    </w:p>
    <w:p w14:paraId="426ADF00">
      <w:pPr>
        <w:snapToGrid w:val="0"/>
        <w:spacing w:line="420" w:lineRule="exact"/>
        <w:ind w:firstLine="420" w:firstLineChars="200"/>
        <w:jc w:val="left"/>
        <w:rPr>
          <w:rFonts w:ascii="宋体" w:hAnsi="宋体" w:cs="宋体"/>
          <w:szCs w:val="21"/>
        </w:rPr>
      </w:pPr>
      <w:r>
        <w:rPr>
          <w:rFonts w:hint="eastAsia" w:ascii="宋体" w:hAnsi="宋体" w:cs="宋体"/>
          <w:szCs w:val="21"/>
        </w:rPr>
        <w:t>2、投标计量单位，招标文件已有明确规定的，使用招标文件规定的计量单位；招标文件没有规定的，应采用中华人民共和国法定计量单位（货币单位：人民币元），否则视同未响应。</w:t>
      </w:r>
    </w:p>
    <w:p w14:paraId="403D894A">
      <w:pPr>
        <w:snapToGrid w:val="0"/>
        <w:spacing w:line="420" w:lineRule="exact"/>
        <w:ind w:firstLine="422" w:firstLineChars="200"/>
        <w:jc w:val="left"/>
        <w:outlineLvl w:val="0"/>
        <w:rPr>
          <w:rFonts w:ascii="宋体" w:hAnsi="宋体" w:cs="宋体"/>
          <w:b/>
          <w:szCs w:val="21"/>
        </w:rPr>
      </w:pPr>
      <w:bookmarkStart w:id="179" w:name="_Toc402963118"/>
      <w:bookmarkStart w:id="180" w:name="_Toc385854147"/>
      <w:bookmarkStart w:id="181" w:name="_Toc406402947"/>
      <w:bookmarkStart w:id="182" w:name="_Toc385854101"/>
      <w:bookmarkStart w:id="183" w:name="_Toc18686"/>
      <w:bookmarkStart w:id="184" w:name="_Toc33535361"/>
      <w:bookmarkStart w:id="185" w:name="_Toc50012867"/>
      <w:bookmarkStart w:id="186" w:name="_Toc402963085"/>
      <w:bookmarkStart w:id="187" w:name="_Toc406402991"/>
      <w:r>
        <w:rPr>
          <w:rFonts w:hint="eastAsia" w:ascii="宋体" w:hAnsi="宋体" w:cs="宋体"/>
          <w:b/>
          <w:szCs w:val="21"/>
        </w:rPr>
        <w:t>（三）投标报价</w:t>
      </w:r>
      <w:bookmarkEnd w:id="179"/>
      <w:bookmarkEnd w:id="180"/>
      <w:bookmarkEnd w:id="181"/>
      <w:bookmarkEnd w:id="182"/>
      <w:bookmarkEnd w:id="183"/>
      <w:bookmarkEnd w:id="184"/>
      <w:bookmarkEnd w:id="185"/>
      <w:bookmarkEnd w:id="186"/>
      <w:bookmarkEnd w:id="187"/>
    </w:p>
    <w:p w14:paraId="7FD015FB">
      <w:pPr>
        <w:pStyle w:val="25"/>
        <w:snapToGrid w:val="0"/>
        <w:spacing w:line="420" w:lineRule="exact"/>
        <w:ind w:firstLine="420" w:firstLineChars="200"/>
        <w:jc w:val="left"/>
        <w:rPr>
          <w:rFonts w:hAnsi="宋体" w:cs="宋体"/>
          <w:szCs w:val="21"/>
        </w:rPr>
      </w:pPr>
      <w:r>
        <w:rPr>
          <w:rFonts w:hint="eastAsia" w:hAnsi="宋体" w:cs="宋体"/>
          <w:szCs w:val="21"/>
        </w:rPr>
        <w:t>1、投标报价应按招标文件中相关附表格式填写。</w:t>
      </w:r>
    </w:p>
    <w:p w14:paraId="522F488E">
      <w:pPr>
        <w:pStyle w:val="25"/>
        <w:snapToGrid w:val="0"/>
        <w:spacing w:line="420" w:lineRule="exact"/>
        <w:ind w:firstLine="420" w:firstLineChars="200"/>
        <w:jc w:val="left"/>
        <w:rPr>
          <w:rFonts w:hAnsi="宋体" w:cs="宋体"/>
          <w:szCs w:val="21"/>
        </w:rPr>
      </w:pPr>
      <w:r>
        <w:rPr>
          <w:rFonts w:hint="eastAsia" w:hAnsi="宋体" w:cs="宋体"/>
          <w:szCs w:val="21"/>
        </w:rPr>
        <w:t>2、</w:t>
      </w:r>
      <w:r>
        <w:rPr>
          <w:rFonts w:hint="eastAsia" w:hAnsi="宋体" w:cs="宋体"/>
          <w:b/>
          <w:szCs w:val="21"/>
        </w:rPr>
        <w:t>投标报价是必须包括投标人提供服务的人员各项费用、统一工作服（服装、帽子、饭单、袖套、毛巾、专用口罩、胶鞋、橡胶手套等）及管理费、利润、税金等相关内容，由投标人自行综合考虑报价。</w:t>
      </w:r>
    </w:p>
    <w:p w14:paraId="54FF08B0">
      <w:pPr>
        <w:pStyle w:val="25"/>
        <w:snapToGrid w:val="0"/>
        <w:spacing w:line="420" w:lineRule="exact"/>
        <w:ind w:firstLine="420" w:firstLineChars="200"/>
        <w:jc w:val="left"/>
        <w:rPr>
          <w:rFonts w:hAnsi="宋体" w:cs="宋体"/>
          <w:szCs w:val="21"/>
        </w:rPr>
      </w:pPr>
      <w:r>
        <w:rPr>
          <w:rFonts w:hint="eastAsia" w:hAnsi="宋体" w:cs="宋体"/>
          <w:szCs w:val="21"/>
        </w:rPr>
        <w:t>3、投标文件只允许有一个报价，有选择的或有条件的报价将不予接受。</w:t>
      </w:r>
    </w:p>
    <w:p w14:paraId="48DF0D4F">
      <w:pPr>
        <w:pStyle w:val="15"/>
        <w:widowControl w:val="0"/>
        <w:tabs>
          <w:tab w:val="clear" w:pos="454"/>
        </w:tabs>
        <w:snapToGrid w:val="0"/>
        <w:spacing w:afterLines="0" w:line="420" w:lineRule="exact"/>
        <w:ind w:left="0" w:firstLine="422" w:firstLineChars="200"/>
        <w:rPr>
          <w:rFonts w:ascii="宋体" w:hAnsi="宋体" w:cs="宋体"/>
          <w:b/>
          <w:sz w:val="21"/>
          <w:szCs w:val="21"/>
        </w:rPr>
      </w:pPr>
      <w:r>
        <w:rPr>
          <w:rFonts w:hint="eastAsia" w:ascii="宋体" w:hAnsi="宋体" w:cs="宋体"/>
          <w:b/>
          <w:sz w:val="21"/>
          <w:szCs w:val="21"/>
        </w:rPr>
        <w:t>（四）投标文件的有效期</w:t>
      </w:r>
    </w:p>
    <w:p w14:paraId="46F33C22">
      <w:pPr>
        <w:pStyle w:val="15"/>
        <w:widowControl w:val="0"/>
        <w:tabs>
          <w:tab w:val="left" w:pos="4500"/>
          <w:tab w:val="clear" w:pos="454"/>
        </w:tabs>
        <w:snapToGrid w:val="0"/>
        <w:spacing w:afterLines="0" w:line="420" w:lineRule="exact"/>
        <w:ind w:left="0" w:firstLine="420" w:firstLineChars="200"/>
        <w:rPr>
          <w:rFonts w:ascii="宋体" w:hAnsi="宋体" w:cs="宋体"/>
          <w:sz w:val="21"/>
          <w:szCs w:val="21"/>
        </w:rPr>
      </w:pPr>
      <w:r>
        <w:rPr>
          <w:rFonts w:hint="eastAsia" w:ascii="宋体" w:hAnsi="宋体" w:cs="宋体"/>
          <w:sz w:val="21"/>
          <w:szCs w:val="21"/>
        </w:rPr>
        <w:t>1、自投标截止日起</w:t>
      </w:r>
      <w:r>
        <w:rPr>
          <w:rFonts w:hint="eastAsia" w:ascii="宋体" w:hAnsi="宋体" w:cs="宋体"/>
          <w:sz w:val="21"/>
          <w:szCs w:val="21"/>
          <w:u w:val="single"/>
        </w:rPr>
        <w:t>90</w:t>
      </w:r>
      <w:r>
        <w:rPr>
          <w:rFonts w:hint="eastAsia" w:ascii="宋体" w:hAnsi="宋体" w:cs="宋体"/>
          <w:sz w:val="21"/>
          <w:szCs w:val="21"/>
        </w:rPr>
        <w:t>天投标文件应保持有效。有效期不足的投标文件将被拒绝。</w:t>
      </w:r>
    </w:p>
    <w:p w14:paraId="72565B55">
      <w:pPr>
        <w:pStyle w:val="15"/>
        <w:widowControl w:val="0"/>
        <w:tabs>
          <w:tab w:val="clear" w:pos="454"/>
        </w:tabs>
        <w:snapToGrid w:val="0"/>
        <w:spacing w:afterLines="0" w:line="420" w:lineRule="exact"/>
        <w:ind w:left="0" w:firstLine="420" w:firstLineChars="200"/>
        <w:rPr>
          <w:rFonts w:ascii="宋体" w:hAnsi="宋体" w:cs="宋体"/>
          <w:sz w:val="21"/>
          <w:szCs w:val="21"/>
        </w:rPr>
      </w:pPr>
      <w:r>
        <w:rPr>
          <w:rFonts w:hint="eastAsia" w:ascii="宋体" w:hAnsi="宋体" w:cs="宋体"/>
          <w:sz w:val="21"/>
          <w:szCs w:val="21"/>
        </w:rPr>
        <w:t>2、在特殊情况下，采购人可与投标人协商延长投标书的有效期，这种要求和答复均以书面形式进行。</w:t>
      </w:r>
    </w:p>
    <w:p w14:paraId="7A813977">
      <w:pPr>
        <w:pStyle w:val="15"/>
        <w:widowControl w:val="0"/>
        <w:tabs>
          <w:tab w:val="left" w:pos="4500"/>
          <w:tab w:val="clear" w:pos="454"/>
        </w:tabs>
        <w:snapToGrid w:val="0"/>
        <w:spacing w:afterLines="0" w:line="420" w:lineRule="exact"/>
        <w:ind w:left="0" w:firstLine="420" w:firstLineChars="200"/>
        <w:rPr>
          <w:rFonts w:ascii="宋体" w:hAnsi="宋体" w:cs="宋体"/>
          <w:sz w:val="21"/>
          <w:szCs w:val="21"/>
        </w:rPr>
      </w:pPr>
      <w:bookmarkStart w:id="188" w:name="_Toc406402948"/>
      <w:bookmarkStart w:id="189" w:name="_Toc402963119"/>
      <w:bookmarkStart w:id="190" w:name="_Toc402963086"/>
      <w:bookmarkStart w:id="191" w:name="_Toc33535362"/>
      <w:bookmarkStart w:id="192" w:name="_Toc406402992"/>
      <w:bookmarkStart w:id="193" w:name="_Toc385854148"/>
      <w:bookmarkStart w:id="194" w:name="_Toc385854102"/>
      <w:bookmarkStart w:id="195" w:name="_Toc50012868"/>
      <w:r>
        <w:rPr>
          <w:rFonts w:hint="eastAsia" w:ascii="宋体" w:hAnsi="宋体" w:cs="宋体"/>
          <w:sz w:val="21"/>
          <w:szCs w:val="21"/>
        </w:rPr>
        <w:t>3、投标人可拒绝接受延期要求。同意延长有效期的投标人不能修改投标文件。</w:t>
      </w:r>
      <w:bookmarkEnd w:id="188"/>
      <w:bookmarkEnd w:id="189"/>
      <w:bookmarkEnd w:id="190"/>
      <w:bookmarkEnd w:id="191"/>
      <w:bookmarkEnd w:id="192"/>
      <w:bookmarkEnd w:id="193"/>
      <w:bookmarkEnd w:id="194"/>
      <w:bookmarkEnd w:id="195"/>
    </w:p>
    <w:p w14:paraId="009FD2EB">
      <w:pPr>
        <w:pStyle w:val="15"/>
        <w:widowControl w:val="0"/>
        <w:tabs>
          <w:tab w:val="left" w:pos="4500"/>
          <w:tab w:val="clear" w:pos="454"/>
        </w:tabs>
        <w:snapToGrid w:val="0"/>
        <w:spacing w:afterLines="0" w:line="420" w:lineRule="exact"/>
        <w:ind w:left="0" w:firstLine="420" w:firstLineChars="200"/>
        <w:rPr>
          <w:rFonts w:ascii="宋体" w:hAnsi="宋体" w:cs="宋体"/>
          <w:sz w:val="21"/>
          <w:szCs w:val="21"/>
        </w:rPr>
      </w:pPr>
      <w:bookmarkStart w:id="196" w:name="_Toc33535363"/>
      <w:bookmarkStart w:id="197" w:name="_Toc50012869"/>
      <w:bookmarkStart w:id="198" w:name="_Toc406402993"/>
      <w:bookmarkStart w:id="199" w:name="_Toc402963087"/>
      <w:bookmarkStart w:id="200" w:name="_Toc385854103"/>
      <w:bookmarkStart w:id="201" w:name="_Toc402963120"/>
      <w:bookmarkStart w:id="202" w:name="_Toc385854149"/>
      <w:bookmarkStart w:id="203" w:name="_Toc406402949"/>
      <w:r>
        <w:rPr>
          <w:rFonts w:hint="eastAsia" w:ascii="宋体" w:hAnsi="宋体" w:cs="宋体"/>
          <w:sz w:val="21"/>
          <w:szCs w:val="21"/>
        </w:rPr>
        <w:t>4、中标人的投标文件自开标之日起至合同履行完毕止均应保持有效。</w:t>
      </w:r>
      <w:bookmarkEnd w:id="196"/>
      <w:bookmarkEnd w:id="197"/>
      <w:bookmarkEnd w:id="198"/>
      <w:bookmarkEnd w:id="199"/>
      <w:bookmarkEnd w:id="200"/>
      <w:bookmarkEnd w:id="201"/>
      <w:bookmarkEnd w:id="202"/>
      <w:bookmarkEnd w:id="203"/>
    </w:p>
    <w:p w14:paraId="44B4F21D">
      <w:pPr>
        <w:snapToGrid w:val="0"/>
        <w:spacing w:line="420" w:lineRule="exact"/>
        <w:ind w:firstLine="422" w:firstLineChars="200"/>
        <w:jc w:val="left"/>
        <w:outlineLvl w:val="0"/>
        <w:rPr>
          <w:rFonts w:ascii="宋体" w:hAnsi="宋体" w:cs="宋体"/>
          <w:b/>
          <w:szCs w:val="21"/>
        </w:rPr>
      </w:pPr>
      <w:bookmarkStart w:id="204" w:name="_Toc33535364"/>
      <w:bookmarkStart w:id="205" w:name="_Toc406402995"/>
      <w:bookmarkStart w:id="206" w:name="_Toc16226"/>
      <w:bookmarkStart w:id="207" w:name="_Toc385854105"/>
      <w:bookmarkStart w:id="208" w:name="_Toc402963122"/>
      <w:bookmarkStart w:id="209" w:name="_Toc385854151"/>
      <w:bookmarkStart w:id="210" w:name="_Toc50012870"/>
      <w:bookmarkStart w:id="211" w:name="_Toc406402951"/>
      <w:bookmarkStart w:id="212" w:name="_Toc402963089"/>
      <w:r>
        <w:rPr>
          <w:rFonts w:hint="eastAsia" w:ascii="宋体" w:hAnsi="宋体" w:cs="宋体"/>
          <w:b/>
          <w:szCs w:val="21"/>
        </w:rPr>
        <w:t>（五）投标文件的签署和份数</w:t>
      </w:r>
      <w:bookmarkEnd w:id="204"/>
      <w:bookmarkEnd w:id="205"/>
      <w:bookmarkEnd w:id="206"/>
      <w:bookmarkEnd w:id="207"/>
      <w:bookmarkEnd w:id="208"/>
      <w:bookmarkEnd w:id="209"/>
      <w:bookmarkEnd w:id="210"/>
      <w:bookmarkEnd w:id="211"/>
      <w:bookmarkEnd w:id="212"/>
    </w:p>
    <w:p w14:paraId="631831C4">
      <w:pPr>
        <w:wordWrap w:val="0"/>
        <w:snapToGrid w:val="0"/>
        <w:spacing w:line="420" w:lineRule="exact"/>
        <w:ind w:firstLine="420" w:firstLineChars="200"/>
        <w:jc w:val="left"/>
        <w:rPr>
          <w:rFonts w:ascii="宋体" w:hAnsi="宋体" w:cs="宋体"/>
        </w:rPr>
      </w:pPr>
      <w:bookmarkStart w:id="213" w:name="_Toc33535368"/>
      <w:r>
        <w:rPr>
          <w:rFonts w:hint="eastAsia" w:ascii="宋体" w:hAnsi="宋体" w:cs="宋体"/>
        </w:rPr>
        <w:t>1、投标人应按本招标文件规定的格式和顺序编制、装订投标文件并标注页码，投标文件内容不完整、编排混乱导致投标文件被误读、漏读或者查找不到相关内容的，是投标人的责任。</w:t>
      </w:r>
    </w:p>
    <w:p w14:paraId="518CD608">
      <w:pPr>
        <w:tabs>
          <w:tab w:val="left" w:pos="4820"/>
        </w:tabs>
        <w:wordWrap w:val="0"/>
        <w:snapToGrid w:val="0"/>
        <w:spacing w:line="420" w:lineRule="exact"/>
        <w:ind w:firstLine="420" w:firstLineChars="200"/>
        <w:jc w:val="left"/>
        <w:rPr>
          <w:rFonts w:ascii="宋体" w:hAnsi="宋体" w:cs="宋体"/>
        </w:rPr>
      </w:pPr>
      <w:r>
        <w:rPr>
          <w:rFonts w:hint="eastAsia" w:ascii="宋体" w:hAnsi="宋体" w:cs="宋体"/>
        </w:rPr>
        <w:t>2、</w:t>
      </w:r>
      <w:r>
        <w:rPr>
          <w:rFonts w:hint="eastAsia" w:ascii="宋体" w:hAnsi="宋体" w:cs="宋体"/>
          <w:sz w:val="22"/>
        </w:rPr>
        <w:t>▲</w:t>
      </w:r>
      <w:r>
        <w:rPr>
          <w:rFonts w:hint="eastAsia" w:ascii="宋体" w:hAnsi="宋体" w:cs="宋体"/>
        </w:rPr>
        <w:t>投标人应按报价文件、资信商务及技术文件的顺序</w:t>
      </w:r>
      <w:r>
        <w:rPr>
          <w:rFonts w:hint="eastAsia" w:ascii="宋体" w:hAnsi="宋体" w:cs="宋体"/>
          <w:b/>
          <w:bCs/>
          <w:u w:val="single"/>
        </w:rPr>
        <w:t>分别单独</w:t>
      </w:r>
      <w:r>
        <w:rPr>
          <w:rFonts w:hint="eastAsia" w:ascii="宋体" w:hAnsi="宋体" w:cs="宋体"/>
        </w:rPr>
        <w:t>装订成册。所有投标文件正本各</w:t>
      </w:r>
      <w:r>
        <w:rPr>
          <w:rFonts w:hint="eastAsia" w:ascii="宋体" w:hAnsi="宋体" w:cs="宋体"/>
          <w:u w:val="single"/>
        </w:rPr>
        <w:t xml:space="preserve"> 1</w:t>
      </w:r>
      <w:r>
        <w:rPr>
          <w:rFonts w:hint="eastAsia" w:ascii="宋体" w:hAnsi="宋体" w:cs="宋体"/>
        </w:rPr>
        <w:t>份，副本各</w:t>
      </w:r>
      <w:r>
        <w:rPr>
          <w:rFonts w:hint="eastAsia" w:ascii="宋体" w:hAnsi="宋体" w:cs="宋体"/>
          <w:u w:val="single"/>
        </w:rPr>
        <w:t>3</w:t>
      </w:r>
      <w:r>
        <w:rPr>
          <w:rFonts w:hint="eastAsia" w:ascii="宋体" w:hAnsi="宋体" w:cs="宋体"/>
        </w:rPr>
        <w:t>份。并提供响应文件的电子文档PDF一份（u盘或光盘），电子文件密封在响应文件中。投标文件的封面应注明“正本”、“副本”字样。未装订的投标文件将被拒绝。</w:t>
      </w:r>
    </w:p>
    <w:p w14:paraId="332989D3">
      <w:pPr>
        <w:wordWrap w:val="0"/>
        <w:snapToGrid w:val="0"/>
        <w:spacing w:line="420" w:lineRule="exact"/>
        <w:ind w:firstLine="420" w:firstLineChars="200"/>
        <w:jc w:val="left"/>
        <w:rPr>
          <w:rFonts w:ascii="宋体" w:hAnsi="宋体" w:cs="宋体"/>
        </w:rPr>
      </w:pPr>
      <w:r>
        <w:rPr>
          <w:rFonts w:hint="eastAsia" w:ascii="宋体" w:hAnsi="宋体" w:cs="宋体"/>
        </w:rPr>
        <w:t>3、投标文件的正本需打印或用不褪色的墨水填写，投标文件正本除本《投标人须知》中规定的可提供复印件外均须提供原件。副本为正本的复印件。</w:t>
      </w:r>
    </w:p>
    <w:p w14:paraId="3CD0A029">
      <w:pPr>
        <w:wordWrap w:val="0"/>
        <w:snapToGrid w:val="0"/>
        <w:spacing w:line="420" w:lineRule="exact"/>
        <w:ind w:firstLine="420" w:firstLineChars="200"/>
        <w:jc w:val="left"/>
        <w:rPr>
          <w:rFonts w:ascii="宋体" w:hAnsi="宋体" w:cs="宋体"/>
        </w:rPr>
      </w:pPr>
      <w:r>
        <w:rPr>
          <w:rFonts w:hint="eastAsia" w:ascii="宋体" w:hAnsi="宋体" w:cs="宋体"/>
        </w:rPr>
        <w:t>4、</w:t>
      </w:r>
      <w:r>
        <w:rPr>
          <w:rFonts w:hint="eastAsia" w:ascii="宋体" w:hAnsi="宋体" w:cs="宋体"/>
          <w:sz w:val="22"/>
        </w:rPr>
        <w:t>▲</w:t>
      </w:r>
      <w:r>
        <w:rPr>
          <w:rFonts w:hint="eastAsia" w:ascii="宋体" w:hAnsi="宋体" w:cs="宋体"/>
        </w:rPr>
        <w:t>投标文件须由投标人在规定位置盖章并由法定代表人或法定代表人的授权委托人签署，投标人应写全称。</w:t>
      </w:r>
    </w:p>
    <w:p w14:paraId="0E193C06">
      <w:pPr>
        <w:snapToGrid w:val="0"/>
        <w:spacing w:line="420" w:lineRule="exact"/>
        <w:ind w:firstLine="420" w:firstLineChars="200"/>
        <w:jc w:val="left"/>
        <w:outlineLvl w:val="0"/>
        <w:rPr>
          <w:rFonts w:ascii="宋体" w:hAnsi="宋体" w:cs="宋体"/>
        </w:rPr>
      </w:pPr>
      <w:r>
        <w:rPr>
          <w:rFonts w:hint="eastAsia" w:ascii="宋体" w:hAnsi="宋体" w:cs="宋体"/>
        </w:rPr>
        <w:t>5、投标文件不得涂改，若有修改错漏处，须加盖单位公章或者法定代表人或法定代表人的授权委托人签字或盖章。投标文件因字迹潦草或表达不清所引起的后果由投标人负责。</w:t>
      </w:r>
    </w:p>
    <w:p w14:paraId="76570509">
      <w:pPr>
        <w:wordWrap w:val="0"/>
        <w:spacing w:line="420" w:lineRule="exact"/>
        <w:ind w:firstLine="422" w:firstLineChars="200"/>
        <w:rPr>
          <w:rFonts w:ascii="宋体" w:hAnsi="宋体" w:cs="宋体"/>
          <w:b/>
          <w:szCs w:val="21"/>
        </w:rPr>
      </w:pPr>
      <w:r>
        <w:rPr>
          <w:rFonts w:hint="eastAsia" w:ascii="宋体" w:hAnsi="宋体" w:cs="宋体"/>
          <w:b/>
          <w:szCs w:val="21"/>
        </w:rPr>
        <w:t>（六）投标文件的包装、递交、修改和撤回</w:t>
      </w:r>
    </w:p>
    <w:p w14:paraId="5A516010">
      <w:pPr>
        <w:wordWrap w:val="0"/>
        <w:snapToGrid w:val="0"/>
        <w:spacing w:line="420" w:lineRule="exact"/>
        <w:ind w:firstLine="420" w:firstLineChars="200"/>
        <w:jc w:val="left"/>
        <w:rPr>
          <w:rFonts w:ascii="宋体" w:hAnsi="宋体" w:cs="宋体"/>
        </w:rPr>
      </w:pPr>
      <w:r>
        <w:rPr>
          <w:rFonts w:hint="eastAsia" w:ascii="宋体" w:hAnsi="宋体" w:cs="宋体"/>
        </w:rPr>
        <w:t>1、投标人应按报价文件、资信商务及技术文</w:t>
      </w:r>
      <w:r>
        <w:rPr>
          <w:rFonts w:hint="eastAsia" w:ascii="宋体" w:hAnsi="宋体" w:cs="宋体"/>
          <w:szCs w:val="21"/>
        </w:rPr>
        <w:t>件二部分</w:t>
      </w:r>
      <w:r>
        <w:rPr>
          <w:rFonts w:hint="eastAsia" w:ascii="宋体" w:hAnsi="宋体" w:cs="宋体"/>
          <w:b/>
          <w:bCs/>
          <w:szCs w:val="21"/>
          <w:u w:val="single"/>
        </w:rPr>
        <w:t>分别</w:t>
      </w:r>
      <w:r>
        <w:rPr>
          <w:rFonts w:hint="eastAsia" w:ascii="宋体" w:hAnsi="宋体" w:cs="宋体"/>
          <w:szCs w:val="21"/>
        </w:rPr>
        <w:t>密封封</w:t>
      </w:r>
      <w:r>
        <w:rPr>
          <w:rFonts w:hint="eastAsia" w:ascii="宋体" w:hAnsi="宋体" w:cs="宋体"/>
        </w:rPr>
        <w:t>装投标文件。投标文件的包装封面上应注明投标人名称、投标人地址、投标文件名称（报价文件、资信商务及技术文件等）、投标项目名称、项目编号、标项及“开标时启封”字样，并加投标人公章。</w:t>
      </w:r>
    </w:p>
    <w:p w14:paraId="073B2FF8">
      <w:pPr>
        <w:wordWrap w:val="0"/>
        <w:snapToGrid w:val="0"/>
        <w:spacing w:line="420" w:lineRule="exact"/>
        <w:ind w:firstLine="420" w:firstLineChars="200"/>
        <w:jc w:val="left"/>
        <w:rPr>
          <w:rFonts w:ascii="宋体" w:hAnsi="宋体" w:cs="宋体"/>
        </w:rPr>
      </w:pPr>
      <w:r>
        <w:rPr>
          <w:rFonts w:hint="eastAsia" w:ascii="宋体" w:hAnsi="宋体" w:cs="宋体"/>
        </w:rPr>
        <w:t>2、未按规定密封或标记的投标文件将被拒绝，由此造成投标文件被误投或提前拆封的风险由投标人承担。</w:t>
      </w:r>
    </w:p>
    <w:p w14:paraId="3D084685">
      <w:pPr>
        <w:wordWrap w:val="0"/>
        <w:snapToGrid w:val="0"/>
        <w:spacing w:line="420" w:lineRule="exact"/>
        <w:ind w:firstLine="420" w:firstLineChars="200"/>
        <w:jc w:val="left"/>
        <w:rPr>
          <w:rFonts w:ascii="宋体" w:hAnsi="宋体" w:cs="宋体"/>
        </w:rPr>
      </w:pPr>
      <w:r>
        <w:rPr>
          <w:rFonts w:hint="eastAsia" w:ascii="宋体" w:hAnsi="宋体" w:cs="宋体"/>
        </w:rPr>
        <w:t>3、投标人在投标截止时间之前，可以对已提交的投标文件进行修改或撤回，并书面通知招标采购单位；投标截止时间后，投标人不得撤回、修改投标文件。修改后重新递交的投标文件应当按本招标文件的要求签署、盖章和密封。</w:t>
      </w:r>
    </w:p>
    <w:p w14:paraId="3A44FA2E">
      <w:pPr>
        <w:snapToGrid w:val="0"/>
        <w:spacing w:line="420" w:lineRule="exact"/>
        <w:ind w:firstLine="422" w:firstLineChars="200"/>
        <w:jc w:val="left"/>
        <w:outlineLvl w:val="0"/>
        <w:rPr>
          <w:rFonts w:ascii="宋体" w:hAnsi="宋体" w:cs="宋体"/>
          <w:b/>
          <w:szCs w:val="21"/>
        </w:rPr>
      </w:pPr>
      <w:bookmarkStart w:id="214" w:name="_Toc50012882"/>
      <w:bookmarkStart w:id="215" w:name="_Toc7277"/>
      <w:r>
        <w:rPr>
          <w:rFonts w:hint="eastAsia" w:ascii="宋体" w:hAnsi="宋体" w:cs="宋体"/>
          <w:b/>
          <w:szCs w:val="21"/>
        </w:rPr>
        <w:t>（七）投标无效的情形</w:t>
      </w:r>
      <w:bookmarkEnd w:id="213"/>
      <w:bookmarkEnd w:id="214"/>
      <w:bookmarkEnd w:id="215"/>
    </w:p>
    <w:p w14:paraId="75DA7B61">
      <w:pPr>
        <w:wordWrap w:val="0"/>
        <w:snapToGrid w:val="0"/>
        <w:spacing w:line="420" w:lineRule="exact"/>
        <w:ind w:firstLine="420" w:firstLineChars="200"/>
        <w:rPr>
          <w:rFonts w:ascii="宋体" w:hAnsi="宋体" w:cs="宋体"/>
          <w:bCs/>
          <w:szCs w:val="21"/>
        </w:rPr>
      </w:pPr>
      <w:r>
        <w:rPr>
          <w:rFonts w:hint="eastAsia" w:ascii="宋体" w:hAnsi="宋体" w:cs="宋体"/>
          <w:bCs/>
          <w:szCs w:val="21"/>
        </w:rPr>
        <w:t>实质上没有响应招标文件要求的投标将被视为无效投标。投标人不得通过修正或撤销不合要求的偏离或保留从而使其投标成为实质上响应的投标，但经评标委员会认定属于投标人疏忽、笔误所造成的差错，应当允许其在评标结束之前进行修改或者补正（可以是复印件、传真件等，原件必须加盖单位公章）。修改或者补正投标文件必须以书面形式进行，并应在中标结果之前查核原件。限期内不补正或经补正后仍不符合招标文件要求的，应认定其投标无效。投标人修改、补正投标文件后，不影响评标委员会对其投标文件所作的评价和评分结果。</w:t>
      </w:r>
    </w:p>
    <w:p w14:paraId="7ADC1E28">
      <w:pPr>
        <w:adjustRightInd w:val="0"/>
        <w:snapToGrid w:val="0"/>
        <w:spacing w:line="420" w:lineRule="exact"/>
        <w:ind w:firstLine="422" w:firstLineChars="200"/>
        <w:jc w:val="left"/>
        <w:rPr>
          <w:rFonts w:ascii="宋体" w:hAnsi="宋体" w:cs="宋体"/>
          <w:b/>
          <w:bCs/>
          <w:szCs w:val="21"/>
        </w:rPr>
      </w:pPr>
      <w:r>
        <w:rPr>
          <w:rFonts w:hint="eastAsia" w:ascii="宋体" w:hAnsi="宋体" w:cs="宋体"/>
          <w:b/>
          <w:bCs/>
          <w:szCs w:val="21"/>
        </w:rPr>
        <w:t>1、投标人资格审查</w:t>
      </w:r>
    </w:p>
    <w:p w14:paraId="4ECECAE6">
      <w:pPr>
        <w:adjustRightInd w:val="0"/>
        <w:snapToGrid w:val="0"/>
        <w:spacing w:line="420" w:lineRule="exact"/>
        <w:ind w:firstLine="420" w:firstLineChars="200"/>
        <w:jc w:val="left"/>
        <w:rPr>
          <w:rFonts w:ascii="宋体" w:hAnsi="宋体" w:cs="宋体"/>
          <w:szCs w:val="21"/>
        </w:rPr>
      </w:pPr>
      <w:r>
        <w:rPr>
          <w:rFonts w:hint="eastAsia" w:ascii="宋体" w:hAnsi="宋体" w:cs="宋体"/>
          <w:color w:val="000000"/>
          <w:szCs w:val="21"/>
        </w:rPr>
        <w:t>采购人或采购代理机构</w:t>
      </w:r>
      <w:r>
        <w:rPr>
          <w:rFonts w:hint="eastAsia" w:ascii="宋体" w:hAnsi="宋体" w:cs="宋体"/>
          <w:szCs w:val="21"/>
        </w:rPr>
        <w:t>首先对投标人进行资格审查，投标人通过资格审查必须符合本项目对投标人的资格要求。</w:t>
      </w:r>
      <w:r>
        <w:rPr>
          <w:rFonts w:hint="eastAsia" w:ascii="宋体" w:hAnsi="宋体" w:cs="宋体"/>
          <w:b/>
          <w:bCs/>
          <w:szCs w:val="21"/>
        </w:rPr>
        <w:t>资格审查未通过的投标人，其投标文件将不再评审。</w:t>
      </w:r>
    </w:p>
    <w:p w14:paraId="50CABF16">
      <w:pPr>
        <w:adjustRightInd w:val="0"/>
        <w:snapToGrid w:val="0"/>
        <w:spacing w:line="420" w:lineRule="exact"/>
        <w:ind w:firstLine="422" w:firstLineChars="200"/>
        <w:jc w:val="left"/>
        <w:rPr>
          <w:rFonts w:ascii="宋体" w:hAnsi="宋体" w:cs="宋体"/>
          <w:b/>
          <w:bCs/>
          <w:szCs w:val="21"/>
        </w:rPr>
      </w:pPr>
      <w:r>
        <w:rPr>
          <w:rFonts w:hint="eastAsia" w:ascii="宋体" w:hAnsi="宋体" w:cs="宋体"/>
          <w:b/>
          <w:bCs/>
          <w:szCs w:val="21"/>
        </w:rPr>
        <w:t>2、投标文件符合性审查</w:t>
      </w:r>
    </w:p>
    <w:p w14:paraId="6005FE8E">
      <w:pPr>
        <w:adjustRightInd w:val="0"/>
        <w:snapToGrid w:val="0"/>
        <w:spacing w:line="420" w:lineRule="exact"/>
        <w:ind w:firstLine="420" w:firstLineChars="200"/>
        <w:jc w:val="left"/>
        <w:rPr>
          <w:rFonts w:ascii="宋体" w:hAnsi="宋体" w:cs="宋体"/>
          <w:szCs w:val="21"/>
        </w:rPr>
      </w:pPr>
      <w:r>
        <w:rPr>
          <w:rFonts w:hint="eastAsia" w:ascii="宋体" w:hAnsi="宋体" w:cs="宋体"/>
          <w:szCs w:val="21"/>
        </w:rPr>
        <w:t>评标委员会对已通过资格审查的投标人进行符合性审查，如发现下列情形之一的，投标文件应当被视为无效：</w:t>
      </w:r>
    </w:p>
    <w:p w14:paraId="6D277E39">
      <w:pPr>
        <w:spacing w:line="420" w:lineRule="exact"/>
        <w:ind w:firstLine="420" w:firstLineChars="200"/>
        <w:rPr>
          <w:rFonts w:ascii="宋体" w:hAnsi="宋体" w:cs="宋体"/>
          <w:szCs w:val="21"/>
        </w:rPr>
      </w:pPr>
      <w:r>
        <w:rPr>
          <w:rFonts w:hint="eastAsia" w:ascii="宋体" w:hAnsi="宋体" w:cs="宋体"/>
          <w:szCs w:val="21"/>
        </w:rPr>
        <w:t>（1）未按招标文件规定密封、签字、盖章的；</w:t>
      </w:r>
    </w:p>
    <w:p w14:paraId="69A47BBE">
      <w:pPr>
        <w:spacing w:line="420" w:lineRule="exact"/>
        <w:ind w:firstLine="420" w:firstLineChars="200"/>
        <w:rPr>
          <w:rFonts w:ascii="宋体" w:hAnsi="宋体" w:cs="宋体"/>
          <w:szCs w:val="21"/>
        </w:rPr>
      </w:pPr>
      <w:r>
        <w:rPr>
          <w:rFonts w:hint="eastAsia" w:ascii="宋体" w:hAnsi="宋体" w:cs="宋体"/>
          <w:szCs w:val="21"/>
        </w:rPr>
        <w:t>（2）投标文件规定应有法定代表人签字的，无法定代表人签字，或未提供法定代表人授权委托书、投标声明书或者填写项目不齐全的；</w:t>
      </w:r>
    </w:p>
    <w:p w14:paraId="25B02AEE">
      <w:pPr>
        <w:spacing w:line="420" w:lineRule="exact"/>
        <w:ind w:firstLine="420" w:firstLineChars="200"/>
        <w:rPr>
          <w:rFonts w:ascii="宋体" w:hAnsi="宋体" w:cs="宋体"/>
          <w:szCs w:val="21"/>
        </w:rPr>
      </w:pPr>
      <w:r>
        <w:rPr>
          <w:rFonts w:hint="eastAsia" w:ascii="宋体" w:hAnsi="宋体" w:cs="宋体"/>
          <w:szCs w:val="21"/>
        </w:rPr>
        <w:t>（3）投标文件格式不规范、项目不齐全或者内容虚假的；</w:t>
      </w:r>
    </w:p>
    <w:p w14:paraId="049A299F">
      <w:pPr>
        <w:spacing w:line="420" w:lineRule="exact"/>
        <w:ind w:firstLine="420" w:firstLineChars="200"/>
        <w:rPr>
          <w:rFonts w:ascii="宋体" w:hAnsi="宋体" w:cs="宋体"/>
          <w:szCs w:val="21"/>
        </w:rPr>
      </w:pPr>
      <w:r>
        <w:rPr>
          <w:rFonts w:hint="eastAsia" w:ascii="宋体" w:hAnsi="宋体" w:cs="宋体"/>
          <w:szCs w:val="21"/>
        </w:rPr>
        <w:t>（4）投标文件的实质性内容未使用中文表述、意思表述不明确、前后矛盾或者使用计量单位不符合招标文件要求的（经评标委员会认定允许其当场更正的笔误除外）；</w:t>
      </w:r>
    </w:p>
    <w:p w14:paraId="5FD77664">
      <w:pPr>
        <w:spacing w:line="420" w:lineRule="exact"/>
        <w:ind w:firstLine="420" w:firstLineChars="200"/>
        <w:rPr>
          <w:rFonts w:ascii="宋体" w:hAnsi="宋体" w:cs="宋体"/>
          <w:szCs w:val="21"/>
        </w:rPr>
      </w:pPr>
      <w:r>
        <w:rPr>
          <w:rFonts w:hint="eastAsia" w:ascii="宋体" w:hAnsi="宋体" w:cs="宋体"/>
          <w:szCs w:val="21"/>
        </w:rPr>
        <w:t>（5）投标文件的关键内容字迹模糊、无法辨认的，或者投标文件中经修正的内容字迹模糊难以辨认或者修改处未按规定签名盖章的；</w:t>
      </w:r>
    </w:p>
    <w:p w14:paraId="491431AF">
      <w:pPr>
        <w:spacing w:line="420" w:lineRule="exact"/>
        <w:ind w:firstLine="420" w:firstLineChars="200"/>
        <w:rPr>
          <w:rFonts w:ascii="宋体" w:hAnsi="宋体" w:cs="宋体"/>
          <w:szCs w:val="21"/>
        </w:rPr>
      </w:pPr>
      <w:r>
        <w:rPr>
          <w:rFonts w:hint="eastAsia" w:ascii="宋体" w:hAnsi="宋体" w:cs="宋体"/>
          <w:szCs w:val="21"/>
        </w:rPr>
        <w:t>（6）投标有效期不能满足招标文件要求的；</w:t>
      </w:r>
    </w:p>
    <w:p w14:paraId="68799A24">
      <w:pPr>
        <w:spacing w:line="420" w:lineRule="exact"/>
        <w:ind w:firstLine="420" w:firstLineChars="200"/>
        <w:rPr>
          <w:rFonts w:ascii="宋体" w:hAnsi="宋体" w:cs="宋体"/>
          <w:szCs w:val="21"/>
        </w:rPr>
      </w:pPr>
      <w:r>
        <w:rPr>
          <w:rFonts w:hint="eastAsia" w:ascii="宋体" w:hAnsi="宋体" w:cs="宋体"/>
          <w:szCs w:val="21"/>
        </w:rPr>
        <w:t>（7）明显不符合招标文件要求的或者与招标文件中标“▲”的招标要求发生实质性偏离的；</w:t>
      </w:r>
    </w:p>
    <w:p w14:paraId="3D2E8E49">
      <w:pPr>
        <w:spacing w:line="420" w:lineRule="exact"/>
        <w:ind w:firstLine="420" w:firstLineChars="200"/>
        <w:rPr>
          <w:rFonts w:ascii="宋体" w:hAnsi="宋体" w:cs="宋体"/>
          <w:szCs w:val="21"/>
        </w:rPr>
      </w:pPr>
      <w:r>
        <w:rPr>
          <w:rFonts w:hint="eastAsia" w:ascii="宋体" w:hAnsi="宋体" w:cs="宋体"/>
          <w:szCs w:val="21"/>
        </w:rPr>
        <w:t>（8）投标文件含有采购人不能接受的附加条件的；</w:t>
      </w:r>
    </w:p>
    <w:p w14:paraId="04B4CB27">
      <w:pPr>
        <w:spacing w:line="420" w:lineRule="exact"/>
        <w:ind w:firstLine="420" w:firstLineChars="200"/>
        <w:rPr>
          <w:rFonts w:ascii="宋体" w:hAnsi="宋体" w:cs="宋体"/>
          <w:szCs w:val="21"/>
        </w:rPr>
      </w:pPr>
      <w:r>
        <w:rPr>
          <w:rFonts w:hint="eastAsia" w:ascii="宋体" w:hAnsi="宋体" w:cs="宋体"/>
          <w:szCs w:val="21"/>
        </w:rPr>
        <w:t>（9）法律、法规和招标文件规定的其他无效情形。</w:t>
      </w:r>
    </w:p>
    <w:p w14:paraId="4FB1ED59">
      <w:pPr>
        <w:spacing w:line="420" w:lineRule="exact"/>
        <w:ind w:firstLine="422" w:firstLineChars="200"/>
        <w:rPr>
          <w:rFonts w:ascii="宋体" w:hAnsi="宋体" w:cs="宋体"/>
          <w:b/>
          <w:szCs w:val="21"/>
        </w:rPr>
      </w:pPr>
      <w:r>
        <w:rPr>
          <w:rFonts w:hint="eastAsia" w:ascii="宋体" w:hAnsi="宋体" w:cs="宋体"/>
          <w:b/>
          <w:szCs w:val="21"/>
        </w:rPr>
        <w:t>投标文件符合性审查未通过的投标人，其投标文件将不再评审。</w:t>
      </w:r>
    </w:p>
    <w:p w14:paraId="41454873">
      <w:pPr>
        <w:spacing w:line="420" w:lineRule="exact"/>
        <w:ind w:firstLine="422" w:firstLineChars="200"/>
        <w:rPr>
          <w:rFonts w:ascii="宋体" w:hAnsi="宋体" w:cs="宋体"/>
          <w:b/>
          <w:bCs/>
          <w:szCs w:val="21"/>
        </w:rPr>
      </w:pPr>
      <w:r>
        <w:rPr>
          <w:rFonts w:hint="eastAsia" w:ascii="宋体" w:hAnsi="宋体" w:cs="宋体"/>
          <w:b/>
          <w:bCs/>
          <w:szCs w:val="21"/>
        </w:rPr>
        <w:t>3、在报价评审时，如发现下列情形之一的，投标文件将被视为无效：</w:t>
      </w:r>
    </w:p>
    <w:p w14:paraId="0FC6771E">
      <w:pPr>
        <w:pStyle w:val="25"/>
        <w:adjustRightInd w:val="0"/>
        <w:snapToGrid w:val="0"/>
        <w:spacing w:line="420" w:lineRule="exact"/>
        <w:ind w:firstLine="420" w:firstLineChars="200"/>
        <w:rPr>
          <w:rFonts w:hAnsi="宋体" w:cs="宋体"/>
          <w:szCs w:val="21"/>
        </w:rPr>
      </w:pPr>
      <w:r>
        <w:rPr>
          <w:rFonts w:hint="eastAsia" w:hAnsi="宋体" w:cs="宋体"/>
          <w:szCs w:val="21"/>
        </w:rPr>
        <w:t>（1）未按招标文件规定密封、签字、盖章的；</w:t>
      </w:r>
    </w:p>
    <w:p w14:paraId="4BF83430">
      <w:pPr>
        <w:pStyle w:val="25"/>
        <w:adjustRightInd w:val="0"/>
        <w:snapToGrid w:val="0"/>
        <w:spacing w:line="420" w:lineRule="exact"/>
        <w:ind w:firstLine="420" w:firstLineChars="200"/>
        <w:rPr>
          <w:rFonts w:hAnsi="宋体" w:cs="宋体"/>
          <w:szCs w:val="21"/>
        </w:rPr>
      </w:pPr>
      <w:r>
        <w:rPr>
          <w:rFonts w:hint="eastAsia" w:hAnsi="宋体" w:cs="宋体"/>
          <w:szCs w:val="21"/>
        </w:rPr>
        <w:t>（2）投标文件格式不规范、项目不齐全或者内容虚假的；</w:t>
      </w:r>
    </w:p>
    <w:p w14:paraId="57A0D9AD">
      <w:pPr>
        <w:pStyle w:val="25"/>
        <w:adjustRightInd w:val="0"/>
        <w:snapToGrid w:val="0"/>
        <w:spacing w:line="420" w:lineRule="exact"/>
        <w:ind w:firstLine="420" w:firstLineChars="200"/>
        <w:rPr>
          <w:rFonts w:hAnsi="宋体" w:cs="宋体"/>
          <w:szCs w:val="21"/>
        </w:rPr>
      </w:pPr>
      <w:r>
        <w:rPr>
          <w:rFonts w:hint="eastAsia" w:hAnsi="宋体" w:cs="宋体"/>
          <w:szCs w:val="21"/>
        </w:rPr>
        <w:t>（3）投标文件的关键内容字迹模糊、无法辨认的，或者投标文件中经修正的内容字迹模糊难以辨认或者修改处未按规定签名盖章的；</w:t>
      </w:r>
    </w:p>
    <w:p w14:paraId="4F506B0C">
      <w:pPr>
        <w:pStyle w:val="25"/>
        <w:adjustRightInd w:val="0"/>
        <w:snapToGrid w:val="0"/>
        <w:spacing w:line="420" w:lineRule="exact"/>
        <w:ind w:firstLine="420" w:firstLineChars="200"/>
        <w:rPr>
          <w:rFonts w:hAnsi="宋体" w:cs="宋体"/>
          <w:szCs w:val="21"/>
        </w:rPr>
      </w:pPr>
      <w:r>
        <w:rPr>
          <w:rFonts w:hint="eastAsia" w:hAnsi="宋体" w:cs="宋体"/>
          <w:szCs w:val="21"/>
        </w:rPr>
        <w:t>（4）投标报价超过预算金额或最高限价的；</w:t>
      </w:r>
    </w:p>
    <w:p w14:paraId="19A20211">
      <w:pPr>
        <w:pStyle w:val="25"/>
        <w:adjustRightInd w:val="0"/>
        <w:snapToGrid w:val="0"/>
        <w:spacing w:line="420" w:lineRule="exact"/>
        <w:ind w:firstLine="420" w:firstLineChars="200"/>
        <w:rPr>
          <w:rFonts w:hAnsi="宋体" w:cs="宋体"/>
          <w:szCs w:val="21"/>
        </w:rPr>
      </w:pPr>
      <w:r>
        <w:rPr>
          <w:rFonts w:hint="eastAsia" w:hAnsi="宋体" w:cs="宋体"/>
          <w:szCs w:val="21"/>
        </w:rPr>
        <w:t>（5）未实质性响应招标文件要求或者投标文件有招标方不能接受的附加条件的；</w:t>
      </w:r>
    </w:p>
    <w:p w14:paraId="708925AF">
      <w:pPr>
        <w:pStyle w:val="25"/>
        <w:adjustRightInd w:val="0"/>
        <w:snapToGrid w:val="0"/>
        <w:spacing w:line="420" w:lineRule="exact"/>
        <w:ind w:firstLine="420" w:firstLineChars="200"/>
        <w:rPr>
          <w:rFonts w:hAnsi="宋体" w:cs="宋体"/>
          <w:szCs w:val="21"/>
        </w:rPr>
      </w:pPr>
      <w:r>
        <w:rPr>
          <w:rFonts w:hint="eastAsia" w:hAnsi="宋体" w:cs="宋体"/>
          <w:szCs w:val="21"/>
        </w:rPr>
        <w:t>（6）法律、法规和招标文件规定的其他无效情形。</w:t>
      </w:r>
    </w:p>
    <w:p w14:paraId="6E1279EC">
      <w:pPr>
        <w:pStyle w:val="7"/>
        <w:wordWrap w:val="0"/>
        <w:snapToGrid w:val="0"/>
        <w:spacing w:line="420" w:lineRule="exact"/>
        <w:ind w:firstLine="406" w:firstLineChars="200"/>
        <w:rPr>
          <w:rFonts w:hAnsi="宋体" w:cs="宋体"/>
          <w:b/>
          <w:sz w:val="21"/>
          <w:szCs w:val="21"/>
        </w:rPr>
      </w:pPr>
      <w:bookmarkStart w:id="216" w:name="_Toc9286"/>
      <w:bookmarkStart w:id="217" w:name="_Toc33535369"/>
      <w:bookmarkStart w:id="218" w:name="_Toc50012885"/>
      <w:r>
        <w:rPr>
          <w:rFonts w:hint="eastAsia" w:hAnsi="宋体" w:cs="宋体"/>
          <w:b/>
          <w:sz w:val="21"/>
          <w:szCs w:val="21"/>
        </w:rPr>
        <w:t>4、</w:t>
      </w:r>
      <w:r>
        <w:rPr>
          <w:rFonts w:hint="eastAsia" w:hAnsi="宋体" w:cs="宋体"/>
          <w:b/>
          <w:bCs/>
          <w:sz w:val="21"/>
          <w:szCs w:val="21"/>
        </w:rPr>
        <w:t>在其他内容评审时，如发现下列情形之一的，投标文件将被视为无效：</w:t>
      </w:r>
    </w:p>
    <w:p w14:paraId="3C0EAD2E">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1）不同投标人的投标文件由同一单位或者个人编制（委托给同一个单位编制（有委托协议或支付费用的）、委托给同一个人编制（有委托协议或支付费用的）、投标文件电子文件编辑人员同一人或者工程类项目报价委托同一单位编制等情形）；</w:t>
      </w:r>
    </w:p>
    <w:p w14:paraId="51700562">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（2）不同投标人委托同一单位或者个人办理投标事宜（委托书中的名字、身份证号等信息为同一人等情形）；</w:t>
      </w:r>
    </w:p>
    <w:p w14:paraId="07DC65DC">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（3）不同投标人的投标文件载明的项目管理成员或者联系人员为同一人（项目组成员有一名或多名相同的情形等情形）；</w:t>
      </w:r>
    </w:p>
    <w:p w14:paraId="02432034">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（4）不同投标人的投标文件异常一致或者投标报价呈规律性差异（投标人分项报价完全一致、投标报价呈现等差或等比数列等情形）；</w:t>
      </w:r>
    </w:p>
    <w:p w14:paraId="565B36CD">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（5）不同投标人的投标文件相互混装（A公司的投标文件装在B公司的密封袋内，B公司的装在A公司袋内等情形）；</w:t>
      </w:r>
    </w:p>
    <w:p w14:paraId="6CF3313B">
      <w:pPr>
        <w:pStyle w:val="7"/>
        <w:wordWrap w:val="0"/>
        <w:snapToGrid w:val="0"/>
        <w:spacing w:line="420" w:lineRule="exact"/>
        <w:ind w:firstLine="420" w:firstLineChars="200"/>
        <w:rPr>
          <w:rFonts w:hAnsi="宋体" w:cs="宋体"/>
          <w:bCs/>
          <w:spacing w:val="0"/>
          <w:sz w:val="21"/>
          <w:szCs w:val="21"/>
        </w:rPr>
      </w:pPr>
      <w:r>
        <w:rPr>
          <w:rFonts w:hint="eastAsia" w:hAnsi="宋体" w:cs="宋体"/>
          <w:bCs/>
          <w:spacing w:val="0"/>
          <w:sz w:val="21"/>
          <w:szCs w:val="21"/>
        </w:rPr>
        <w:t>（6）不同投标人的投标保证金（若有）从同一单位或者个人的账户转出。</w:t>
      </w:r>
    </w:p>
    <w:p w14:paraId="5CF940E2">
      <w:pPr>
        <w:pStyle w:val="7"/>
        <w:wordWrap w:val="0"/>
        <w:snapToGrid w:val="0"/>
        <w:spacing w:line="420" w:lineRule="exact"/>
        <w:ind w:firstLine="406" w:firstLineChars="200"/>
        <w:rPr>
          <w:rFonts w:hAnsi="宋体" w:cs="宋体"/>
          <w:b/>
          <w:snapToGrid w:val="0"/>
          <w:sz w:val="21"/>
          <w:szCs w:val="21"/>
        </w:rPr>
      </w:pPr>
      <w:r>
        <w:rPr>
          <w:rFonts w:hint="eastAsia" w:hAnsi="宋体" w:cs="宋体"/>
          <w:b/>
          <w:sz w:val="21"/>
          <w:szCs w:val="21"/>
        </w:rPr>
        <w:t>5、被拒绝的投标文件为无效。</w:t>
      </w:r>
    </w:p>
    <w:p w14:paraId="0EDA2B9D">
      <w:pPr>
        <w:pStyle w:val="7"/>
        <w:snapToGrid w:val="0"/>
        <w:spacing w:line="420" w:lineRule="exact"/>
        <w:ind w:firstLine="406" w:firstLineChars="200"/>
        <w:jc w:val="left"/>
        <w:outlineLvl w:val="1"/>
        <w:rPr>
          <w:rFonts w:hAnsi="宋体" w:cs="宋体"/>
          <w:b/>
          <w:snapToGrid w:val="0"/>
          <w:sz w:val="21"/>
          <w:szCs w:val="21"/>
        </w:rPr>
      </w:pPr>
      <w:r>
        <w:rPr>
          <w:rFonts w:hint="eastAsia" w:hAnsi="宋体" w:cs="宋体"/>
          <w:b/>
          <w:sz w:val="21"/>
          <w:szCs w:val="21"/>
        </w:rPr>
        <w:t>四、开标</w:t>
      </w:r>
      <w:bookmarkEnd w:id="216"/>
      <w:bookmarkEnd w:id="217"/>
      <w:bookmarkEnd w:id="218"/>
    </w:p>
    <w:p w14:paraId="506B1DC9">
      <w:pPr>
        <w:wordWrap w:val="0"/>
        <w:spacing w:line="420" w:lineRule="exact"/>
        <w:ind w:firstLine="422" w:firstLineChars="200"/>
        <w:rPr>
          <w:rFonts w:ascii="宋体" w:hAnsi="宋体" w:cs="宋体"/>
          <w:b/>
          <w:szCs w:val="21"/>
        </w:rPr>
      </w:pPr>
      <w:r>
        <w:rPr>
          <w:rFonts w:hint="eastAsia" w:ascii="宋体" w:hAnsi="宋体" w:cs="宋体"/>
          <w:b/>
          <w:szCs w:val="21"/>
        </w:rPr>
        <w:t>1、开标准备</w:t>
      </w:r>
    </w:p>
    <w:p w14:paraId="4ECC3D20">
      <w:pPr>
        <w:pStyle w:val="25"/>
        <w:wordWrap w:val="0"/>
        <w:spacing w:line="420" w:lineRule="exact"/>
        <w:ind w:firstLine="420" w:firstLineChars="200"/>
        <w:rPr>
          <w:rFonts w:hAnsi="宋体" w:cs="宋体"/>
          <w:b/>
          <w:bCs/>
          <w:szCs w:val="21"/>
          <w:u w:val="single"/>
        </w:rPr>
      </w:pPr>
      <w:r>
        <w:rPr>
          <w:rFonts w:hint="eastAsia" w:hAnsi="宋体" w:cs="宋体"/>
          <w:szCs w:val="21"/>
        </w:rPr>
        <w:t>1.1、采购代理机构将在规定的时间和地点进行开标。</w:t>
      </w:r>
    </w:p>
    <w:p w14:paraId="58022D2A">
      <w:pPr>
        <w:wordWrap w:val="0"/>
        <w:spacing w:line="420" w:lineRule="exact"/>
        <w:ind w:firstLine="422" w:firstLineChars="200"/>
        <w:rPr>
          <w:rFonts w:ascii="宋体" w:hAnsi="宋体" w:cs="宋体"/>
          <w:b/>
          <w:szCs w:val="21"/>
        </w:rPr>
      </w:pPr>
      <w:r>
        <w:rPr>
          <w:rFonts w:hint="eastAsia" w:ascii="宋体" w:hAnsi="宋体" w:cs="宋体"/>
          <w:b/>
          <w:szCs w:val="21"/>
        </w:rPr>
        <w:t>2、开标程序</w:t>
      </w:r>
    </w:p>
    <w:p w14:paraId="4DAF8E11">
      <w:pPr>
        <w:pStyle w:val="25"/>
        <w:adjustRightInd w:val="0"/>
        <w:snapToGrid w:val="0"/>
        <w:spacing w:line="420" w:lineRule="exact"/>
        <w:ind w:firstLine="420" w:firstLineChars="200"/>
        <w:rPr>
          <w:rFonts w:hAnsi="宋体" w:cs="宋体"/>
          <w:szCs w:val="21"/>
        </w:rPr>
      </w:pPr>
      <w:r>
        <w:rPr>
          <w:rFonts w:hint="eastAsia" w:hAnsi="宋体" w:cs="宋体"/>
          <w:szCs w:val="21"/>
        </w:rPr>
        <w:t>2.1、开标会由采购代理机构主持，主持人宣布开标会议开始；</w:t>
      </w:r>
    </w:p>
    <w:p w14:paraId="79B9D54A">
      <w:pPr>
        <w:pStyle w:val="25"/>
        <w:adjustRightInd w:val="0"/>
        <w:snapToGrid w:val="0"/>
        <w:spacing w:line="420" w:lineRule="exact"/>
        <w:ind w:firstLine="420" w:firstLineChars="200"/>
        <w:rPr>
          <w:rFonts w:hAnsi="宋体" w:cs="宋体"/>
          <w:szCs w:val="21"/>
        </w:rPr>
      </w:pPr>
      <w:r>
        <w:rPr>
          <w:rFonts w:hint="eastAsia" w:hAnsi="宋体" w:cs="宋体"/>
          <w:szCs w:val="21"/>
        </w:rPr>
        <w:t>2.2、介绍参加开标会的人员名单；</w:t>
      </w:r>
    </w:p>
    <w:p w14:paraId="5F343A53">
      <w:pPr>
        <w:pStyle w:val="25"/>
        <w:adjustRightInd w:val="0"/>
        <w:snapToGrid w:val="0"/>
        <w:spacing w:line="420" w:lineRule="exact"/>
        <w:ind w:firstLine="420" w:firstLineChars="200"/>
        <w:rPr>
          <w:rFonts w:hAnsi="宋体" w:cs="宋体"/>
          <w:szCs w:val="21"/>
        </w:rPr>
      </w:pPr>
      <w:r>
        <w:rPr>
          <w:rFonts w:hint="eastAsia" w:hAnsi="宋体" w:cs="宋体"/>
          <w:szCs w:val="21"/>
        </w:rPr>
        <w:t>2.3、主持人宣布评标期间的有关事项；告知应当回避的情形,提请有关人员回避；</w:t>
      </w:r>
    </w:p>
    <w:p w14:paraId="1F0CD557">
      <w:pPr>
        <w:pStyle w:val="25"/>
        <w:adjustRightInd w:val="0"/>
        <w:snapToGrid w:val="0"/>
        <w:spacing w:line="420" w:lineRule="exact"/>
        <w:ind w:firstLine="420" w:firstLineChars="200"/>
        <w:rPr>
          <w:rFonts w:hAnsi="宋体" w:cs="宋体"/>
          <w:szCs w:val="21"/>
        </w:rPr>
      </w:pPr>
      <w:bookmarkStart w:id="219" w:name="_Toc24550037"/>
      <w:bookmarkStart w:id="220" w:name="_Toc33194393"/>
      <w:r>
        <w:rPr>
          <w:rFonts w:hint="eastAsia" w:hAnsi="宋体" w:cs="宋体"/>
          <w:szCs w:val="21"/>
        </w:rPr>
        <w:t>2.4、开标顺序按供应商提交采购响应文件的先后顺序，采取先拆封资信商务及技术文件、后拆封报价文件的顺序进行，首先打开资信商务及技术文件外包装，清点资信商务及技术文件正本、副本数量，符合招标文件要求的送评标室评审；不符合要求的，当场退还投标人，并由投标人代表签字确认；密封的报价文件集中保管待资信商务及技术文件评审结束后拆封。</w:t>
      </w:r>
    </w:p>
    <w:p w14:paraId="41C87EB4">
      <w:pPr>
        <w:pStyle w:val="25"/>
        <w:adjustRightInd w:val="0"/>
        <w:snapToGrid w:val="0"/>
        <w:spacing w:line="420" w:lineRule="exact"/>
        <w:ind w:firstLine="420" w:firstLineChars="200"/>
        <w:rPr>
          <w:rFonts w:hAnsi="宋体" w:cs="宋体"/>
          <w:szCs w:val="21"/>
        </w:rPr>
      </w:pPr>
      <w:r>
        <w:rPr>
          <w:rFonts w:hint="eastAsia" w:hAnsi="宋体" w:cs="宋体"/>
          <w:szCs w:val="21"/>
        </w:rPr>
        <w:t>2.5、资信商务及技术评审结束后，主持人宣告无效供应商名称及理由，供应商代表可收回未拆封的报价文件并签字确认；公布经资信商务及技术评审符合采购需求的供应商名单及其得分情况。</w:t>
      </w:r>
    </w:p>
    <w:p w14:paraId="40073A1A">
      <w:pPr>
        <w:pStyle w:val="25"/>
        <w:adjustRightInd w:val="0"/>
        <w:snapToGrid w:val="0"/>
        <w:spacing w:line="420" w:lineRule="exact"/>
        <w:ind w:firstLine="420" w:firstLineChars="200"/>
        <w:rPr>
          <w:rFonts w:hAnsi="宋体" w:cs="宋体"/>
          <w:szCs w:val="21"/>
        </w:rPr>
      </w:pPr>
      <w:r>
        <w:rPr>
          <w:rFonts w:hint="eastAsia" w:hAnsi="宋体" w:cs="宋体"/>
          <w:szCs w:val="21"/>
        </w:rPr>
        <w:t>2.6、拆封供应商报价文件，宣读《开标一览表》中的投标人名称及在其投标文件中承诺的投标报价，以及主持人认为有必要宣读的其他内容。同时当场制作并打印开标记录表，由供应商代表、唱标人、记录人在开标记录表上签字确认（不予确认的应说明理由，否则视为无异议）。唱标结束后，现场工作人员将报价文件及开标记录表送至评标室，由评审委员会对报价的合理性、准确性等进行审查核实。</w:t>
      </w:r>
    </w:p>
    <w:p w14:paraId="4F787366">
      <w:pPr>
        <w:pStyle w:val="25"/>
        <w:adjustRightInd w:val="0"/>
        <w:snapToGrid w:val="0"/>
        <w:spacing w:line="420" w:lineRule="exact"/>
        <w:ind w:firstLine="420" w:firstLineChars="200"/>
        <w:rPr>
          <w:rFonts w:hAnsi="宋体" w:cs="宋体"/>
          <w:szCs w:val="21"/>
        </w:rPr>
      </w:pPr>
      <w:r>
        <w:rPr>
          <w:rFonts w:hint="eastAsia" w:hAnsi="宋体" w:cs="宋体"/>
          <w:szCs w:val="21"/>
        </w:rPr>
        <w:t>2.7、评审结束后，主持人公布中标（成交）候选供应商名单，采购人最终确定中标或成交供应商名单的时间和公告方式等。</w:t>
      </w:r>
    </w:p>
    <w:p w14:paraId="0F81048D">
      <w:pPr>
        <w:pStyle w:val="25"/>
        <w:adjustRightInd w:val="0"/>
        <w:snapToGrid w:val="0"/>
        <w:spacing w:line="420" w:lineRule="exact"/>
        <w:ind w:firstLine="420" w:firstLineChars="200"/>
        <w:rPr>
          <w:rFonts w:hAnsi="宋体" w:cs="宋体"/>
          <w:szCs w:val="21"/>
        </w:rPr>
      </w:pPr>
      <w:r>
        <w:rPr>
          <w:rFonts w:hint="eastAsia" w:hAnsi="宋体" w:cs="宋体"/>
          <w:szCs w:val="21"/>
        </w:rPr>
        <w:t>2.8、开标会议结束。</w:t>
      </w:r>
    </w:p>
    <w:p w14:paraId="710778D3">
      <w:pPr>
        <w:wordWrap w:val="0"/>
        <w:spacing w:line="420" w:lineRule="exact"/>
        <w:ind w:firstLine="422" w:firstLineChars="200"/>
        <w:rPr>
          <w:rFonts w:ascii="宋体" w:hAnsi="宋体" w:cs="宋体"/>
          <w:b/>
          <w:szCs w:val="21"/>
        </w:rPr>
      </w:pPr>
      <w:r>
        <w:rPr>
          <w:rFonts w:hint="eastAsia" w:ascii="宋体" w:hAnsi="宋体" w:cs="宋体"/>
          <w:b/>
          <w:szCs w:val="21"/>
        </w:rPr>
        <w:t>（四）</w:t>
      </w:r>
      <w:bookmarkEnd w:id="219"/>
      <w:bookmarkEnd w:id="220"/>
      <w:r>
        <w:rPr>
          <w:rFonts w:hint="eastAsia" w:ascii="宋体" w:hAnsi="宋体" w:cs="宋体"/>
          <w:b/>
          <w:szCs w:val="21"/>
        </w:rPr>
        <w:t>评标</w:t>
      </w:r>
    </w:p>
    <w:p w14:paraId="4A496B78">
      <w:pPr>
        <w:wordWrap w:val="0"/>
        <w:spacing w:line="420" w:lineRule="exact"/>
        <w:ind w:firstLine="422" w:firstLineChars="200"/>
        <w:rPr>
          <w:rFonts w:ascii="宋体" w:hAnsi="宋体" w:cs="宋体"/>
          <w:b/>
          <w:szCs w:val="21"/>
        </w:rPr>
      </w:pPr>
      <w:r>
        <w:rPr>
          <w:rFonts w:hint="eastAsia" w:ascii="宋体" w:hAnsi="宋体" w:cs="宋体"/>
          <w:b/>
          <w:szCs w:val="21"/>
        </w:rPr>
        <w:t>1、评标组织</w:t>
      </w:r>
    </w:p>
    <w:p w14:paraId="36E61CB9">
      <w:pPr>
        <w:pStyle w:val="25"/>
        <w:wordWrap w:val="0"/>
        <w:spacing w:line="420" w:lineRule="exact"/>
        <w:ind w:firstLine="420" w:firstLineChars="200"/>
        <w:rPr>
          <w:rFonts w:hAnsi="宋体" w:cs="宋体"/>
          <w:szCs w:val="21"/>
        </w:rPr>
      </w:pPr>
      <w:r>
        <w:rPr>
          <w:rFonts w:hint="eastAsia" w:hAnsi="宋体" w:cs="宋体"/>
          <w:szCs w:val="21"/>
        </w:rPr>
        <w:t>1.1、按照《中华人民共和国政府采购法》相关要求，本项目评标委员会成员由业主专家1名，以及在专家库中随机抽取的4人，共5人组成。</w:t>
      </w:r>
    </w:p>
    <w:p w14:paraId="3E8E9105">
      <w:pPr>
        <w:pStyle w:val="25"/>
        <w:wordWrap w:val="0"/>
        <w:spacing w:line="420" w:lineRule="exact"/>
        <w:ind w:firstLine="420" w:firstLineChars="200"/>
        <w:rPr>
          <w:rFonts w:hAnsi="宋体" w:cs="宋体"/>
          <w:szCs w:val="21"/>
        </w:rPr>
      </w:pPr>
      <w:r>
        <w:rPr>
          <w:rFonts w:hint="eastAsia" w:hAnsi="宋体" w:cs="宋体"/>
          <w:szCs w:val="21"/>
        </w:rPr>
        <w:t>1.2、评标全过程录音录像。</w:t>
      </w:r>
    </w:p>
    <w:p w14:paraId="56F4A08F">
      <w:pPr>
        <w:wordWrap w:val="0"/>
        <w:spacing w:line="420" w:lineRule="exact"/>
        <w:ind w:firstLine="422" w:firstLineChars="200"/>
        <w:rPr>
          <w:rFonts w:ascii="宋体" w:hAnsi="宋体" w:cs="宋体"/>
          <w:b/>
          <w:szCs w:val="21"/>
        </w:rPr>
      </w:pPr>
      <w:r>
        <w:rPr>
          <w:rFonts w:hint="eastAsia" w:ascii="宋体" w:hAnsi="宋体" w:cs="宋体"/>
          <w:b/>
          <w:szCs w:val="21"/>
        </w:rPr>
        <w:t>2、评标的方式</w:t>
      </w:r>
    </w:p>
    <w:p w14:paraId="5DF3FC8D">
      <w:pPr>
        <w:pStyle w:val="25"/>
        <w:wordWrap w:val="0"/>
        <w:spacing w:line="420" w:lineRule="exact"/>
        <w:ind w:firstLine="420" w:firstLineChars="200"/>
        <w:rPr>
          <w:rFonts w:hAnsi="宋体" w:cs="宋体"/>
          <w:szCs w:val="21"/>
        </w:rPr>
      </w:pPr>
      <w:r>
        <w:rPr>
          <w:rFonts w:hint="eastAsia" w:hAnsi="宋体" w:cs="宋体"/>
          <w:szCs w:val="21"/>
        </w:rPr>
        <w:t>2.1、本采购项目采用不公开方式评标，评标的依据为招标文件和投标文件。</w:t>
      </w:r>
    </w:p>
    <w:p w14:paraId="1AC7725B">
      <w:pPr>
        <w:wordWrap w:val="0"/>
        <w:spacing w:line="420" w:lineRule="exact"/>
        <w:ind w:firstLine="422" w:firstLineChars="200"/>
        <w:rPr>
          <w:rFonts w:ascii="宋体" w:hAnsi="宋体" w:cs="宋体"/>
          <w:b/>
          <w:szCs w:val="21"/>
        </w:rPr>
      </w:pPr>
      <w:r>
        <w:rPr>
          <w:rFonts w:hint="eastAsia" w:ascii="宋体" w:hAnsi="宋体" w:cs="宋体"/>
          <w:b/>
          <w:szCs w:val="21"/>
        </w:rPr>
        <w:t>3、评标程序</w:t>
      </w:r>
    </w:p>
    <w:p w14:paraId="4FEDA7C4">
      <w:pPr>
        <w:pStyle w:val="25"/>
        <w:wordWrap w:val="0"/>
        <w:spacing w:line="420" w:lineRule="exact"/>
        <w:ind w:firstLine="420" w:firstLineChars="200"/>
        <w:rPr>
          <w:rFonts w:hAnsi="宋体" w:cs="宋体"/>
          <w:szCs w:val="21"/>
        </w:rPr>
      </w:pPr>
      <w:r>
        <w:rPr>
          <w:rFonts w:hint="eastAsia" w:hAnsi="宋体" w:cs="宋体"/>
          <w:szCs w:val="21"/>
        </w:rPr>
        <w:t>3.1、形式审查:评标委员会将审查投标文件是否真实、完整,总体编排是否有序,文件签署是否正确等。</w:t>
      </w:r>
    </w:p>
    <w:p w14:paraId="2B126FF9">
      <w:pPr>
        <w:pStyle w:val="25"/>
        <w:wordWrap w:val="0"/>
        <w:spacing w:line="420" w:lineRule="exact"/>
        <w:ind w:firstLine="420" w:firstLineChars="200"/>
        <w:rPr>
          <w:rFonts w:hAnsi="宋体" w:cs="宋体"/>
          <w:szCs w:val="21"/>
        </w:rPr>
      </w:pPr>
      <w:r>
        <w:rPr>
          <w:rFonts w:hint="eastAsia" w:hAnsi="宋体" w:cs="宋体"/>
          <w:szCs w:val="21"/>
        </w:rPr>
        <w:t>3.2、实质审查与比较</w:t>
      </w:r>
    </w:p>
    <w:p w14:paraId="6CB736A9">
      <w:pPr>
        <w:pStyle w:val="25"/>
        <w:wordWrap w:val="0"/>
        <w:spacing w:line="420" w:lineRule="exact"/>
        <w:ind w:firstLine="420" w:firstLineChars="200"/>
        <w:rPr>
          <w:rFonts w:hAnsi="宋体" w:cs="宋体"/>
          <w:szCs w:val="21"/>
        </w:rPr>
      </w:pPr>
      <w:r>
        <w:rPr>
          <w:rFonts w:hint="eastAsia" w:hAnsi="宋体" w:cs="宋体"/>
          <w:szCs w:val="21"/>
        </w:rPr>
        <w:t>3.2.1、评标委员会审查投标文件的实质性内容是否符合招标文件的实质性要求。</w:t>
      </w:r>
    </w:p>
    <w:p w14:paraId="1A9F4EFB">
      <w:pPr>
        <w:pStyle w:val="25"/>
        <w:wordWrap w:val="0"/>
        <w:spacing w:line="420" w:lineRule="exact"/>
        <w:ind w:firstLine="420" w:firstLineChars="200"/>
        <w:rPr>
          <w:rFonts w:hAnsi="宋体" w:cs="宋体"/>
          <w:szCs w:val="21"/>
        </w:rPr>
      </w:pPr>
      <w:r>
        <w:rPr>
          <w:rFonts w:hint="eastAsia" w:hAnsi="宋体" w:cs="宋体"/>
          <w:szCs w:val="21"/>
        </w:rPr>
        <w:t>3.2.2、评标委员会将根据投标人的资信技术标书进行审查、核对,如有疑问,将对投标人进行询标,投标人要向评标委员会澄清有关问题,并最终以书面形式进行答复。询标时，投标人代表未到场或者拒绝澄清或者澄清的内容改变了投标文件的实质性内容的，评标委员会有权对该投标文件作出不利于投标人的评判。</w:t>
      </w:r>
    </w:p>
    <w:p w14:paraId="72FCD2A9">
      <w:pPr>
        <w:pStyle w:val="25"/>
        <w:wordWrap w:val="0"/>
        <w:spacing w:line="420" w:lineRule="exact"/>
        <w:ind w:firstLine="420" w:firstLineChars="200"/>
        <w:rPr>
          <w:rFonts w:hAnsi="宋体" w:cs="宋体"/>
          <w:szCs w:val="21"/>
        </w:rPr>
      </w:pPr>
      <w:r>
        <w:rPr>
          <w:rFonts w:hint="eastAsia" w:hAnsi="宋体" w:cs="宋体"/>
          <w:szCs w:val="21"/>
        </w:rPr>
        <w:t>3.2.3、各投标人的资信技术分按照评标委员会成员的独立评分结果汇总后的算术平均分计算。</w:t>
      </w:r>
    </w:p>
    <w:p w14:paraId="28B060CE">
      <w:pPr>
        <w:pStyle w:val="25"/>
        <w:wordWrap w:val="0"/>
        <w:spacing w:line="420" w:lineRule="exact"/>
        <w:ind w:firstLine="420" w:firstLineChars="200"/>
        <w:rPr>
          <w:rFonts w:hAnsi="宋体" w:cs="宋体"/>
          <w:szCs w:val="21"/>
        </w:rPr>
      </w:pPr>
      <w:r>
        <w:rPr>
          <w:rFonts w:hint="eastAsia" w:hAnsi="宋体" w:cs="宋体"/>
          <w:szCs w:val="21"/>
        </w:rPr>
        <w:t>3.2.4、评标委员会将根据投标人的报价文件进行审查、核对,如有疑问,将对投标人进行询标,投标人要向评标委员会澄清有关问题,并最终以书面形式进行答复。</w:t>
      </w:r>
    </w:p>
    <w:p w14:paraId="4A700726">
      <w:pPr>
        <w:pStyle w:val="25"/>
        <w:wordWrap w:val="0"/>
        <w:spacing w:line="420" w:lineRule="exact"/>
        <w:ind w:firstLine="420" w:firstLineChars="200"/>
        <w:rPr>
          <w:rFonts w:hAnsi="宋体" w:cs="宋体"/>
          <w:szCs w:val="21"/>
        </w:rPr>
      </w:pPr>
      <w:r>
        <w:rPr>
          <w:rFonts w:hint="eastAsia" w:hAnsi="宋体" w:cs="宋体"/>
          <w:szCs w:val="21"/>
        </w:rPr>
        <w:t>3.2.5、代理公司工作人员协助评标委员会根据本项目的评分标准计算各投标人的报价得分。对明显畸高、畸低的评分（其总评分偏离平均分30%以上的），评标委员会组长应提醒相关评审人员进行复核或书面说明理由，评审人员拒绝说明的，由招标代理机构人员据实记录；评审人员的评审、修改记录应保留原件，随项目其他资料一并存档。</w:t>
      </w:r>
    </w:p>
    <w:p w14:paraId="0B7BF25E">
      <w:pPr>
        <w:pStyle w:val="25"/>
        <w:wordWrap w:val="0"/>
        <w:spacing w:line="420" w:lineRule="exact"/>
        <w:ind w:firstLine="420" w:firstLineChars="200"/>
        <w:rPr>
          <w:rFonts w:hAnsi="宋体" w:cs="宋体"/>
          <w:szCs w:val="21"/>
        </w:rPr>
      </w:pPr>
      <w:r>
        <w:rPr>
          <w:rFonts w:hint="eastAsia" w:hAnsi="宋体" w:cs="宋体"/>
          <w:szCs w:val="21"/>
        </w:rPr>
        <w:t>3.2.6、评标委员会完成评标后,评委对各部分得分汇总,计算出本项目最终得分。评标委员会按评标原则推荐中标候选人同时起草评标报告。</w:t>
      </w:r>
    </w:p>
    <w:p w14:paraId="7C5F824A">
      <w:pPr>
        <w:wordWrap w:val="0"/>
        <w:spacing w:line="420" w:lineRule="exact"/>
        <w:ind w:firstLine="422" w:firstLineChars="200"/>
        <w:rPr>
          <w:rFonts w:ascii="宋体" w:hAnsi="宋体" w:cs="宋体"/>
          <w:b/>
          <w:szCs w:val="21"/>
        </w:rPr>
      </w:pPr>
      <w:r>
        <w:rPr>
          <w:rFonts w:hint="eastAsia" w:ascii="宋体" w:hAnsi="宋体" w:cs="宋体"/>
          <w:b/>
          <w:szCs w:val="21"/>
        </w:rPr>
        <w:t>4、澄清问题的形式</w:t>
      </w:r>
    </w:p>
    <w:p w14:paraId="74DD9E35">
      <w:pPr>
        <w:pStyle w:val="25"/>
        <w:wordWrap w:val="0"/>
        <w:spacing w:line="420" w:lineRule="exact"/>
        <w:ind w:firstLine="420" w:firstLineChars="200"/>
        <w:rPr>
          <w:rFonts w:hAnsi="宋体" w:cs="宋体"/>
          <w:szCs w:val="21"/>
        </w:rPr>
      </w:pPr>
      <w:r>
        <w:rPr>
          <w:rFonts w:hint="eastAsia" w:hAnsi="宋体" w:cs="宋体"/>
          <w:szCs w:val="21"/>
        </w:rPr>
        <w:t>4.1、对投标文件中含义不明确、同类问题表述不一致或者有明显文字和计算错误的内容，评标委员会可以书面形式要求投标人作出必要的澄清、说明或者纠正。投标人的澄清、说明或者补正应当采用书面形式，由其法定代表人或委托代理人签字或盖章确认，并不得超出投标文件的范围或者改变投标文件的实质性内容。</w:t>
      </w:r>
    </w:p>
    <w:p w14:paraId="714CC69B">
      <w:pPr>
        <w:wordWrap w:val="0"/>
        <w:spacing w:line="420" w:lineRule="exact"/>
        <w:ind w:firstLine="422" w:firstLineChars="200"/>
        <w:rPr>
          <w:rFonts w:ascii="宋体" w:hAnsi="宋体" w:cs="宋体"/>
          <w:b/>
          <w:szCs w:val="21"/>
        </w:rPr>
      </w:pPr>
      <w:r>
        <w:rPr>
          <w:rFonts w:hint="eastAsia" w:ascii="宋体" w:hAnsi="宋体" w:cs="宋体"/>
          <w:b/>
          <w:szCs w:val="21"/>
        </w:rPr>
        <w:t>5、错误修正</w:t>
      </w:r>
    </w:p>
    <w:p w14:paraId="0E17EFBF">
      <w:pPr>
        <w:pStyle w:val="25"/>
        <w:wordWrap w:val="0"/>
        <w:spacing w:line="420" w:lineRule="exact"/>
        <w:ind w:firstLine="420" w:firstLineChars="200"/>
        <w:rPr>
          <w:rFonts w:hAnsi="宋体" w:cs="宋体"/>
          <w:szCs w:val="21"/>
        </w:rPr>
      </w:pPr>
      <w:r>
        <w:rPr>
          <w:rFonts w:hint="eastAsia" w:hAnsi="宋体" w:cs="宋体"/>
          <w:szCs w:val="21"/>
        </w:rPr>
        <w:t>投标文件如果出现计算或表达上的错误，修正错误的原则如下：</w:t>
      </w:r>
    </w:p>
    <w:p w14:paraId="7D490D6C">
      <w:pPr>
        <w:pStyle w:val="25"/>
        <w:wordWrap w:val="0"/>
        <w:spacing w:line="420" w:lineRule="exact"/>
        <w:ind w:firstLine="420" w:firstLineChars="200"/>
        <w:rPr>
          <w:rFonts w:hAnsi="宋体" w:cs="宋体"/>
          <w:szCs w:val="21"/>
        </w:rPr>
      </w:pPr>
      <w:r>
        <w:rPr>
          <w:rFonts w:hint="eastAsia" w:hAnsi="宋体" w:cs="宋体"/>
          <w:szCs w:val="21"/>
        </w:rPr>
        <w:t>5.1、开标时，投标文件中开标报价一览表内容与投标报价表中明细表内容不一致的，以开标报价一览表为准。</w:t>
      </w:r>
    </w:p>
    <w:p w14:paraId="1E0B4A69">
      <w:pPr>
        <w:pStyle w:val="25"/>
        <w:wordWrap w:val="0"/>
        <w:spacing w:line="420" w:lineRule="exact"/>
        <w:ind w:firstLine="420" w:firstLineChars="200"/>
        <w:rPr>
          <w:rFonts w:hAnsi="宋体" w:cs="宋体"/>
          <w:szCs w:val="21"/>
        </w:rPr>
      </w:pPr>
      <w:r>
        <w:rPr>
          <w:rFonts w:hint="eastAsia" w:hAnsi="宋体" w:cs="宋体"/>
          <w:szCs w:val="21"/>
        </w:rPr>
        <w:t>5.2、投标文件的大写金额和小写金额不一致的，以大写金额为准；</w:t>
      </w:r>
    </w:p>
    <w:p w14:paraId="5F764AE7">
      <w:pPr>
        <w:pStyle w:val="25"/>
        <w:wordWrap w:val="0"/>
        <w:spacing w:line="420" w:lineRule="exact"/>
        <w:ind w:firstLine="420" w:firstLineChars="200"/>
        <w:rPr>
          <w:rFonts w:hAnsi="宋体" w:cs="宋体"/>
          <w:szCs w:val="21"/>
        </w:rPr>
      </w:pPr>
      <w:r>
        <w:rPr>
          <w:rFonts w:hint="eastAsia" w:hAnsi="宋体" w:cs="宋体"/>
          <w:szCs w:val="21"/>
        </w:rPr>
        <w:t>5.3、总价金额与按单价汇总金额不一致的，以单价金额计算结果为准；</w:t>
      </w:r>
    </w:p>
    <w:p w14:paraId="0455475E">
      <w:pPr>
        <w:pStyle w:val="25"/>
        <w:wordWrap w:val="0"/>
        <w:spacing w:line="420" w:lineRule="exact"/>
        <w:ind w:firstLine="420" w:firstLineChars="200"/>
        <w:rPr>
          <w:rFonts w:hAnsi="宋体" w:cs="宋体"/>
          <w:szCs w:val="21"/>
        </w:rPr>
      </w:pPr>
      <w:r>
        <w:rPr>
          <w:rFonts w:hint="eastAsia" w:hAnsi="宋体" w:cs="宋体"/>
          <w:szCs w:val="21"/>
        </w:rPr>
        <w:t>5.4、对不同文字文本投标文件的解释发生异议的，以中文文本为准。</w:t>
      </w:r>
    </w:p>
    <w:p w14:paraId="6DD75D36">
      <w:pPr>
        <w:pStyle w:val="25"/>
        <w:wordWrap w:val="0"/>
        <w:spacing w:line="420" w:lineRule="exact"/>
        <w:ind w:firstLine="420" w:firstLineChars="200"/>
        <w:rPr>
          <w:rFonts w:hAnsi="宋体" w:cs="宋体"/>
          <w:szCs w:val="21"/>
        </w:rPr>
      </w:pPr>
      <w:r>
        <w:rPr>
          <w:rFonts w:hint="eastAsia" w:hAnsi="宋体" w:cs="宋体"/>
          <w:szCs w:val="21"/>
        </w:rPr>
        <w:t>5.5、按上述修正错误的原则及方法调整或修正投标文件的投标报价，投标人同意后，调整后的投标报价对投标人起约束作用。如果投标人不接受修正后的报价，则其投标将被拒绝。</w:t>
      </w:r>
    </w:p>
    <w:p w14:paraId="4A963CD4">
      <w:pPr>
        <w:wordWrap w:val="0"/>
        <w:spacing w:line="420" w:lineRule="exact"/>
        <w:ind w:firstLine="422" w:firstLineChars="200"/>
        <w:rPr>
          <w:rFonts w:ascii="宋体" w:hAnsi="宋体" w:cs="宋体"/>
          <w:b/>
          <w:szCs w:val="21"/>
        </w:rPr>
      </w:pPr>
      <w:r>
        <w:rPr>
          <w:rFonts w:hint="eastAsia" w:ascii="宋体" w:hAnsi="宋体" w:cs="宋体"/>
          <w:b/>
          <w:szCs w:val="21"/>
        </w:rPr>
        <w:t>6、评标过程的保密性</w:t>
      </w:r>
    </w:p>
    <w:p w14:paraId="0207A319">
      <w:pPr>
        <w:pStyle w:val="25"/>
        <w:wordWrap w:val="0"/>
        <w:spacing w:line="420" w:lineRule="exact"/>
        <w:ind w:firstLine="420" w:firstLineChars="200"/>
        <w:rPr>
          <w:rFonts w:hAnsi="宋体" w:cs="宋体"/>
          <w:szCs w:val="21"/>
        </w:rPr>
      </w:pPr>
      <w:r>
        <w:rPr>
          <w:rFonts w:hint="eastAsia" w:hAnsi="宋体" w:cs="宋体"/>
          <w:szCs w:val="21"/>
        </w:rPr>
        <w:t>6.1、凡是属于审查、澄清、评审和比较的有关资料以及授标建议，任何人均不得向投标人或其他无关的人员透露。投标人在评标过程中，所进行的试图影响评标结果的不公正活动，可能导致其投标被拒绝。</w:t>
      </w:r>
    </w:p>
    <w:p w14:paraId="1D52B74D">
      <w:pPr>
        <w:wordWrap w:val="0"/>
        <w:spacing w:line="420" w:lineRule="exact"/>
        <w:ind w:firstLine="422" w:firstLineChars="200"/>
        <w:rPr>
          <w:rFonts w:ascii="宋体" w:hAnsi="宋体" w:cs="宋体"/>
          <w:b/>
          <w:szCs w:val="21"/>
        </w:rPr>
      </w:pPr>
      <w:r>
        <w:rPr>
          <w:rFonts w:hint="eastAsia" w:ascii="宋体" w:hAnsi="宋体" w:cs="宋体"/>
          <w:b/>
          <w:szCs w:val="21"/>
        </w:rPr>
        <w:t>7、评标原则和评标办法</w:t>
      </w:r>
    </w:p>
    <w:p w14:paraId="08EC1DB8">
      <w:pPr>
        <w:pStyle w:val="25"/>
        <w:wordWrap w:val="0"/>
        <w:spacing w:line="420" w:lineRule="exact"/>
        <w:ind w:firstLine="420" w:firstLineChars="200"/>
        <w:rPr>
          <w:rFonts w:hAnsi="宋体" w:cs="宋体"/>
          <w:szCs w:val="21"/>
        </w:rPr>
      </w:pPr>
      <w:r>
        <w:rPr>
          <w:rFonts w:hint="eastAsia" w:hAnsi="宋体" w:cs="宋体"/>
          <w:szCs w:val="21"/>
        </w:rPr>
        <w:t>7.1、评标原则。评标委员会必须做到公平、公正、客观，不带任何倾向性和启发性；不得向外界透露任何与评标有关的内容；任何单位和个人不得干扰、影响评标的正常进行；评标委员会及有关工作人员不得私下与投标人接触。</w:t>
      </w:r>
    </w:p>
    <w:p w14:paraId="294D268E">
      <w:pPr>
        <w:spacing w:line="420" w:lineRule="exact"/>
        <w:ind w:firstLine="420" w:firstLineChars="200"/>
        <w:jc w:val="left"/>
        <w:rPr>
          <w:rFonts w:ascii="宋体" w:hAnsi="宋体" w:cs="宋体"/>
          <w:szCs w:val="21"/>
        </w:rPr>
      </w:pPr>
      <w:r>
        <w:rPr>
          <w:rFonts w:hint="eastAsia" w:ascii="宋体" w:hAnsi="宋体" w:cs="宋体"/>
          <w:szCs w:val="21"/>
        </w:rPr>
        <w:t>7.2、评标办法。本项目的具体评标办法详见《评标办法》。</w:t>
      </w:r>
    </w:p>
    <w:p w14:paraId="39CC3158">
      <w:pPr>
        <w:pStyle w:val="25"/>
        <w:snapToGrid w:val="0"/>
        <w:spacing w:line="420" w:lineRule="exact"/>
        <w:ind w:firstLine="422" w:firstLineChars="200"/>
        <w:jc w:val="left"/>
        <w:outlineLvl w:val="1"/>
        <w:rPr>
          <w:rFonts w:hAnsi="宋体" w:cs="宋体"/>
          <w:b/>
          <w:szCs w:val="21"/>
        </w:rPr>
      </w:pPr>
      <w:bookmarkStart w:id="221" w:name="_Toc33535371"/>
      <w:bookmarkStart w:id="222" w:name="_Toc19997"/>
      <w:bookmarkStart w:id="223" w:name="_Toc50012887"/>
      <w:r>
        <w:rPr>
          <w:rFonts w:hint="eastAsia" w:hAnsi="宋体" w:cs="宋体"/>
          <w:b/>
          <w:szCs w:val="21"/>
        </w:rPr>
        <w:t>六、定标</w:t>
      </w:r>
      <w:bookmarkEnd w:id="221"/>
      <w:bookmarkEnd w:id="222"/>
      <w:bookmarkEnd w:id="223"/>
    </w:p>
    <w:p w14:paraId="2E9BCF40">
      <w:pPr>
        <w:pStyle w:val="25"/>
        <w:snapToGrid w:val="0"/>
        <w:spacing w:line="420" w:lineRule="exact"/>
        <w:ind w:firstLine="422" w:firstLineChars="200"/>
        <w:jc w:val="left"/>
        <w:rPr>
          <w:rFonts w:hAnsi="宋体" w:cs="宋体"/>
          <w:b/>
          <w:bCs/>
          <w:szCs w:val="21"/>
        </w:rPr>
      </w:pPr>
      <w:r>
        <w:rPr>
          <w:rFonts w:hint="eastAsia" w:hAnsi="宋体" w:cs="宋体"/>
          <w:b/>
          <w:bCs/>
          <w:szCs w:val="21"/>
        </w:rPr>
        <w:t>（一）确定中标人。</w:t>
      </w:r>
    </w:p>
    <w:p w14:paraId="7C61AB2D">
      <w:pPr>
        <w:snapToGrid w:val="0"/>
        <w:spacing w:line="420" w:lineRule="exact"/>
        <w:ind w:firstLine="420" w:firstLineChars="200"/>
        <w:jc w:val="left"/>
        <w:rPr>
          <w:rFonts w:ascii="宋体" w:hAnsi="宋体" w:cs="宋体"/>
          <w:szCs w:val="21"/>
        </w:rPr>
      </w:pPr>
      <w:r>
        <w:rPr>
          <w:rFonts w:hint="eastAsia" w:ascii="宋体" w:hAnsi="宋体" w:cs="宋体"/>
          <w:szCs w:val="21"/>
        </w:rPr>
        <w:t>1、采购代理机构在评标结束后2个工作日内将评标报告交采购人确认。</w:t>
      </w:r>
    </w:p>
    <w:p w14:paraId="15D3FAC9">
      <w:pPr>
        <w:snapToGrid w:val="0"/>
        <w:spacing w:line="420" w:lineRule="exact"/>
        <w:ind w:firstLine="420" w:firstLineChars="200"/>
        <w:jc w:val="left"/>
        <w:rPr>
          <w:rFonts w:ascii="宋体" w:hAnsi="宋体" w:cs="宋体"/>
          <w:szCs w:val="21"/>
        </w:rPr>
      </w:pPr>
      <w:r>
        <w:rPr>
          <w:rFonts w:hint="eastAsia" w:ascii="宋体" w:hAnsi="宋体" w:cs="宋体"/>
          <w:szCs w:val="21"/>
        </w:rPr>
        <w:t>2、投标人对评标结果无异议的，采购人应在收到评标报告后5个工作日内对评标结果进行确认。如有投标人对评标结果提出质疑的，采购人可在质疑处理完毕后确定中标人。</w:t>
      </w:r>
    </w:p>
    <w:p w14:paraId="40C5BF99">
      <w:pPr>
        <w:snapToGrid w:val="0"/>
        <w:spacing w:line="420" w:lineRule="exact"/>
        <w:ind w:firstLine="420" w:firstLineChars="200"/>
        <w:jc w:val="left"/>
        <w:rPr>
          <w:rFonts w:ascii="宋体" w:hAnsi="宋体" w:cs="宋体"/>
          <w:szCs w:val="21"/>
        </w:rPr>
      </w:pPr>
      <w:r>
        <w:rPr>
          <w:rFonts w:hint="eastAsia" w:ascii="宋体" w:hAnsi="宋体" w:cs="宋体"/>
          <w:szCs w:val="21"/>
        </w:rPr>
        <w:t>3.采购代理机构应当自中标人确定之日起2个工作日内发布中标结果公告，同时采购代理机构向中标人发出中标通知书。</w:t>
      </w:r>
    </w:p>
    <w:p w14:paraId="33620070">
      <w:pPr>
        <w:pStyle w:val="25"/>
        <w:snapToGrid w:val="0"/>
        <w:spacing w:line="420" w:lineRule="exact"/>
        <w:ind w:firstLine="422" w:firstLineChars="200"/>
        <w:jc w:val="left"/>
        <w:outlineLvl w:val="1"/>
        <w:rPr>
          <w:rFonts w:hAnsi="宋体" w:cs="宋体"/>
          <w:b/>
          <w:szCs w:val="21"/>
        </w:rPr>
      </w:pPr>
      <w:bookmarkStart w:id="224" w:name="_Toc5136"/>
      <w:bookmarkStart w:id="225" w:name="_Toc33535372"/>
      <w:bookmarkStart w:id="226" w:name="_Toc50012888"/>
      <w:r>
        <w:rPr>
          <w:rFonts w:hint="eastAsia" w:hAnsi="宋体" w:cs="宋体"/>
          <w:b/>
          <w:szCs w:val="21"/>
        </w:rPr>
        <w:t>七、合同授予</w:t>
      </w:r>
      <w:bookmarkEnd w:id="224"/>
      <w:bookmarkEnd w:id="225"/>
      <w:bookmarkEnd w:id="226"/>
    </w:p>
    <w:p w14:paraId="18873133">
      <w:pPr>
        <w:snapToGrid w:val="0"/>
        <w:spacing w:line="420" w:lineRule="exact"/>
        <w:ind w:firstLine="422" w:firstLineChars="200"/>
        <w:jc w:val="left"/>
        <w:rPr>
          <w:rFonts w:ascii="宋体" w:hAnsi="宋体" w:cs="宋体"/>
          <w:bCs/>
          <w:szCs w:val="21"/>
        </w:rPr>
      </w:pPr>
      <w:r>
        <w:rPr>
          <w:rFonts w:hint="eastAsia" w:ascii="宋体" w:hAnsi="宋体" w:cs="宋体"/>
          <w:b/>
          <w:bCs/>
          <w:szCs w:val="21"/>
        </w:rPr>
        <w:t>（一）签订合同</w:t>
      </w:r>
    </w:p>
    <w:p w14:paraId="126E9FB4">
      <w:pPr>
        <w:snapToGrid w:val="0"/>
        <w:spacing w:line="420" w:lineRule="exact"/>
        <w:ind w:firstLine="420" w:firstLineChars="200"/>
        <w:jc w:val="left"/>
        <w:rPr>
          <w:rFonts w:ascii="宋体" w:hAnsi="宋体" w:cs="宋体"/>
          <w:szCs w:val="21"/>
        </w:rPr>
      </w:pPr>
      <w:r>
        <w:rPr>
          <w:rFonts w:hint="eastAsia" w:ascii="宋体" w:hAnsi="宋体" w:cs="宋体"/>
          <w:szCs w:val="21"/>
        </w:rPr>
        <w:t>1、采购人与中标人应当在中标公示发出之日起30日内签订政府采购合同。同时，采购机构对合同内容进行审查，如发现与采购结果和投标承诺内容不一致的，将予以纠正。</w:t>
      </w:r>
    </w:p>
    <w:p w14:paraId="2B248FCD">
      <w:pPr>
        <w:snapToGrid w:val="0"/>
        <w:spacing w:line="420" w:lineRule="exact"/>
        <w:ind w:firstLine="420" w:firstLineChars="200"/>
        <w:jc w:val="left"/>
        <w:rPr>
          <w:rFonts w:ascii="宋体" w:hAnsi="宋体" w:cs="宋体"/>
          <w:szCs w:val="21"/>
        </w:rPr>
      </w:pPr>
      <w:r>
        <w:rPr>
          <w:rFonts w:hint="eastAsia" w:ascii="宋体" w:hAnsi="宋体" w:cs="宋体"/>
          <w:szCs w:val="21"/>
        </w:rPr>
        <w:t>2、中标人拖延、拒签合同的,将被取消中标资格，并报嘉兴市消防救援支队采购办公室。</w:t>
      </w:r>
    </w:p>
    <w:bookmarkEnd w:id="178"/>
    <w:p w14:paraId="0EBD11F1">
      <w:pPr>
        <w:rPr>
          <w:rFonts w:ascii="宋体" w:hAnsi="宋体" w:cs="宋体"/>
          <w:szCs w:val="21"/>
        </w:rPr>
      </w:pPr>
      <w:bookmarkStart w:id="227" w:name="_Toc493511776"/>
      <w:bookmarkStart w:id="228" w:name="_Toc27157"/>
      <w:bookmarkStart w:id="229" w:name="_Toc170792807"/>
      <w:bookmarkStart w:id="230" w:name="_Toc177870559"/>
      <w:r>
        <w:rPr>
          <w:rFonts w:hint="eastAsia" w:ascii="宋体" w:hAnsi="宋体" w:cs="宋体"/>
          <w:szCs w:val="21"/>
        </w:rPr>
        <w:br w:type="page"/>
      </w:r>
    </w:p>
    <w:p w14:paraId="6302DB6D">
      <w:pPr>
        <w:pStyle w:val="80"/>
        <w:ind w:left="0" w:firstLine="0"/>
        <w:rPr>
          <w:rStyle w:val="133"/>
          <w:rFonts w:ascii="宋体" w:eastAsia="宋体" w:cs="宋体"/>
          <w:b/>
        </w:rPr>
      </w:pPr>
      <w:r>
        <w:rPr>
          <w:rStyle w:val="133"/>
          <w:rFonts w:hint="eastAsia" w:ascii="宋体" w:eastAsia="宋体" w:cs="宋体"/>
          <w:b/>
        </w:rPr>
        <w:t>第四章  评标办法及评分标准</w:t>
      </w:r>
      <w:bookmarkEnd w:id="227"/>
      <w:bookmarkEnd w:id="228"/>
    </w:p>
    <w:bookmarkEnd w:id="229"/>
    <w:bookmarkEnd w:id="230"/>
    <w:p w14:paraId="4AB05676">
      <w:pPr>
        <w:spacing w:line="440" w:lineRule="exact"/>
        <w:ind w:firstLine="420" w:firstLineChars="200"/>
        <w:rPr>
          <w:rFonts w:ascii="宋体" w:hAnsi="宋体" w:cs="宋体"/>
          <w:szCs w:val="21"/>
        </w:rPr>
      </w:pPr>
      <w:bookmarkStart w:id="231" w:name="_Toc170792802"/>
      <w:r>
        <w:rPr>
          <w:rFonts w:hint="eastAsia" w:ascii="宋体" w:hAnsi="宋体" w:cs="宋体"/>
          <w:szCs w:val="21"/>
        </w:rPr>
        <w:t>为公正、公平、科学地选择成交投标人，根据《中华人民共和国政府采购法》等有关法律法规的规定，并结合本项目的实际，制定本办法。</w:t>
      </w:r>
    </w:p>
    <w:p w14:paraId="2CA3D9CE">
      <w:pPr>
        <w:spacing w:line="440" w:lineRule="exact"/>
        <w:ind w:firstLine="420" w:firstLineChars="200"/>
        <w:rPr>
          <w:rFonts w:ascii="宋体" w:hAnsi="宋体" w:cs="宋体"/>
          <w:szCs w:val="21"/>
        </w:rPr>
      </w:pPr>
      <w:r>
        <w:rPr>
          <w:rFonts w:hint="eastAsia" w:ascii="宋体" w:hAnsi="宋体" w:cs="宋体"/>
          <w:szCs w:val="21"/>
        </w:rPr>
        <w:t>本次评标采用综合评分法，总分为100分。评标小组按综合得分排名由高到低顺序推荐中标候选人，最终推荐排名第一的为本项目中标候选人。</w:t>
      </w:r>
    </w:p>
    <w:p w14:paraId="7953DC52">
      <w:pPr>
        <w:spacing w:line="440" w:lineRule="exact"/>
        <w:ind w:firstLine="422" w:firstLineChars="200"/>
        <w:rPr>
          <w:rFonts w:ascii="宋体" w:hAnsi="宋体" w:cs="宋体"/>
          <w:b/>
          <w:szCs w:val="21"/>
        </w:rPr>
      </w:pPr>
      <w:r>
        <w:rPr>
          <w:rFonts w:hint="eastAsia" w:ascii="宋体" w:hAnsi="宋体" w:cs="宋体"/>
          <w:b/>
          <w:szCs w:val="21"/>
        </w:rPr>
        <w:t>投标人评标综合得分=资信技术分+价格分（保留小数点后2位小数）</w:t>
      </w:r>
    </w:p>
    <w:p w14:paraId="68C98245">
      <w:pPr>
        <w:spacing w:line="440" w:lineRule="exact"/>
        <w:ind w:firstLine="422" w:firstLineChars="200"/>
        <w:jc w:val="left"/>
        <w:rPr>
          <w:rFonts w:ascii="宋体" w:hAnsi="宋体" w:cs="宋体"/>
          <w:b/>
          <w:bCs/>
          <w:szCs w:val="21"/>
        </w:rPr>
      </w:pPr>
      <w:r>
        <w:rPr>
          <w:rFonts w:hint="eastAsia" w:ascii="宋体" w:hAnsi="宋体" w:cs="宋体"/>
          <w:b/>
          <w:bCs/>
          <w:szCs w:val="21"/>
        </w:rPr>
        <w:t>一、资信技术分：（满分70分）</w:t>
      </w:r>
    </w:p>
    <w:tbl>
      <w:tblPr>
        <w:tblStyle w:val="48"/>
        <w:tblW w:w="8295"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6015"/>
        <w:gridCol w:w="1140"/>
      </w:tblGrid>
      <w:tr w14:paraId="31C79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trPr>
        <w:tc>
          <w:tcPr>
            <w:tcW w:w="1140" w:type="dxa"/>
            <w:vAlign w:val="center"/>
          </w:tcPr>
          <w:p w14:paraId="7B90BF6B">
            <w:pPr>
              <w:widowControl/>
              <w:spacing w:line="340" w:lineRule="exact"/>
              <w:contextualSpacing/>
              <w:jc w:val="center"/>
              <w:rPr>
                <w:rFonts w:ascii="宋体" w:hAnsi="宋体" w:cs="宋体"/>
                <w:b/>
                <w:bCs/>
                <w:color w:val="000000"/>
                <w:kern w:val="0"/>
                <w:szCs w:val="21"/>
                <w:highlight w:val="none"/>
                <w:lang w:val="zh-CN"/>
              </w:rPr>
            </w:pPr>
            <w:r>
              <w:rPr>
                <w:rFonts w:hint="eastAsia" w:ascii="宋体" w:hAnsi="宋体" w:cs="宋体"/>
                <w:b/>
                <w:bCs/>
                <w:color w:val="000000"/>
                <w:kern w:val="0"/>
                <w:szCs w:val="21"/>
                <w:highlight w:val="none"/>
                <w:lang w:val="zh-CN"/>
              </w:rPr>
              <w:t>评审因素</w:t>
            </w:r>
          </w:p>
        </w:tc>
        <w:tc>
          <w:tcPr>
            <w:tcW w:w="6015" w:type="dxa"/>
            <w:vAlign w:val="center"/>
          </w:tcPr>
          <w:p w14:paraId="1A36FD5B">
            <w:pPr>
              <w:widowControl/>
              <w:spacing w:line="340" w:lineRule="exact"/>
              <w:contextualSpacing/>
              <w:jc w:val="center"/>
              <w:rPr>
                <w:rFonts w:ascii="宋体" w:hAnsi="宋体" w:cs="宋体"/>
                <w:b/>
                <w:bCs/>
                <w:color w:val="000000"/>
                <w:kern w:val="0"/>
                <w:szCs w:val="21"/>
                <w:highlight w:val="none"/>
                <w:lang w:val="zh-CN"/>
              </w:rPr>
            </w:pPr>
            <w:r>
              <w:rPr>
                <w:rFonts w:hint="eastAsia" w:ascii="宋体" w:hAnsi="宋体" w:cs="宋体"/>
                <w:b/>
                <w:bCs/>
                <w:color w:val="000000"/>
                <w:kern w:val="0"/>
                <w:szCs w:val="21"/>
                <w:highlight w:val="none"/>
                <w:lang w:val="zh-CN"/>
              </w:rPr>
              <w:t>评审标准</w:t>
            </w:r>
          </w:p>
        </w:tc>
        <w:tc>
          <w:tcPr>
            <w:tcW w:w="1140" w:type="dxa"/>
            <w:vAlign w:val="center"/>
          </w:tcPr>
          <w:p w14:paraId="49A2C706">
            <w:pPr>
              <w:widowControl/>
              <w:spacing w:line="340" w:lineRule="exact"/>
              <w:contextualSpacing/>
              <w:jc w:val="center"/>
              <w:rPr>
                <w:rFonts w:ascii="宋体" w:hAnsi="宋体" w:cs="宋体"/>
                <w:b/>
                <w:bCs/>
                <w:color w:val="000000"/>
                <w:kern w:val="0"/>
                <w:szCs w:val="21"/>
                <w:highlight w:val="none"/>
                <w:lang w:val="zh-CN"/>
              </w:rPr>
            </w:pPr>
            <w:r>
              <w:rPr>
                <w:rFonts w:hint="eastAsia" w:ascii="宋体" w:hAnsi="宋体" w:cs="宋体"/>
                <w:b/>
                <w:bCs/>
                <w:color w:val="000000"/>
                <w:kern w:val="0"/>
                <w:szCs w:val="21"/>
                <w:highlight w:val="none"/>
                <w:lang w:val="zh-CN"/>
              </w:rPr>
              <w:t>分值范围</w:t>
            </w:r>
          </w:p>
        </w:tc>
      </w:tr>
      <w:tr w14:paraId="56B9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25" w:hRule="atLeast"/>
        </w:trPr>
        <w:tc>
          <w:tcPr>
            <w:tcW w:w="1140" w:type="dxa"/>
            <w:vAlign w:val="center"/>
          </w:tcPr>
          <w:p w14:paraId="66C18BC1">
            <w:pPr>
              <w:widowControl/>
              <w:spacing w:line="340" w:lineRule="exact"/>
              <w:contextualSpacing/>
              <w:jc w:val="center"/>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认证证书</w:t>
            </w:r>
          </w:p>
        </w:tc>
        <w:tc>
          <w:tcPr>
            <w:tcW w:w="6015" w:type="dxa"/>
            <w:vAlign w:val="center"/>
          </w:tcPr>
          <w:p w14:paraId="73F29F3C">
            <w:pPr>
              <w:widowControl/>
              <w:spacing w:line="340" w:lineRule="exact"/>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1.有效的质量管理体系（ISO9001或 GB/T19001）的得1分；</w:t>
            </w:r>
          </w:p>
          <w:p w14:paraId="38CA926A">
            <w:pPr>
              <w:widowControl/>
              <w:spacing w:line="340" w:lineRule="exact"/>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2.有效的环境管理体系（ISO14001或GB/T24001）的得1分；</w:t>
            </w:r>
          </w:p>
          <w:p w14:paraId="429C5AE3">
            <w:pPr>
              <w:widowControl/>
              <w:spacing w:line="340" w:lineRule="exact"/>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3.有效的职业健康安全管理体系（OHSAS18001 或ISO45001 或 GB/T28001）的得1分；</w:t>
            </w:r>
          </w:p>
          <w:p w14:paraId="315B7B5D">
            <w:pPr>
              <w:widowControl/>
              <w:spacing w:line="340" w:lineRule="exact"/>
              <w:contextualSpacing/>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4.有效的食品安全管理体系认证（ISO22000）的得1分。</w:t>
            </w:r>
          </w:p>
          <w:p w14:paraId="19B52A18">
            <w:pPr>
              <w:widowControl/>
              <w:spacing w:line="340" w:lineRule="exact"/>
              <w:contextualSpacing/>
              <w:rPr>
                <w:rFonts w:ascii="宋体" w:hAnsi="宋体" w:cs="宋体"/>
                <w:color w:val="000000"/>
                <w:kern w:val="0"/>
                <w:szCs w:val="21"/>
                <w:highlight w:val="none"/>
                <w:lang w:val="zh-CN"/>
              </w:rPr>
            </w:pPr>
            <w:r>
              <w:rPr>
                <w:rFonts w:hint="eastAsia" w:ascii="宋体" w:hAnsi="宋体" w:cs="宋体"/>
                <w:bCs/>
                <w:color w:val="000000"/>
                <w:kern w:val="0"/>
                <w:szCs w:val="21"/>
                <w:highlight w:val="none"/>
              </w:rPr>
              <w:t>（提供以上认证证书扫描件并加盖投标人公章）</w:t>
            </w:r>
          </w:p>
        </w:tc>
        <w:tc>
          <w:tcPr>
            <w:tcW w:w="1140" w:type="dxa"/>
            <w:vAlign w:val="center"/>
          </w:tcPr>
          <w:p w14:paraId="6D770AD5">
            <w:pPr>
              <w:widowControl/>
              <w:spacing w:line="340" w:lineRule="exact"/>
              <w:contextualSpacing/>
              <w:jc w:val="center"/>
              <w:rPr>
                <w:rFonts w:ascii="宋体" w:hAnsi="宋体" w:cs="宋体"/>
                <w:color w:val="000000"/>
                <w:kern w:val="0"/>
                <w:szCs w:val="21"/>
                <w:highlight w:val="none"/>
                <w:lang w:val="zh-CN"/>
              </w:rPr>
            </w:pPr>
            <w:r>
              <w:rPr>
                <w:rFonts w:hint="eastAsia" w:ascii="宋体" w:hAnsi="宋体" w:cs="宋体"/>
                <w:color w:val="000000"/>
                <w:kern w:val="0"/>
                <w:szCs w:val="21"/>
                <w:highlight w:val="none"/>
                <w:lang w:val="zh-CN"/>
              </w:rPr>
              <w:t>0-4</w:t>
            </w:r>
          </w:p>
        </w:tc>
      </w:tr>
      <w:tr w14:paraId="760F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trPr>
        <w:tc>
          <w:tcPr>
            <w:tcW w:w="1140" w:type="dxa"/>
            <w:vAlign w:val="center"/>
          </w:tcPr>
          <w:p w14:paraId="4F7256E4">
            <w:pPr>
              <w:widowControl/>
              <w:spacing w:line="340" w:lineRule="exact"/>
              <w:contextualSpacing/>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食品安全责任险、员工意外险</w:t>
            </w:r>
          </w:p>
        </w:tc>
        <w:tc>
          <w:tcPr>
            <w:tcW w:w="6015" w:type="dxa"/>
            <w:vAlign w:val="center"/>
          </w:tcPr>
          <w:p w14:paraId="63B84CBD">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1.根据投标人针对本项目购买的食品安全责任险或承诺中标后购买的食品安全责任险的保额进行打分，保额等于 200 万元的，得2分；保额每高50万元，加 1 分，本项满分4分。保额低于200万元不得分。</w:t>
            </w:r>
          </w:p>
          <w:p w14:paraId="54184D41">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2.根据投标人针对本项目为拟派人员购买的员工意外险或承诺中标后购买的员工意外险的保额进行打分，保额等于或高于50万元的，得2分；保额每低10万元，扣1分，扣完为止。</w:t>
            </w:r>
          </w:p>
          <w:p w14:paraId="3A39AFEB">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该项员工意外险保额必须每名员工一样，不可区别对待。（若提供承诺的，格式自拟）</w:t>
            </w:r>
          </w:p>
        </w:tc>
        <w:tc>
          <w:tcPr>
            <w:tcW w:w="1140" w:type="dxa"/>
            <w:vAlign w:val="center"/>
          </w:tcPr>
          <w:p w14:paraId="0E0EC40D">
            <w:pPr>
              <w:widowControl/>
              <w:spacing w:line="340" w:lineRule="exact"/>
              <w:jc w:val="center"/>
              <w:rPr>
                <w:rFonts w:ascii="宋体" w:hAnsi="宋体" w:cs="宋体"/>
                <w:bCs/>
                <w:kern w:val="0"/>
                <w:szCs w:val="21"/>
                <w:highlight w:val="none"/>
              </w:rPr>
            </w:pPr>
            <w:r>
              <w:rPr>
                <w:rFonts w:hint="eastAsia" w:ascii="宋体" w:hAnsi="宋体" w:cs="宋体"/>
                <w:bCs/>
                <w:kern w:val="0"/>
                <w:szCs w:val="21"/>
                <w:highlight w:val="none"/>
              </w:rPr>
              <w:t>0-6</w:t>
            </w:r>
          </w:p>
        </w:tc>
      </w:tr>
      <w:tr w14:paraId="28E54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Align w:val="center"/>
          </w:tcPr>
          <w:p w14:paraId="479C5BC2">
            <w:pPr>
              <w:widowControl/>
              <w:spacing w:line="340" w:lineRule="exact"/>
              <w:contextualSpacing/>
              <w:jc w:val="center"/>
              <w:rPr>
                <w:rFonts w:ascii="宋体" w:hAnsi="宋体" w:cs="宋体"/>
                <w:b/>
                <w:color w:val="000000"/>
                <w:kern w:val="0"/>
                <w:szCs w:val="21"/>
                <w:highlight w:val="none"/>
              </w:rPr>
            </w:pPr>
            <w:r>
              <w:rPr>
                <w:rFonts w:hint="eastAsia" w:ascii="宋体" w:hAnsi="宋体" w:cs="宋体"/>
                <w:bCs/>
                <w:color w:val="000000"/>
                <w:kern w:val="0"/>
                <w:szCs w:val="21"/>
                <w:highlight w:val="none"/>
                <w:lang w:eastAsia="zh-CN"/>
              </w:rPr>
              <w:t>项目</w:t>
            </w:r>
            <w:r>
              <w:rPr>
                <w:rFonts w:hint="eastAsia" w:ascii="宋体" w:hAnsi="宋体" w:cs="宋体"/>
                <w:bCs/>
                <w:color w:val="000000"/>
                <w:kern w:val="0"/>
                <w:szCs w:val="21"/>
                <w:highlight w:val="none"/>
              </w:rPr>
              <w:t>业绩</w:t>
            </w:r>
          </w:p>
        </w:tc>
        <w:tc>
          <w:tcPr>
            <w:tcW w:w="6015" w:type="dxa"/>
          </w:tcPr>
          <w:p w14:paraId="286357E6">
            <w:pPr>
              <w:pStyle w:val="59"/>
              <w:spacing w:line="340" w:lineRule="exact"/>
              <w:rPr>
                <w:rFonts w:ascii="宋体" w:hAnsi="宋体" w:cs="宋体"/>
                <w:color w:val="000000"/>
                <w:szCs w:val="21"/>
                <w:highlight w:val="none"/>
              </w:rPr>
            </w:pPr>
            <w:r>
              <w:rPr>
                <w:rFonts w:hint="eastAsia" w:ascii="宋体" w:hAnsi="宋体" w:cs="宋体"/>
                <w:bCs/>
                <w:color w:val="000000"/>
                <w:kern w:val="0"/>
                <w:szCs w:val="21"/>
                <w:highlight w:val="none"/>
              </w:rPr>
              <w:t>2021年1月1日（以合同签订日期为准）至今投标人承担的类似项目业绩，每提供1个业绩得1分，本项满分2分。（须同时提供合同关键页（合同首页、信息页、签字盖章页）复印件并加盖投标人公章，复印件应清晰可见；类似项目是指包含食堂托管及保洁工作的按1个得分点计算，若同一业主同一时间段内提供食堂托管、保洁合同各一份的按1个得分点计算）</w:t>
            </w:r>
          </w:p>
        </w:tc>
        <w:tc>
          <w:tcPr>
            <w:tcW w:w="1140" w:type="dxa"/>
            <w:vAlign w:val="center"/>
          </w:tcPr>
          <w:p w14:paraId="0C829646">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0-2</w:t>
            </w:r>
          </w:p>
        </w:tc>
      </w:tr>
      <w:tr w14:paraId="7F79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Align w:val="center"/>
          </w:tcPr>
          <w:p w14:paraId="568F7E3F">
            <w:pPr>
              <w:widowControl/>
              <w:spacing w:line="340" w:lineRule="exact"/>
              <w:contextualSpacing/>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人员配置</w:t>
            </w:r>
          </w:p>
        </w:tc>
        <w:tc>
          <w:tcPr>
            <w:tcW w:w="6015" w:type="dxa"/>
            <w:vAlign w:val="center"/>
          </w:tcPr>
          <w:p w14:paraId="5B301735">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1.拟派本项目项目经理的综合素质进行评审</w:t>
            </w:r>
            <w:r>
              <w:rPr>
                <w:rFonts w:hint="eastAsia" w:ascii="宋体" w:hAnsi="宋体" w:cs="宋体"/>
                <w:highlight w:val="none"/>
              </w:rPr>
              <w:t>（得分范围2,1,0）</w:t>
            </w:r>
            <w:r>
              <w:rPr>
                <w:rFonts w:hint="eastAsia" w:ascii="宋体" w:hAnsi="宋体" w:cs="宋体"/>
                <w:bCs/>
                <w:kern w:val="0"/>
                <w:szCs w:val="21"/>
                <w:highlight w:val="none"/>
              </w:rPr>
              <w:t>；</w:t>
            </w:r>
            <w:r>
              <w:rPr>
                <w:rFonts w:hint="eastAsia" w:ascii="宋体" w:hAnsi="宋体" w:cs="宋体"/>
                <w:bCs/>
                <w:kern w:val="0"/>
                <w:szCs w:val="21"/>
                <w:highlight w:val="none"/>
                <w:lang w:eastAsia="zh-CN"/>
              </w:rPr>
              <w:t>若拟派人员超过招标文件规定的年龄或未提供健康证的不得分。</w:t>
            </w:r>
          </w:p>
          <w:p w14:paraId="429B66BA">
            <w:pPr>
              <w:widowControl/>
              <w:spacing w:line="340" w:lineRule="exact"/>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2.拟派本项目后厨厨师具有中级及以上厨师技工证书的1人得1分，最多得3分；</w:t>
            </w:r>
            <w:r>
              <w:rPr>
                <w:rFonts w:hint="eastAsia" w:ascii="宋体" w:hAnsi="宋体" w:cs="宋体"/>
                <w:bCs/>
                <w:kern w:val="0"/>
                <w:szCs w:val="21"/>
                <w:highlight w:val="none"/>
                <w:lang w:eastAsia="zh-CN"/>
              </w:rPr>
              <w:t>若拟派人员超过招标文件规定的年龄或未提供健康证的不得分。</w:t>
            </w:r>
          </w:p>
          <w:p w14:paraId="1EF512D3">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3.拟派本项目面点师具有初级及以上面点师技工证书的1人得1分，最多得3分；</w:t>
            </w:r>
            <w:r>
              <w:rPr>
                <w:rFonts w:hint="eastAsia" w:ascii="宋体" w:hAnsi="宋体" w:cs="宋体"/>
                <w:bCs/>
                <w:kern w:val="0"/>
                <w:szCs w:val="21"/>
                <w:highlight w:val="none"/>
                <w:lang w:eastAsia="zh-CN"/>
              </w:rPr>
              <w:t>若拟派人员超过招标文件规定的年龄或未提供健康证的不得分。</w:t>
            </w:r>
          </w:p>
          <w:p w14:paraId="0F49F0B0">
            <w:pPr>
              <w:widowControl/>
              <w:spacing w:line="340" w:lineRule="exact"/>
              <w:jc w:val="left"/>
              <w:rPr>
                <w:rFonts w:ascii="宋体" w:hAnsi="宋体" w:cs="宋体"/>
                <w:bCs/>
                <w:kern w:val="0"/>
                <w:szCs w:val="21"/>
                <w:highlight w:val="none"/>
              </w:rPr>
            </w:pPr>
            <w:r>
              <w:rPr>
                <w:rFonts w:hint="eastAsia" w:ascii="宋体" w:hAnsi="宋体" w:cs="宋体"/>
                <w:bCs/>
                <w:kern w:val="0"/>
                <w:szCs w:val="21"/>
                <w:highlight w:val="none"/>
              </w:rPr>
              <w:t>4.切配人员的综合素质进行评审</w:t>
            </w:r>
            <w:r>
              <w:rPr>
                <w:rFonts w:hint="eastAsia" w:ascii="宋体" w:hAnsi="宋体" w:cs="宋体"/>
                <w:highlight w:val="none"/>
              </w:rPr>
              <w:t>（得分范围1,0）</w:t>
            </w:r>
            <w:r>
              <w:rPr>
                <w:rFonts w:hint="eastAsia" w:ascii="宋体" w:hAnsi="宋体" w:cs="宋体"/>
                <w:bCs/>
                <w:kern w:val="0"/>
                <w:szCs w:val="21"/>
                <w:highlight w:val="none"/>
              </w:rPr>
              <w:t>；</w:t>
            </w:r>
            <w:r>
              <w:rPr>
                <w:rFonts w:hint="eastAsia" w:ascii="宋体" w:hAnsi="宋体" w:cs="宋体"/>
                <w:bCs/>
                <w:kern w:val="0"/>
                <w:szCs w:val="21"/>
                <w:highlight w:val="none"/>
                <w:lang w:eastAsia="zh-CN"/>
              </w:rPr>
              <w:t>若拟派人员超过招标文件规定的年龄或未提供健康证的不得分。</w:t>
            </w:r>
          </w:p>
          <w:p w14:paraId="1A674179">
            <w:pPr>
              <w:widowControl/>
              <w:spacing w:line="340" w:lineRule="exact"/>
              <w:jc w:val="left"/>
              <w:rPr>
                <w:rFonts w:hint="eastAsia" w:ascii="宋体" w:hAnsi="宋体" w:eastAsia="宋体" w:cs="宋体"/>
                <w:bCs/>
                <w:kern w:val="0"/>
                <w:szCs w:val="21"/>
                <w:highlight w:val="none"/>
                <w:lang w:eastAsia="zh-CN"/>
              </w:rPr>
            </w:pPr>
            <w:r>
              <w:rPr>
                <w:rFonts w:hint="eastAsia" w:ascii="宋体" w:hAnsi="宋体" w:cs="宋体"/>
                <w:bCs/>
                <w:kern w:val="0"/>
                <w:szCs w:val="21"/>
                <w:highlight w:val="none"/>
              </w:rPr>
              <w:t>5.保洁人员的综合素质进行评审</w:t>
            </w:r>
            <w:r>
              <w:rPr>
                <w:rFonts w:hint="eastAsia" w:ascii="宋体" w:hAnsi="宋体" w:cs="宋体"/>
                <w:highlight w:val="none"/>
              </w:rPr>
              <w:t>（得分范围1,0）</w:t>
            </w:r>
            <w:r>
              <w:rPr>
                <w:rFonts w:hint="eastAsia" w:ascii="宋体" w:hAnsi="宋体" w:cs="宋体"/>
                <w:bCs/>
                <w:kern w:val="0"/>
                <w:szCs w:val="21"/>
                <w:highlight w:val="none"/>
              </w:rPr>
              <w:t>；</w:t>
            </w:r>
            <w:r>
              <w:rPr>
                <w:rFonts w:hint="eastAsia" w:ascii="宋体" w:hAnsi="宋体" w:cs="宋体"/>
                <w:bCs/>
                <w:kern w:val="0"/>
                <w:szCs w:val="21"/>
                <w:highlight w:val="none"/>
                <w:lang w:eastAsia="zh-CN"/>
              </w:rPr>
              <w:t>若拟派人员超过招标文件规定的年龄或未提供健康证的不得分。</w:t>
            </w:r>
          </w:p>
          <w:p w14:paraId="19470747">
            <w:pPr>
              <w:widowControl/>
              <w:spacing w:line="340" w:lineRule="exact"/>
              <w:jc w:val="left"/>
              <w:rPr>
                <w:rFonts w:hint="eastAsia" w:ascii="宋体" w:hAnsi="宋体" w:cs="宋体"/>
                <w:bCs/>
                <w:color w:val="000000"/>
                <w:kern w:val="0"/>
                <w:szCs w:val="21"/>
                <w:highlight w:val="none"/>
              </w:rPr>
            </w:pPr>
            <w:r>
              <w:rPr>
                <w:rFonts w:hint="eastAsia" w:ascii="宋体" w:hAnsi="宋体" w:cs="宋体"/>
                <w:bCs/>
                <w:kern w:val="0"/>
                <w:szCs w:val="21"/>
                <w:highlight w:val="none"/>
              </w:rPr>
              <w:t>（提供有效期内的相应证书</w:t>
            </w:r>
            <w:r>
              <w:rPr>
                <w:rFonts w:hint="eastAsia" w:ascii="宋体" w:hAnsi="宋体" w:cs="宋体"/>
                <w:bCs/>
                <w:kern w:val="0"/>
                <w:szCs w:val="21"/>
                <w:highlight w:val="none"/>
                <w:lang w:eastAsia="zh-CN"/>
              </w:rPr>
              <w:t>（</w:t>
            </w:r>
            <w:r>
              <w:rPr>
                <w:rFonts w:hint="eastAsia" w:ascii="宋体" w:hAnsi="宋体" w:cs="宋体"/>
                <w:bCs/>
                <w:kern w:val="0"/>
                <w:szCs w:val="21"/>
                <w:highlight w:val="none"/>
              </w:rPr>
              <w:t>厨师和面点师证书是指由经人力资源社会保障部门备案的用人单位和社会培训评价组织（以下统称评价机构）实行职业技能等级认定，颁发职业技能等级证书</w:t>
            </w:r>
            <w:r>
              <w:rPr>
                <w:rFonts w:hint="eastAsia" w:ascii="宋体" w:hAnsi="宋体" w:cs="宋体"/>
                <w:bCs/>
                <w:kern w:val="0"/>
                <w:szCs w:val="21"/>
                <w:highlight w:val="none"/>
                <w:lang w:eastAsia="zh-CN"/>
              </w:rPr>
              <w:t>）</w:t>
            </w:r>
            <w:r>
              <w:rPr>
                <w:rFonts w:hint="eastAsia" w:ascii="宋体" w:hAnsi="宋体" w:cs="宋体"/>
                <w:bCs/>
                <w:kern w:val="0"/>
                <w:szCs w:val="21"/>
                <w:highlight w:val="none"/>
              </w:rPr>
              <w:t>复印件并加盖投标人公章，并能在技能人才评价工作网上的职业技能等级证书全国联网查询系统</w:t>
            </w:r>
            <w:r>
              <w:rPr>
                <w:rFonts w:hint="eastAsia" w:ascii="宋体" w:hAnsi="宋体" w:cs="宋体"/>
                <w:bCs/>
                <w:kern w:val="0"/>
                <w:szCs w:val="21"/>
                <w:highlight w:val="none"/>
              </w:rPr>
              <w:fldChar w:fldCharType="begin"/>
            </w:r>
            <w:r>
              <w:rPr>
                <w:rFonts w:hint="eastAsia" w:ascii="宋体" w:hAnsi="宋体" w:cs="宋体"/>
                <w:bCs/>
                <w:kern w:val="0"/>
                <w:szCs w:val="21"/>
                <w:highlight w:val="none"/>
              </w:rPr>
              <w:instrText xml:space="preserve"> HYPERLINK "http://jndj.osta.org.cn/" </w:instrText>
            </w:r>
            <w:r>
              <w:rPr>
                <w:rFonts w:hint="eastAsia" w:ascii="宋体" w:hAnsi="宋体" w:cs="宋体"/>
                <w:bCs/>
                <w:kern w:val="0"/>
                <w:szCs w:val="21"/>
                <w:highlight w:val="none"/>
              </w:rPr>
              <w:fldChar w:fldCharType="separate"/>
            </w:r>
            <w:r>
              <w:rPr>
                <w:rFonts w:hint="eastAsia" w:ascii="宋体" w:hAnsi="宋体" w:cs="宋体"/>
                <w:bCs/>
                <w:kern w:val="0"/>
                <w:szCs w:val="21"/>
                <w:highlight w:val="none"/>
              </w:rPr>
              <w:t>http://jndj.osta.org.cn/</w:t>
            </w:r>
            <w:r>
              <w:rPr>
                <w:rFonts w:hint="eastAsia" w:ascii="宋体" w:hAnsi="宋体" w:cs="宋体"/>
                <w:bCs/>
                <w:kern w:val="0"/>
                <w:szCs w:val="21"/>
                <w:highlight w:val="none"/>
              </w:rPr>
              <w:fldChar w:fldCharType="end"/>
            </w:r>
            <w:r>
              <w:rPr>
                <w:rFonts w:hint="eastAsia" w:ascii="宋体" w:hAnsi="宋体" w:cs="宋体"/>
                <w:bCs/>
                <w:kern w:val="0"/>
                <w:szCs w:val="21"/>
                <w:highlight w:val="none"/>
              </w:rPr>
              <w:t>查询，提供查询截图</w:t>
            </w:r>
            <w:r>
              <w:rPr>
                <w:rFonts w:hint="eastAsia" w:ascii="宋体" w:hAnsi="宋体" w:cs="宋体"/>
                <w:bCs/>
                <w:kern w:val="0"/>
                <w:szCs w:val="21"/>
                <w:highlight w:val="none"/>
                <w:lang w:eastAsia="zh-CN"/>
              </w:rPr>
              <w:t>。</w:t>
            </w:r>
            <w:r>
              <w:rPr>
                <w:rFonts w:hint="eastAsia" w:ascii="宋体" w:hAnsi="宋体" w:cs="宋体"/>
                <w:bCs/>
                <w:kern w:val="0"/>
                <w:szCs w:val="21"/>
                <w:highlight w:val="none"/>
              </w:rPr>
              <w:t>同一人员不同证书不可重复得分，以上人员需提供截止开标时间前一个月的社保证明</w:t>
            </w:r>
            <w:r>
              <w:rPr>
                <w:rFonts w:hint="eastAsia" w:ascii="宋体" w:hAnsi="宋体" w:cs="宋体"/>
                <w:bCs/>
                <w:kern w:val="0"/>
                <w:szCs w:val="21"/>
                <w:highlight w:val="none"/>
                <w:lang w:val="en-US" w:eastAsia="zh-CN"/>
              </w:rPr>
              <w:t>，若超过社保缴纳年龄的提供劳务关系证明。</w:t>
            </w:r>
            <w:r>
              <w:rPr>
                <w:rFonts w:hint="eastAsia" w:ascii="宋体" w:hAnsi="宋体" w:cs="宋体"/>
                <w:bCs/>
                <w:kern w:val="0"/>
                <w:szCs w:val="21"/>
                <w:highlight w:val="none"/>
              </w:rPr>
              <w:t>）</w:t>
            </w:r>
          </w:p>
        </w:tc>
        <w:tc>
          <w:tcPr>
            <w:tcW w:w="1140" w:type="dxa"/>
            <w:vAlign w:val="center"/>
          </w:tcPr>
          <w:p w14:paraId="15D9F8A0">
            <w:pPr>
              <w:widowControl/>
              <w:spacing w:line="340" w:lineRule="exact"/>
              <w:jc w:val="center"/>
              <w:rPr>
                <w:rFonts w:hint="eastAsia" w:ascii="宋体" w:hAnsi="宋体" w:cs="宋体"/>
                <w:bCs/>
                <w:color w:val="000000"/>
                <w:kern w:val="0"/>
                <w:szCs w:val="21"/>
                <w:highlight w:val="none"/>
              </w:rPr>
            </w:pPr>
            <w:r>
              <w:rPr>
                <w:rFonts w:hint="eastAsia" w:ascii="宋体" w:hAnsi="宋体" w:cs="宋体"/>
                <w:bCs/>
                <w:kern w:val="0"/>
                <w:szCs w:val="21"/>
                <w:highlight w:val="none"/>
              </w:rPr>
              <w:t>0-10</w:t>
            </w:r>
          </w:p>
        </w:tc>
      </w:tr>
      <w:tr w14:paraId="68AC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restart"/>
            <w:vAlign w:val="center"/>
          </w:tcPr>
          <w:p w14:paraId="38C041B6">
            <w:pPr>
              <w:widowControl/>
              <w:spacing w:line="340" w:lineRule="exact"/>
              <w:contextualSpacing/>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技术部分</w:t>
            </w:r>
          </w:p>
        </w:tc>
        <w:tc>
          <w:tcPr>
            <w:tcW w:w="6015" w:type="dxa"/>
          </w:tcPr>
          <w:p w14:paraId="48110E7B">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投标人对项目需求理解、服务流程、内部制度与管理体系、食品卫生安全管理制度、厨房设施的维护方案、工作人员的管理培训、应急预案等。</w:t>
            </w:r>
          </w:p>
          <w:p w14:paraId="43219A67">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方案完整、需求理解准确、服务流程分明、管理制度严谨充足，</w:t>
            </w:r>
            <w:r>
              <w:rPr>
                <w:rFonts w:hint="eastAsia" w:ascii="宋体" w:hAnsi="宋体" w:cs="宋体"/>
                <w:bCs/>
                <w:color w:val="000000"/>
                <w:kern w:val="0"/>
                <w:szCs w:val="21"/>
                <w:highlight w:val="none"/>
                <w:lang w:val="en-US" w:eastAsia="zh-CN"/>
              </w:rPr>
              <w:t>满足</w:t>
            </w:r>
            <w:r>
              <w:rPr>
                <w:rFonts w:hint="eastAsia" w:ascii="宋体" w:hAnsi="宋体" w:cs="宋体"/>
                <w:bCs/>
                <w:color w:val="000000"/>
                <w:kern w:val="0"/>
                <w:szCs w:val="21"/>
                <w:highlight w:val="none"/>
              </w:rPr>
              <w:t>实际需求，得 7分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w:t>
            </w:r>
            <w:r>
              <w:rPr>
                <w:rFonts w:hint="eastAsia" w:ascii="宋体" w:hAnsi="宋体" w:cs="宋体"/>
                <w:highlight w:val="none"/>
                <w:lang w:val="en-US" w:eastAsia="zh-CN"/>
              </w:rPr>
              <w:t>7,6,5</w:t>
            </w:r>
            <w:r>
              <w:rPr>
                <w:rFonts w:hint="eastAsia" w:ascii="宋体" w:hAnsi="宋体" w:cs="宋体"/>
                <w:highlight w:val="none"/>
              </w:rPr>
              <w:t>,4,3,2,1,0）</w:t>
            </w:r>
          </w:p>
        </w:tc>
        <w:tc>
          <w:tcPr>
            <w:tcW w:w="1140" w:type="dxa"/>
            <w:vAlign w:val="center"/>
          </w:tcPr>
          <w:p w14:paraId="56549214">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0-7</w:t>
            </w:r>
          </w:p>
        </w:tc>
      </w:tr>
      <w:tr w14:paraId="680D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3EBEE3EA">
            <w:pPr>
              <w:widowControl/>
              <w:spacing w:line="340" w:lineRule="exact"/>
              <w:contextualSpacing/>
              <w:rPr>
                <w:rFonts w:ascii="宋体" w:hAnsi="宋体" w:cs="宋体"/>
                <w:bCs/>
                <w:color w:val="000000"/>
                <w:kern w:val="0"/>
                <w:szCs w:val="21"/>
                <w:highlight w:val="none"/>
              </w:rPr>
            </w:pPr>
          </w:p>
        </w:tc>
        <w:tc>
          <w:tcPr>
            <w:tcW w:w="6015" w:type="dxa"/>
          </w:tcPr>
          <w:p w14:paraId="098D69DA">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投标人应根据项目要求合理搭配菜品，提供菜品搭配方案，包括：早、午、晚餐的菜品种类对应数量以及菜品的具体名称，并配以相应菜品展示图片。 </w:t>
            </w:r>
          </w:p>
          <w:p w14:paraId="23F79B31">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菜品搭配合理、每餐数量和种类丰富、营养搭配均衡、轮替方案灵活合理，得 5分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w:t>
            </w:r>
            <w:r>
              <w:rPr>
                <w:rFonts w:hint="eastAsia" w:ascii="宋体" w:hAnsi="宋体" w:cs="宋体"/>
                <w:highlight w:val="none"/>
                <w:lang w:val="en-US" w:eastAsia="zh-CN"/>
              </w:rPr>
              <w:t>5</w:t>
            </w:r>
            <w:r>
              <w:rPr>
                <w:rFonts w:hint="eastAsia" w:ascii="宋体" w:hAnsi="宋体" w:cs="宋体"/>
                <w:highlight w:val="none"/>
              </w:rPr>
              <w:t>,4,3,2,1,0）</w:t>
            </w:r>
          </w:p>
        </w:tc>
        <w:tc>
          <w:tcPr>
            <w:tcW w:w="1140" w:type="dxa"/>
            <w:vAlign w:val="center"/>
          </w:tcPr>
          <w:p w14:paraId="6912A80A">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0-5</w:t>
            </w:r>
          </w:p>
        </w:tc>
      </w:tr>
      <w:tr w14:paraId="5F80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25F8AD33">
            <w:pPr>
              <w:widowControl/>
              <w:spacing w:line="340" w:lineRule="exact"/>
              <w:contextualSpacing/>
              <w:rPr>
                <w:rFonts w:ascii="宋体" w:hAnsi="宋体" w:cs="宋体"/>
                <w:bCs/>
                <w:color w:val="000000"/>
                <w:kern w:val="0"/>
                <w:szCs w:val="21"/>
                <w:highlight w:val="none"/>
              </w:rPr>
            </w:pPr>
          </w:p>
        </w:tc>
        <w:tc>
          <w:tcPr>
            <w:tcW w:w="6015" w:type="dxa"/>
          </w:tcPr>
          <w:p w14:paraId="03EC0AAE">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投标人针对本项目提供保洁服务方案进行评分。 </w:t>
            </w:r>
          </w:p>
          <w:p w14:paraId="258FDB65">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方案内容完整、保障措施详细，得 4分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（得分范围4,3,2,1,0）</w:t>
            </w:r>
          </w:p>
        </w:tc>
        <w:tc>
          <w:tcPr>
            <w:tcW w:w="1140" w:type="dxa"/>
            <w:vAlign w:val="center"/>
          </w:tcPr>
          <w:p w14:paraId="4CC836DA">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0-4</w:t>
            </w:r>
          </w:p>
        </w:tc>
      </w:tr>
      <w:tr w14:paraId="65BC2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restart"/>
            <w:vAlign w:val="center"/>
          </w:tcPr>
          <w:p w14:paraId="3B71557F">
            <w:pPr>
              <w:widowControl/>
              <w:spacing w:line="340" w:lineRule="exact"/>
              <w:contextualSpacing/>
              <w:jc w:val="center"/>
              <w:rPr>
                <w:rFonts w:ascii="宋体" w:hAnsi="宋体" w:cs="宋体"/>
                <w:b/>
                <w:color w:val="000000"/>
                <w:kern w:val="0"/>
                <w:szCs w:val="21"/>
                <w:highlight w:val="none"/>
              </w:rPr>
            </w:pPr>
            <w:r>
              <w:rPr>
                <w:rFonts w:hint="eastAsia" w:ascii="宋体" w:hAnsi="宋体" w:cs="宋体"/>
                <w:bCs/>
                <w:color w:val="000000"/>
                <w:kern w:val="0"/>
                <w:szCs w:val="21"/>
                <w:highlight w:val="none"/>
              </w:rPr>
              <w:t>服务部分</w:t>
            </w:r>
          </w:p>
        </w:tc>
        <w:tc>
          <w:tcPr>
            <w:tcW w:w="6015" w:type="dxa"/>
          </w:tcPr>
          <w:p w14:paraId="7A230A18">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投标人应针对本项目提供质量控制与服务保障方案，包括对菜品的沟通确定机制、菜品质量的控制、用餐现场的管理、服务工作流程与对应的时间安排等。</w:t>
            </w:r>
          </w:p>
          <w:p w14:paraId="586572AE">
            <w:pPr>
              <w:widowControl/>
              <w:spacing w:line="340" w:lineRule="exact"/>
              <w:jc w:val="left"/>
              <w:rPr>
                <w:rFonts w:ascii="宋体" w:hAnsi="宋体" w:cs="宋体"/>
                <w:bCs/>
                <w:color w:val="000000"/>
                <w:kern w:val="0"/>
                <w:szCs w:val="21"/>
                <w:highlight w:val="none"/>
              </w:rPr>
            </w:pPr>
            <w:r>
              <w:rPr>
                <w:rFonts w:hint="eastAsia" w:ascii="宋体" w:hAnsi="宋体" w:cs="宋体"/>
                <w:bCs/>
                <w:color w:val="000000"/>
                <w:kern w:val="0"/>
                <w:szCs w:val="21"/>
                <w:highlight w:val="none"/>
              </w:rPr>
              <w:t>方案内容完整、保障措施详细、用餐现场管理措施得当、工作流程严谨，得 7分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w:t>
            </w:r>
            <w:r>
              <w:rPr>
                <w:rFonts w:hint="eastAsia" w:ascii="宋体" w:hAnsi="宋体" w:cs="宋体"/>
                <w:highlight w:val="none"/>
                <w:lang w:val="en-US" w:eastAsia="zh-CN"/>
              </w:rPr>
              <w:t>7,6,5</w:t>
            </w:r>
            <w:r>
              <w:rPr>
                <w:rFonts w:hint="eastAsia" w:ascii="宋体" w:hAnsi="宋体" w:cs="宋体"/>
                <w:highlight w:val="none"/>
              </w:rPr>
              <w:t>,4,3,2,1,0）</w:t>
            </w:r>
          </w:p>
        </w:tc>
        <w:tc>
          <w:tcPr>
            <w:tcW w:w="1140" w:type="dxa"/>
            <w:vAlign w:val="center"/>
          </w:tcPr>
          <w:p w14:paraId="45DCD6F3">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0-7</w:t>
            </w:r>
          </w:p>
        </w:tc>
      </w:tr>
      <w:tr w14:paraId="11F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270441B4">
            <w:pPr>
              <w:widowControl/>
              <w:spacing w:line="340" w:lineRule="exact"/>
              <w:contextualSpacing/>
              <w:rPr>
                <w:rFonts w:ascii="宋体" w:hAnsi="宋体" w:cs="宋体"/>
                <w:bCs/>
                <w:color w:val="000000"/>
                <w:kern w:val="0"/>
                <w:szCs w:val="21"/>
                <w:highlight w:val="none"/>
              </w:rPr>
            </w:pPr>
          </w:p>
        </w:tc>
        <w:tc>
          <w:tcPr>
            <w:tcW w:w="6015" w:type="dxa"/>
          </w:tcPr>
          <w:p w14:paraId="5A583F8F">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投标人应提供食品安全与卫生环境管控方案，针对工作间卫生（包含用餐区、餐车、餐具的消毒）、食材储存、菜品制作等环节的卫生环境的食品安全与卫生环境管控方案。 </w:t>
            </w:r>
          </w:p>
          <w:p w14:paraId="3098E401">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方案内容完整、管控措施合理有效，得 5分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w:t>
            </w:r>
            <w:r>
              <w:rPr>
                <w:rFonts w:hint="eastAsia" w:ascii="宋体" w:hAnsi="宋体" w:cs="宋体"/>
                <w:highlight w:val="none"/>
                <w:lang w:val="en-US" w:eastAsia="zh-CN"/>
              </w:rPr>
              <w:t>5</w:t>
            </w:r>
            <w:r>
              <w:rPr>
                <w:rFonts w:hint="eastAsia" w:ascii="宋体" w:hAnsi="宋体" w:cs="宋体"/>
                <w:highlight w:val="none"/>
              </w:rPr>
              <w:t>,4,3,2,1,0）</w:t>
            </w:r>
          </w:p>
        </w:tc>
        <w:tc>
          <w:tcPr>
            <w:tcW w:w="1140" w:type="dxa"/>
            <w:vAlign w:val="center"/>
          </w:tcPr>
          <w:p w14:paraId="7DD539D3">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0-5</w:t>
            </w:r>
          </w:p>
        </w:tc>
      </w:tr>
      <w:tr w14:paraId="0FA3E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282347AB">
            <w:pPr>
              <w:widowControl/>
              <w:spacing w:line="340" w:lineRule="exact"/>
              <w:contextualSpacing/>
              <w:rPr>
                <w:rFonts w:ascii="宋体" w:hAnsi="宋体" w:cs="宋体"/>
                <w:b/>
                <w:color w:val="000000"/>
                <w:kern w:val="0"/>
                <w:szCs w:val="21"/>
                <w:highlight w:val="none"/>
              </w:rPr>
            </w:pPr>
          </w:p>
        </w:tc>
        <w:tc>
          <w:tcPr>
            <w:tcW w:w="6015" w:type="dxa"/>
          </w:tcPr>
          <w:p w14:paraId="21BE2845">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投标人对本项目原材料损耗及能源消耗的控制措施，包括食材、调味品、水、电、煤等规范使用，节能、合理利用的控制措施、垃圾分类制度。</w:t>
            </w:r>
          </w:p>
          <w:p w14:paraId="5D42BDEB">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措施有效全面、环保、经济得当的，得5 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w:t>
            </w:r>
            <w:r>
              <w:rPr>
                <w:rFonts w:hint="eastAsia" w:ascii="宋体" w:hAnsi="宋体" w:cs="宋体"/>
                <w:highlight w:val="none"/>
                <w:lang w:val="en-US" w:eastAsia="zh-CN"/>
              </w:rPr>
              <w:t>5</w:t>
            </w:r>
            <w:r>
              <w:rPr>
                <w:rFonts w:hint="eastAsia" w:ascii="宋体" w:hAnsi="宋体" w:cs="宋体"/>
                <w:highlight w:val="none"/>
              </w:rPr>
              <w:t>,4,3,2,1,0）</w:t>
            </w:r>
          </w:p>
        </w:tc>
        <w:tc>
          <w:tcPr>
            <w:tcW w:w="1140" w:type="dxa"/>
            <w:vAlign w:val="center"/>
          </w:tcPr>
          <w:p w14:paraId="12FA6267">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0-5</w:t>
            </w:r>
          </w:p>
        </w:tc>
      </w:tr>
      <w:tr w14:paraId="56D96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7169ECE3">
            <w:pPr>
              <w:widowControl/>
              <w:spacing w:line="340" w:lineRule="exact"/>
              <w:contextualSpacing/>
              <w:rPr>
                <w:rFonts w:ascii="宋体" w:hAnsi="宋体" w:cs="宋体"/>
                <w:b/>
                <w:color w:val="000000"/>
                <w:kern w:val="0"/>
                <w:szCs w:val="21"/>
                <w:highlight w:val="none"/>
              </w:rPr>
            </w:pPr>
          </w:p>
        </w:tc>
        <w:tc>
          <w:tcPr>
            <w:tcW w:w="6015" w:type="dxa"/>
          </w:tcPr>
          <w:p w14:paraId="4D8CE737">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应急方案（包括但不限于：1.火灾应急处理预案；2.中毒事件应急预案；3.传染病应急处理预案；4.停水处理预案；5.停电处理预案；6.防止可疑爆炸物预案；7.临时就餐人数发生变化预案）。</w:t>
            </w:r>
          </w:p>
          <w:p w14:paraId="31C9E524">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每有 1 项存在一定欠缺的，该项扣 0.5 分； </w:t>
            </w:r>
          </w:p>
          <w:p w14:paraId="61E97C51">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每有 1 项内容缺失或完全不满足要求的，该项扣1分； </w:t>
            </w:r>
          </w:p>
          <w:p w14:paraId="61474042">
            <w:pPr>
              <w:widowControl/>
              <w:spacing w:line="340" w:lineRule="exact"/>
              <w:contextualSpacing/>
              <w:rPr>
                <w:rFonts w:hint="eastAsia" w:ascii="宋体" w:hAnsi="宋体" w:cs="宋体"/>
                <w:bCs/>
                <w:color w:val="000000"/>
                <w:kern w:val="0"/>
                <w:szCs w:val="21"/>
                <w:highlight w:val="none"/>
              </w:rPr>
            </w:pPr>
            <w:r>
              <w:rPr>
                <w:rFonts w:hint="eastAsia" w:ascii="宋体" w:hAnsi="宋体" w:cs="宋体"/>
                <w:bCs/>
                <w:color w:val="000000"/>
                <w:kern w:val="0"/>
                <w:szCs w:val="21"/>
                <w:highlight w:val="none"/>
              </w:rPr>
              <w:t>扣完为止。提供相关证明材料。</w:t>
            </w:r>
          </w:p>
          <w:p w14:paraId="2AF4969A">
            <w:pPr>
              <w:widowControl/>
              <w:spacing w:line="340" w:lineRule="exact"/>
              <w:contextualSpacing/>
              <w:rPr>
                <w:rFonts w:ascii="宋体" w:hAnsi="宋体" w:cs="宋体"/>
                <w:color w:val="000000"/>
                <w:szCs w:val="21"/>
                <w:highlight w:val="none"/>
              </w:rPr>
            </w:pPr>
            <w:r>
              <w:rPr>
                <w:rFonts w:hint="eastAsia" w:ascii="宋体" w:hAnsi="宋体" w:cs="宋体"/>
                <w:highlight w:val="none"/>
              </w:rPr>
              <w:t>（得分范围</w:t>
            </w:r>
            <w:r>
              <w:rPr>
                <w:rFonts w:hint="eastAsia" w:ascii="宋体" w:hAnsi="宋体" w:cs="宋体"/>
                <w:highlight w:val="none"/>
                <w:lang w:val="en-US" w:eastAsia="zh-CN"/>
              </w:rPr>
              <w:t>7,6.5,6,5.5,5</w:t>
            </w:r>
            <w:r>
              <w:rPr>
                <w:rFonts w:hint="eastAsia" w:ascii="宋体" w:hAnsi="宋体" w:cs="宋体"/>
                <w:highlight w:val="none"/>
              </w:rPr>
              <w:t>,</w:t>
            </w:r>
            <w:r>
              <w:rPr>
                <w:rFonts w:hint="eastAsia" w:ascii="宋体" w:hAnsi="宋体" w:cs="宋体"/>
                <w:highlight w:val="none"/>
                <w:lang w:val="en-US" w:eastAsia="zh-CN"/>
              </w:rPr>
              <w:t>4.5,</w:t>
            </w:r>
            <w:r>
              <w:rPr>
                <w:rFonts w:hint="eastAsia" w:ascii="宋体" w:hAnsi="宋体" w:cs="宋体"/>
                <w:highlight w:val="none"/>
              </w:rPr>
              <w:t>4,</w:t>
            </w:r>
            <w:r>
              <w:rPr>
                <w:rFonts w:hint="eastAsia" w:ascii="宋体" w:hAnsi="宋体" w:cs="宋体"/>
                <w:highlight w:val="none"/>
                <w:lang w:val="en-US" w:eastAsia="zh-CN"/>
              </w:rPr>
              <w:t>3.5,</w:t>
            </w:r>
            <w:r>
              <w:rPr>
                <w:rFonts w:hint="eastAsia" w:ascii="宋体" w:hAnsi="宋体" w:cs="宋体"/>
                <w:highlight w:val="none"/>
              </w:rPr>
              <w:t>3,</w:t>
            </w:r>
            <w:r>
              <w:rPr>
                <w:rFonts w:hint="eastAsia" w:ascii="宋体" w:hAnsi="宋体" w:cs="宋体"/>
                <w:highlight w:val="none"/>
                <w:lang w:val="en-US" w:eastAsia="zh-CN"/>
              </w:rPr>
              <w:t>2.5,</w:t>
            </w:r>
            <w:r>
              <w:rPr>
                <w:rFonts w:hint="eastAsia" w:ascii="宋体" w:hAnsi="宋体" w:cs="宋体"/>
                <w:highlight w:val="none"/>
              </w:rPr>
              <w:t>2,</w:t>
            </w:r>
            <w:r>
              <w:rPr>
                <w:rFonts w:hint="eastAsia" w:ascii="宋体" w:hAnsi="宋体" w:cs="宋体"/>
                <w:highlight w:val="none"/>
                <w:lang w:val="en-US" w:eastAsia="zh-CN"/>
              </w:rPr>
              <w:t>1.5,</w:t>
            </w:r>
            <w:r>
              <w:rPr>
                <w:rFonts w:hint="eastAsia" w:ascii="宋体" w:hAnsi="宋体" w:cs="宋体"/>
                <w:highlight w:val="none"/>
              </w:rPr>
              <w:t>1,</w:t>
            </w:r>
            <w:r>
              <w:rPr>
                <w:rFonts w:hint="eastAsia" w:ascii="宋体" w:hAnsi="宋体" w:cs="宋体"/>
                <w:highlight w:val="none"/>
                <w:lang w:val="en-US" w:eastAsia="zh-CN"/>
              </w:rPr>
              <w:t>0.5,</w:t>
            </w:r>
            <w:r>
              <w:rPr>
                <w:rFonts w:hint="eastAsia" w:ascii="宋体" w:hAnsi="宋体" w:cs="宋体"/>
                <w:highlight w:val="none"/>
              </w:rPr>
              <w:t>0）</w:t>
            </w:r>
          </w:p>
        </w:tc>
        <w:tc>
          <w:tcPr>
            <w:tcW w:w="1140" w:type="dxa"/>
            <w:vAlign w:val="center"/>
          </w:tcPr>
          <w:p w14:paraId="01D6A1C8">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0-7</w:t>
            </w:r>
          </w:p>
        </w:tc>
      </w:tr>
      <w:tr w14:paraId="19A8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Merge w:val="continue"/>
            <w:vAlign w:val="center"/>
          </w:tcPr>
          <w:p w14:paraId="73DFD1CC">
            <w:pPr>
              <w:widowControl/>
              <w:spacing w:line="340" w:lineRule="exact"/>
              <w:contextualSpacing/>
              <w:rPr>
                <w:rFonts w:ascii="宋体" w:hAnsi="宋体" w:cs="宋体"/>
                <w:bCs/>
                <w:color w:val="000000"/>
                <w:kern w:val="0"/>
                <w:szCs w:val="21"/>
                <w:highlight w:val="none"/>
              </w:rPr>
            </w:pPr>
          </w:p>
        </w:tc>
        <w:tc>
          <w:tcPr>
            <w:tcW w:w="6015" w:type="dxa"/>
          </w:tcPr>
          <w:p w14:paraId="2E2F86A7">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对采购人意见反馈的处理措施，（包含投诉处理、意见反馈等）</w:t>
            </w:r>
          </w:p>
          <w:p w14:paraId="15C07CAA">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具有投诉意见接收机制的，制定完善的处理方案、反馈方式，明确事件等级及应对方式的，得4分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（得分范围4,3,2,1,0）</w:t>
            </w:r>
          </w:p>
        </w:tc>
        <w:tc>
          <w:tcPr>
            <w:tcW w:w="1140" w:type="dxa"/>
            <w:vAlign w:val="center"/>
          </w:tcPr>
          <w:p w14:paraId="464BBD13">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0-4</w:t>
            </w:r>
          </w:p>
        </w:tc>
      </w:tr>
      <w:tr w14:paraId="16FD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2" w:hRule="atLeast"/>
        </w:trPr>
        <w:tc>
          <w:tcPr>
            <w:tcW w:w="1140" w:type="dxa"/>
            <w:vAlign w:val="center"/>
          </w:tcPr>
          <w:p w14:paraId="273B7FB9">
            <w:pPr>
              <w:widowControl/>
              <w:spacing w:line="340" w:lineRule="exact"/>
              <w:contextualSpacing/>
              <w:rPr>
                <w:rFonts w:ascii="宋体" w:hAnsi="宋体" w:cs="宋体"/>
                <w:bCs/>
                <w:color w:val="000000"/>
                <w:kern w:val="0"/>
                <w:szCs w:val="21"/>
                <w:highlight w:val="none"/>
              </w:rPr>
            </w:pPr>
          </w:p>
        </w:tc>
        <w:tc>
          <w:tcPr>
            <w:tcW w:w="6015" w:type="dxa"/>
          </w:tcPr>
          <w:p w14:paraId="67414C8E">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 xml:space="preserve"> 服务承诺：对服务内容时效（餐饮部分和保洁部分）的承诺（包含紧急情况下的响应时间及响应服务方式）（格式自拟）</w:t>
            </w:r>
          </w:p>
          <w:p w14:paraId="6F4D36C0">
            <w:pPr>
              <w:widowControl/>
              <w:spacing w:line="340" w:lineRule="exact"/>
              <w:contextualSpacing/>
              <w:rPr>
                <w:rFonts w:ascii="宋体" w:hAnsi="宋体" w:cs="宋体"/>
                <w:bCs/>
                <w:color w:val="000000"/>
                <w:kern w:val="0"/>
                <w:szCs w:val="21"/>
                <w:highlight w:val="none"/>
              </w:rPr>
            </w:pPr>
            <w:r>
              <w:rPr>
                <w:rFonts w:hint="eastAsia" w:ascii="宋体" w:hAnsi="宋体" w:cs="宋体"/>
                <w:bCs/>
                <w:color w:val="000000"/>
                <w:kern w:val="0"/>
                <w:szCs w:val="21"/>
                <w:highlight w:val="none"/>
              </w:rPr>
              <w:t>承诺时间及服务方式可行、合理、配合度高的，得4 分</w:t>
            </w:r>
            <w:r>
              <w:rPr>
                <w:rFonts w:hint="eastAsia" w:ascii="宋体" w:hAnsi="宋体" w:cs="宋体"/>
                <w:bCs/>
                <w:color w:val="000000"/>
                <w:kern w:val="0"/>
                <w:szCs w:val="21"/>
                <w:highlight w:val="none"/>
                <w:lang w:eastAsia="zh-CN"/>
              </w:rPr>
              <w:t>，</w:t>
            </w:r>
            <w:r>
              <w:rPr>
                <w:rFonts w:hint="eastAsia" w:ascii="宋体" w:hAnsi="宋体" w:cs="宋体"/>
                <w:szCs w:val="21"/>
                <w:highlight w:val="none"/>
              </w:rPr>
              <w:t>内容缺少或内容简要不具备可行性或内容非专门针对本项目或内容不能满足本项目实际需要的每有1项扣1分，扣完为止。</w:t>
            </w:r>
            <w:r>
              <w:rPr>
                <w:rFonts w:hint="eastAsia" w:ascii="宋体" w:hAnsi="宋体" w:cs="宋体"/>
                <w:highlight w:val="none"/>
              </w:rPr>
              <w:t>（得分范围4,3,2,1,0）</w:t>
            </w:r>
          </w:p>
        </w:tc>
        <w:tc>
          <w:tcPr>
            <w:tcW w:w="1140" w:type="dxa"/>
            <w:vAlign w:val="center"/>
          </w:tcPr>
          <w:p w14:paraId="7C43B97F">
            <w:pPr>
              <w:widowControl/>
              <w:spacing w:line="340" w:lineRule="exact"/>
              <w:jc w:val="center"/>
              <w:rPr>
                <w:rFonts w:ascii="宋体" w:hAnsi="宋体" w:cs="宋体"/>
                <w:bCs/>
                <w:color w:val="000000"/>
                <w:kern w:val="0"/>
                <w:szCs w:val="21"/>
                <w:highlight w:val="none"/>
              </w:rPr>
            </w:pPr>
            <w:r>
              <w:rPr>
                <w:rFonts w:hint="eastAsia" w:ascii="宋体" w:hAnsi="宋体" w:cs="宋体"/>
                <w:bCs/>
                <w:color w:val="000000"/>
                <w:kern w:val="0"/>
                <w:szCs w:val="21"/>
                <w:highlight w:val="none"/>
              </w:rPr>
              <w:t>0-4</w:t>
            </w:r>
          </w:p>
        </w:tc>
      </w:tr>
    </w:tbl>
    <w:p w14:paraId="1F2A6C9B">
      <w:pPr>
        <w:pStyle w:val="59"/>
        <w:spacing w:line="360" w:lineRule="auto"/>
        <w:ind w:firstLine="420" w:firstLineChars="200"/>
        <w:rPr>
          <w:rFonts w:ascii="宋体" w:hAnsi="宋体" w:cs="宋体"/>
        </w:rPr>
      </w:pPr>
      <w:r>
        <w:rPr>
          <w:rFonts w:hint="eastAsia" w:ascii="宋体" w:hAnsi="宋体" w:cs="宋体"/>
        </w:rPr>
        <w:t>注：</w:t>
      </w:r>
      <w:r>
        <w:rPr>
          <w:rFonts w:hint="eastAsia" w:ascii="宋体" w:hAnsi="宋体" w:cs="宋体"/>
          <w:szCs w:val="21"/>
        </w:rPr>
        <w:t>各投标人的资信技术分按照评标委员会成员的独立评分结果汇总后的算术平均分计算</w:t>
      </w:r>
      <w:r>
        <w:rPr>
          <w:rFonts w:hint="eastAsia" w:ascii="宋体" w:hAnsi="宋体" w:cs="宋体"/>
        </w:rPr>
        <w:t>，保留小数点后2位小数。</w:t>
      </w:r>
    </w:p>
    <w:p w14:paraId="1E24F2CC">
      <w:pPr>
        <w:spacing w:line="360" w:lineRule="auto"/>
        <w:ind w:left="466"/>
        <w:rPr>
          <w:rFonts w:ascii="宋体" w:hAnsi="宋体" w:cs="宋体"/>
          <w:b/>
          <w:bCs/>
          <w:spacing w:val="-4"/>
          <w:kern w:val="0"/>
          <w:szCs w:val="21"/>
        </w:rPr>
      </w:pPr>
      <w:r>
        <w:rPr>
          <w:rFonts w:hint="eastAsia" w:ascii="宋体" w:hAnsi="宋体" w:cs="宋体"/>
          <w:b/>
          <w:bCs/>
          <w:spacing w:val="-4"/>
          <w:kern w:val="0"/>
          <w:szCs w:val="21"/>
        </w:rPr>
        <w:t>二、价格分（满分30分）</w:t>
      </w:r>
    </w:p>
    <w:p w14:paraId="548311F0">
      <w:pPr>
        <w:pStyle w:val="25"/>
        <w:tabs>
          <w:tab w:val="left" w:pos="630"/>
        </w:tabs>
        <w:spacing w:line="360" w:lineRule="auto"/>
        <w:ind w:right="42" w:rightChars="20" w:firstLine="420" w:firstLineChars="200"/>
        <w:jc w:val="left"/>
        <w:rPr>
          <w:rFonts w:hAnsi="宋体" w:cs="宋体"/>
          <w:bCs/>
          <w:szCs w:val="21"/>
        </w:rPr>
      </w:pPr>
      <w:r>
        <w:rPr>
          <w:rFonts w:hint="eastAsia" w:hAnsi="宋体" w:cs="宋体"/>
          <w:bCs/>
          <w:szCs w:val="21"/>
        </w:rPr>
        <w:t>1、采用低价优先法计算，即满足招标文件要求且投标价格最低的投标报价为评标基准价，其价格分为满分。其他满足招标文件要求的投标人的价格分统一按照下列公式计算：</w:t>
      </w:r>
    </w:p>
    <w:p w14:paraId="039DB5B1">
      <w:pPr>
        <w:pStyle w:val="25"/>
        <w:tabs>
          <w:tab w:val="left" w:pos="630"/>
        </w:tabs>
        <w:spacing w:line="360" w:lineRule="auto"/>
        <w:ind w:right="42" w:rightChars="20" w:firstLine="420" w:firstLineChars="200"/>
        <w:jc w:val="left"/>
        <w:rPr>
          <w:rFonts w:hAnsi="宋体" w:cs="宋体"/>
          <w:lang w:val="zh-CN"/>
        </w:rPr>
      </w:pPr>
      <w:r>
        <w:rPr>
          <w:rFonts w:hint="eastAsia" w:hAnsi="宋体" w:cs="宋体"/>
          <w:bCs/>
          <w:szCs w:val="21"/>
        </w:rPr>
        <w:t>投标报价得分=(评标基准价／评标价格)×30分（保留</w:t>
      </w:r>
      <w:r>
        <w:rPr>
          <w:rFonts w:hint="eastAsia" w:hAnsi="宋体" w:cs="宋体"/>
        </w:rPr>
        <w:t>小数点后</w:t>
      </w:r>
      <w:r>
        <w:rPr>
          <w:rFonts w:hint="eastAsia" w:hAnsi="宋体" w:cs="宋体"/>
          <w:bCs/>
          <w:szCs w:val="21"/>
        </w:rPr>
        <w:t>2位小数）</w:t>
      </w:r>
      <w:r>
        <w:rPr>
          <w:rFonts w:hint="eastAsia" w:hAnsi="宋体" w:cs="宋体"/>
          <w:lang w:val="zh-CN"/>
        </w:rPr>
        <w:t>。</w:t>
      </w:r>
    </w:p>
    <w:p w14:paraId="5770F4E7">
      <w:pPr>
        <w:pStyle w:val="25"/>
        <w:tabs>
          <w:tab w:val="left" w:pos="630"/>
        </w:tabs>
        <w:spacing w:line="360" w:lineRule="auto"/>
        <w:ind w:right="42" w:rightChars="20" w:firstLine="420" w:firstLineChars="200"/>
        <w:jc w:val="left"/>
        <w:rPr>
          <w:rFonts w:hAnsi="宋体" w:cs="宋体"/>
          <w:szCs w:val="21"/>
        </w:rPr>
      </w:pPr>
      <w:r>
        <w:rPr>
          <w:rFonts w:hint="eastAsia" w:hAnsi="宋体" w:cs="宋体"/>
          <w:szCs w:val="21"/>
        </w:rPr>
        <w:t>2、投标人的投标报价超过采购人设定的最高限价（总价及单价），将作为无效标。</w:t>
      </w:r>
    </w:p>
    <w:p w14:paraId="4DB73252">
      <w:pPr>
        <w:pStyle w:val="25"/>
        <w:tabs>
          <w:tab w:val="left" w:pos="630"/>
        </w:tabs>
        <w:spacing w:line="360" w:lineRule="auto"/>
        <w:ind w:right="42" w:rightChars="20" w:firstLine="420" w:firstLineChars="200"/>
        <w:jc w:val="left"/>
        <w:rPr>
          <w:rFonts w:hAnsi="宋体" w:cs="宋体"/>
          <w:bCs/>
          <w:szCs w:val="21"/>
        </w:rPr>
      </w:pPr>
      <w:r>
        <w:rPr>
          <w:rFonts w:hint="eastAsia" w:hAnsi="宋体" w:cs="宋体"/>
          <w:szCs w:val="21"/>
        </w:rPr>
        <w:t>3、评标委员会认为投标人的报价明显低于其他通过符合性审查投标人的报价，有可能影响产品质量或者不能诚信履约的，应当要求其在合理的时间内提供书面说明，必要时提交相关证明材料；投标人不能证明</w:t>
      </w:r>
      <w:r>
        <w:rPr>
          <w:rFonts w:hint="eastAsia" w:hAnsi="宋体" w:cs="宋体"/>
          <w:bCs/>
          <w:szCs w:val="21"/>
        </w:rPr>
        <w:t>其报价合理性的，评标委员会应当将其作为无效投标处理。</w:t>
      </w:r>
    </w:p>
    <w:p w14:paraId="479FF40D">
      <w:pPr>
        <w:rPr>
          <w:rStyle w:val="133"/>
          <w:rFonts w:ascii="宋体" w:hAnsi="宋体" w:eastAsia="宋体" w:cs="宋体"/>
          <w:b w:val="0"/>
        </w:rPr>
      </w:pPr>
      <w:bookmarkStart w:id="232" w:name="_Toc493511826"/>
      <w:bookmarkStart w:id="233" w:name="_Toc417992896"/>
      <w:bookmarkStart w:id="234" w:name="_Toc28829"/>
      <w:bookmarkStart w:id="235" w:name="_Toc416422800"/>
      <w:r>
        <w:rPr>
          <w:rStyle w:val="133"/>
          <w:rFonts w:hint="eastAsia" w:ascii="宋体" w:hAnsi="宋体" w:eastAsia="宋体" w:cs="宋体"/>
          <w:b w:val="0"/>
        </w:rPr>
        <w:br w:type="page"/>
      </w:r>
    </w:p>
    <w:p w14:paraId="27BEA98D">
      <w:pPr>
        <w:pStyle w:val="80"/>
        <w:rPr>
          <w:rFonts w:ascii="宋体" w:eastAsia="宋体" w:cs="宋体"/>
          <w:bCs w:val="0"/>
        </w:rPr>
      </w:pPr>
      <w:r>
        <w:rPr>
          <w:rStyle w:val="133"/>
          <w:rFonts w:hint="eastAsia" w:ascii="宋体" w:eastAsia="宋体" w:cs="宋体"/>
          <w:b/>
          <w:bCs w:val="0"/>
        </w:rPr>
        <w:t>第五章  政府采购合同</w:t>
      </w:r>
      <w:bookmarkEnd w:id="232"/>
      <w:bookmarkEnd w:id="233"/>
      <w:bookmarkEnd w:id="234"/>
      <w:bookmarkEnd w:id="235"/>
      <w:r>
        <w:rPr>
          <w:rStyle w:val="133"/>
          <w:rFonts w:hint="eastAsia" w:ascii="宋体" w:eastAsia="宋体" w:cs="宋体"/>
          <w:b/>
          <w:bCs w:val="0"/>
        </w:rPr>
        <w:t>（参考）</w:t>
      </w:r>
    </w:p>
    <w:p w14:paraId="3371DC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项目名称：</w:t>
      </w:r>
    </w:p>
    <w:p w14:paraId="75DB116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项目编号：</w:t>
      </w:r>
    </w:p>
    <w:p w14:paraId="61C2139F">
      <w:pPr>
        <w:pStyle w:val="6"/>
        <w:shd w:val="clear" w:color="auto" w:fill="FFFFFF"/>
        <w:spacing w:line="360" w:lineRule="auto"/>
        <w:ind w:firstLineChars="200"/>
        <w:jc w:val="left"/>
        <w:rPr>
          <w:rFonts w:ascii="宋体" w:hAnsi="宋体" w:cs="宋体"/>
          <w:color w:val="000000"/>
          <w:kern w:val="0"/>
          <w:szCs w:val="21"/>
        </w:rPr>
      </w:pPr>
      <w:r>
        <w:rPr>
          <w:rFonts w:hint="eastAsia" w:ascii="宋体" w:hAnsi="宋体" w:cs="宋体"/>
          <w:color w:val="000000"/>
          <w:szCs w:val="21"/>
        </w:rPr>
        <w:t>合同编号：</w:t>
      </w:r>
    </w:p>
    <w:p w14:paraId="576075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采购人（以下称甲方）：</w:t>
      </w:r>
    </w:p>
    <w:p w14:paraId="67795A1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供应商（以下称乙方）：</w:t>
      </w:r>
    </w:p>
    <w:p w14:paraId="3198F4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预算金额：89.016万元</w:t>
      </w:r>
    </w:p>
    <w:p w14:paraId="779EC2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采购代理机构：</w:t>
      </w:r>
    </w:p>
    <w:p w14:paraId="42BA7EA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采购方式：公开招标</w:t>
      </w:r>
    </w:p>
    <w:p w14:paraId="1D308B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根据《中华人民共和国政府采购法》、《中华人民共和国民法典》等法律法规的规定，甲乙双方按照</w:t>
      </w:r>
      <w:r>
        <w:rPr>
          <w:rFonts w:hint="eastAsia" w:ascii="宋体" w:hAnsi="宋体" w:cs="宋体"/>
          <w:color w:val="000000"/>
          <w:kern w:val="0"/>
          <w:szCs w:val="21"/>
          <w:u w:val="single"/>
        </w:rPr>
        <w:t xml:space="preserve"> 浙江省嘉兴支队海盐县消防救援大队2024-2025年度物业管理服务采购项目 </w:t>
      </w:r>
      <w:r>
        <w:rPr>
          <w:rFonts w:hint="eastAsia" w:ascii="宋体" w:hAnsi="宋体" w:cs="宋体"/>
          <w:color w:val="000000"/>
          <w:kern w:val="0"/>
          <w:szCs w:val="21"/>
        </w:rPr>
        <w:t>结果签订本合同。</w:t>
      </w:r>
    </w:p>
    <w:p w14:paraId="15D83E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第一条 合同组成</w:t>
      </w:r>
    </w:p>
    <w:p w14:paraId="69CE39E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本次政府采购活动的相关文件为本合同的组成部分，这些文件包括但不限于：</w:t>
      </w:r>
    </w:p>
    <w:p w14:paraId="0F03B12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（1）本合同文本；</w:t>
      </w:r>
    </w:p>
    <w:p w14:paraId="121F3E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（2）采购文件与采购响应文件；</w:t>
      </w:r>
    </w:p>
    <w:p w14:paraId="3B56562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（3）中标或成交通知书；</w:t>
      </w:r>
    </w:p>
    <w:p w14:paraId="3334D4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组成本合同的所有文件必须为书面形式。</w:t>
      </w:r>
    </w:p>
    <w:p w14:paraId="4C4A32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第二条 合同标的与相关属性</w:t>
      </w:r>
    </w:p>
    <w:p w14:paraId="432B393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szCs w:val="21"/>
          <w:u w:val="single"/>
        </w:rPr>
      </w:pPr>
      <w:r>
        <w:rPr>
          <w:rFonts w:hint="eastAsia" w:ascii="宋体" w:hAnsi="宋体" w:cs="宋体"/>
          <w:color w:val="000000"/>
          <w:kern w:val="0"/>
          <w:szCs w:val="21"/>
        </w:rPr>
        <w:t>1、本次采购的是</w:t>
      </w:r>
      <w:r>
        <w:rPr>
          <w:rFonts w:hint="eastAsia" w:ascii="宋体" w:hAnsi="宋体" w:cs="宋体"/>
          <w:color w:val="000000"/>
          <w:kern w:val="0"/>
          <w:szCs w:val="21"/>
          <w:u w:val="single"/>
        </w:rPr>
        <w:t xml:space="preserve"> 浙江省嘉兴支队海盐县消防救援大队2024-2025年度物业管理服务采购项目 </w:t>
      </w:r>
      <w:r>
        <w:rPr>
          <w:rFonts w:hint="eastAsia" w:ascii="宋体" w:hAnsi="宋体" w:cs="宋体"/>
          <w:color w:val="000000"/>
          <w:szCs w:val="21"/>
          <w:u w:val="single"/>
        </w:rPr>
        <w:t>。</w:t>
      </w:r>
    </w:p>
    <w:p w14:paraId="77374F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2、乙方是否属于小微企业：□是  □否</w:t>
      </w:r>
    </w:p>
    <w:p w14:paraId="5B5A7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第三条 合同价款</w:t>
      </w:r>
    </w:p>
    <w:p w14:paraId="056A7A5F">
      <w:pPr>
        <w:pStyle w:val="25"/>
        <w:snapToGrid w:val="0"/>
        <w:spacing w:line="360" w:lineRule="auto"/>
        <w:ind w:firstLine="420" w:firstLineChars="200"/>
        <w:jc w:val="left"/>
        <w:rPr>
          <w:rFonts w:hAnsi="宋体" w:cs="宋体"/>
          <w:color w:val="000000"/>
          <w:kern w:val="0"/>
          <w:szCs w:val="21"/>
        </w:rPr>
      </w:pPr>
      <w:r>
        <w:rPr>
          <w:rFonts w:hint="eastAsia" w:hAnsi="宋体" w:cs="宋体"/>
          <w:color w:val="000000"/>
          <w:kern w:val="0"/>
          <w:szCs w:val="21"/>
        </w:rPr>
        <w:t>1、本合同项下总价款为（大写）</w:t>
      </w:r>
      <w:r>
        <w:rPr>
          <w:rFonts w:hint="eastAsia" w:hAnsi="宋体" w:cs="宋体"/>
          <w:color w:val="000000"/>
          <w:kern w:val="0"/>
          <w:szCs w:val="21"/>
          <w:u w:val="single"/>
        </w:rPr>
        <w:t xml:space="preserve">              </w:t>
      </w:r>
      <w:r>
        <w:rPr>
          <w:rFonts w:hint="eastAsia" w:hAnsi="宋体" w:cs="宋体"/>
          <w:color w:val="000000"/>
          <w:kern w:val="0"/>
          <w:szCs w:val="21"/>
        </w:rPr>
        <w:t>人民币，分项价款见“价格清单”。</w:t>
      </w:r>
    </w:p>
    <w:p w14:paraId="1760E917">
      <w:pPr>
        <w:widowControl/>
        <w:kinsoku w:val="0"/>
        <w:autoSpaceDE w:val="0"/>
        <w:autoSpaceDN w:val="0"/>
        <w:adjustRightInd w:val="0"/>
        <w:snapToGrid w:val="0"/>
        <w:spacing w:line="360" w:lineRule="auto"/>
        <w:ind w:firstLine="420" w:firstLineChars="200"/>
        <w:textAlignment w:val="baseline"/>
        <w:rPr>
          <w:rFonts w:ascii="宋体" w:hAnsi="宋体" w:cs="宋体"/>
          <w:b/>
          <w:bCs/>
          <w:color w:val="000000"/>
          <w:szCs w:val="21"/>
        </w:rPr>
      </w:pPr>
      <w:r>
        <w:rPr>
          <w:rFonts w:hint="eastAsia" w:ascii="宋体" w:hAnsi="宋体" w:cs="宋体"/>
          <w:color w:val="000000"/>
          <w:szCs w:val="21"/>
        </w:rPr>
        <w:t>2、本合同总价款含所有税费。</w:t>
      </w:r>
      <w:r>
        <w:rPr>
          <w:rFonts w:hint="eastAsia" w:ascii="宋体" w:hAnsi="宋体" w:cs="宋体"/>
          <w:b/>
          <w:bCs/>
          <w:color w:val="000000"/>
          <w:szCs w:val="21"/>
        </w:rPr>
        <w:t>(</w:t>
      </w:r>
      <w:r>
        <w:rPr>
          <w:rFonts w:hint="eastAsia" w:ascii="宋体" w:hAnsi="宋体" w:cs="宋体"/>
          <w:b/>
          <w:bCs/>
          <w:color w:val="000000"/>
          <w:kern w:val="0"/>
          <w:szCs w:val="21"/>
        </w:rPr>
        <w:t>本项目投标报价为年度服务劳务报价及管理费报价，投标报价应包括投标人提供服务的人员各项费用、统一工作服（服装、帽子、饭单、袖套、毛巾、专用口罩、胶鞋、橡胶手套等）及管理费、利润、税金等相关内容，由投标人自行综合考虑报价。</w:t>
      </w:r>
      <w:r>
        <w:rPr>
          <w:rFonts w:hint="eastAsia" w:ascii="宋体" w:hAnsi="宋体" w:cs="宋体"/>
          <w:b/>
          <w:bCs/>
          <w:color w:val="000000"/>
          <w:szCs w:val="21"/>
        </w:rPr>
        <w:t>)</w:t>
      </w:r>
    </w:p>
    <w:p w14:paraId="4D57DE8A">
      <w:pPr>
        <w:widowControl/>
        <w:spacing w:line="360" w:lineRule="auto"/>
        <w:ind w:firstLine="420" w:firstLineChars="200"/>
        <w:contextualSpacing/>
        <w:rPr>
          <w:rFonts w:ascii="宋体" w:hAnsi="宋体" w:cs="宋体"/>
          <w:color w:val="000000"/>
          <w:kern w:val="0"/>
          <w:szCs w:val="21"/>
          <w:lang w:val="zh-CN"/>
        </w:rPr>
      </w:pPr>
      <w:r>
        <w:rPr>
          <w:rFonts w:hint="eastAsia" w:ascii="宋体" w:hAnsi="宋体" w:cs="宋体"/>
          <w:color w:val="000000"/>
          <w:kern w:val="0"/>
          <w:szCs w:val="21"/>
        </w:rPr>
        <w:t>3、本合同付款方式为：</w:t>
      </w:r>
      <w:r>
        <w:rPr>
          <w:rFonts w:hint="eastAsia" w:ascii="宋体" w:hAnsi="宋体" w:cs="宋体"/>
          <w:color w:val="000000"/>
          <w:kern w:val="0"/>
          <w:szCs w:val="21"/>
          <w:u w:val="single"/>
        </w:rPr>
        <w:t xml:space="preserve"> 乙方</w:t>
      </w:r>
      <w:r>
        <w:rPr>
          <w:rFonts w:hint="eastAsia" w:ascii="宋体" w:hAnsi="宋体" w:cs="宋体"/>
          <w:color w:val="000000"/>
          <w:kern w:val="0"/>
          <w:szCs w:val="21"/>
          <w:u w:val="single"/>
          <w:lang w:val="zh-CN"/>
        </w:rPr>
        <w:t>按合同履约并通过考核，</w:t>
      </w:r>
      <w:r>
        <w:rPr>
          <w:rFonts w:hint="eastAsia" w:ascii="宋体" w:hAnsi="宋体" w:cs="宋体"/>
          <w:color w:val="000000"/>
          <w:kern w:val="0"/>
          <w:szCs w:val="21"/>
          <w:u w:val="single"/>
        </w:rPr>
        <w:t>甲方</w:t>
      </w:r>
      <w:r>
        <w:rPr>
          <w:rFonts w:hint="eastAsia" w:ascii="宋体" w:hAnsi="宋体" w:cs="宋体"/>
          <w:color w:val="000000"/>
          <w:kern w:val="0"/>
          <w:szCs w:val="21"/>
          <w:u w:val="single"/>
          <w:lang w:val="zh-CN"/>
        </w:rPr>
        <w:t>每</w:t>
      </w:r>
      <w:r>
        <w:rPr>
          <w:rFonts w:hint="eastAsia" w:ascii="宋体" w:hAnsi="宋体" w:cs="宋体"/>
          <w:color w:val="000000"/>
          <w:kern w:val="0"/>
          <w:szCs w:val="21"/>
          <w:u w:val="single"/>
        </w:rPr>
        <w:t>季度</w:t>
      </w:r>
      <w:r>
        <w:rPr>
          <w:rFonts w:hint="eastAsia" w:ascii="宋体" w:hAnsi="宋体" w:cs="宋体"/>
          <w:color w:val="000000"/>
          <w:kern w:val="0"/>
          <w:szCs w:val="21"/>
          <w:u w:val="single"/>
          <w:lang w:val="zh-CN"/>
        </w:rPr>
        <w:t>支付一次，在每</w:t>
      </w:r>
      <w:r>
        <w:rPr>
          <w:rFonts w:hint="eastAsia" w:ascii="宋体" w:hAnsi="宋体" w:cs="宋体"/>
          <w:color w:val="000000"/>
          <w:kern w:val="0"/>
          <w:szCs w:val="21"/>
          <w:u w:val="single"/>
        </w:rPr>
        <w:t>季度</w:t>
      </w:r>
      <w:r>
        <w:rPr>
          <w:rFonts w:hint="eastAsia" w:ascii="宋体" w:hAnsi="宋体" w:cs="宋体"/>
          <w:color w:val="000000"/>
          <w:kern w:val="0"/>
          <w:szCs w:val="21"/>
          <w:u w:val="single"/>
          <w:lang w:val="zh-CN"/>
        </w:rPr>
        <w:t>结束</w:t>
      </w:r>
      <w:r>
        <w:rPr>
          <w:rFonts w:hint="eastAsia" w:ascii="宋体" w:hAnsi="宋体" w:cs="宋体"/>
          <w:color w:val="000000"/>
          <w:kern w:val="0"/>
          <w:szCs w:val="21"/>
          <w:u w:val="single"/>
        </w:rPr>
        <w:t>、完成考核后根据考核结果在</w:t>
      </w:r>
      <w:r>
        <w:rPr>
          <w:rFonts w:hint="eastAsia" w:ascii="宋体" w:hAnsi="宋体" w:cs="宋体"/>
          <w:color w:val="000000"/>
          <w:kern w:val="0"/>
          <w:szCs w:val="21"/>
          <w:u w:val="single"/>
          <w:lang w:val="zh-CN"/>
        </w:rPr>
        <w:t>收到发票后10个工作日之内付款。（考核办法附件</w:t>
      </w:r>
      <w:r>
        <w:rPr>
          <w:rFonts w:hint="eastAsia" w:ascii="宋体" w:hAnsi="宋体" w:cs="宋体"/>
          <w:color w:val="000000"/>
          <w:kern w:val="0"/>
          <w:szCs w:val="21"/>
          <w:u w:val="single"/>
        </w:rPr>
        <w:t>3</w:t>
      </w:r>
      <w:r>
        <w:rPr>
          <w:rFonts w:hint="eastAsia" w:ascii="宋体" w:hAnsi="宋体" w:cs="宋体"/>
          <w:color w:val="000000"/>
          <w:kern w:val="0"/>
          <w:szCs w:val="21"/>
          <w:u w:val="single"/>
          <w:lang w:val="zh-CN"/>
        </w:rPr>
        <w:t>）</w:t>
      </w:r>
    </w:p>
    <w:p w14:paraId="7C976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第四条 履约保证金</w:t>
      </w:r>
    </w:p>
    <w:p w14:paraId="64A785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乙方在</w:t>
      </w:r>
      <w:r>
        <w:rPr>
          <w:rFonts w:hint="eastAsia" w:ascii="宋体" w:hAnsi="宋体" w:cs="宋体"/>
          <w:color w:val="000000"/>
          <w:kern w:val="0"/>
          <w:szCs w:val="21"/>
          <w:u w:val="single"/>
        </w:rPr>
        <w:t xml:space="preserve"> 签订合同后5个工作日 </w:t>
      </w:r>
      <w:r>
        <w:rPr>
          <w:rFonts w:hint="eastAsia" w:ascii="宋体" w:hAnsi="宋体" w:cs="宋体"/>
          <w:color w:val="000000"/>
          <w:kern w:val="0"/>
          <w:szCs w:val="21"/>
        </w:rPr>
        <w:t>向甲方提交合同价的1%作为履约保证金，乙方可以支票、汇票、本票或者金融机构、担保机构出具的保函等非现金形式提交。合同履行完毕后10个工作日无息退还。</w:t>
      </w:r>
    </w:p>
    <w:p w14:paraId="057379C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第五条 合同的变更和终止</w:t>
      </w:r>
    </w:p>
    <w:p w14:paraId="7CD2625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除《政府采购法》第49条、第50条第二款规定的情形外，本合同一经签订，甲乙双方不得擅自终止合同或对合同实质性条款进行变更。确有特殊情况的，须经同级财政部门备案同意。</w:t>
      </w:r>
    </w:p>
    <w:p w14:paraId="7EDDD87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第六条 合同的转让与分包</w:t>
      </w:r>
    </w:p>
    <w:p w14:paraId="66C7EF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乙方不得擅自部分或全部转让其应履行的合同义务。乙方分包的，应经过甲方书面同意。</w:t>
      </w:r>
    </w:p>
    <w:p w14:paraId="79364A9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第七条 争议的解决</w:t>
      </w:r>
    </w:p>
    <w:p w14:paraId="5E5CE61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bookmarkStart w:id="236" w:name="OLE_LINK3"/>
      <w:r>
        <w:rPr>
          <w:rFonts w:hint="eastAsia" w:ascii="宋体" w:hAnsi="宋体" w:cs="宋体"/>
          <w:color w:val="000000"/>
          <w:kern w:val="0"/>
          <w:szCs w:val="21"/>
        </w:rPr>
        <w:t>1、因履行本合同引起的或与本合同有关的争议，甲、乙双方应首先通过友好协商解决，如果协商不能解决争议，则采取以下第</w:t>
      </w:r>
      <w:r>
        <w:rPr>
          <w:rFonts w:hint="eastAsia" w:ascii="宋体" w:hAnsi="宋体" w:cs="宋体"/>
          <w:color w:val="000000"/>
          <w:kern w:val="0"/>
          <w:szCs w:val="21"/>
          <w:u w:val="single"/>
        </w:rPr>
        <w:t xml:space="preserve">  （1）  </w:t>
      </w:r>
      <w:r>
        <w:rPr>
          <w:rFonts w:hint="eastAsia" w:ascii="宋体" w:hAnsi="宋体" w:cs="宋体"/>
          <w:color w:val="000000"/>
          <w:kern w:val="0"/>
          <w:szCs w:val="21"/>
        </w:rPr>
        <w:t>种方式解决争议：</w:t>
      </w:r>
    </w:p>
    <w:p w14:paraId="705BCE3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（1）向甲方所在地有管辖权的人民法院提起诉讼；</w:t>
      </w:r>
    </w:p>
    <w:p w14:paraId="310DA7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（2）向</w:t>
      </w:r>
      <w:r>
        <w:rPr>
          <w:rFonts w:hint="eastAsia" w:ascii="宋体" w:hAnsi="宋体" w:cs="宋体"/>
          <w:color w:val="000000"/>
          <w:kern w:val="0"/>
          <w:szCs w:val="21"/>
          <w:u w:val="single"/>
        </w:rPr>
        <w:t xml:space="preserve">  嘉兴 </w:t>
      </w:r>
      <w:r>
        <w:rPr>
          <w:rFonts w:hint="eastAsia" w:ascii="宋体" w:hAnsi="宋体" w:cs="宋体"/>
          <w:color w:val="000000"/>
          <w:kern w:val="0"/>
          <w:szCs w:val="21"/>
        </w:rPr>
        <w:t>仲裁委员申请仲裁。</w:t>
      </w:r>
    </w:p>
    <w:bookmarkEnd w:id="236"/>
    <w:p w14:paraId="7AE22A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left"/>
        <w:rPr>
          <w:rFonts w:ascii="宋体" w:hAnsi="宋体" w:cs="宋体"/>
          <w:b/>
          <w:color w:val="000000"/>
          <w:kern w:val="0"/>
          <w:szCs w:val="21"/>
        </w:rPr>
      </w:pPr>
      <w:r>
        <w:rPr>
          <w:rFonts w:hint="eastAsia" w:ascii="宋体" w:hAnsi="宋体" w:cs="宋体"/>
          <w:b/>
          <w:color w:val="000000"/>
          <w:kern w:val="0"/>
          <w:szCs w:val="21"/>
        </w:rPr>
        <w:t>第八条 合同备案及其他</w:t>
      </w:r>
    </w:p>
    <w:p w14:paraId="4D9801BB">
      <w:pPr>
        <w:widowControl/>
        <w:spacing w:line="360" w:lineRule="auto"/>
        <w:ind w:firstLine="420" w:firstLineChars="200"/>
        <w:jc w:val="left"/>
        <w:rPr>
          <w:rFonts w:ascii="宋体" w:hAnsi="宋体" w:cs="宋体"/>
          <w:b/>
          <w:bCs/>
          <w:color w:val="000000"/>
          <w:kern w:val="0"/>
          <w:szCs w:val="21"/>
        </w:rPr>
      </w:pPr>
      <w:r>
        <w:rPr>
          <w:rFonts w:hint="eastAsia" w:ascii="宋体" w:hAnsi="宋体" w:cs="宋体"/>
          <w:color w:val="000000"/>
          <w:kern w:val="0"/>
          <w:szCs w:val="21"/>
        </w:rPr>
        <w:t>本合同一式</w:t>
      </w:r>
      <w:r>
        <w:rPr>
          <w:rFonts w:hint="eastAsia" w:ascii="宋体" w:hAnsi="宋体" w:cs="宋体"/>
          <w:color w:val="000000"/>
          <w:kern w:val="0"/>
          <w:szCs w:val="21"/>
          <w:u w:val="single"/>
        </w:rPr>
        <w:t xml:space="preserve"> 五 </w:t>
      </w:r>
      <w:r>
        <w:rPr>
          <w:rFonts w:hint="eastAsia" w:ascii="宋体" w:hAnsi="宋体" w:cs="宋体"/>
          <w:color w:val="000000"/>
          <w:kern w:val="0"/>
          <w:szCs w:val="21"/>
        </w:rPr>
        <w:t>份，甲乙双方各执</w:t>
      </w:r>
      <w:r>
        <w:rPr>
          <w:rFonts w:hint="eastAsia" w:ascii="宋体" w:hAnsi="宋体" w:cs="宋体"/>
          <w:color w:val="000000"/>
          <w:kern w:val="0"/>
          <w:szCs w:val="21"/>
          <w:u w:val="single"/>
        </w:rPr>
        <w:t xml:space="preserve"> 二 </w:t>
      </w:r>
      <w:r>
        <w:rPr>
          <w:rFonts w:hint="eastAsia" w:ascii="宋体" w:hAnsi="宋体" w:cs="宋体"/>
          <w:color w:val="000000"/>
          <w:kern w:val="0"/>
          <w:szCs w:val="21"/>
        </w:rPr>
        <w:t>份，</w:t>
      </w:r>
      <w:r>
        <w:rPr>
          <w:rFonts w:hint="eastAsia" w:ascii="宋体" w:hAnsi="宋体" w:cs="宋体"/>
          <w:color w:val="000000"/>
          <w:kern w:val="0"/>
          <w:szCs w:val="21"/>
          <w:u w:val="single"/>
        </w:rPr>
        <w:t xml:space="preserve"> 一 </w:t>
      </w:r>
      <w:r>
        <w:rPr>
          <w:rFonts w:hint="eastAsia" w:ascii="宋体" w:hAnsi="宋体" w:cs="宋体"/>
          <w:color w:val="000000"/>
          <w:kern w:val="0"/>
          <w:szCs w:val="21"/>
        </w:rPr>
        <w:t>份留采购代理单位存档备查。</w:t>
      </w:r>
    </w:p>
    <w:p w14:paraId="1332D1B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2" w:firstLineChars="200"/>
        <w:jc w:val="center"/>
        <w:rPr>
          <w:rFonts w:ascii="宋体" w:hAnsi="宋体" w:cs="宋体"/>
          <w:b/>
          <w:bCs/>
          <w:color w:val="000000"/>
          <w:kern w:val="0"/>
          <w:szCs w:val="21"/>
        </w:rPr>
      </w:pPr>
      <w:r>
        <w:rPr>
          <w:rFonts w:hint="eastAsia" w:ascii="宋体" w:hAnsi="宋体" w:cs="宋体"/>
          <w:b/>
          <w:bCs/>
          <w:color w:val="000000"/>
          <w:kern w:val="0"/>
          <w:szCs w:val="21"/>
        </w:rPr>
        <w:t>二、专用条款部分</w:t>
      </w:r>
    </w:p>
    <w:p w14:paraId="2DC6DF9C">
      <w:pPr>
        <w:pStyle w:val="43"/>
        <w:spacing w:before="0" w:beforeAutospacing="0" w:after="0" w:afterAutospacing="0" w:line="360" w:lineRule="auto"/>
        <w:ind w:firstLine="422" w:firstLineChars="200"/>
        <w:rPr>
          <w:rFonts w:cs="宋体"/>
          <w:color w:val="000000"/>
          <w:sz w:val="21"/>
          <w:szCs w:val="21"/>
        </w:rPr>
      </w:pPr>
      <w:r>
        <w:rPr>
          <w:rFonts w:hint="eastAsia" w:cs="宋体"/>
          <w:b/>
          <w:bCs/>
          <w:color w:val="000000"/>
          <w:sz w:val="21"/>
          <w:szCs w:val="21"/>
        </w:rPr>
        <w:t>一、服务内容</w:t>
      </w:r>
    </w:p>
    <w:p w14:paraId="128F081D">
      <w:pPr>
        <w:pStyle w:val="7"/>
        <w:tabs>
          <w:tab w:val="left" w:pos="297"/>
          <w:tab w:val="left" w:pos="900"/>
        </w:tabs>
        <w:spacing w:line="360" w:lineRule="auto"/>
        <w:ind w:firstLine="404" w:firstLineChars="200"/>
        <w:rPr>
          <w:rFonts w:hAnsi="宋体" w:cs="宋体"/>
          <w:color w:val="000000"/>
          <w:kern w:val="0"/>
          <w:sz w:val="21"/>
          <w:szCs w:val="21"/>
        </w:rPr>
      </w:pPr>
      <w:r>
        <w:rPr>
          <w:rFonts w:hint="eastAsia" w:hAnsi="宋体" w:cs="宋体"/>
          <w:color w:val="000000"/>
          <w:kern w:val="0"/>
          <w:sz w:val="21"/>
          <w:szCs w:val="21"/>
        </w:rPr>
        <w:t xml:space="preserve">                           </w:t>
      </w:r>
    </w:p>
    <w:p w14:paraId="3CD11166">
      <w:pPr>
        <w:pStyle w:val="7"/>
        <w:tabs>
          <w:tab w:val="left" w:pos="297"/>
          <w:tab w:val="left" w:pos="900"/>
        </w:tabs>
        <w:spacing w:line="360" w:lineRule="auto"/>
        <w:ind w:firstLine="406" w:firstLineChars="200"/>
        <w:rPr>
          <w:rFonts w:hAnsi="宋体" w:cs="宋体"/>
          <w:b/>
          <w:bCs/>
          <w:color w:val="000000"/>
          <w:kern w:val="0"/>
          <w:sz w:val="21"/>
          <w:szCs w:val="21"/>
        </w:rPr>
      </w:pPr>
      <w:r>
        <w:rPr>
          <w:rFonts w:hint="eastAsia" w:hAnsi="宋体" w:cs="宋体"/>
          <w:b/>
          <w:bCs/>
          <w:color w:val="000000"/>
          <w:kern w:val="0"/>
          <w:sz w:val="21"/>
          <w:szCs w:val="21"/>
        </w:rPr>
        <w:t>二、服务期限、服务地点</w:t>
      </w:r>
    </w:p>
    <w:p w14:paraId="16C85C0F">
      <w:pPr>
        <w:pStyle w:val="7"/>
        <w:tabs>
          <w:tab w:val="left" w:pos="297"/>
          <w:tab w:val="left" w:pos="900"/>
        </w:tabs>
        <w:spacing w:line="360" w:lineRule="auto"/>
        <w:ind w:firstLine="404" w:firstLineChars="200"/>
        <w:rPr>
          <w:rFonts w:hAnsi="宋体" w:cs="宋体"/>
          <w:color w:val="000000"/>
          <w:kern w:val="0"/>
          <w:sz w:val="21"/>
          <w:szCs w:val="21"/>
          <w:lang w:val="zh-CN"/>
        </w:rPr>
      </w:pPr>
      <w:r>
        <w:rPr>
          <w:rFonts w:hint="eastAsia" w:hAnsi="宋体" w:cs="宋体"/>
          <w:color w:val="000000"/>
          <w:kern w:val="0"/>
          <w:sz w:val="21"/>
          <w:szCs w:val="21"/>
          <w:lang w:val="zh-CN"/>
        </w:rPr>
        <w:t>1、服务</w:t>
      </w:r>
      <w:r>
        <w:rPr>
          <w:rFonts w:hint="eastAsia" w:hAnsi="宋体" w:cs="宋体"/>
          <w:color w:val="000000"/>
          <w:kern w:val="0"/>
          <w:sz w:val="21"/>
          <w:szCs w:val="21"/>
        </w:rPr>
        <w:t>期限</w:t>
      </w:r>
      <w:r>
        <w:rPr>
          <w:rFonts w:hint="eastAsia" w:hAnsi="宋体" w:cs="宋体"/>
          <w:color w:val="000000"/>
          <w:kern w:val="0"/>
          <w:sz w:val="21"/>
          <w:szCs w:val="21"/>
          <w:lang w:val="zh-CN"/>
        </w:rPr>
        <w:t>：合同签订后1年，服务期满后根据中标单位的绩效评价、服务对象满意度考核情况即季度考核分平均分在90分（含）以上的，可续签合同一年。</w:t>
      </w:r>
    </w:p>
    <w:p w14:paraId="1F473BD3">
      <w:pPr>
        <w:pStyle w:val="7"/>
        <w:tabs>
          <w:tab w:val="left" w:pos="297"/>
          <w:tab w:val="left" w:pos="900"/>
        </w:tabs>
        <w:spacing w:line="360" w:lineRule="auto"/>
        <w:ind w:firstLine="404" w:firstLineChars="200"/>
        <w:rPr>
          <w:rFonts w:hAnsi="宋体" w:cs="宋体"/>
          <w:color w:val="000000"/>
          <w:kern w:val="0"/>
          <w:sz w:val="21"/>
          <w:szCs w:val="21"/>
        </w:rPr>
      </w:pPr>
      <w:r>
        <w:rPr>
          <w:rFonts w:hint="eastAsia" w:hAnsi="宋体" w:cs="宋体"/>
          <w:color w:val="000000"/>
          <w:kern w:val="0"/>
          <w:sz w:val="21"/>
          <w:szCs w:val="21"/>
          <w:lang w:val="zh-CN"/>
        </w:rPr>
        <w:t>2、服务地点：海盐县消防救援大队武原站、望海站及西塘桥站</w:t>
      </w:r>
    </w:p>
    <w:p w14:paraId="6A60D525">
      <w:pPr>
        <w:pStyle w:val="7"/>
        <w:tabs>
          <w:tab w:val="left" w:pos="297"/>
          <w:tab w:val="left" w:pos="900"/>
        </w:tabs>
        <w:spacing w:line="360" w:lineRule="auto"/>
        <w:ind w:firstLine="404" w:firstLineChars="200"/>
        <w:rPr>
          <w:rFonts w:hAnsi="宋体" w:cs="宋体"/>
          <w:b/>
          <w:bCs/>
          <w:color w:val="000000"/>
          <w:kern w:val="0"/>
          <w:sz w:val="21"/>
          <w:szCs w:val="21"/>
        </w:rPr>
      </w:pPr>
      <w:r>
        <w:rPr>
          <w:rFonts w:hint="eastAsia" w:hAnsi="宋体" w:cs="宋体"/>
          <w:color w:val="000000"/>
          <w:kern w:val="0"/>
          <w:sz w:val="21"/>
          <w:szCs w:val="21"/>
        </w:rPr>
        <w:t xml:space="preserve">3、服务标准：                          </w:t>
      </w:r>
    </w:p>
    <w:p w14:paraId="0F0E1CC8">
      <w:pPr>
        <w:spacing w:line="360" w:lineRule="auto"/>
        <w:ind w:firstLine="422" w:firstLineChars="200"/>
        <w:rPr>
          <w:rFonts w:ascii="宋体" w:hAnsi="宋体" w:cs="宋体"/>
          <w:b/>
          <w:bCs/>
          <w:color w:val="000000"/>
          <w:szCs w:val="21"/>
        </w:rPr>
      </w:pPr>
      <w:r>
        <w:rPr>
          <w:rFonts w:hint="eastAsia" w:ascii="宋体" w:hAnsi="宋体" w:cs="宋体"/>
          <w:b/>
          <w:bCs/>
          <w:color w:val="000000"/>
          <w:kern w:val="0"/>
          <w:szCs w:val="21"/>
        </w:rPr>
        <w:t>三、</w:t>
      </w:r>
      <w:r>
        <w:rPr>
          <w:rFonts w:hint="eastAsia" w:ascii="宋体" w:hAnsi="宋体" w:cs="宋体"/>
          <w:b/>
          <w:color w:val="000000"/>
          <w:szCs w:val="21"/>
        </w:rPr>
        <w:t>双方权利和义务：</w:t>
      </w:r>
    </w:p>
    <w:p w14:paraId="1FA8EAC3">
      <w:pPr>
        <w:pStyle w:val="7"/>
        <w:tabs>
          <w:tab w:val="left" w:pos="297"/>
          <w:tab w:val="left" w:pos="900"/>
        </w:tabs>
        <w:spacing w:line="360" w:lineRule="auto"/>
        <w:ind w:firstLine="406" w:firstLineChars="200"/>
        <w:outlineLvl w:val="0"/>
        <w:rPr>
          <w:rFonts w:hAnsi="宋体" w:cs="宋体"/>
          <w:b/>
          <w:bCs/>
          <w:color w:val="000000"/>
          <w:sz w:val="21"/>
          <w:szCs w:val="21"/>
        </w:rPr>
      </w:pPr>
      <w:r>
        <w:rPr>
          <w:rFonts w:hint="eastAsia" w:hAnsi="宋体" w:cs="宋体"/>
          <w:b/>
          <w:bCs/>
          <w:color w:val="000000"/>
          <w:sz w:val="21"/>
          <w:szCs w:val="21"/>
        </w:rPr>
        <w:t>四、违约责任</w:t>
      </w:r>
    </w:p>
    <w:p w14:paraId="172B8726">
      <w:pPr>
        <w:pStyle w:val="25"/>
        <w:snapToGrid w:val="0"/>
        <w:spacing w:line="360" w:lineRule="auto"/>
        <w:ind w:firstLine="420" w:firstLineChars="200"/>
        <w:rPr>
          <w:rFonts w:hAnsi="宋体" w:cs="宋体"/>
          <w:color w:val="000000"/>
          <w:szCs w:val="21"/>
        </w:rPr>
      </w:pPr>
      <w:r>
        <w:rPr>
          <w:rFonts w:hint="eastAsia" w:hAnsi="宋体" w:cs="宋体"/>
          <w:color w:val="000000"/>
          <w:szCs w:val="21"/>
        </w:rPr>
        <w:t>1、乙方工作失职造成安全责任事故、产生恶劣社会影响、或致甲方受到上级部门批评的，甲方有权单方面解除合同，造成甲方经济损失的，承担人民币壹拾万元的违约金，如无法弥补甲方损失的，乙方应继续承担赔偿责任。</w:t>
      </w:r>
    </w:p>
    <w:p w14:paraId="7C6C86A3">
      <w:pPr>
        <w:widowControl/>
        <w:spacing w:line="360" w:lineRule="auto"/>
        <w:ind w:firstLine="420" w:firstLineChars="200"/>
        <w:contextualSpacing/>
        <w:rPr>
          <w:rFonts w:ascii="宋体" w:hAnsi="宋体" w:cs="宋体"/>
          <w:color w:val="000000"/>
          <w:szCs w:val="21"/>
        </w:rPr>
      </w:pPr>
      <w:r>
        <w:rPr>
          <w:rFonts w:hint="eastAsia" w:ascii="宋体" w:hAnsi="宋体" w:cs="宋体"/>
          <w:color w:val="000000"/>
          <w:szCs w:val="21"/>
        </w:rPr>
        <w:t>2、乙方未能达到约定的管理目标，或配备的人员未达到要求，经在甲方规定的合理期限内整改仍不符合合同约定的，甲方有权解除合同，并有权要求乙方承担人民币壹拾万元的违约金，如违约金不能弥补甲方的损失的，甲方有权要求乙方继续承担赔偿责任。</w:t>
      </w:r>
    </w:p>
    <w:p w14:paraId="3A8148B5">
      <w:pPr>
        <w:widowControl/>
        <w:spacing w:line="360" w:lineRule="auto"/>
        <w:ind w:firstLine="420" w:firstLineChars="200"/>
        <w:contextualSpacing/>
        <w:rPr>
          <w:rFonts w:ascii="宋体" w:hAnsi="宋体" w:cs="宋体"/>
          <w:color w:val="000000"/>
          <w:szCs w:val="21"/>
          <w:lang w:val="zh-CN"/>
        </w:rPr>
      </w:pPr>
      <w:r>
        <w:rPr>
          <w:rFonts w:hint="eastAsia" w:ascii="宋体" w:hAnsi="宋体" w:cs="宋体"/>
          <w:color w:val="000000"/>
          <w:szCs w:val="21"/>
        </w:rPr>
        <w:t>3、乙方</w:t>
      </w:r>
      <w:r>
        <w:rPr>
          <w:rFonts w:hint="eastAsia" w:ascii="宋体" w:hAnsi="宋体" w:cs="宋体"/>
          <w:color w:val="000000"/>
          <w:szCs w:val="21"/>
          <w:lang w:val="zh-CN"/>
        </w:rPr>
        <w:t>所有工作人员，必须无条件服从</w:t>
      </w:r>
      <w:r>
        <w:rPr>
          <w:rFonts w:hint="eastAsia" w:ascii="宋体" w:hAnsi="宋体" w:cs="宋体"/>
          <w:color w:val="000000"/>
          <w:szCs w:val="21"/>
        </w:rPr>
        <w:t>甲方</w:t>
      </w:r>
      <w:r>
        <w:rPr>
          <w:rFonts w:hint="eastAsia" w:ascii="宋体" w:hAnsi="宋体" w:cs="宋体"/>
          <w:color w:val="000000"/>
          <w:szCs w:val="21"/>
          <w:lang w:val="zh-CN"/>
        </w:rPr>
        <w:t>管理人员的调度、指挥，如发现不符合</w:t>
      </w:r>
      <w:r>
        <w:rPr>
          <w:rFonts w:hint="eastAsia" w:ascii="宋体" w:hAnsi="宋体" w:cs="宋体"/>
          <w:color w:val="000000"/>
          <w:szCs w:val="21"/>
        </w:rPr>
        <w:t>甲方</w:t>
      </w:r>
      <w:r>
        <w:rPr>
          <w:rFonts w:hint="eastAsia" w:ascii="宋体" w:hAnsi="宋体" w:cs="宋体"/>
          <w:color w:val="000000"/>
          <w:szCs w:val="21"/>
          <w:lang w:val="zh-CN"/>
        </w:rPr>
        <w:t>管理要求的工作人员，</w:t>
      </w:r>
      <w:r>
        <w:rPr>
          <w:rFonts w:hint="eastAsia" w:ascii="宋体" w:hAnsi="宋体" w:cs="宋体"/>
          <w:color w:val="000000"/>
          <w:szCs w:val="21"/>
        </w:rPr>
        <w:t>甲方</w:t>
      </w:r>
      <w:r>
        <w:rPr>
          <w:rFonts w:hint="eastAsia" w:ascii="宋体" w:hAnsi="宋体" w:cs="宋体"/>
          <w:color w:val="000000"/>
          <w:szCs w:val="21"/>
          <w:lang w:val="zh-CN"/>
        </w:rPr>
        <w:t>有权提出整改、更换。如3天内整改、更换、不及时或不到位，</w:t>
      </w:r>
      <w:r>
        <w:rPr>
          <w:rFonts w:hint="eastAsia" w:ascii="宋体" w:hAnsi="宋体" w:cs="宋体"/>
          <w:color w:val="000000"/>
          <w:szCs w:val="21"/>
        </w:rPr>
        <w:t>每晚一天扣除履约保证金1000元/天，若</w:t>
      </w:r>
      <w:r>
        <w:rPr>
          <w:rFonts w:hint="eastAsia" w:ascii="宋体" w:hAnsi="宋体" w:cs="宋体"/>
          <w:color w:val="000000"/>
          <w:szCs w:val="21"/>
          <w:lang w:val="zh-CN"/>
        </w:rPr>
        <w:t>经协商无效，采购人有权要求投标人解除该工作人员合同。对于不合格人员，投标人要在三天内更换到位。投标人更换或调整人员应提前征求采购人意见，在征得采购人同意后方可更换、调整。</w:t>
      </w:r>
    </w:p>
    <w:p w14:paraId="3863B962">
      <w:pPr>
        <w:pStyle w:val="25"/>
        <w:snapToGrid w:val="0"/>
        <w:spacing w:line="360" w:lineRule="auto"/>
        <w:ind w:firstLine="420" w:firstLineChars="200"/>
        <w:rPr>
          <w:rFonts w:hAnsi="宋体" w:cs="宋体"/>
          <w:color w:val="000000"/>
          <w:szCs w:val="21"/>
        </w:rPr>
      </w:pPr>
      <w:r>
        <w:rPr>
          <w:rFonts w:hint="eastAsia" w:hAnsi="宋体" w:cs="宋体"/>
          <w:color w:val="000000"/>
          <w:szCs w:val="21"/>
        </w:rPr>
        <w:t>4、在乙方无违约情况下，如甲方迟延支付乙方费用，则以应付未付金额为基数，按全国银行间同业拆借中心公布的贷款市场报价利率计算逾期付款违约金，逾期违约金累计不超过1000元。</w:t>
      </w:r>
    </w:p>
    <w:p w14:paraId="26C0434C">
      <w:pPr>
        <w:pStyle w:val="25"/>
        <w:snapToGrid w:val="0"/>
        <w:spacing w:line="360" w:lineRule="auto"/>
        <w:ind w:firstLine="420" w:firstLineChars="200"/>
        <w:rPr>
          <w:rFonts w:hAnsi="宋体" w:cs="宋体"/>
          <w:color w:val="000000"/>
          <w:szCs w:val="21"/>
        </w:rPr>
      </w:pPr>
      <w:r>
        <w:rPr>
          <w:rFonts w:hint="eastAsia" w:hAnsi="宋体" w:cs="宋体"/>
          <w:color w:val="000000"/>
          <w:szCs w:val="21"/>
        </w:rPr>
        <w:t xml:space="preserve">5、本合同任意一方违反合同约定，经守约方催告在 </w:t>
      </w:r>
      <w:r>
        <w:rPr>
          <w:rFonts w:hint="eastAsia" w:hAnsi="宋体" w:cs="宋体"/>
          <w:color w:val="000000"/>
          <w:szCs w:val="21"/>
          <w:u w:val="single"/>
        </w:rPr>
        <w:t xml:space="preserve">5 </w:t>
      </w:r>
      <w:r>
        <w:rPr>
          <w:rFonts w:hint="eastAsia" w:hAnsi="宋体" w:cs="宋体"/>
          <w:color w:val="000000"/>
          <w:szCs w:val="21"/>
        </w:rPr>
        <w:t>个工作日内仍未改正的，守约方有权解除本合同，并有权要求违约方承担人民币伍万元的违约金，如无法弥补对方的经济损失的，应继续承担赔偿责任。</w:t>
      </w:r>
    </w:p>
    <w:p w14:paraId="7AE83C0D">
      <w:pPr>
        <w:pStyle w:val="25"/>
        <w:snapToGrid w:val="0"/>
        <w:spacing w:line="360" w:lineRule="auto"/>
        <w:ind w:firstLine="420" w:firstLineChars="200"/>
        <w:rPr>
          <w:rFonts w:hAnsi="宋体" w:cs="宋体"/>
          <w:color w:val="000000"/>
          <w:szCs w:val="21"/>
        </w:rPr>
      </w:pPr>
      <w:r>
        <w:rPr>
          <w:rFonts w:hint="eastAsia" w:hAnsi="宋体" w:cs="宋体"/>
          <w:color w:val="000000"/>
          <w:szCs w:val="21"/>
        </w:rPr>
        <w:t>6、乙方违反合同约定承担违约金的，由甲方从履约保证金中扣除，履约保证金不足以扣除违约金的，乙方应另行支付。</w:t>
      </w:r>
    </w:p>
    <w:p w14:paraId="5E9E3865">
      <w:pPr>
        <w:pStyle w:val="7"/>
        <w:tabs>
          <w:tab w:val="left" w:pos="297"/>
          <w:tab w:val="left" w:pos="900"/>
        </w:tabs>
        <w:spacing w:line="360" w:lineRule="auto"/>
        <w:ind w:firstLine="406" w:firstLineChars="200"/>
        <w:outlineLvl w:val="0"/>
        <w:rPr>
          <w:rFonts w:hAnsi="宋体" w:cs="宋体"/>
          <w:b/>
          <w:bCs/>
          <w:color w:val="000000"/>
          <w:sz w:val="21"/>
          <w:szCs w:val="21"/>
        </w:rPr>
      </w:pPr>
      <w:r>
        <w:rPr>
          <w:rFonts w:hint="eastAsia" w:hAnsi="宋体" w:cs="宋体"/>
          <w:b/>
          <w:bCs/>
          <w:color w:val="000000"/>
          <w:sz w:val="21"/>
          <w:szCs w:val="21"/>
        </w:rPr>
        <w:t>五、不可抗力事件处理</w:t>
      </w:r>
    </w:p>
    <w:p w14:paraId="01AFEE35">
      <w:pPr>
        <w:pStyle w:val="43"/>
        <w:spacing w:before="0" w:beforeAutospacing="0" w:after="0" w:afterAutospacing="0" w:line="360" w:lineRule="auto"/>
        <w:ind w:firstLine="420" w:firstLineChars="200"/>
        <w:rPr>
          <w:rFonts w:cs="宋体"/>
          <w:color w:val="000000"/>
          <w:sz w:val="21"/>
          <w:szCs w:val="21"/>
        </w:rPr>
      </w:pPr>
      <w:r>
        <w:rPr>
          <w:rFonts w:hint="eastAsia" w:cs="宋体"/>
          <w:color w:val="000000"/>
          <w:sz w:val="21"/>
          <w:szCs w:val="21"/>
        </w:rPr>
        <w:t>1、在执行合同期限内，任何一方因不可抗力事件所致不能履行合同，则合同履行期可延长，延长期与不可抗力影响期相同。</w:t>
      </w:r>
    </w:p>
    <w:p w14:paraId="536DAED5">
      <w:pPr>
        <w:pStyle w:val="43"/>
        <w:spacing w:before="0" w:beforeAutospacing="0" w:after="0" w:afterAutospacing="0" w:line="360" w:lineRule="auto"/>
        <w:ind w:firstLine="420" w:firstLineChars="200"/>
        <w:rPr>
          <w:rFonts w:cs="宋体"/>
          <w:color w:val="000000"/>
          <w:sz w:val="21"/>
          <w:szCs w:val="21"/>
        </w:rPr>
      </w:pPr>
      <w:r>
        <w:rPr>
          <w:rFonts w:hint="eastAsia" w:cs="宋体"/>
          <w:color w:val="000000"/>
          <w:sz w:val="21"/>
          <w:szCs w:val="21"/>
        </w:rPr>
        <w:t>2、不可抗力事件发生后，应立即通知对方，并出具有关权威机构的证明。</w:t>
      </w:r>
    </w:p>
    <w:p w14:paraId="39482FEC">
      <w:pPr>
        <w:pStyle w:val="43"/>
        <w:spacing w:before="0" w:beforeAutospacing="0" w:after="0" w:afterAutospacing="0" w:line="360" w:lineRule="auto"/>
        <w:ind w:firstLine="420" w:firstLineChars="200"/>
        <w:rPr>
          <w:rFonts w:cs="宋体"/>
          <w:color w:val="000000"/>
          <w:sz w:val="21"/>
          <w:szCs w:val="21"/>
        </w:rPr>
      </w:pPr>
      <w:r>
        <w:rPr>
          <w:rFonts w:hint="eastAsia" w:cs="宋体"/>
          <w:color w:val="000000"/>
          <w:sz w:val="21"/>
          <w:szCs w:val="21"/>
        </w:rPr>
        <w:t>3、不可抗力事件延续15天以上，双方应通过友好协商，确定是否继续履行合同。</w:t>
      </w:r>
    </w:p>
    <w:p w14:paraId="5E095D97">
      <w:pPr>
        <w:pStyle w:val="7"/>
        <w:tabs>
          <w:tab w:val="left" w:pos="297"/>
          <w:tab w:val="left" w:pos="900"/>
        </w:tabs>
        <w:spacing w:line="360" w:lineRule="auto"/>
        <w:ind w:firstLine="406" w:firstLineChars="200"/>
        <w:outlineLvl w:val="0"/>
        <w:rPr>
          <w:rFonts w:hAnsi="宋体" w:cs="宋体"/>
          <w:b/>
          <w:bCs/>
          <w:color w:val="000000"/>
          <w:sz w:val="21"/>
          <w:szCs w:val="21"/>
        </w:rPr>
      </w:pPr>
      <w:r>
        <w:rPr>
          <w:rFonts w:hint="eastAsia" w:hAnsi="宋体" w:cs="宋体"/>
          <w:b/>
          <w:bCs/>
          <w:color w:val="000000"/>
          <w:sz w:val="21"/>
          <w:szCs w:val="21"/>
        </w:rPr>
        <w:t>六、合同的生效</w:t>
      </w:r>
    </w:p>
    <w:p w14:paraId="7FBB6150">
      <w:pPr>
        <w:pStyle w:val="25"/>
        <w:snapToGrid w:val="0"/>
        <w:spacing w:line="360" w:lineRule="auto"/>
        <w:ind w:firstLine="420" w:firstLineChars="200"/>
        <w:rPr>
          <w:rFonts w:hAnsi="宋体" w:cs="宋体"/>
          <w:color w:val="000000"/>
          <w:szCs w:val="21"/>
        </w:rPr>
      </w:pPr>
      <w:r>
        <w:rPr>
          <w:rFonts w:hint="eastAsia" w:hAnsi="宋体" w:cs="宋体"/>
          <w:color w:val="000000"/>
          <w:szCs w:val="21"/>
        </w:rPr>
        <w:t>本合同经甲方、乙方法定代表人或其委托人签字并加盖双方公章后生效。</w:t>
      </w:r>
    </w:p>
    <w:p w14:paraId="44427A49">
      <w:pPr>
        <w:pStyle w:val="226"/>
        <w:spacing w:line="360" w:lineRule="auto"/>
        <w:rPr>
          <w:rFonts w:ascii="宋体" w:hAnsi="宋体" w:cs="宋体"/>
          <w:sz w:val="21"/>
          <w:szCs w:val="21"/>
        </w:rPr>
      </w:pPr>
    </w:p>
    <w:p w14:paraId="32E9FF18">
      <w:pPr>
        <w:autoSpaceDE w:val="0"/>
        <w:autoSpaceDN w:val="0"/>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甲方：                               乙方： </w:t>
      </w:r>
    </w:p>
    <w:p w14:paraId="3B9E9DB4">
      <w:pPr>
        <w:autoSpaceDE w:val="0"/>
        <w:autoSpaceDN w:val="0"/>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 xml:space="preserve">地址：                               地址： </w:t>
      </w:r>
    </w:p>
    <w:p w14:paraId="4E352FB9">
      <w:pPr>
        <w:autoSpaceDE w:val="0"/>
        <w:autoSpaceDN w:val="0"/>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法定代表人：                         法定代表人：</w:t>
      </w:r>
    </w:p>
    <w:p w14:paraId="0100D95E">
      <w:pPr>
        <w:autoSpaceDE w:val="0"/>
        <w:autoSpaceDN w:val="0"/>
        <w:adjustRightInd w:val="0"/>
        <w:spacing w:line="360" w:lineRule="auto"/>
        <w:ind w:firstLine="420" w:firstLineChars="200"/>
        <w:rPr>
          <w:rFonts w:ascii="宋体" w:hAnsi="宋体" w:cs="宋体"/>
          <w:color w:val="000000"/>
          <w:szCs w:val="21"/>
        </w:rPr>
      </w:pPr>
      <w:r>
        <w:rPr>
          <w:rFonts w:hint="eastAsia" w:ascii="宋体" w:hAnsi="宋体" w:cs="宋体"/>
          <w:color w:val="000000"/>
          <w:szCs w:val="21"/>
        </w:rPr>
        <w:t>或授权委托代理人：（签字）           或授权委托代理人：（签字）</w:t>
      </w:r>
    </w:p>
    <w:p w14:paraId="1473B0C8">
      <w:pPr>
        <w:autoSpaceDE w:val="0"/>
        <w:autoSpaceDN w:val="0"/>
        <w:adjustRightInd w:val="0"/>
        <w:spacing w:line="360" w:lineRule="auto"/>
        <w:ind w:right="480"/>
        <w:jc w:val="center"/>
        <w:rPr>
          <w:rFonts w:ascii="宋体" w:hAnsi="宋体" w:cs="宋体"/>
          <w:color w:val="000000"/>
          <w:szCs w:val="21"/>
        </w:rPr>
      </w:pPr>
      <w:r>
        <w:rPr>
          <w:rFonts w:hint="eastAsia" w:ascii="宋体" w:hAnsi="宋体" w:cs="宋体"/>
          <w:color w:val="000000"/>
          <w:szCs w:val="21"/>
        </w:rPr>
        <w:t xml:space="preserve">                                             签订地点：</w:t>
      </w:r>
    </w:p>
    <w:p w14:paraId="6E022B83">
      <w:pPr>
        <w:autoSpaceDE w:val="0"/>
        <w:autoSpaceDN w:val="0"/>
        <w:adjustRightInd w:val="0"/>
        <w:spacing w:line="360" w:lineRule="auto"/>
        <w:jc w:val="right"/>
        <w:rPr>
          <w:rFonts w:ascii="宋体" w:hAnsi="宋体" w:cs="宋体"/>
          <w:color w:val="000000"/>
          <w:szCs w:val="21"/>
        </w:rPr>
      </w:pPr>
      <w:r>
        <w:rPr>
          <w:rFonts w:hint="eastAsia" w:ascii="宋体" w:hAnsi="宋体" w:cs="宋体"/>
          <w:color w:val="000000"/>
          <w:szCs w:val="21"/>
        </w:rPr>
        <w:t>签订日期：      年   月   日</w:t>
      </w:r>
    </w:p>
    <w:p w14:paraId="69206A7C">
      <w:pPr>
        <w:rPr>
          <w:rFonts w:ascii="宋体" w:hAnsi="宋体" w:cs="宋体"/>
          <w:szCs w:val="21"/>
        </w:rPr>
      </w:pPr>
      <w:r>
        <w:rPr>
          <w:rFonts w:hint="eastAsia" w:ascii="宋体" w:hAnsi="宋体" w:cs="宋体"/>
          <w:szCs w:val="21"/>
        </w:rPr>
        <w:br w:type="page"/>
      </w:r>
    </w:p>
    <w:bookmarkEnd w:id="231"/>
    <w:p w14:paraId="679F6BD2">
      <w:pPr>
        <w:pStyle w:val="4"/>
        <w:rPr>
          <w:rStyle w:val="133"/>
          <w:rFonts w:ascii="宋体" w:hAnsi="宋体" w:eastAsia="宋体" w:cs="宋体"/>
          <w:b/>
          <w:kern w:val="2"/>
          <w:szCs w:val="52"/>
        </w:rPr>
      </w:pPr>
      <w:bookmarkStart w:id="237" w:name="_Toc5531"/>
      <w:bookmarkStart w:id="238" w:name="_Toc493511828"/>
      <w:r>
        <w:rPr>
          <w:rStyle w:val="133"/>
          <w:rFonts w:hint="eastAsia" w:ascii="宋体" w:hAnsi="宋体" w:eastAsia="宋体" w:cs="宋体"/>
          <w:b/>
          <w:kern w:val="2"/>
          <w:szCs w:val="52"/>
        </w:rPr>
        <w:t>第六章  投标文件相关格式</w:t>
      </w:r>
      <w:bookmarkEnd w:id="237"/>
      <w:bookmarkEnd w:id="238"/>
    </w:p>
    <w:p w14:paraId="618F6902">
      <w:pPr>
        <w:spacing w:line="360" w:lineRule="auto"/>
        <w:ind w:firstLine="420" w:firstLineChars="200"/>
        <w:jc w:val="left"/>
        <w:rPr>
          <w:rFonts w:ascii="宋体" w:hAnsi="宋体" w:cs="宋体"/>
          <w:szCs w:val="21"/>
        </w:rPr>
      </w:pPr>
    </w:p>
    <w:p w14:paraId="4F1BECB0">
      <w:pPr>
        <w:spacing w:line="360" w:lineRule="auto"/>
        <w:jc w:val="center"/>
        <w:rPr>
          <w:rFonts w:ascii="宋体" w:hAnsi="宋体" w:cs="宋体"/>
          <w:b/>
        </w:rPr>
      </w:pPr>
      <w:bookmarkStart w:id="239" w:name="_Toc50012909"/>
      <w:bookmarkStart w:id="240" w:name="_Toc430786287"/>
      <w:r>
        <w:rPr>
          <w:rFonts w:hint="eastAsia" w:ascii="宋体" w:hAnsi="宋体" w:cs="宋体"/>
          <w:b/>
        </w:rPr>
        <w:t xml:space="preserve">浙江省嘉兴支队海盐县消防救援大队2024-2025年度物业管理服务采购项目 </w:t>
      </w:r>
    </w:p>
    <w:p w14:paraId="2DA7FF98">
      <w:pPr>
        <w:spacing w:line="360" w:lineRule="auto"/>
        <w:jc w:val="center"/>
        <w:rPr>
          <w:rFonts w:ascii="宋体" w:hAnsi="宋体" w:cs="宋体"/>
          <w:b/>
          <w:szCs w:val="21"/>
        </w:rPr>
      </w:pPr>
      <w:r>
        <w:rPr>
          <w:rFonts w:hint="eastAsia" w:ascii="宋体" w:hAnsi="宋体" w:cs="宋体"/>
          <w:b/>
          <w:szCs w:val="21"/>
        </w:rPr>
        <w:t>资信商务及技术文件/报价文件</w:t>
      </w:r>
      <w:bookmarkEnd w:id="239"/>
    </w:p>
    <w:p w14:paraId="5688FF00">
      <w:pPr>
        <w:spacing w:line="360" w:lineRule="auto"/>
        <w:jc w:val="center"/>
        <w:rPr>
          <w:rFonts w:ascii="宋体" w:hAnsi="宋体" w:cs="宋体"/>
          <w:b/>
          <w:szCs w:val="21"/>
        </w:rPr>
      </w:pPr>
      <w:r>
        <w:rPr>
          <w:rFonts w:hint="eastAsia" w:ascii="宋体" w:hAnsi="宋体" w:cs="宋体"/>
          <w:b/>
          <w:szCs w:val="21"/>
        </w:rPr>
        <w:t>项目编号：嘉消采-GK2024016</w:t>
      </w:r>
    </w:p>
    <w:p w14:paraId="22EA3805">
      <w:pPr>
        <w:spacing w:line="360" w:lineRule="auto"/>
        <w:jc w:val="center"/>
        <w:rPr>
          <w:rFonts w:ascii="宋体" w:hAnsi="宋体" w:cs="宋体"/>
          <w:b/>
          <w:szCs w:val="21"/>
        </w:rPr>
      </w:pPr>
    </w:p>
    <w:p w14:paraId="0FB808A1">
      <w:pPr>
        <w:spacing w:line="360" w:lineRule="auto"/>
        <w:jc w:val="center"/>
        <w:rPr>
          <w:rFonts w:ascii="宋体" w:hAnsi="宋体" w:cs="宋体"/>
          <w:b/>
          <w:szCs w:val="21"/>
        </w:rPr>
      </w:pPr>
    </w:p>
    <w:p w14:paraId="50073C57">
      <w:pPr>
        <w:spacing w:line="360" w:lineRule="auto"/>
        <w:jc w:val="center"/>
        <w:rPr>
          <w:rFonts w:ascii="宋体" w:hAnsi="宋体" w:cs="宋体"/>
          <w:b/>
          <w:szCs w:val="21"/>
        </w:rPr>
      </w:pPr>
      <w:bookmarkStart w:id="241" w:name="_Toc50012911"/>
      <w:r>
        <w:rPr>
          <w:rFonts w:hint="eastAsia" w:ascii="宋体" w:hAnsi="宋体" w:cs="宋体"/>
          <w:b/>
          <w:szCs w:val="21"/>
        </w:rPr>
        <w:t>投</w:t>
      </w:r>
      <w:bookmarkEnd w:id="241"/>
    </w:p>
    <w:p w14:paraId="1FD2925B">
      <w:pPr>
        <w:spacing w:line="360" w:lineRule="auto"/>
        <w:jc w:val="center"/>
        <w:rPr>
          <w:rFonts w:ascii="宋体" w:hAnsi="宋体" w:cs="宋体"/>
          <w:b/>
          <w:szCs w:val="21"/>
        </w:rPr>
      </w:pPr>
      <w:bookmarkStart w:id="242" w:name="_Toc50012912"/>
      <w:r>
        <w:rPr>
          <w:rFonts w:hint="eastAsia" w:ascii="宋体" w:hAnsi="宋体" w:cs="宋体"/>
          <w:b/>
          <w:szCs w:val="21"/>
        </w:rPr>
        <w:t>标</w:t>
      </w:r>
      <w:bookmarkEnd w:id="242"/>
    </w:p>
    <w:p w14:paraId="7F66EFB4">
      <w:pPr>
        <w:spacing w:line="360" w:lineRule="auto"/>
        <w:jc w:val="center"/>
        <w:rPr>
          <w:rFonts w:ascii="宋体" w:hAnsi="宋体" w:cs="宋体"/>
          <w:b/>
          <w:szCs w:val="21"/>
        </w:rPr>
      </w:pPr>
      <w:bookmarkStart w:id="243" w:name="_Toc50012913"/>
      <w:r>
        <w:rPr>
          <w:rFonts w:hint="eastAsia" w:ascii="宋体" w:hAnsi="宋体" w:cs="宋体"/>
          <w:b/>
          <w:szCs w:val="21"/>
        </w:rPr>
        <w:t>文</w:t>
      </w:r>
      <w:bookmarkEnd w:id="243"/>
    </w:p>
    <w:p w14:paraId="519AE352">
      <w:pPr>
        <w:spacing w:line="360" w:lineRule="auto"/>
        <w:jc w:val="center"/>
        <w:rPr>
          <w:rFonts w:ascii="宋体" w:hAnsi="宋体" w:cs="宋体"/>
          <w:b/>
          <w:szCs w:val="21"/>
        </w:rPr>
      </w:pPr>
      <w:bookmarkStart w:id="244" w:name="_Toc50012914"/>
      <w:r>
        <w:rPr>
          <w:rFonts w:hint="eastAsia" w:ascii="宋体" w:hAnsi="宋体" w:cs="宋体"/>
          <w:b/>
          <w:szCs w:val="21"/>
        </w:rPr>
        <w:t>件</w:t>
      </w:r>
      <w:bookmarkEnd w:id="244"/>
    </w:p>
    <w:p w14:paraId="2C37BEA4">
      <w:pPr>
        <w:spacing w:line="360" w:lineRule="auto"/>
        <w:rPr>
          <w:rFonts w:ascii="宋体" w:hAnsi="宋体" w:cs="宋体"/>
          <w:b/>
          <w:szCs w:val="21"/>
        </w:rPr>
      </w:pPr>
    </w:p>
    <w:p w14:paraId="78E924A7">
      <w:pPr>
        <w:spacing w:line="360" w:lineRule="auto"/>
        <w:rPr>
          <w:rFonts w:ascii="宋体" w:hAnsi="宋体" w:cs="宋体"/>
          <w:b/>
          <w:szCs w:val="21"/>
        </w:rPr>
      </w:pPr>
    </w:p>
    <w:p w14:paraId="6C76923B">
      <w:pPr>
        <w:spacing w:line="360" w:lineRule="auto"/>
        <w:rPr>
          <w:rFonts w:ascii="宋体" w:hAnsi="宋体" w:cs="宋体"/>
          <w:b/>
          <w:szCs w:val="21"/>
        </w:rPr>
      </w:pPr>
    </w:p>
    <w:p w14:paraId="2C9B9206">
      <w:pPr>
        <w:spacing w:line="360" w:lineRule="auto"/>
        <w:ind w:firstLine="2319" w:firstLineChars="1100"/>
        <w:rPr>
          <w:rFonts w:ascii="宋体" w:hAnsi="宋体" w:cs="宋体"/>
          <w:b/>
          <w:szCs w:val="21"/>
        </w:rPr>
      </w:pPr>
      <w:bookmarkStart w:id="245" w:name="_Toc50012915"/>
      <w:r>
        <w:rPr>
          <w:rFonts w:hint="eastAsia" w:ascii="宋体" w:hAnsi="宋体" w:cs="宋体"/>
          <w:b/>
          <w:szCs w:val="21"/>
        </w:rPr>
        <w:t>投标人全称：（加盖单位公章）</w:t>
      </w:r>
      <w:bookmarkEnd w:id="245"/>
    </w:p>
    <w:p w14:paraId="4EA51A3C">
      <w:pPr>
        <w:spacing w:line="360" w:lineRule="auto"/>
        <w:rPr>
          <w:rFonts w:ascii="宋体" w:hAnsi="宋体" w:cs="宋体"/>
          <w:b/>
          <w:szCs w:val="21"/>
        </w:rPr>
      </w:pPr>
    </w:p>
    <w:p w14:paraId="53C4DD23">
      <w:pPr>
        <w:spacing w:line="360" w:lineRule="auto"/>
        <w:ind w:right="560"/>
        <w:jc w:val="center"/>
        <w:rPr>
          <w:rFonts w:ascii="宋体" w:hAnsi="宋体" w:cs="宋体"/>
          <w:b/>
          <w:szCs w:val="21"/>
        </w:rPr>
      </w:pPr>
      <w:bookmarkStart w:id="246" w:name="_Toc50012916"/>
      <w:r>
        <w:rPr>
          <w:rFonts w:hint="eastAsia" w:ascii="宋体" w:hAnsi="宋体" w:cs="宋体"/>
          <w:b/>
          <w:szCs w:val="21"/>
        </w:rPr>
        <w:t>年   月   日</w:t>
      </w:r>
      <w:bookmarkEnd w:id="246"/>
    </w:p>
    <w:bookmarkEnd w:id="240"/>
    <w:p w14:paraId="1736E4B9">
      <w:pPr>
        <w:snapToGrid w:val="0"/>
        <w:spacing w:line="360" w:lineRule="auto"/>
        <w:ind w:right="420" w:firstLine="422" w:firstLineChars="200"/>
        <w:jc w:val="center"/>
        <w:rPr>
          <w:rFonts w:ascii="宋体" w:hAnsi="宋体" w:cs="宋体"/>
          <w:b/>
          <w:szCs w:val="21"/>
        </w:rPr>
      </w:pPr>
      <w:r>
        <w:rPr>
          <w:rFonts w:hint="eastAsia" w:ascii="宋体" w:hAnsi="宋体" w:cs="宋体"/>
          <w:b/>
          <w:szCs w:val="21"/>
        </w:rPr>
        <w:br w:type="page"/>
      </w:r>
    </w:p>
    <w:p w14:paraId="431A44CA">
      <w:pPr>
        <w:snapToGrid w:val="0"/>
        <w:spacing w:line="360" w:lineRule="auto"/>
        <w:jc w:val="left"/>
        <w:rPr>
          <w:rFonts w:ascii="宋体" w:hAnsi="宋体" w:cs="宋体"/>
          <w:b/>
          <w:szCs w:val="21"/>
        </w:rPr>
      </w:pPr>
      <w:r>
        <w:rPr>
          <w:rFonts w:hint="eastAsia" w:ascii="宋体" w:hAnsi="宋体" w:cs="宋体"/>
          <w:b/>
          <w:szCs w:val="21"/>
        </w:rPr>
        <w:t>投标声明书格式：</w:t>
      </w:r>
    </w:p>
    <w:p w14:paraId="76AB499D">
      <w:pPr>
        <w:snapToGrid w:val="0"/>
        <w:spacing w:line="360" w:lineRule="auto"/>
        <w:ind w:firstLine="422" w:firstLineChars="200"/>
        <w:jc w:val="center"/>
        <w:rPr>
          <w:rFonts w:ascii="宋体" w:hAnsi="宋体" w:cs="宋体"/>
          <w:b/>
          <w:szCs w:val="21"/>
        </w:rPr>
      </w:pPr>
      <w:r>
        <w:rPr>
          <w:rFonts w:hint="eastAsia" w:ascii="宋体" w:hAnsi="宋体" w:cs="宋体"/>
          <w:b/>
          <w:szCs w:val="21"/>
        </w:rPr>
        <w:t>投标声明书</w:t>
      </w:r>
    </w:p>
    <w:p w14:paraId="025798C5">
      <w:pPr>
        <w:snapToGrid w:val="0"/>
        <w:spacing w:line="360" w:lineRule="auto"/>
        <w:jc w:val="left"/>
        <w:rPr>
          <w:rFonts w:ascii="宋体" w:hAnsi="宋体" w:cs="宋体"/>
          <w:szCs w:val="21"/>
        </w:rPr>
      </w:pPr>
      <w:r>
        <w:rPr>
          <w:rFonts w:hint="eastAsia" w:ascii="宋体" w:hAnsi="宋体" w:cs="宋体"/>
          <w:szCs w:val="21"/>
        </w:rPr>
        <w:t>致：</w:t>
      </w:r>
      <w:r>
        <w:rPr>
          <w:rFonts w:hint="eastAsia" w:ascii="宋体" w:hAnsi="宋体" w:cs="宋体"/>
          <w:kern w:val="0"/>
          <w:szCs w:val="21"/>
          <w:u w:val="single"/>
        </w:rPr>
        <w:t xml:space="preserve">海盐县消防救援大队 </w:t>
      </w:r>
      <w:r>
        <w:rPr>
          <w:rFonts w:hint="eastAsia" w:ascii="宋体" w:hAnsi="宋体" w:cs="宋体"/>
          <w:szCs w:val="21"/>
        </w:rPr>
        <w:t>（招标采购单位名称）：</w:t>
      </w:r>
    </w:p>
    <w:p w14:paraId="0CFD3F76">
      <w:pPr>
        <w:snapToGrid w:val="0"/>
        <w:spacing w:line="360" w:lineRule="auto"/>
        <w:ind w:firstLine="420" w:firstLineChars="200"/>
        <w:jc w:val="left"/>
        <w:rPr>
          <w:rFonts w:ascii="宋体" w:hAnsi="宋体" w:cs="宋体"/>
          <w:szCs w:val="21"/>
        </w:rPr>
      </w:pPr>
      <w:r>
        <w:rPr>
          <w:rFonts w:hint="eastAsia" w:ascii="宋体" w:hAnsi="宋体" w:cs="宋体"/>
          <w:szCs w:val="21"/>
          <w:u w:val="single"/>
        </w:rPr>
        <w:t>（投标人名称）</w:t>
      </w:r>
      <w:r>
        <w:rPr>
          <w:rFonts w:hint="eastAsia" w:ascii="宋体" w:hAnsi="宋体" w:cs="宋体"/>
          <w:szCs w:val="21"/>
        </w:rPr>
        <w:t>系中华人民共和国合法企业，经营地址</w:t>
      </w:r>
      <w:r>
        <w:rPr>
          <w:rFonts w:hint="eastAsia" w:ascii="宋体" w:hAnsi="宋体" w:cs="宋体"/>
          <w:szCs w:val="21"/>
          <w:u w:val="single"/>
        </w:rPr>
        <w:t xml:space="preserve">           </w:t>
      </w:r>
      <w:r>
        <w:rPr>
          <w:rFonts w:hint="eastAsia" w:ascii="宋体" w:hAnsi="宋体" w:cs="宋体"/>
          <w:szCs w:val="21"/>
        </w:rPr>
        <w:t xml:space="preserve"> 。 </w:t>
      </w:r>
    </w:p>
    <w:p w14:paraId="0CF0D53A">
      <w:pPr>
        <w:snapToGrid w:val="0"/>
        <w:spacing w:line="360" w:lineRule="auto"/>
        <w:ind w:firstLine="420" w:firstLineChars="200"/>
        <w:jc w:val="left"/>
        <w:rPr>
          <w:rFonts w:ascii="宋体" w:hAnsi="宋体" w:cs="宋体"/>
          <w:szCs w:val="21"/>
        </w:rPr>
      </w:pPr>
      <w:r>
        <w:rPr>
          <w:rFonts w:hint="eastAsia" w:ascii="宋体" w:hAnsi="宋体" w:cs="宋体"/>
          <w:szCs w:val="21"/>
        </w:rPr>
        <w:t>我</w:t>
      </w:r>
      <w:r>
        <w:rPr>
          <w:rFonts w:hint="eastAsia" w:ascii="宋体" w:hAnsi="宋体" w:cs="宋体"/>
          <w:szCs w:val="21"/>
          <w:u w:val="single"/>
        </w:rPr>
        <w:t>（姓名）</w:t>
      </w:r>
      <w:r>
        <w:rPr>
          <w:rFonts w:hint="eastAsia" w:ascii="宋体" w:hAnsi="宋体" w:cs="宋体"/>
          <w:szCs w:val="21"/>
        </w:rPr>
        <w:t>系</w:t>
      </w:r>
      <w:r>
        <w:rPr>
          <w:rFonts w:hint="eastAsia" w:ascii="宋体" w:hAnsi="宋体" w:cs="宋体"/>
          <w:szCs w:val="21"/>
          <w:u w:val="single"/>
        </w:rPr>
        <w:t>（投标人名称）</w:t>
      </w:r>
      <w:r>
        <w:rPr>
          <w:rFonts w:hint="eastAsia" w:ascii="宋体" w:hAnsi="宋体" w:cs="宋体"/>
          <w:szCs w:val="21"/>
        </w:rPr>
        <w:t>的法定代表人，我方愿意参加贵方组织的项目的投标，为便于贵方公正、择优的确定中标人及其投标产品和服务，我方就本次投标有关事项郑重声明如下：</w:t>
      </w:r>
    </w:p>
    <w:p w14:paraId="7ACDA2BE">
      <w:pPr>
        <w:snapToGrid w:val="0"/>
        <w:spacing w:line="360" w:lineRule="auto"/>
        <w:ind w:firstLine="420" w:firstLineChars="200"/>
        <w:jc w:val="left"/>
        <w:rPr>
          <w:rFonts w:ascii="宋体" w:hAnsi="宋体" w:cs="宋体"/>
          <w:szCs w:val="21"/>
        </w:rPr>
      </w:pPr>
      <w:r>
        <w:rPr>
          <w:rFonts w:hint="eastAsia" w:ascii="宋体" w:hAnsi="宋体" w:cs="宋体"/>
          <w:szCs w:val="21"/>
        </w:rPr>
        <w:t>1、我方向贵方提交的所有投标文件、资料都是准确的和真实的。</w:t>
      </w:r>
    </w:p>
    <w:p w14:paraId="0B721DD5">
      <w:pPr>
        <w:snapToGrid w:val="0"/>
        <w:spacing w:line="360" w:lineRule="auto"/>
        <w:ind w:firstLine="420" w:firstLineChars="200"/>
        <w:jc w:val="left"/>
        <w:rPr>
          <w:rFonts w:ascii="宋体" w:hAnsi="宋体" w:cs="宋体"/>
          <w:szCs w:val="21"/>
        </w:rPr>
      </w:pPr>
      <w:r>
        <w:rPr>
          <w:rFonts w:hint="eastAsia" w:ascii="宋体" w:hAnsi="宋体" w:cs="宋体"/>
          <w:szCs w:val="21"/>
        </w:rPr>
        <w:t>2、我方不是采购人的附属机构；在获知本项目采购信息后，与采购人聘请的为此项目提供咨询服务的公司及其附属机构没有任何联系。</w:t>
      </w:r>
    </w:p>
    <w:p w14:paraId="6AB7450E">
      <w:pPr>
        <w:snapToGrid w:val="0"/>
        <w:spacing w:line="360" w:lineRule="auto"/>
        <w:ind w:firstLine="480" w:firstLineChars="200"/>
        <w:jc w:val="left"/>
        <w:rPr>
          <w:rFonts w:ascii="宋体" w:hAnsi="宋体" w:cs="宋体"/>
          <w:szCs w:val="21"/>
        </w:rPr>
      </w:pPr>
      <w:r>
        <w:rPr>
          <w:rFonts w:hint="eastAsia" w:ascii="宋体" w:hAnsi="宋体" w:cs="宋体"/>
          <w:spacing w:val="15"/>
          <w:kern w:val="0"/>
          <w:szCs w:val="21"/>
        </w:rPr>
        <w:t>3、</w:t>
      </w:r>
      <w:r>
        <w:rPr>
          <w:rFonts w:hint="eastAsia" w:ascii="宋体" w:hAnsi="宋体" w:cs="宋体"/>
          <w:szCs w:val="21"/>
        </w:rPr>
        <w:t>以上事项如有虚假或隐瞒，我方愿意承担一切后果，并不再寻求任何旨在减轻或免除法律责任的辩解。</w:t>
      </w:r>
    </w:p>
    <w:p w14:paraId="33EBD5A9">
      <w:pPr>
        <w:snapToGrid w:val="0"/>
        <w:spacing w:line="360" w:lineRule="auto"/>
        <w:ind w:firstLine="420" w:firstLineChars="200"/>
        <w:jc w:val="left"/>
        <w:rPr>
          <w:rFonts w:ascii="宋体" w:hAnsi="宋体" w:cs="宋体"/>
          <w:szCs w:val="21"/>
        </w:rPr>
      </w:pPr>
    </w:p>
    <w:p w14:paraId="2C0CA155">
      <w:pPr>
        <w:snapToGrid w:val="0"/>
        <w:spacing w:line="360" w:lineRule="auto"/>
        <w:ind w:firstLine="420" w:firstLineChars="200"/>
        <w:jc w:val="left"/>
        <w:rPr>
          <w:rFonts w:ascii="宋体" w:hAnsi="宋体" w:cs="宋体"/>
          <w:szCs w:val="21"/>
          <w:u w:val="single"/>
        </w:rPr>
      </w:pPr>
      <w:r>
        <w:rPr>
          <w:rFonts w:hint="eastAsia" w:ascii="宋体" w:hAnsi="宋体" w:cs="宋体"/>
          <w:szCs w:val="21"/>
        </w:rPr>
        <w:t>法定代表人或其授权代表签字（或盖章）：</w:t>
      </w:r>
    </w:p>
    <w:p w14:paraId="5D869DD3">
      <w:pPr>
        <w:snapToGrid w:val="0"/>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投标人名称：（盖章）</w:t>
      </w:r>
      <w:r>
        <w:rPr>
          <w:rFonts w:hint="eastAsia" w:ascii="宋体" w:hAnsi="宋体" w:cs="宋体"/>
          <w:szCs w:val="21"/>
        </w:rPr>
        <w:t xml:space="preserve">：                </w:t>
      </w:r>
    </w:p>
    <w:p w14:paraId="4205A16C">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      年    月    日</w:t>
      </w:r>
    </w:p>
    <w:p w14:paraId="1B7D0319">
      <w:pPr>
        <w:snapToGrid w:val="0"/>
        <w:spacing w:line="360" w:lineRule="auto"/>
        <w:jc w:val="left"/>
        <w:rPr>
          <w:rFonts w:ascii="宋体" w:hAnsi="宋体" w:cs="宋体"/>
          <w:b/>
          <w:szCs w:val="21"/>
        </w:rPr>
      </w:pPr>
      <w:r>
        <w:rPr>
          <w:rFonts w:hint="eastAsia" w:ascii="宋体" w:hAnsi="宋体" w:cs="宋体"/>
          <w:b/>
          <w:szCs w:val="21"/>
        </w:rPr>
        <w:br w:type="page"/>
      </w:r>
      <w:r>
        <w:rPr>
          <w:rFonts w:hint="eastAsia" w:ascii="宋体" w:hAnsi="宋体" w:cs="宋体"/>
          <w:b/>
          <w:szCs w:val="21"/>
        </w:rPr>
        <w:t>法定代表人授权委托书格式：</w:t>
      </w:r>
    </w:p>
    <w:p w14:paraId="7A931ED2">
      <w:pPr>
        <w:snapToGrid w:val="0"/>
        <w:spacing w:line="360" w:lineRule="auto"/>
        <w:ind w:firstLine="422" w:firstLineChars="200"/>
        <w:jc w:val="center"/>
        <w:rPr>
          <w:rFonts w:ascii="宋体" w:hAnsi="宋体" w:cs="宋体"/>
          <w:b/>
          <w:szCs w:val="21"/>
        </w:rPr>
      </w:pPr>
      <w:r>
        <w:rPr>
          <w:rFonts w:hint="eastAsia" w:ascii="宋体" w:hAnsi="宋体" w:cs="宋体"/>
          <w:b/>
          <w:szCs w:val="21"/>
        </w:rPr>
        <w:t>法定代表人授权委托书</w:t>
      </w:r>
    </w:p>
    <w:p w14:paraId="3CD444EB">
      <w:pPr>
        <w:snapToGrid w:val="0"/>
        <w:spacing w:line="360" w:lineRule="auto"/>
        <w:ind w:firstLine="420" w:firstLineChars="200"/>
        <w:jc w:val="left"/>
        <w:rPr>
          <w:rFonts w:ascii="宋体" w:hAnsi="宋体" w:cs="宋体"/>
          <w:bCs/>
          <w:szCs w:val="21"/>
        </w:rPr>
      </w:pPr>
    </w:p>
    <w:p w14:paraId="285F4127">
      <w:pPr>
        <w:snapToGrid w:val="0"/>
        <w:spacing w:line="360" w:lineRule="auto"/>
        <w:jc w:val="left"/>
        <w:rPr>
          <w:rFonts w:ascii="宋体" w:hAnsi="宋体" w:cs="宋体"/>
          <w:b/>
          <w:bCs/>
          <w:szCs w:val="21"/>
        </w:rPr>
      </w:pPr>
      <w:r>
        <w:rPr>
          <w:rFonts w:hint="eastAsia" w:ascii="宋体" w:hAnsi="宋体" w:cs="宋体"/>
          <w:bCs/>
          <w:szCs w:val="21"/>
        </w:rPr>
        <w:t>致：</w:t>
      </w:r>
      <w:r>
        <w:rPr>
          <w:rFonts w:hint="eastAsia" w:ascii="宋体" w:hAnsi="宋体" w:cs="宋体"/>
          <w:kern w:val="0"/>
          <w:szCs w:val="21"/>
          <w:u w:val="single"/>
        </w:rPr>
        <w:t xml:space="preserve">海盐县消防救援大队 </w:t>
      </w:r>
      <w:r>
        <w:rPr>
          <w:rFonts w:hint="eastAsia" w:ascii="宋体" w:hAnsi="宋体" w:cs="宋体"/>
          <w:szCs w:val="21"/>
        </w:rPr>
        <w:t>（招标采购单位名称）：</w:t>
      </w:r>
    </w:p>
    <w:p w14:paraId="00FF2E97">
      <w:pPr>
        <w:shd w:val="clear" w:color="auto" w:fill="FFFFFF"/>
        <w:snapToGrid w:val="0"/>
        <w:spacing w:line="360" w:lineRule="auto"/>
        <w:ind w:firstLine="420" w:firstLineChars="200"/>
        <w:jc w:val="left"/>
        <w:rPr>
          <w:rFonts w:ascii="宋体" w:hAnsi="宋体" w:cs="宋体"/>
          <w:szCs w:val="21"/>
        </w:rPr>
      </w:pPr>
      <w:r>
        <w:rPr>
          <w:rFonts w:hint="eastAsia" w:ascii="宋体" w:hAnsi="宋体" w:cs="宋体"/>
          <w:kern w:val="0"/>
          <w:szCs w:val="21"/>
          <w:lang w:val="zh-CN"/>
        </w:rPr>
        <w:t xml:space="preserve"> 兹委派我公司</w:t>
      </w:r>
      <w:r>
        <w:rPr>
          <w:rFonts w:hint="eastAsia" w:ascii="宋体" w:hAnsi="宋体" w:cs="宋体"/>
          <w:kern w:val="0"/>
          <w:szCs w:val="21"/>
          <w:u w:val="single"/>
          <w:lang w:val="zh-CN"/>
        </w:rPr>
        <w:t>先生/女士</w:t>
      </w:r>
      <w:r>
        <w:rPr>
          <w:rFonts w:hint="eastAsia" w:ascii="宋体" w:hAnsi="宋体" w:cs="宋体"/>
          <w:kern w:val="0"/>
          <w:szCs w:val="21"/>
          <w:lang w:val="zh-CN"/>
        </w:rPr>
        <w:t>(其在本公司的职务是：</w:t>
      </w:r>
      <w:r>
        <w:rPr>
          <w:rFonts w:hint="eastAsia" w:ascii="宋体" w:hAnsi="宋体" w:cs="宋体"/>
          <w:szCs w:val="21"/>
          <w:u w:val="single"/>
        </w:rPr>
        <w:t xml:space="preserve">           </w:t>
      </w:r>
      <w:r>
        <w:rPr>
          <w:rFonts w:hint="eastAsia" w:ascii="宋体" w:hAnsi="宋体" w:cs="宋体"/>
          <w:kern w:val="0"/>
          <w:szCs w:val="21"/>
          <w:lang w:val="zh-CN"/>
        </w:rPr>
        <w:t>，联系电话：</w:t>
      </w:r>
      <w:r>
        <w:rPr>
          <w:rFonts w:hint="eastAsia" w:ascii="宋体" w:hAnsi="宋体" w:cs="宋体"/>
          <w:szCs w:val="21"/>
          <w:u w:val="single"/>
        </w:rPr>
        <w:t xml:space="preserve">           </w:t>
      </w:r>
      <w:r>
        <w:rPr>
          <w:rFonts w:hint="eastAsia" w:ascii="宋体" w:hAnsi="宋体" w:cs="宋体"/>
          <w:kern w:val="0"/>
          <w:szCs w:val="21"/>
          <w:lang w:val="zh-CN"/>
        </w:rPr>
        <w:t>手机：</w:t>
      </w:r>
      <w:r>
        <w:rPr>
          <w:rFonts w:hint="eastAsia" w:ascii="宋体" w:hAnsi="宋体" w:cs="宋体"/>
          <w:szCs w:val="21"/>
          <w:u w:val="single"/>
        </w:rPr>
        <w:t xml:space="preserve">           </w:t>
      </w:r>
      <w:r>
        <w:rPr>
          <w:rFonts w:hint="eastAsia" w:ascii="宋体" w:hAnsi="宋体" w:cs="宋体"/>
          <w:kern w:val="0"/>
          <w:szCs w:val="21"/>
          <w:lang w:val="zh-CN"/>
        </w:rPr>
        <w:t>传真：</w:t>
      </w:r>
      <w:r>
        <w:rPr>
          <w:rFonts w:hint="eastAsia" w:ascii="宋体" w:hAnsi="宋体" w:cs="宋体"/>
          <w:szCs w:val="21"/>
          <w:u w:val="single"/>
        </w:rPr>
        <w:t xml:space="preserve">           </w:t>
      </w:r>
      <w:r>
        <w:rPr>
          <w:rFonts w:hint="eastAsia" w:ascii="宋体" w:hAnsi="宋体" w:cs="宋体"/>
          <w:kern w:val="0"/>
          <w:szCs w:val="21"/>
          <w:lang w:val="zh-CN"/>
        </w:rPr>
        <w:t>)，代表我公司全权处理</w:t>
      </w:r>
      <w:r>
        <w:rPr>
          <w:rFonts w:hint="eastAsia" w:ascii="宋体" w:hAnsi="宋体" w:cs="宋体"/>
          <w:b/>
          <w:bCs/>
          <w:szCs w:val="21"/>
          <w:u w:val="single"/>
        </w:rPr>
        <w:t xml:space="preserve">浙江省嘉兴支队海盐县消防救援大队2024-2025年度物业管理服务采购项目 </w:t>
      </w:r>
      <w:r>
        <w:rPr>
          <w:rFonts w:hint="eastAsia" w:ascii="宋体" w:hAnsi="宋体" w:cs="宋体"/>
          <w:szCs w:val="21"/>
        </w:rPr>
        <w:t>(编号：              )政府采购投标的一切事项</w:t>
      </w:r>
      <w:r>
        <w:rPr>
          <w:rFonts w:hint="eastAsia" w:ascii="宋体" w:hAnsi="宋体" w:cs="宋体"/>
          <w:kern w:val="0"/>
          <w:szCs w:val="21"/>
          <w:lang w:val="zh-CN"/>
        </w:rPr>
        <w:t>。</w:t>
      </w:r>
    </w:p>
    <w:p w14:paraId="3BFF62AE">
      <w:pPr>
        <w:shd w:val="clear" w:color="auto" w:fill="FFFFFF"/>
        <w:snapToGrid w:val="0"/>
        <w:spacing w:line="360" w:lineRule="auto"/>
        <w:ind w:firstLine="420" w:firstLineChars="200"/>
        <w:jc w:val="left"/>
        <w:rPr>
          <w:rFonts w:ascii="宋体" w:hAnsi="宋体" w:cs="宋体"/>
          <w:kern w:val="0"/>
          <w:szCs w:val="21"/>
        </w:rPr>
      </w:pPr>
      <w:r>
        <w:rPr>
          <w:rFonts w:hint="eastAsia" w:ascii="宋体" w:hAnsi="宋体" w:cs="宋体"/>
          <w:kern w:val="0"/>
          <w:szCs w:val="21"/>
          <w:lang w:val="zh-CN"/>
        </w:rPr>
        <w:t xml:space="preserve">    特此告知。</w:t>
      </w:r>
    </w:p>
    <w:p w14:paraId="40D7B146">
      <w:pPr>
        <w:shd w:val="clear" w:color="auto" w:fill="FFFFFF"/>
        <w:snapToGrid w:val="0"/>
        <w:spacing w:line="360" w:lineRule="auto"/>
        <w:ind w:firstLine="420" w:firstLineChars="200"/>
        <w:jc w:val="left"/>
        <w:rPr>
          <w:rFonts w:ascii="宋体" w:hAnsi="宋体" w:cs="宋体"/>
          <w:kern w:val="0"/>
          <w:szCs w:val="21"/>
        </w:rPr>
      </w:pPr>
    </w:p>
    <w:p w14:paraId="76269B28">
      <w:pPr>
        <w:shd w:val="clear" w:color="auto" w:fill="FFFFFF"/>
        <w:snapToGrid w:val="0"/>
        <w:spacing w:line="360" w:lineRule="auto"/>
        <w:ind w:firstLine="420" w:firstLineChars="200"/>
        <w:jc w:val="left"/>
        <w:rPr>
          <w:rFonts w:ascii="宋体" w:hAnsi="宋体" w:cs="宋体"/>
          <w:kern w:val="0"/>
          <w:szCs w:val="21"/>
          <w:lang w:val="zh-CN"/>
        </w:rPr>
      </w:pPr>
    </w:p>
    <w:p w14:paraId="5BF33B31">
      <w:pPr>
        <w:snapToGrid w:val="0"/>
        <w:spacing w:line="360" w:lineRule="auto"/>
        <w:ind w:firstLine="420" w:firstLineChars="200"/>
        <w:jc w:val="left"/>
        <w:rPr>
          <w:rFonts w:ascii="宋体" w:hAnsi="宋体" w:cs="宋体"/>
          <w:szCs w:val="21"/>
        </w:rPr>
      </w:pPr>
    </w:p>
    <w:p w14:paraId="79C54EE3">
      <w:pPr>
        <w:snapToGrid w:val="0"/>
        <w:spacing w:line="360" w:lineRule="auto"/>
        <w:ind w:firstLine="420" w:firstLineChars="200"/>
        <w:jc w:val="left"/>
        <w:rPr>
          <w:rFonts w:ascii="宋体" w:hAnsi="宋体" w:cs="宋体"/>
          <w:szCs w:val="21"/>
          <w:u w:val="single"/>
        </w:rPr>
      </w:pPr>
      <w:r>
        <w:rPr>
          <w:rFonts w:hint="eastAsia" w:ascii="宋体" w:hAnsi="宋体" w:cs="宋体"/>
          <w:szCs w:val="21"/>
        </w:rPr>
        <w:t>被授权人签字（或盖章）：法定代表人签字（或盖章）：</w:t>
      </w:r>
    </w:p>
    <w:p w14:paraId="3D572CF0">
      <w:pPr>
        <w:snapToGrid w:val="0"/>
        <w:spacing w:line="360" w:lineRule="auto"/>
        <w:ind w:firstLine="420" w:firstLineChars="200"/>
        <w:jc w:val="left"/>
        <w:rPr>
          <w:rFonts w:ascii="宋体" w:hAnsi="宋体" w:cs="宋体"/>
          <w:szCs w:val="21"/>
        </w:rPr>
      </w:pPr>
      <w:r>
        <w:rPr>
          <w:rFonts w:hint="eastAsia" w:ascii="宋体" w:hAnsi="宋体" w:cs="宋体"/>
          <w:szCs w:val="21"/>
        </w:rPr>
        <w:t>职务：职务：</w:t>
      </w:r>
    </w:p>
    <w:p w14:paraId="60D7ADF6">
      <w:pPr>
        <w:snapToGrid w:val="0"/>
        <w:spacing w:line="360" w:lineRule="auto"/>
        <w:ind w:firstLine="420" w:firstLineChars="200"/>
        <w:jc w:val="left"/>
        <w:rPr>
          <w:rFonts w:ascii="宋体" w:hAnsi="宋体" w:cs="宋体"/>
          <w:szCs w:val="21"/>
        </w:rPr>
      </w:pPr>
      <w:r>
        <w:rPr>
          <w:rFonts w:hint="eastAsia" w:ascii="宋体" w:hAnsi="宋体" w:cs="宋体"/>
          <w:szCs w:val="21"/>
        </w:rPr>
        <w:t>被授权人身份证号码：</w:t>
      </w:r>
    </w:p>
    <w:p w14:paraId="15AE5D12">
      <w:pPr>
        <w:snapToGrid w:val="0"/>
        <w:spacing w:line="360" w:lineRule="auto"/>
        <w:ind w:firstLine="420" w:firstLineChars="200"/>
        <w:jc w:val="left"/>
        <w:rPr>
          <w:rFonts w:ascii="宋体" w:hAnsi="宋体" w:cs="宋体"/>
          <w:szCs w:val="21"/>
        </w:rPr>
      </w:pPr>
    </w:p>
    <w:p w14:paraId="090A9695">
      <w:pPr>
        <w:snapToGrid w:val="0"/>
        <w:spacing w:line="360" w:lineRule="auto"/>
        <w:ind w:firstLine="420" w:firstLineChars="200"/>
        <w:jc w:val="left"/>
        <w:rPr>
          <w:rFonts w:ascii="宋体" w:hAnsi="宋体" w:cs="宋体"/>
          <w:szCs w:val="21"/>
        </w:rPr>
      </w:pPr>
      <w:r>
        <w:rPr>
          <w:rFonts w:hint="eastAsia" w:ascii="宋体" w:hAnsi="宋体" w:cs="宋体"/>
          <w:szCs w:val="21"/>
          <w:shd w:val="clear" w:color="auto" w:fill="FFFFFF"/>
        </w:rPr>
        <w:t>投标人名称：（盖章）</w:t>
      </w:r>
    </w:p>
    <w:p w14:paraId="3ABBD404">
      <w:pPr>
        <w:snapToGrid w:val="0"/>
        <w:spacing w:line="360" w:lineRule="auto"/>
        <w:ind w:firstLine="840" w:firstLineChars="400"/>
        <w:jc w:val="left"/>
        <w:rPr>
          <w:rFonts w:ascii="宋体" w:hAnsi="宋体" w:cs="宋体"/>
          <w:szCs w:val="21"/>
        </w:rPr>
      </w:pPr>
      <w:r>
        <w:rPr>
          <w:rFonts w:hint="eastAsia" w:ascii="宋体" w:hAnsi="宋体" w:cs="宋体"/>
          <w:szCs w:val="21"/>
        </w:rPr>
        <w:t>年  月  日</w:t>
      </w:r>
    </w:p>
    <w:p w14:paraId="0CA47BC4">
      <w:pPr>
        <w:snapToGrid w:val="0"/>
        <w:spacing w:line="360" w:lineRule="auto"/>
        <w:ind w:firstLine="420" w:firstLineChars="200"/>
        <w:jc w:val="left"/>
        <w:rPr>
          <w:rFonts w:ascii="宋体" w:hAnsi="宋体" w:cs="宋体"/>
          <w:szCs w:val="21"/>
        </w:rPr>
      </w:pPr>
    </w:p>
    <w:p w14:paraId="6D30B1AF">
      <w:pPr>
        <w:pStyle w:val="25"/>
        <w:snapToGrid w:val="0"/>
        <w:spacing w:line="360" w:lineRule="auto"/>
        <w:ind w:firstLine="420" w:firstLineChars="200"/>
        <w:jc w:val="left"/>
        <w:rPr>
          <w:rFonts w:hAnsi="宋体" w:cs="宋体"/>
          <w:szCs w:val="21"/>
        </w:rPr>
      </w:pPr>
    </w:p>
    <w:p w14:paraId="5BB8B070">
      <w:pPr>
        <w:snapToGrid w:val="0"/>
        <w:spacing w:line="360" w:lineRule="auto"/>
        <w:ind w:firstLine="420" w:firstLineChars="200"/>
        <w:jc w:val="left"/>
        <w:rPr>
          <w:rFonts w:ascii="宋体" w:hAnsi="宋体" w:cs="宋体"/>
          <w:b/>
          <w:szCs w:val="21"/>
        </w:rPr>
      </w:pPr>
      <w:r>
        <w:rPr>
          <w:rFonts w:hint="eastAsia" w:ascii="宋体" w:hAnsi="宋体" w:cs="宋体"/>
          <w:szCs w:val="21"/>
        </w:rPr>
        <w:br w:type="page"/>
      </w:r>
    </w:p>
    <w:p w14:paraId="2759C208">
      <w:pPr>
        <w:spacing w:line="360" w:lineRule="auto"/>
        <w:jc w:val="left"/>
        <w:rPr>
          <w:rFonts w:ascii="宋体" w:hAnsi="宋体" w:cs="宋体"/>
          <w:b/>
          <w:szCs w:val="21"/>
        </w:rPr>
      </w:pPr>
      <w:r>
        <w:rPr>
          <w:rFonts w:hint="eastAsia" w:ascii="宋体" w:hAnsi="宋体" w:cs="宋体"/>
          <w:b/>
          <w:szCs w:val="21"/>
        </w:rPr>
        <w:t>承诺函格式：</w:t>
      </w:r>
    </w:p>
    <w:p w14:paraId="0BF4B181">
      <w:pPr>
        <w:spacing w:line="360" w:lineRule="auto"/>
        <w:ind w:firstLine="422" w:firstLineChars="200"/>
        <w:jc w:val="center"/>
        <w:rPr>
          <w:rFonts w:ascii="宋体" w:hAnsi="宋体" w:cs="宋体"/>
          <w:b/>
          <w:szCs w:val="21"/>
        </w:rPr>
      </w:pPr>
      <w:r>
        <w:rPr>
          <w:rFonts w:hint="eastAsia" w:ascii="宋体" w:hAnsi="宋体" w:cs="宋体"/>
          <w:b/>
          <w:szCs w:val="21"/>
        </w:rPr>
        <w:t>承诺函</w:t>
      </w:r>
    </w:p>
    <w:p w14:paraId="1946B864">
      <w:pPr>
        <w:spacing w:line="360" w:lineRule="auto"/>
        <w:jc w:val="left"/>
        <w:rPr>
          <w:rFonts w:ascii="宋体" w:hAnsi="宋体" w:cs="宋体"/>
          <w:szCs w:val="21"/>
        </w:rPr>
      </w:pPr>
      <w:r>
        <w:rPr>
          <w:rFonts w:hint="eastAsia" w:ascii="宋体" w:hAnsi="宋体" w:cs="宋体"/>
          <w:b/>
          <w:kern w:val="0"/>
          <w:szCs w:val="21"/>
          <w:u w:val="single"/>
        </w:rPr>
        <w:t xml:space="preserve">海盐县消防救援大队 </w:t>
      </w:r>
      <w:r>
        <w:rPr>
          <w:rFonts w:hint="eastAsia" w:ascii="宋体" w:hAnsi="宋体" w:cs="宋体"/>
          <w:szCs w:val="21"/>
        </w:rPr>
        <w:t>：</w:t>
      </w:r>
    </w:p>
    <w:p w14:paraId="1BDA8909">
      <w:pPr>
        <w:snapToGrid w:val="0"/>
        <w:spacing w:line="360" w:lineRule="auto"/>
        <w:ind w:firstLine="420" w:firstLineChars="200"/>
        <w:jc w:val="left"/>
        <w:rPr>
          <w:rFonts w:ascii="宋体" w:hAnsi="宋体" w:cs="宋体"/>
          <w:szCs w:val="21"/>
          <w:shd w:val="clear" w:color="auto" w:fill="FFFFFF"/>
        </w:rPr>
      </w:pPr>
    </w:p>
    <w:p w14:paraId="7147F37E">
      <w:pPr>
        <w:snapToGrid w:val="0"/>
        <w:spacing w:line="360" w:lineRule="auto"/>
        <w:ind w:right="42" w:rightChars="20" w:firstLine="420" w:firstLineChars="200"/>
        <w:rPr>
          <w:rFonts w:ascii="宋体" w:hAnsi="宋体" w:cs="宋体"/>
        </w:rPr>
      </w:pPr>
      <w:r>
        <w:rPr>
          <w:rFonts w:hint="eastAsia" w:ascii="宋体" w:hAnsi="宋体" w:cs="宋体"/>
          <w:szCs w:val="21"/>
          <w:shd w:val="clear" w:color="auto" w:fill="FFFFFF"/>
        </w:rPr>
        <w:t>本公司（公司名称）参加</w:t>
      </w:r>
      <w:r>
        <w:rPr>
          <w:rFonts w:hint="eastAsia" w:ascii="宋体" w:hAnsi="宋体" w:cs="宋体"/>
          <w:b/>
        </w:rPr>
        <w:t xml:space="preserve">浙江省嘉兴支队海盐县消防救援大队2024-2025年度物业管理服务采购项目 </w:t>
      </w:r>
      <w:r>
        <w:rPr>
          <w:rFonts w:hint="eastAsia" w:ascii="宋体" w:hAnsi="宋体" w:cs="宋体"/>
          <w:szCs w:val="21"/>
          <w:shd w:val="clear" w:color="auto" w:fill="FFFFFF"/>
        </w:rPr>
        <w:t>投标活动，现承诺如下：</w:t>
      </w:r>
    </w:p>
    <w:p w14:paraId="2B26AAE6">
      <w:pPr>
        <w:snapToGrid w:val="0"/>
        <w:spacing w:line="360" w:lineRule="auto"/>
        <w:ind w:right="42" w:rightChars="20"/>
        <w:rPr>
          <w:rFonts w:ascii="宋体" w:hAnsi="宋体" w:cs="宋体"/>
          <w:szCs w:val="21"/>
        </w:rPr>
      </w:pPr>
      <w:r>
        <w:rPr>
          <w:rFonts w:hint="eastAsia" w:ascii="宋体" w:hAnsi="宋体" w:cs="宋体"/>
          <w:szCs w:val="21"/>
        </w:rPr>
        <w:t>（1）提供具有独立承担民事责任的能力；</w:t>
      </w:r>
    </w:p>
    <w:p w14:paraId="7D2D8DA7">
      <w:pPr>
        <w:snapToGrid w:val="0"/>
        <w:spacing w:line="360" w:lineRule="auto"/>
        <w:ind w:right="42" w:rightChars="20"/>
        <w:rPr>
          <w:rFonts w:ascii="宋体" w:hAnsi="宋体" w:cs="宋体"/>
          <w:szCs w:val="21"/>
        </w:rPr>
      </w:pPr>
      <w:r>
        <w:rPr>
          <w:rFonts w:hint="eastAsia" w:ascii="宋体" w:hAnsi="宋体" w:cs="宋体"/>
          <w:szCs w:val="21"/>
        </w:rPr>
        <w:t>（2）具有良好的商业信誉和健全的财务会计制度；</w:t>
      </w:r>
    </w:p>
    <w:p w14:paraId="59A959D6">
      <w:pPr>
        <w:snapToGrid w:val="0"/>
        <w:spacing w:line="360" w:lineRule="auto"/>
        <w:ind w:right="42" w:rightChars="20"/>
        <w:rPr>
          <w:rFonts w:ascii="宋体" w:hAnsi="宋体" w:cs="宋体"/>
          <w:szCs w:val="21"/>
        </w:rPr>
      </w:pPr>
      <w:r>
        <w:rPr>
          <w:rFonts w:hint="eastAsia" w:ascii="宋体" w:hAnsi="宋体" w:cs="宋体"/>
          <w:szCs w:val="21"/>
        </w:rPr>
        <w:t>（3）具有履行合同所必需的设备和专业技术能力；</w:t>
      </w:r>
    </w:p>
    <w:p w14:paraId="15D200A0">
      <w:pPr>
        <w:snapToGrid w:val="0"/>
        <w:spacing w:line="360" w:lineRule="auto"/>
        <w:ind w:right="42" w:rightChars="20"/>
        <w:rPr>
          <w:rFonts w:ascii="宋体" w:hAnsi="宋体" w:cs="宋体"/>
          <w:szCs w:val="21"/>
        </w:rPr>
      </w:pPr>
      <w:r>
        <w:rPr>
          <w:rFonts w:hint="eastAsia" w:ascii="宋体" w:hAnsi="宋体" w:cs="宋体"/>
          <w:szCs w:val="21"/>
        </w:rPr>
        <w:t>（4）有依法缴纳税收和社会保障资金的良好记录；</w:t>
      </w:r>
    </w:p>
    <w:p w14:paraId="3556A0DB">
      <w:pPr>
        <w:snapToGrid w:val="0"/>
        <w:spacing w:line="360" w:lineRule="auto"/>
        <w:ind w:right="42" w:rightChars="20"/>
        <w:rPr>
          <w:rFonts w:ascii="宋体" w:hAnsi="宋体" w:cs="宋体"/>
          <w:szCs w:val="21"/>
        </w:rPr>
      </w:pPr>
      <w:r>
        <w:rPr>
          <w:rFonts w:hint="eastAsia" w:ascii="宋体" w:hAnsi="宋体" w:cs="宋体"/>
          <w:szCs w:val="21"/>
        </w:rPr>
        <w:t>（5）参加政府采购活动前三年，在经营活动中没有重大违法记录、自招标公告发布之日起至投标截止日内任意时间的“信用中国”网站（www.creditchina.gov.cn）（未被信用中国网站</w:t>
      </w:r>
      <w:r>
        <w:fldChar w:fldCharType="begin"/>
      </w:r>
      <w:r>
        <w:instrText xml:space="preserve"> HYPERLINK \t "_blank" </w:instrText>
      </w:r>
      <w:r>
        <w:fldChar w:fldCharType="separate"/>
      </w:r>
      <w:r>
        <w:rPr>
          <w:rFonts w:hint="eastAsia" w:ascii="宋体" w:hAnsi="宋体" w:cs="宋体"/>
        </w:rPr>
        <w:t>列入失信被执行人、重大税收违法案件当事人名单</w:t>
      </w:r>
      <w:r>
        <w:rPr>
          <w:rFonts w:hint="eastAsia" w:ascii="宋体" w:hAnsi="宋体" w:cs="宋体"/>
        </w:rPr>
        <w:fldChar w:fldCharType="end"/>
      </w:r>
      <w:r>
        <w:rPr>
          <w:rFonts w:hint="eastAsia" w:ascii="宋体" w:hAnsi="宋体" w:cs="宋体"/>
          <w:szCs w:val="21"/>
        </w:rPr>
        <w:t>的）、中国政府采购网（www.ccgp.gov.cn）（未被中国政府采购网</w:t>
      </w:r>
      <w:r>
        <w:fldChar w:fldCharType="begin"/>
      </w:r>
      <w:r>
        <w:instrText xml:space="preserve"> HYPERLINK \t "_blank" </w:instrText>
      </w:r>
      <w:r>
        <w:fldChar w:fldCharType="separate"/>
      </w:r>
      <w:r>
        <w:rPr>
          <w:rFonts w:hint="eastAsia" w:ascii="宋体" w:hAnsi="宋体" w:cs="宋体"/>
        </w:rPr>
        <w:t>列入政府采购严重违法失信行为记录名单</w:t>
      </w:r>
      <w:r>
        <w:rPr>
          <w:rFonts w:hint="eastAsia" w:ascii="宋体" w:hAnsi="宋体" w:cs="宋体"/>
        </w:rPr>
        <w:fldChar w:fldCharType="end"/>
      </w:r>
      <w:r>
        <w:rPr>
          <w:rFonts w:hint="eastAsia" w:ascii="宋体" w:hAnsi="宋体" w:cs="宋体"/>
          <w:szCs w:val="21"/>
        </w:rPr>
        <w:t>的）也没有因违反《浙江省政府采购投标人注册及诚信管理暂行办法》被列入“黑名单”，正在处罚有效期；</w:t>
      </w:r>
    </w:p>
    <w:p w14:paraId="2E722711">
      <w:pPr>
        <w:snapToGrid w:val="0"/>
        <w:spacing w:line="360" w:lineRule="auto"/>
        <w:ind w:right="42" w:rightChars="20" w:firstLine="420" w:firstLineChars="200"/>
        <w:jc w:val="left"/>
        <w:rPr>
          <w:rFonts w:ascii="宋体" w:hAnsi="宋体" w:cs="宋体"/>
          <w:szCs w:val="21"/>
        </w:rPr>
      </w:pPr>
    </w:p>
    <w:p w14:paraId="4CD4901A">
      <w:pPr>
        <w:pStyle w:val="4"/>
        <w:rPr>
          <w:rFonts w:ascii="宋体" w:hAnsi="宋体" w:eastAsia="宋体" w:cs="宋体"/>
        </w:rPr>
      </w:pPr>
    </w:p>
    <w:p w14:paraId="7B89A5A1">
      <w:pPr>
        <w:snapToGrid w:val="0"/>
        <w:spacing w:line="360" w:lineRule="auto"/>
        <w:ind w:right="42" w:rightChars="20"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如违反以上承诺，本公司愿承担一切法律责任。</w:t>
      </w:r>
    </w:p>
    <w:p w14:paraId="6D59485B">
      <w:pPr>
        <w:pStyle w:val="4"/>
        <w:rPr>
          <w:rFonts w:ascii="宋体" w:hAnsi="宋体" w:eastAsia="宋体" w:cs="宋体"/>
        </w:rPr>
      </w:pPr>
    </w:p>
    <w:p w14:paraId="44DBD376">
      <w:pPr>
        <w:pStyle w:val="4"/>
        <w:rPr>
          <w:rFonts w:ascii="宋体" w:hAnsi="宋体" w:eastAsia="宋体" w:cs="宋体"/>
        </w:rPr>
      </w:pPr>
    </w:p>
    <w:p w14:paraId="438E2EAA">
      <w:pPr>
        <w:snapToGrid w:val="0"/>
        <w:spacing w:line="360" w:lineRule="auto"/>
        <w:ind w:right="42" w:rightChars="20" w:firstLine="420" w:firstLineChars="200"/>
        <w:jc w:val="left"/>
        <w:rPr>
          <w:rFonts w:ascii="宋体" w:hAnsi="宋体" w:cs="宋体"/>
        </w:rPr>
      </w:pPr>
      <w:r>
        <w:rPr>
          <w:rFonts w:hint="eastAsia" w:ascii="宋体" w:hAnsi="宋体" w:cs="宋体"/>
          <w:szCs w:val="21"/>
          <w:shd w:val="clear" w:color="auto" w:fill="FFFFFF"/>
        </w:rPr>
        <w:t>投标人名称：（投标人公章）</w:t>
      </w:r>
    </w:p>
    <w:p w14:paraId="05B0B755">
      <w:pPr>
        <w:snapToGrid w:val="0"/>
        <w:spacing w:line="360" w:lineRule="auto"/>
        <w:ind w:right="42" w:rightChars="20" w:firstLine="420" w:firstLineChars="200"/>
        <w:jc w:val="left"/>
        <w:rPr>
          <w:rFonts w:ascii="宋体" w:hAnsi="宋体" w:cs="宋体"/>
        </w:rPr>
      </w:pPr>
      <w:r>
        <w:rPr>
          <w:rFonts w:hint="eastAsia" w:ascii="宋体" w:hAnsi="宋体" w:cs="宋体"/>
          <w:szCs w:val="21"/>
        </w:rPr>
        <w:t>法定代表人或其授权代表签字（或盖章）</w:t>
      </w:r>
      <w:r>
        <w:rPr>
          <w:rFonts w:hint="eastAsia" w:ascii="宋体" w:hAnsi="宋体" w:cs="宋体"/>
          <w:szCs w:val="21"/>
          <w:shd w:val="clear" w:color="auto" w:fill="FFFFFF"/>
        </w:rPr>
        <w:t>：</w:t>
      </w:r>
    </w:p>
    <w:p w14:paraId="34831A7D">
      <w:pPr>
        <w:snapToGrid w:val="0"/>
        <w:spacing w:line="360" w:lineRule="auto"/>
        <w:ind w:right="42" w:rightChars="20" w:firstLine="420" w:firstLineChars="200"/>
        <w:jc w:val="left"/>
        <w:rPr>
          <w:rFonts w:ascii="宋体" w:hAnsi="宋体" w:cs="宋体"/>
          <w:szCs w:val="21"/>
          <w:u w:val="single"/>
        </w:rPr>
      </w:pPr>
      <w:r>
        <w:rPr>
          <w:rFonts w:hint="eastAsia" w:ascii="宋体" w:hAnsi="宋体" w:cs="宋体"/>
          <w:szCs w:val="21"/>
          <w:shd w:val="clear" w:color="auto" w:fill="FFFFFF"/>
        </w:rPr>
        <w:t>投标日期： 年 月 日</w:t>
      </w:r>
    </w:p>
    <w:p w14:paraId="6B1C58CC">
      <w:pPr>
        <w:rPr>
          <w:rFonts w:ascii="宋体" w:hAnsi="宋体" w:cs="宋体"/>
          <w:szCs w:val="21"/>
        </w:rPr>
      </w:pPr>
      <w:r>
        <w:rPr>
          <w:rFonts w:hint="eastAsia" w:ascii="宋体" w:hAnsi="宋体" w:cs="宋体"/>
          <w:szCs w:val="21"/>
        </w:rPr>
        <w:br w:type="page"/>
      </w:r>
    </w:p>
    <w:p w14:paraId="073D09E5">
      <w:pPr>
        <w:widowControl/>
        <w:rPr>
          <w:rFonts w:ascii="宋体" w:hAnsi="宋体" w:cs="宋体"/>
          <w:b/>
          <w:szCs w:val="21"/>
        </w:rPr>
      </w:pPr>
      <w:r>
        <w:rPr>
          <w:rFonts w:hint="eastAsia" w:ascii="宋体" w:hAnsi="宋体" w:cs="宋体"/>
          <w:b/>
          <w:szCs w:val="21"/>
        </w:rPr>
        <w:t>中小企业声明函</w:t>
      </w:r>
    </w:p>
    <w:p w14:paraId="525E9DE3">
      <w:pPr>
        <w:widowControl/>
        <w:jc w:val="center"/>
        <w:rPr>
          <w:rFonts w:ascii="宋体" w:hAnsi="宋体" w:cs="宋体"/>
          <w:b/>
          <w:szCs w:val="21"/>
        </w:rPr>
      </w:pPr>
    </w:p>
    <w:p w14:paraId="56EC623B">
      <w:pPr>
        <w:widowControl/>
        <w:jc w:val="center"/>
        <w:rPr>
          <w:rFonts w:ascii="宋体" w:hAnsi="宋体" w:cs="宋体"/>
          <w:b/>
          <w:szCs w:val="21"/>
        </w:rPr>
      </w:pPr>
      <w:r>
        <w:rPr>
          <w:rFonts w:hint="eastAsia" w:ascii="宋体" w:hAnsi="宋体" w:cs="宋体"/>
          <w:b/>
          <w:szCs w:val="21"/>
        </w:rPr>
        <w:t>中小企业声明函（工程、服务）</w:t>
      </w:r>
    </w:p>
    <w:p w14:paraId="63161532">
      <w:pPr>
        <w:widowControl/>
        <w:spacing w:line="400" w:lineRule="exact"/>
        <w:jc w:val="center"/>
        <w:rPr>
          <w:rFonts w:ascii="宋体" w:hAnsi="宋体" w:cs="宋体"/>
          <w:b/>
          <w:sz w:val="36"/>
          <w:szCs w:val="36"/>
        </w:rPr>
      </w:pPr>
    </w:p>
    <w:p w14:paraId="4E1CAD3E">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本公司（联合体）郑重声明，根据《政府采购促进中小企业发展管理办法》（财库﹝2020﹞ </w:t>
      </w:r>
    </w:p>
    <w:p w14:paraId="48688A2B">
      <w:pPr>
        <w:widowControl/>
        <w:spacing w:line="360" w:lineRule="auto"/>
        <w:jc w:val="left"/>
        <w:rPr>
          <w:rFonts w:ascii="宋体" w:hAnsi="宋体" w:cs="宋体"/>
          <w:szCs w:val="21"/>
        </w:rPr>
      </w:pPr>
      <w:r>
        <w:rPr>
          <w:rFonts w:hint="eastAsia" w:ascii="宋体" w:hAnsi="宋体" w:cs="宋体"/>
          <w:kern w:val="0"/>
          <w:szCs w:val="21"/>
        </w:rPr>
        <w:t xml:space="preserve">46 号）的规定，本公司 （联合体）参加 </w:t>
      </w:r>
      <w:r>
        <w:rPr>
          <w:rFonts w:hint="eastAsia" w:ascii="宋体" w:hAnsi="宋体" w:cs="宋体"/>
          <w:kern w:val="0"/>
          <w:szCs w:val="21"/>
          <w:u w:val="single"/>
        </w:rPr>
        <w:t xml:space="preserve">  （单位名称）  </w:t>
      </w:r>
      <w:r>
        <w:rPr>
          <w:rFonts w:hint="eastAsia" w:ascii="宋体" w:hAnsi="宋体" w:cs="宋体"/>
          <w:kern w:val="0"/>
          <w:szCs w:val="21"/>
        </w:rPr>
        <w:t xml:space="preserve">的 </w:t>
      </w:r>
      <w:r>
        <w:rPr>
          <w:rFonts w:hint="eastAsia" w:ascii="宋体" w:hAnsi="宋体" w:cs="宋体"/>
          <w:kern w:val="0"/>
          <w:szCs w:val="21"/>
          <w:u w:val="single"/>
        </w:rPr>
        <w:t xml:space="preserve">  （项目名称）  </w:t>
      </w:r>
      <w:r>
        <w:rPr>
          <w:rFonts w:hint="eastAsia" w:ascii="宋体" w:hAnsi="宋体" w:cs="宋体"/>
          <w:kern w:val="0"/>
          <w:szCs w:val="21"/>
        </w:rPr>
        <w:t xml:space="preserve">采购活动，工程的施工单位全部为符合政策要求的中小企业（或者：服务全部由符合政策要求的 </w:t>
      </w:r>
    </w:p>
    <w:p w14:paraId="658BC9FE">
      <w:pPr>
        <w:widowControl/>
        <w:spacing w:line="360" w:lineRule="auto"/>
        <w:jc w:val="left"/>
        <w:rPr>
          <w:rFonts w:ascii="宋体" w:hAnsi="宋体" w:cs="宋体"/>
          <w:szCs w:val="21"/>
        </w:rPr>
      </w:pPr>
      <w:r>
        <w:rPr>
          <w:rFonts w:hint="eastAsia" w:ascii="宋体" w:hAnsi="宋体" w:cs="宋体"/>
          <w:kern w:val="0"/>
          <w:szCs w:val="21"/>
        </w:rPr>
        <w:t xml:space="preserve">中小企业承接）。相关企业 （含联合体中的中小企业、签订分包意向协议的中小企业） 的 </w:t>
      </w:r>
    </w:p>
    <w:p w14:paraId="62D50155">
      <w:pPr>
        <w:widowControl/>
        <w:spacing w:line="360" w:lineRule="auto"/>
        <w:jc w:val="left"/>
        <w:rPr>
          <w:rFonts w:ascii="宋体" w:hAnsi="宋体" w:cs="宋体"/>
          <w:szCs w:val="21"/>
        </w:rPr>
      </w:pPr>
      <w:r>
        <w:rPr>
          <w:rFonts w:hint="eastAsia" w:ascii="宋体" w:hAnsi="宋体" w:cs="宋体"/>
          <w:kern w:val="0"/>
          <w:szCs w:val="21"/>
        </w:rPr>
        <w:t xml:space="preserve">具体情况如下： </w:t>
      </w:r>
    </w:p>
    <w:p w14:paraId="66FF38AD">
      <w:pPr>
        <w:widowControl/>
        <w:spacing w:line="360" w:lineRule="auto"/>
        <w:ind w:firstLine="420" w:firstLineChars="200"/>
        <w:jc w:val="left"/>
        <w:rPr>
          <w:rFonts w:ascii="宋体" w:hAnsi="宋体" w:cs="宋体"/>
          <w:szCs w:val="21"/>
          <w:u w:val="single"/>
        </w:rPr>
      </w:pPr>
      <w:r>
        <w:rPr>
          <w:rFonts w:hint="eastAsia" w:ascii="宋体" w:hAnsi="宋体" w:cs="宋体"/>
          <w:kern w:val="0"/>
          <w:szCs w:val="21"/>
        </w:rPr>
        <w:t xml:space="preserve">1. </w:t>
      </w:r>
      <w:r>
        <w:rPr>
          <w:rFonts w:hint="eastAsia" w:ascii="宋体" w:hAnsi="宋体" w:cs="宋体"/>
          <w:kern w:val="0"/>
          <w:szCs w:val="21"/>
          <w:u w:val="single"/>
        </w:rPr>
        <w:t xml:space="preserve">（标的名称） </w:t>
      </w:r>
      <w:r>
        <w:rPr>
          <w:rFonts w:hint="eastAsia" w:ascii="宋体" w:hAnsi="宋体" w:cs="宋体"/>
          <w:kern w:val="0"/>
          <w:szCs w:val="21"/>
        </w:rPr>
        <w:t>，属于</w:t>
      </w:r>
      <w:r>
        <w:rPr>
          <w:rFonts w:hint="eastAsia" w:ascii="宋体" w:hAnsi="宋体" w:cs="宋体"/>
          <w:kern w:val="0"/>
          <w:szCs w:val="21"/>
          <w:u w:val="single"/>
        </w:rPr>
        <w:t>（采购文件中明确的所属行业）行业</w:t>
      </w:r>
      <w:r>
        <w:rPr>
          <w:rFonts w:hint="eastAsia" w:ascii="宋体" w:hAnsi="宋体" w:cs="宋体"/>
          <w:kern w:val="0"/>
          <w:szCs w:val="21"/>
        </w:rPr>
        <w:t>；承建（承接）企业为</w:t>
      </w:r>
      <w:r>
        <w:rPr>
          <w:rFonts w:hint="eastAsia" w:ascii="宋体" w:hAnsi="宋体" w:cs="宋体"/>
          <w:kern w:val="0"/>
          <w:szCs w:val="21"/>
          <w:u w:val="single"/>
        </w:rPr>
        <w:t xml:space="preserve">（企 </w:t>
      </w:r>
    </w:p>
    <w:p w14:paraId="1FB6752B">
      <w:pPr>
        <w:widowControl/>
        <w:spacing w:line="360" w:lineRule="auto"/>
        <w:jc w:val="left"/>
        <w:rPr>
          <w:rFonts w:ascii="宋体" w:hAnsi="宋体" w:cs="宋体"/>
          <w:szCs w:val="21"/>
        </w:rPr>
      </w:pPr>
      <w:r>
        <w:rPr>
          <w:rFonts w:hint="eastAsia" w:ascii="宋体" w:hAnsi="宋体" w:cs="宋体"/>
          <w:kern w:val="0"/>
          <w:szCs w:val="21"/>
          <w:u w:val="single"/>
        </w:rPr>
        <w:t>业名称）</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（中型企业、小型企业、微型企业）</w:t>
      </w:r>
      <w:r>
        <w:rPr>
          <w:rFonts w:hint="eastAsia" w:ascii="宋体" w:hAnsi="宋体" w:cs="宋体"/>
          <w:kern w:val="0"/>
          <w:szCs w:val="21"/>
        </w:rPr>
        <w:t xml:space="preserve">； </w:t>
      </w:r>
    </w:p>
    <w:p w14:paraId="1ED05328">
      <w:pPr>
        <w:widowControl/>
        <w:spacing w:line="360" w:lineRule="auto"/>
        <w:ind w:firstLine="420" w:firstLineChars="200"/>
        <w:jc w:val="left"/>
        <w:rPr>
          <w:rFonts w:ascii="宋体" w:hAnsi="宋体" w:cs="宋体"/>
          <w:szCs w:val="21"/>
          <w:u w:val="single"/>
        </w:rPr>
      </w:pPr>
      <w:r>
        <w:rPr>
          <w:rFonts w:hint="eastAsia" w:ascii="宋体" w:hAnsi="宋体" w:cs="宋体"/>
          <w:kern w:val="0"/>
          <w:szCs w:val="21"/>
        </w:rPr>
        <w:t xml:space="preserve">2. </w:t>
      </w:r>
      <w:r>
        <w:rPr>
          <w:rFonts w:hint="eastAsia" w:ascii="宋体" w:hAnsi="宋体" w:cs="宋体"/>
          <w:kern w:val="0"/>
          <w:szCs w:val="21"/>
          <w:u w:val="single"/>
        </w:rPr>
        <w:t xml:space="preserve">（标的名称） </w:t>
      </w:r>
      <w:r>
        <w:rPr>
          <w:rFonts w:hint="eastAsia" w:ascii="宋体" w:hAnsi="宋体" w:cs="宋体"/>
          <w:kern w:val="0"/>
          <w:szCs w:val="21"/>
        </w:rPr>
        <w:t>，属于（采购文件中明确的所属行业）行业；承建（承接）企业为</w:t>
      </w:r>
      <w:r>
        <w:rPr>
          <w:rFonts w:hint="eastAsia" w:ascii="宋体" w:hAnsi="宋体" w:cs="宋体"/>
          <w:kern w:val="0"/>
          <w:szCs w:val="21"/>
          <w:u w:val="single"/>
        </w:rPr>
        <w:t xml:space="preserve">（企 </w:t>
      </w:r>
    </w:p>
    <w:p w14:paraId="02D51AF9">
      <w:pPr>
        <w:widowControl/>
        <w:spacing w:line="360" w:lineRule="auto"/>
        <w:jc w:val="left"/>
        <w:rPr>
          <w:rFonts w:ascii="宋体" w:hAnsi="宋体" w:cs="宋体"/>
          <w:szCs w:val="21"/>
        </w:rPr>
      </w:pPr>
      <w:r>
        <w:rPr>
          <w:rFonts w:hint="eastAsia" w:ascii="宋体" w:hAnsi="宋体" w:cs="宋体"/>
          <w:kern w:val="0"/>
          <w:szCs w:val="21"/>
          <w:u w:val="single"/>
        </w:rPr>
        <w:t xml:space="preserve">业名称） </w:t>
      </w:r>
      <w:r>
        <w:rPr>
          <w:rFonts w:hint="eastAsia" w:ascii="宋体" w:hAnsi="宋体" w:cs="宋体"/>
          <w:kern w:val="0"/>
          <w:szCs w:val="21"/>
        </w:rPr>
        <w:t>，从业人员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kern w:val="0"/>
          <w:szCs w:val="21"/>
        </w:rPr>
        <w:t>万元，属于</w:t>
      </w:r>
      <w:r>
        <w:rPr>
          <w:rFonts w:hint="eastAsia" w:ascii="宋体" w:hAnsi="宋体" w:cs="宋体"/>
          <w:kern w:val="0"/>
          <w:szCs w:val="21"/>
          <w:u w:val="single"/>
        </w:rPr>
        <w:t>（中型企业、小型企业、微型企业）</w:t>
      </w:r>
      <w:r>
        <w:rPr>
          <w:rFonts w:hint="eastAsia" w:ascii="宋体" w:hAnsi="宋体" w:cs="宋体"/>
          <w:kern w:val="0"/>
          <w:szCs w:val="21"/>
        </w:rPr>
        <w:t xml:space="preserve">； </w:t>
      </w:r>
    </w:p>
    <w:p w14:paraId="1D15DC31">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 </w:t>
      </w:r>
    </w:p>
    <w:p w14:paraId="0BD1B1DD">
      <w:pPr>
        <w:widowControl/>
        <w:spacing w:line="360" w:lineRule="auto"/>
        <w:ind w:firstLine="420" w:firstLineChars="200"/>
        <w:jc w:val="left"/>
        <w:rPr>
          <w:rFonts w:ascii="宋体" w:hAnsi="宋体" w:cs="宋体"/>
          <w:szCs w:val="21"/>
        </w:rPr>
      </w:pPr>
      <w:r>
        <w:rPr>
          <w:rFonts w:hint="eastAsia" w:ascii="宋体" w:hAnsi="宋体" w:cs="宋体"/>
          <w:kern w:val="0"/>
          <w:szCs w:val="21"/>
        </w:rPr>
        <w:t xml:space="preserve">以上企业，不属于大企业的分支机构，不存在控股股东为大企业的情形，也不存在与大 </w:t>
      </w:r>
    </w:p>
    <w:p w14:paraId="0DC1477C">
      <w:pPr>
        <w:widowControl/>
        <w:spacing w:line="360" w:lineRule="auto"/>
        <w:jc w:val="left"/>
        <w:rPr>
          <w:rFonts w:ascii="宋体" w:hAnsi="宋体" w:cs="宋体"/>
          <w:szCs w:val="21"/>
        </w:rPr>
      </w:pPr>
      <w:r>
        <w:rPr>
          <w:rFonts w:hint="eastAsia" w:ascii="宋体" w:hAnsi="宋体" w:cs="宋体"/>
          <w:kern w:val="0"/>
          <w:szCs w:val="21"/>
        </w:rPr>
        <w:t xml:space="preserve">企业的负责人为同一人的情形。 </w:t>
      </w:r>
    </w:p>
    <w:p w14:paraId="60A16ECD">
      <w:pPr>
        <w:spacing w:line="360" w:lineRule="auto"/>
        <w:rPr>
          <w:rFonts w:ascii="宋体" w:hAnsi="宋体" w:cs="宋体"/>
          <w:b/>
          <w:szCs w:val="21"/>
        </w:rPr>
      </w:pPr>
      <w:r>
        <w:rPr>
          <w:rFonts w:hint="eastAsia" w:ascii="宋体" w:hAnsi="宋体" w:cs="宋体"/>
          <w:kern w:val="0"/>
          <w:szCs w:val="21"/>
        </w:rPr>
        <w:t>本企业对上述声明内容的真实性负责。如有虚假，将依法承担相应责任。</w:t>
      </w:r>
    </w:p>
    <w:p w14:paraId="0C6B9DB0">
      <w:pPr>
        <w:spacing w:line="360" w:lineRule="auto"/>
        <w:rPr>
          <w:rFonts w:ascii="宋体" w:hAnsi="宋体" w:cs="宋体"/>
          <w:szCs w:val="21"/>
        </w:rPr>
      </w:pPr>
    </w:p>
    <w:p w14:paraId="6F4EC555">
      <w:pPr>
        <w:spacing w:line="360" w:lineRule="auto"/>
        <w:rPr>
          <w:rFonts w:ascii="宋体" w:hAnsi="宋体" w:cs="宋体"/>
          <w:szCs w:val="21"/>
        </w:rPr>
      </w:pPr>
    </w:p>
    <w:p w14:paraId="7D3B7AC6">
      <w:pPr>
        <w:spacing w:line="360" w:lineRule="auto"/>
        <w:jc w:val="center"/>
        <w:rPr>
          <w:rFonts w:ascii="宋体" w:hAnsi="宋体" w:cs="宋体"/>
          <w:b/>
          <w:szCs w:val="21"/>
        </w:rPr>
      </w:pPr>
      <w:r>
        <w:rPr>
          <w:rFonts w:hint="eastAsia" w:ascii="宋体" w:hAnsi="宋体" w:cs="宋体"/>
          <w:b/>
          <w:szCs w:val="21"/>
        </w:rPr>
        <w:t>投标人（公章）:</w:t>
      </w:r>
    </w:p>
    <w:p w14:paraId="1B251D17">
      <w:pPr>
        <w:spacing w:line="360" w:lineRule="auto"/>
        <w:ind w:firstLine="211" w:firstLineChars="100"/>
        <w:jc w:val="center"/>
        <w:rPr>
          <w:rFonts w:ascii="宋体" w:hAnsi="宋体" w:cs="宋体"/>
          <w:b/>
          <w:szCs w:val="21"/>
        </w:rPr>
      </w:pPr>
      <w:r>
        <w:rPr>
          <w:rFonts w:hint="eastAsia" w:ascii="宋体" w:hAnsi="宋体" w:cs="宋体"/>
          <w:b/>
          <w:szCs w:val="21"/>
        </w:rPr>
        <w:t>日 期：    年  月  日</w:t>
      </w:r>
    </w:p>
    <w:p w14:paraId="49080EC0">
      <w:pPr>
        <w:pStyle w:val="25"/>
        <w:snapToGrid w:val="0"/>
        <w:spacing w:line="360" w:lineRule="auto"/>
        <w:ind w:right="42" w:rightChars="20"/>
        <w:jc w:val="left"/>
        <w:rPr>
          <w:rFonts w:hAnsi="宋体" w:cs="宋体"/>
          <w:b/>
          <w:szCs w:val="21"/>
        </w:rPr>
      </w:pPr>
    </w:p>
    <w:p w14:paraId="1211DC6B">
      <w:pPr>
        <w:spacing w:line="360" w:lineRule="auto"/>
        <w:rPr>
          <w:rFonts w:ascii="宋体" w:hAnsi="宋体" w:cs="宋体"/>
          <w:szCs w:val="21"/>
        </w:rPr>
      </w:pPr>
      <w:r>
        <w:rPr>
          <w:rFonts w:hint="eastAsia" w:ascii="宋体" w:hAnsi="宋体" w:cs="宋体"/>
          <w:szCs w:val="21"/>
        </w:rPr>
        <w:t>说明：从业人员、营业收入、资产总额填报上一年度数据，无上一年度数据的新成立企业可不填报。</w:t>
      </w:r>
    </w:p>
    <w:p w14:paraId="307E085A">
      <w:pPr>
        <w:pStyle w:val="20"/>
        <w:rPr>
          <w:rFonts w:ascii="宋体" w:hAnsi="宋体" w:cs="宋体"/>
          <w:b/>
          <w:szCs w:val="21"/>
        </w:rPr>
      </w:pPr>
    </w:p>
    <w:p w14:paraId="07AC2AE8">
      <w:pPr>
        <w:rPr>
          <w:rFonts w:ascii="宋体" w:hAnsi="宋体" w:cs="宋体"/>
          <w:b/>
          <w:szCs w:val="21"/>
        </w:rPr>
      </w:pPr>
      <w:r>
        <w:rPr>
          <w:rFonts w:hint="eastAsia" w:ascii="宋体" w:hAnsi="宋体" w:cs="宋体"/>
          <w:b/>
          <w:szCs w:val="21"/>
        </w:rPr>
        <w:br w:type="page"/>
      </w:r>
    </w:p>
    <w:p w14:paraId="4BAE50A9">
      <w:pPr>
        <w:pStyle w:val="25"/>
        <w:snapToGrid w:val="0"/>
        <w:rPr>
          <w:rFonts w:hAnsi="宋体" w:cs="宋体"/>
          <w:b/>
          <w:szCs w:val="21"/>
        </w:rPr>
      </w:pPr>
      <w:r>
        <w:rPr>
          <w:rFonts w:hint="eastAsia" w:hAnsi="宋体" w:cs="宋体"/>
          <w:b/>
          <w:szCs w:val="21"/>
        </w:rPr>
        <w:t>残疾人福利性单位声明函</w:t>
      </w:r>
    </w:p>
    <w:p w14:paraId="0240401C">
      <w:pPr>
        <w:widowControl/>
        <w:ind w:firstLine="420"/>
        <w:rPr>
          <w:rFonts w:ascii="宋体" w:hAnsi="宋体" w:cs="宋体"/>
          <w:b/>
          <w:szCs w:val="21"/>
        </w:rPr>
      </w:pPr>
    </w:p>
    <w:p w14:paraId="43A06E6F">
      <w:pPr>
        <w:widowControl/>
        <w:ind w:firstLine="420"/>
        <w:jc w:val="center"/>
        <w:rPr>
          <w:rFonts w:ascii="宋体" w:hAnsi="宋体" w:cs="宋体"/>
          <w:b/>
          <w:szCs w:val="21"/>
        </w:rPr>
      </w:pPr>
      <w:r>
        <w:rPr>
          <w:rFonts w:hint="eastAsia" w:ascii="宋体" w:hAnsi="宋体" w:cs="宋体"/>
          <w:b/>
          <w:szCs w:val="21"/>
        </w:rPr>
        <w:t>残疾人福利性单位声明函</w:t>
      </w:r>
    </w:p>
    <w:p w14:paraId="5B7CA172">
      <w:pPr>
        <w:widowControl/>
        <w:spacing w:line="360" w:lineRule="auto"/>
        <w:ind w:firstLine="420"/>
        <w:rPr>
          <w:rFonts w:ascii="宋体" w:hAnsi="宋体" w:cs="宋体"/>
          <w:szCs w:val="21"/>
        </w:rPr>
      </w:pPr>
      <w:r>
        <w:rPr>
          <w:rFonts w:hint="eastAsia" w:ascii="宋体" w:hAnsi="宋体" w:cs="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02CE097">
      <w:pPr>
        <w:widowControl/>
        <w:spacing w:line="360" w:lineRule="auto"/>
        <w:ind w:firstLine="420"/>
        <w:rPr>
          <w:rFonts w:ascii="宋体" w:hAnsi="宋体" w:cs="宋体"/>
          <w:szCs w:val="21"/>
        </w:rPr>
      </w:pPr>
      <w:r>
        <w:rPr>
          <w:rFonts w:hint="eastAsia" w:ascii="宋体" w:hAnsi="宋体" w:cs="宋体"/>
          <w:szCs w:val="21"/>
        </w:rPr>
        <w:t xml:space="preserve">  本单位对上述声明的真实性负责。如有虚假，将依法承担相应责任。</w:t>
      </w:r>
    </w:p>
    <w:p w14:paraId="20D07F18">
      <w:pPr>
        <w:pStyle w:val="4"/>
        <w:rPr>
          <w:rFonts w:ascii="宋体" w:hAnsi="宋体" w:eastAsia="宋体" w:cs="宋体"/>
          <w:szCs w:val="21"/>
        </w:rPr>
      </w:pPr>
    </w:p>
    <w:p w14:paraId="7233F546">
      <w:pPr>
        <w:rPr>
          <w:rFonts w:ascii="宋体" w:hAnsi="宋体" w:cs="宋体"/>
        </w:rPr>
      </w:pPr>
    </w:p>
    <w:p w14:paraId="3D6B40FE">
      <w:pPr>
        <w:widowControl/>
        <w:spacing w:line="360" w:lineRule="auto"/>
        <w:ind w:firstLine="420"/>
        <w:rPr>
          <w:rFonts w:ascii="宋体" w:hAnsi="宋体" w:cs="宋体"/>
          <w:szCs w:val="21"/>
        </w:rPr>
      </w:pPr>
      <w:r>
        <w:rPr>
          <w:rFonts w:hint="eastAsia" w:ascii="宋体" w:hAnsi="宋体" w:cs="宋体"/>
          <w:szCs w:val="21"/>
        </w:rPr>
        <w:t xml:space="preserve">          投标人（公章）:                  日 期：</w:t>
      </w:r>
    </w:p>
    <w:p w14:paraId="66B71E64">
      <w:pPr>
        <w:ind w:firstLine="420"/>
        <w:rPr>
          <w:rFonts w:ascii="宋体" w:hAnsi="宋体" w:cs="宋体"/>
        </w:rPr>
        <w:sectPr>
          <w:headerReference r:id="rId10" w:type="default"/>
          <w:footerReference r:id="rId11" w:type="default"/>
          <w:pgSz w:w="11906" w:h="16838"/>
          <w:pgMar w:top="1440" w:right="1800" w:bottom="1440" w:left="1800" w:header="851" w:footer="992" w:gutter="0"/>
          <w:cols w:space="720" w:num="1"/>
          <w:docGrid w:type="lines" w:linePitch="312" w:charSpace="0"/>
        </w:sectPr>
      </w:pPr>
    </w:p>
    <w:p w14:paraId="724FD9D6">
      <w:pPr>
        <w:ind w:firstLine="420"/>
        <w:rPr>
          <w:rFonts w:ascii="宋体" w:hAnsi="宋体" w:cs="宋体"/>
        </w:rPr>
      </w:pPr>
      <w:r>
        <w:rPr>
          <w:rFonts w:hint="eastAsia" w:ascii="宋体" w:hAnsi="宋体" w:cs="宋体"/>
        </w:rPr>
        <w:t>监狱企业证明文件</w:t>
      </w:r>
    </w:p>
    <w:p w14:paraId="16659401">
      <w:pPr>
        <w:ind w:firstLine="420"/>
        <w:jc w:val="center"/>
        <w:rPr>
          <w:rFonts w:ascii="宋体" w:hAnsi="宋体" w:cs="宋体"/>
          <w:b/>
          <w:szCs w:val="21"/>
        </w:rPr>
      </w:pPr>
      <w:r>
        <w:rPr>
          <w:rFonts w:hint="eastAsia" w:ascii="宋体" w:hAnsi="宋体" w:cs="宋体"/>
          <w:b/>
          <w:szCs w:val="21"/>
        </w:rPr>
        <w:t>监狱企业证明文件</w:t>
      </w:r>
    </w:p>
    <w:tbl>
      <w:tblPr>
        <w:tblStyle w:val="48"/>
        <w:tblW w:w="8820" w:type="dxa"/>
        <w:tblInd w:w="108"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8820"/>
      </w:tblGrid>
      <w:tr w14:paraId="0E093D36">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6516" w:hRule="atLeast"/>
        </w:trPr>
        <w:tc>
          <w:tcPr>
            <w:tcW w:w="8820" w:type="dxa"/>
            <w:vAlign w:val="center"/>
          </w:tcPr>
          <w:p w14:paraId="13EC6778">
            <w:pPr>
              <w:ind w:firstLine="420"/>
              <w:jc w:val="center"/>
              <w:rPr>
                <w:rFonts w:ascii="宋体" w:hAnsi="宋体" w:cs="宋体"/>
                <w:b/>
                <w:szCs w:val="21"/>
              </w:rPr>
            </w:pPr>
            <w:r>
              <w:rPr>
                <w:rFonts w:hint="eastAsia" w:ascii="宋体" w:hAnsi="宋体" w:cs="宋体"/>
                <w:b/>
                <w:szCs w:val="21"/>
              </w:rPr>
              <w:t>相关部门出具的监狱企业证明文件</w:t>
            </w:r>
          </w:p>
          <w:p w14:paraId="7D173B52">
            <w:pPr>
              <w:ind w:firstLine="420"/>
              <w:jc w:val="center"/>
              <w:rPr>
                <w:rFonts w:ascii="宋体" w:hAnsi="宋体" w:cs="宋体"/>
                <w:b/>
                <w:i/>
                <w:kern w:val="0"/>
                <w:szCs w:val="21"/>
              </w:rPr>
            </w:pPr>
            <w:r>
              <w:rPr>
                <w:rFonts w:hint="eastAsia" w:ascii="宋体" w:hAnsi="宋体" w:cs="宋体"/>
                <w:szCs w:val="21"/>
              </w:rPr>
              <w:t>（如是，提供</w:t>
            </w:r>
            <w:r>
              <w:rPr>
                <w:rFonts w:hint="eastAsia" w:ascii="宋体" w:hAnsi="宋体" w:cs="宋体"/>
                <w:kern w:val="0"/>
                <w:szCs w:val="21"/>
              </w:rPr>
              <w:t>复印件加盖投标供应商公章）</w:t>
            </w:r>
          </w:p>
        </w:tc>
      </w:tr>
    </w:tbl>
    <w:p w14:paraId="0624BF22">
      <w:pPr>
        <w:ind w:firstLine="420"/>
        <w:rPr>
          <w:rFonts w:ascii="宋体" w:hAnsi="宋体" w:cs="宋体"/>
          <w:i/>
          <w:szCs w:val="21"/>
        </w:rPr>
      </w:pPr>
    </w:p>
    <w:p w14:paraId="7CD2609F">
      <w:pPr>
        <w:widowControl/>
        <w:spacing w:line="360" w:lineRule="auto"/>
        <w:ind w:firstLine="420"/>
        <w:rPr>
          <w:rFonts w:ascii="宋体" w:hAnsi="宋体" w:cs="宋体"/>
          <w:szCs w:val="21"/>
        </w:rPr>
      </w:pPr>
      <w:r>
        <w:rPr>
          <w:rFonts w:hint="eastAsia" w:ascii="宋体" w:hAnsi="宋体" w:cs="宋体"/>
          <w:szCs w:val="21"/>
        </w:rPr>
        <w:t xml:space="preserve"> 投标人（公章）:                  日 期：</w:t>
      </w:r>
    </w:p>
    <w:p w14:paraId="5CFD7742">
      <w:pPr>
        <w:ind w:firstLine="420"/>
        <w:rPr>
          <w:rFonts w:ascii="宋体" w:hAnsi="宋体" w:cs="宋体"/>
        </w:rPr>
        <w:sectPr>
          <w:headerReference r:id="rId12" w:type="default"/>
          <w:footerReference r:id="rId13" w:type="default"/>
          <w:pgSz w:w="11906" w:h="16838"/>
          <w:pgMar w:top="1440" w:right="1800" w:bottom="1440" w:left="1800" w:header="851" w:footer="992" w:gutter="0"/>
          <w:cols w:space="720" w:num="1"/>
          <w:docGrid w:type="lines" w:linePitch="312" w:charSpace="0"/>
        </w:sectPr>
      </w:pPr>
    </w:p>
    <w:p w14:paraId="3D94EE34">
      <w:pPr>
        <w:autoSpaceDE w:val="0"/>
        <w:autoSpaceDN w:val="0"/>
        <w:jc w:val="center"/>
        <w:rPr>
          <w:rFonts w:ascii="宋体" w:hAnsi="宋体" w:cs="宋体"/>
          <w:b/>
          <w:spacing w:val="6"/>
          <w:sz w:val="32"/>
          <w:szCs w:val="32"/>
        </w:rPr>
      </w:pPr>
    </w:p>
    <w:p w14:paraId="078E232B">
      <w:pPr>
        <w:snapToGrid w:val="0"/>
        <w:spacing w:line="360" w:lineRule="auto"/>
        <w:ind w:firstLine="420" w:firstLineChars="200"/>
        <w:jc w:val="left"/>
        <w:rPr>
          <w:rFonts w:ascii="宋体" w:hAnsi="宋体" w:cs="宋体"/>
          <w:szCs w:val="21"/>
        </w:rPr>
      </w:pPr>
      <w:r>
        <w:rPr>
          <w:rFonts w:hint="eastAsia" w:ascii="宋体" w:hAnsi="宋体" w:cs="宋体"/>
          <w:szCs w:val="21"/>
        </w:rPr>
        <w:t>投标人的类似成功案例的业绩证明文件：</w:t>
      </w:r>
    </w:p>
    <w:p w14:paraId="3DB8674E">
      <w:pPr>
        <w:pStyle w:val="36"/>
        <w:snapToGrid w:val="0"/>
        <w:spacing w:line="360" w:lineRule="auto"/>
        <w:ind w:left="0" w:firstLine="420" w:firstLineChars="200"/>
        <w:jc w:val="left"/>
        <w:rPr>
          <w:rFonts w:ascii="宋体" w:hAnsi="宋体" w:cs="宋体"/>
          <w:szCs w:val="21"/>
        </w:rPr>
      </w:pPr>
      <w:r>
        <w:rPr>
          <w:rFonts w:hint="eastAsia" w:ascii="宋体" w:hAnsi="宋体" w:cs="宋体"/>
          <w:szCs w:val="21"/>
        </w:rPr>
        <w:t>投标人同类项目实施情况一览表格式：（投标人同类项目合同复印件）</w:t>
      </w:r>
    </w:p>
    <w:tbl>
      <w:tblPr>
        <w:tblStyle w:val="48"/>
        <w:tblW w:w="1428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080"/>
        <w:gridCol w:w="1080"/>
        <w:gridCol w:w="1440"/>
        <w:gridCol w:w="1517"/>
        <w:gridCol w:w="3118"/>
      </w:tblGrid>
      <w:tr w14:paraId="45CE0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171" w:hRule="atLeast"/>
        </w:trPr>
        <w:tc>
          <w:tcPr>
            <w:tcW w:w="2628" w:type="dxa"/>
            <w:tcBorders>
              <w:top w:val="single" w:color="auto" w:sz="4" w:space="0"/>
              <w:left w:val="single" w:color="auto" w:sz="4" w:space="0"/>
              <w:bottom w:val="single" w:color="auto" w:sz="4" w:space="0"/>
              <w:right w:val="single" w:color="auto" w:sz="4" w:space="0"/>
            </w:tcBorders>
            <w:vAlign w:val="center"/>
          </w:tcPr>
          <w:p w14:paraId="513A72D1">
            <w:pPr>
              <w:snapToGrid w:val="0"/>
              <w:spacing w:line="360" w:lineRule="auto"/>
              <w:ind w:firstLine="420" w:firstLineChars="200"/>
              <w:jc w:val="left"/>
              <w:rPr>
                <w:rFonts w:ascii="宋体" w:hAnsi="宋体" w:cs="宋体"/>
                <w:szCs w:val="21"/>
              </w:rPr>
            </w:pPr>
            <w:r>
              <w:rPr>
                <w:rFonts w:hint="eastAsia" w:ascii="宋体" w:hAnsi="宋体" w:cs="宋体"/>
                <w:szCs w:val="21"/>
              </w:rPr>
              <w:t>采购单位名称</w:t>
            </w:r>
          </w:p>
        </w:tc>
        <w:tc>
          <w:tcPr>
            <w:tcW w:w="3420" w:type="dxa"/>
            <w:tcBorders>
              <w:top w:val="single" w:color="auto" w:sz="4" w:space="0"/>
              <w:left w:val="single" w:color="auto" w:sz="4" w:space="0"/>
              <w:bottom w:val="single" w:color="auto" w:sz="4" w:space="0"/>
              <w:right w:val="single" w:color="auto" w:sz="4" w:space="0"/>
            </w:tcBorders>
            <w:vAlign w:val="center"/>
          </w:tcPr>
          <w:p w14:paraId="35E8BA0C">
            <w:pPr>
              <w:snapToGrid w:val="0"/>
              <w:spacing w:line="360" w:lineRule="auto"/>
              <w:ind w:firstLine="420" w:firstLineChars="200"/>
              <w:jc w:val="left"/>
              <w:rPr>
                <w:rFonts w:ascii="宋体" w:hAnsi="宋体" w:cs="宋体"/>
                <w:szCs w:val="21"/>
              </w:rPr>
            </w:pPr>
            <w:r>
              <w:rPr>
                <w:rFonts w:hint="eastAsia" w:ascii="宋体" w:hAnsi="宋体" w:cs="宋体"/>
                <w:szCs w:val="21"/>
              </w:rPr>
              <w:t>设备或项目名称</w:t>
            </w:r>
          </w:p>
        </w:tc>
        <w:tc>
          <w:tcPr>
            <w:tcW w:w="1080" w:type="dxa"/>
            <w:tcBorders>
              <w:top w:val="single" w:color="auto" w:sz="4" w:space="0"/>
              <w:left w:val="single" w:color="auto" w:sz="4" w:space="0"/>
              <w:bottom w:val="single" w:color="auto" w:sz="4" w:space="0"/>
              <w:right w:val="single" w:color="auto" w:sz="4" w:space="0"/>
            </w:tcBorders>
            <w:vAlign w:val="center"/>
          </w:tcPr>
          <w:p w14:paraId="152DFA31">
            <w:pPr>
              <w:snapToGrid w:val="0"/>
              <w:spacing w:line="360" w:lineRule="auto"/>
              <w:ind w:firstLine="420" w:firstLineChars="200"/>
              <w:jc w:val="left"/>
              <w:rPr>
                <w:rFonts w:ascii="宋体" w:hAnsi="宋体" w:cs="宋体"/>
                <w:szCs w:val="21"/>
              </w:rPr>
            </w:pPr>
            <w:r>
              <w:rPr>
                <w:rFonts w:hint="eastAsia" w:ascii="宋体" w:hAnsi="宋体" w:cs="宋体"/>
                <w:szCs w:val="21"/>
              </w:rPr>
              <w:t>采购</w:t>
            </w:r>
          </w:p>
          <w:p w14:paraId="0E83A413">
            <w:pPr>
              <w:snapToGrid w:val="0"/>
              <w:spacing w:line="360" w:lineRule="auto"/>
              <w:ind w:firstLine="420" w:firstLineChars="200"/>
              <w:jc w:val="left"/>
              <w:rPr>
                <w:rFonts w:ascii="宋体" w:hAnsi="宋体" w:cs="宋体"/>
                <w:szCs w:val="21"/>
              </w:rPr>
            </w:pPr>
            <w:r>
              <w:rPr>
                <w:rFonts w:hint="eastAsia" w:ascii="宋体" w:hAnsi="宋体" w:cs="宋体"/>
                <w:szCs w:val="21"/>
              </w:rPr>
              <w:t>数量</w:t>
            </w:r>
          </w:p>
        </w:tc>
        <w:tc>
          <w:tcPr>
            <w:tcW w:w="1080" w:type="dxa"/>
            <w:tcBorders>
              <w:top w:val="single" w:color="auto" w:sz="4" w:space="0"/>
              <w:left w:val="single" w:color="auto" w:sz="4" w:space="0"/>
              <w:bottom w:val="single" w:color="auto" w:sz="4" w:space="0"/>
              <w:right w:val="single" w:color="auto" w:sz="4" w:space="0"/>
            </w:tcBorders>
            <w:vAlign w:val="center"/>
          </w:tcPr>
          <w:p w14:paraId="63A5BEFD">
            <w:pPr>
              <w:snapToGrid w:val="0"/>
              <w:spacing w:line="360" w:lineRule="auto"/>
              <w:ind w:firstLine="420" w:firstLineChars="200"/>
              <w:jc w:val="left"/>
              <w:rPr>
                <w:rFonts w:ascii="宋体" w:hAnsi="宋体" w:cs="宋体"/>
                <w:szCs w:val="21"/>
              </w:rPr>
            </w:pPr>
            <w:r>
              <w:rPr>
                <w:rFonts w:hint="eastAsia" w:ascii="宋体" w:hAnsi="宋体" w:cs="宋体"/>
                <w:szCs w:val="21"/>
              </w:rPr>
              <w:t>单价</w:t>
            </w:r>
          </w:p>
        </w:tc>
        <w:tc>
          <w:tcPr>
            <w:tcW w:w="1440" w:type="dxa"/>
            <w:tcBorders>
              <w:top w:val="single" w:color="auto" w:sz="4" w:space="0"/>
              <w:left w:val="single" w:color="auto" w:sz="4" w:space="0"/>
              <w:bottom w:val="single" w:color="auto" w:sz="4" w:space="0"/>
              <w:right w:val="single" w:color="auto" w:sz="4" w:space="0"/>
            </w:tcBorders>
            <w:vAlign w:val="center"/>
          </w:tcPr>
          <w:p w14:paraId="791C10F7">
            <w:pPr>
              <w:snapToGrid w:val="0"/>
              <w:spacing w:line="360" w:lineRule="auto"/>
              <w:ind w:firstLine="420" w:firstLineChars="200"/>
              <w:jc w:val="left"/>
              <w:rPr>
                <w:rFonts w:ascii="宋体" w:hAnsi="宋体" w:cs="宋体"/>
                <w:szCs w:val="21"/>
              </w:rPr>
            </w:pPr>
            <w:r>
              <w:rPr>
                <w:rFonts w:hint="eastAsia" w:ascii="宋体" w:hAnsi="宋体" w:cs="宋体"/>
                <w:szCs w:val="21"/>
              </w:rPr>
              <w:t>合同</w:t>
            </w:r>
          </w:p>
          <w:p w14:paraId="0515D41E">
            <w:pPr>
              <w:snapToGrid w:val="0"/>
              <w:spacing w:line="360" w:lineRule="auto"/>
              <w:ind w:firstLine="420" w:firstLineChars="200"/>
              <w:jc w:val="left"/>
              <w:rPr>
                <w:rFonts w:ascii="宋体" w:hAnsi="宋体" w:cs="宋体"/>
                <w:szCs w:val="21"/>
              </w:rPr>
            </w:pPr>
            <w:r>
              <w:rPr>
                <w:rFonts w:hint="eastAsia" w:ascii="宋体" w:hAnsi="宋体" w:cs="宋体"/>
                <w:szCs w:val="21"/>
              </w:rPr>
              <w:t>金额</w:t>
            </w:r>
          </w:p>
          <w:p w14:paraId="56C51196">
            <w:pPr>
              <w:snapToGrid w:val="0"/>
              <w:spacing w:line="360" w:lineRule="auto"/>
              <w:ind w:firstLine="420" w:firstLineChars="200"/>
              <w:jc w:val="left"/>
              <w:rPr>
                <w:rFonts w:ascii="宋体" w:hAnsi="宋体" w:cs="宋体"/>
                <w:szCs w:val="21"/>
              </w:rPr>
            </w:pPr>
            <w:r>
              <w:rPr>
                <w:rFonts w:hint="eastAsia" w:ascii="宋体" w:hAnsi="宋体" w:cs="宋体"/>
                <w:szCs w:val="21"/>
              </w:rPr>
              <w:t>（万元）</w:t>
            </w:r>
          </w:p>
        </w:tc>
        <w:tc>
          <w:tcPr>
            <w:tcW w:w="1517" w:type="dxa"/>
            <w:tcBorders>
              <w:top w:val="single" w:color="auto" w:sz="4" w:space="0"/>
              <w:left w:val="single" w:color="auto" w:sz="4" w:space="0"/>
              <w:right w:val="single" w:color="auto" w:sz="4" w:space="0"/>
            </w:tcBorders>
            <w:vAlign w:val="center"/>
          </w:tcPr>
          <w:p w14:paraId="17F760CD">
            <w:pPr>
              <w:snapToGrid w:val="0"/>
              <w:spacing w:line="360" w:lineRule="auto"/>
              <w:ind w:firstLine="420" w:firstLineChars="200"/>
              <w:jc w:val="left"/>
              <w:rPr>
                <w:rFonts w:ascii="宋体" w:hAnsi="宋体" w:cs="宋体"/>
                <w:szCs w:val="21"/>
              </w:rPr>
            </w:pPr>
            <w:r>
              <w:rPr>
                <w:rFonts w:hint="eastAsia" w:ascii="宋体" w:hAnsi="宋体" w:cs="宋体"/>
                <w:szCs w:val="21"/>
              </w:rPr>
              <w:t>附件页码</w:t>
            </w:r>
          </w:p>
          <w:p w14:paraId="29638B82">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vAlign w:val="center"/>
          </w:tcPr>
          <w:p w14:paraId="5DB0F299">
            <w:pPr>
              <w:snapToGrid w:val="0"/>
              <w:spacing w:line="360" w:lineRule="auto"/>
              <w:ind w:firstLine="420" w:firstLineChars="200"/>
              <w:jc w:val="left"/>
              <w:rPr>
                <w:rFonts w:ascii="宋体" w:hAnsi="宋体" w:cs="宋体"/>
                <w:szCs w:val="21"/>
              </w:rPr>
            </w:pPr>
            <w:r>
              <w:rPr>
                <w:rFonts w:hint="eastAsia" w:ascii="宋体" w:hAnsi="宋体" w:cs="宋体"/>
                <w:szCs w:val="21"/>
              </w:rPr>
              <w:t>采购单位联系人及</w:t>
            </w:r>
          </w:p>
          <w:p w14:paraId="4BC1F4E9">
            <w:pPr>
              <w:snapToGrid w:val="0"/>
              <w:spacing w:line="360" w:lineRule="auto"/>
              <w:ind w:firstLine="420" w:firstLineChars="200"/>
              <w:jc w:val="left"/>
              <w:rPr>
                <w:rFonts w:ascii="宋体" w:hAnsi="宋体" w:cs="宋体"/>
                <w:szCs w:val="21"/>
              </w:rPr>
            </w:pPr>
            <w:r>
              <w:rPr>
                <w:rFonts w:hint="eastAsia" w:ascii="宋体" w:hAnsi="宋体" w:cs="宋体"/>
                <w:szCs w:val="21"/>
              </w:rPr>
              <w:t>联系电话</w:t>
            </w:r>
          </w:p>
        </w:tc>
      </w:tr>
      <w:tr w14:paraId="716C07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2628" w:type="dxa"/>
            <w:tcBorders>
              <w:top w:val="single" w:color="auto" w:sz="4" w:space="0"/>
              <w:left w:val="single" w:color="auto" w:sz="4" w:space="0"/>
              <w:bottom w:val="single" w:color="auto" w:sz="4" w:space="0"/>
              <w:right w:val="single" w:color="auto" w:sz="4" w:space="0"/>
            </w:tcBorders>
          </w:tcPr>
          <w:p w14:paraId="420F91F0">
            <w:pPr>
              <w:snapToGrid w:val="0"/>
              <w:spacing w:line="360" w:lineRule="auto"/>
              <w:ind w:firstLine="420" w:firstLineChars="200"/>
              <w:jc w:val="left"/>
              <w:rPr>
                <w:rFonts w:ascii="宋体" w:hAnsi="宋体" w:cs="宋体"/>
                <w:szCs w:val="21"/>
              </w:rPr>
            </w:pPr>
          </w:p>
        </w:tc>
        <w:tc>
          <w:tcPr>
            <w:tcW w:w="3420" w:type="dxa"/>
            <w:tcBorders>
              <w:top w:val="single" w:color="auto" w:sz="4" w:space="0"/>
              <w:left w:val="single" w:color="auto" w:sz="4" w:space="0"/>
              <w:bottom w:val="single" w:color="auto" w:sz="4" w:space="0"/>
              <w:right w:val="single" w:color="auto" w:sz="4" w:space="0"/>
            </w:tcBorders>
          </w:tcPr>
          <w:p w14:paraId="1EA1749D">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63AB2563">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4985ACBF">
            <w:pPr>
              <w:snapToGrid w:val="0"/>
              <w:spacing w:line="360" w:lineRule="auto"/>
              <w:ind w:firstLine="420" w:firstLineChars="200"/>
              <w:jc w:val="lef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14:paraId="351E7CC6">
            <w:pPr>
              <w:snapToGrid w:val="0"/>
              <w:spacing w:line="360" w:lineRule="auto"/>
              <w:ind w:firstLine="420" w:firstLineChars="200"/>
              <w:jc w:val="left"/>
              <w:rPr>
                <w:rFonts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tcPr>
          <w:p w14:paraId="5759D1C2">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tcPr>
          <w:p w14:paraId="315F1CC6">
            <w:pPr>
              <w:snapToGrid w:val="0"/>
              <w:spacing w:line="360" w:lineRule="auto"/>
              <w:ind w:firstLine="420" w:firstLineChars="200"/>
              <w:jc w:val="left"/>
              <w:rPr>
                <w:rFonts w:ascii="宋体" w:hAnsi="宋体" w:cs="宋体"/>
                <w:szCs w:val="21"/>
              </w:rPr>
            </w:pPr>
          </w:p>
        </w:tc>
      </w:tr>
      <w:tr w14:paraId="53955A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2628" w:type="dxa"/>
            <w:tcBorders>
              <w:top w:val="single" w:color="auto" w:sz="4" w:space="0"/>
              <w:left w:val="single" w:color="auto" w:sz="4" w:space="0"/>
              <w:bottom w:val="single" w:color="auto" w:sz="4" w:space="0"/>
              <w:right w:val="single" w:color="auto" w:sz="4" w:space="0"/>
            </w:tcBorders>
          </w:tcPr>
          <w:p w14:paraId="7B380075">
            <w:pPr>
              <w:snapToGrid w:val="0"/>
              <w:spacing w:line="360" w:lineRule="auto"/>
              <w:ind w:firstLine="420" w:firstLineChars="200"/>
              <w:jc w:val="left"/>
              <w:rPr>
                <w:rFonts w:ascii="宋体" w:hAnsi="宋体" w:cs="宋体"/>
                <w:szCs w:val="21"/>
              </w:rPr>
            </w:pPr>
          </w:p>
        </w:tc>
        <w:tc>
          <w:tcPr>
            <w:tcW w:w="3420" w:type="dxa"/>
            <w:tcBorders>
              <w:top w:val="single" w:color="auto" w:sz="4" w:space="0"/>
              <w:left w:val="single" w:color="auto" w:sz="4" w:space="0"/>
              <w:bottom w:val="single" w:color="auto" w:sz="4" w:space="0"/>
              <w:right w:val="single" w:color="auto" w:sz="4" w:space="0"/>
            </w:tcBorders>
          </w:tcPr>
          <w:p w14:paraId="67907F36">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5DDE018A">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13C4AE45">
            <w:pPr>
              <w:snapToGrid w:val="0"/>
              <w:spacing w:line="360" w:lineRule="auto"/>
              <w:ind w:firstLine="420" w:firstLineChars="200"/>
              <w:jc w:val="lef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14:paraId="28E1C0A4">
            <w:pPr>
              <w:snapToGrid w:val="0"/>
              <w:spacing w:line="360" w:lineRule="auto"/>
              <w:ind w:firstLine="420" w:firstLineChars="200"/>
              <w:jc w:val="left"/>
              <w:rPr>
                <w:rFonts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tcPr>
          <w:p w14:paraId="426FFD9D">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tcPr>
          <w:p w14:paraId="5C04DEAA">
            <w:pPr>
              <w:snapToGrid w:val="0"/>
              <w:spacing w:line="360" w:lineRule="auto"/>
              <w:ind w:firstLine="420" w:firstLineChars="200"/>
              <w:jc w:val="left"/>
              <w:rPr>
                <w:rFonts w:ascii="宋体" w:hAnsi="宋体" w:cs="宋体"/>
                <w:szCs w:val="21"/>
              </w:rPr>
            </w:pPr>
          </w:p>
        </w:tc>
      </w:tr>
      <w:tr w14:paraId="166A3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2628" w:type="dxa"/>
            <w:tcBorders>
              <w:top w:val="single" w:color="auto" w:sz="4" w:space="0"/>
              <w:left w:val="single" w:color="auto" w:sz="4" w:space="0"/>
              <w:bottom w:val="single" w:color="auto" w:sz="4" w:space="0"/>
              <w:right w:val="single" w:color="auto" w:sz="4" w:space="0"/>
            </w:tcBorders>
          </w:tcPr>
          <w:p w14:paraId="0614B8E5">
            <w:pPr>
              <w:snapToGrid w:val="0"/>
              <w:spacing w:line="360" w:lineRule="auto"/>
              <w:ind w:firstLine="420" w:firstLineChars="200"/>
              <w:jc w:val="left"/>
              <w:rPr>
                <w:rFonts w:ascii="宋体" w:hAnsi="宋体" w:cs="宋体"/>
                <w:szCs w:val="21"/>
              </w:rPr>
            </w:pPr>
          </w:p>
        </w:tc>
        <w:tc>
          <w:tcPr>
            <w:tcW w:w="3420" w:type="dxa"/>
            <w:tcBorders>
              <w:top w:val="single" w:color="auto" w:sz="4" w:space="0"/>
              <w:left w:val="single" w:color="auto" w:sz="4" w:space="0"/>
              <w:bottom w:val="single" w:color="auto" w:sz="4" w:space="0"/>
              <w:right w:val="single" w:color="auto" w:sz="4" w:space="0"/>
            </w:tcBorders>
          </w:tcPr>
          <w:p w14:paraId="62AABA8A">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26D2FCDA">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0429B92F">
            <w:pPr>
              <w:snapToGrid w:val="0"/>
              <w:spacing w:line="360" w:lineRule="auto"/>
              <w:ind w:firstLine="420" w:firstLineChars="200"/>
              <w:jc w:val="lef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14:paraId="15EFD5EE">
            <w:pPr>
              <w:snapToGrid w:val="0"/>
              <w:spacing w:line="360" w:lineRule="auto"/>
              <w:ind w:firstLine="420" w:firstLineChars="200"/>
              <w:jc w:val="left"/>
              <w:rPr>
                <w:rFonts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tcPr>
          <w:p w14:paraId="1AFE1A1E">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tcPr>
          <w:p w14:paraId="0A1EE172">
            <w:pPr>
              <w:snapToGrid w:val="0"/>
              <w:spacing w:line="360" w:lineRule="auto"/>
              <w:ind w:firstLine="420" w:firstLineChars="200"/>
              <w:jc w:val="left"/>
              <w:rPr>
                <w:rFonts w:ascii="宋体" w:hAnsi="宋体" w:cs="宋体"/>
                <w:szCs w:val="21"/>
              </w:rPr>
            </w:pPr>
          </w:p>
        </w:tc>
      </w:tr>
      <w:tr w14:paraId="373BB7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2628" w:type="dxa"/>
            <w:tcBorders>
              <w:top w:val="single" w:color="auto" w:sz="4" w:space="0"/>
              <w:left w:val="single" w:color="auto" w:sz="4" w:space="0"/>
              <w:bottom w:val="single" w:color="auto" w:sz="4" w:space="0"/>
              <w:right w:val="single" w:color="auto" w:sz="4" w:space="0"/>
            </w:tcBorders>
          </w:tcPr>
          <w:p w14:paraId="5B6E7EE1">
            <w:pPr>
              <w:snapToGrid w:val="0"/>
              <w:spacing w:line="360" w:lineRule="auto"/>
              <w:ind w:firstLine="420" w:firstLineChars="200"/>
              <w:jc w:val="left"/>
              <w:rPr>
                <w:rFonts w:ascii="宋体" w:hAnsi="宋体" w:cs="宋体"/>
                <w:szCs w:val="21"/>
              </w:rPr>
            </w:pPr>
          </w:p>
        </w:tc>
        <w:tc>
          <w:tcPr>
            <w:tcW w:w="3420" w:type="dxa"/>
            <w:tcBorders>
              <w:top w:val="single" w:color="auto" w:sz="4" w:space="0"/>
              <w:left w:val="single" w:color="auto" w:sz="4" w:space="0"/>
              <w:bottom w:val="single" w:color="auto" w:sz="4" w:space="0"/>
              <w:right w:val="single" w:color="auto" w:sz="4" w:space="0"/>
            </w:tcBorders>
          </w:tcPr>
          <w:p w14:paraId="749BE685">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421390B8">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4B9370E3">
            <w:pPr>
              <w:snapToGrid w:val="0"/>
              <w:spacing w:line="360" w:lineRule="auto"/>
              <w:ind w:firstLine="420" w:firstLineChars="200"/>
              <w:jc w:val="lef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14:paraId="621FBF8B">
            <w:pPr>
              <w:snapToGrid w:val="0"/>
              <w:spacing w:line="360" w:lineRule="auto"/>
              <w:ind w:firstLine="420" w:firstLineChars="200"/>
              <w:jc w:val="left"/>
              <w:rPr>
                <w:rFonts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tcPr>
          <w:p w14:paraId="2F7D4EE2">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tcPr>
          <w:p w14:paraId="1AE683D0">
            <w:pPr>
              <w:snapToGrid w:val="0"/>
              <w:spacing w:line="360" w:lineRule="auto"/>
              <w:ind w:firstLine="420" w:firstLineChars="200"/>
              <w:jc w:val="left"/>
              <w:rPr>
                <w:rFonts w:ascii="宋体" w:hAnsi="宋体" w:cs="宋体"/>
                <w:szCs w:val="21"/>
              </w:rPr>
            </w:pPr>
          </w:p>
        </w:tc>
      </w:tr>
      <w:tr w14:paraId="41F26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2628" w:type="dxa"/>
            <w:tcBorders>
              <w:top w:val="single" w:color="auto" w:sz="4" w:space="0"/>
              <w:left w:val="single" w:color="auto" w:sz="4" w:space="0"/>
              <w:bottom w:val="single" w:color="auto" w:sz="4" w:space="0"/>
              <w:right w:val="single" w:color="auto" w:sz="4" w:space="0"/>
            </w:tcBorders>
          </w:tcPr>
          <w:p w14:paraId="24F88294">
            <w:pPr>
              <w:snapToGrid w:val="0"/>
              <w:spacing w:line="360" w:lineRule="auto"/>
              <w:ind w:firstLine="420" w:firstLineChars="200"/>
              <w:jc w:val="left"/>
              <w:rPr>
                <w:rFonts w:ascii="宋体" w:hAnsi="宋体" w:cs="宋体"/>
                <w:szCs w:val="21"/>
              </w:rPr>
            </w:pPr>
          </w:p>
        </w:tc>
        <w:tc>
          <w:tcPr>
            <w:tcW w:w="3420" w:type="dxa"/>
            <w:tcBorders>
              <w:top w:val="single" w:color="auto" w:sz="4" w:space="0"/>
              <w:left w:val="single" w:color="auto" w:sz="4" w:space="0"/>
              <w:bottom w:val="single" w:color="auto" w:sz="4" w:space="0"/>
              <w:right w:val="single" w:color="auto" w:sz="4" w:space="0"/>
            </w:tcBorders>
          </w:tcPr>
          <w:p w14:paraId="5EB98E5E">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167745B3">
            <w:pPr>
              <w:snapToGrid w:val="0"/>
              <w:spacing w:line="360" w:lineRule="auto"/>
              <w:ind w:firstLine="420" w:firstLineChars="200"/>
              <w:jc w:val="left"/>
              <w:rPr>
                <w:rFonts w:ascii="宋体" w:hAnsi="宋体" w:cs="宋体"/>
                <w:szCs w:val="21"/>
              </w:rPr>
            </w:pPr>
          </w:p>
        </w:tc>
        <w:tc>
          <w:tcPr>
            <w:tcW w:w="1080" w:type="dxa"/>
            <w:tcBorders>
              <w:top w:val="single" w:color="auto" w:sz="4" w:space="0"/>
              <w:left w:val="single" w:color="auto" w:sz="4" w:space="0"/>
              <w:bottom w:val="single" w:color="auto" w:sz="4" w:space="0"/>
              <w:right w:val="single" w:color="auto" w:sz="4" w:space="0"/>
            </w:tcBorders>
          </w:tcPr>
          <w:p w14:paraId="76A62575">
            <w:pPr>
              <w:snapToGrid w:val="0"/>
              <w:spacing w:line="360" w:lineRule="auto"/>
              <w:ind w:firstLine="420" w:firstLineChars="200"/>
              <w:jc w:val="left"/>
              <w:rPr>
                <w:rFonts w:ascii="宋体" w:hAnsi="宋体" w:cs="宋体"/>
                <w:szCs w:val="21"/>
              </w:rPr>
            </w:pPr>
          </w:p>
        </w:tc>
        <w:tc>
          <w:tcPr>
            <w:tcW w:w="1440" w:type="dxa"/>
            <w:tcBorders>
              <w:top w:val="single" w:color="auto" w:sz="4" w:space="0"/>
              <w:left w:val="single" w:color="auto" w:sz="4" w:space="0"/>
              <w:bottom w:val="single" w:color="auto" w:sz="4" w:space="0"/>
              <w:right w:val="single" w:color="auto" w:sz="4" w:space="0"/>
            </w:tcBorders>
          </w:tcPr>
          <w:p w14:paraId="0FDF7254">
            <w:pPr>
              <w:snapToGrid w:val="0"/>
              <w:spacing w:line="360" w:lineRule="auto"/>
              <w:ind w:firstLine="420" w:firstLineChars="200"/>
              <w:jc w:val="left"/>
              <w:rPr>
                <w:rFonts w:ascii="宋体" w:hAnsi="宋体" w:cs="宋体"/>
                <w:szCs w:val="21"/>
              </w:rPr>
            </w:pPr>
          </w:p>
        </w:tc>
        <w:tc>
          <w:tcPr>
            <w:tcW w:w="1517" w:type="dxa"/>
            <w:tcBorders>
              <w:top w:val="single" w:color="auto" w:sz="4" w:space="0"/>
              <w:left w:val="single" w:color="auto" w:sz="4" w:space="0"/>
              <w:bottom w:val="single" w:color="auto" w:sz="4" w:space="0"/>
              <w:right w:val="single" w:color="auto" w:sz="4" w:space="0"/>
            </w:tcBorders>
          </w:tcPr>
          <w:p w14:paraId="259D77BA">
            <w:pPr>
              <w:snapToGrid w:val="0"/>
              <w:spacing w:line="360" w:lineRule="auto"/>
              <w:ind w:firstLine="420" w:firstLineChars="200"/>
              <w:jc w:val="left"/>
              <w:rPr>
                <w:rFonts w:ascii="宋体" w:hAnsi="宋体" w:cs="宋体"/>
                <w:szCs w:val="21"/>
              </w:rPr>
            </w:pPr>
          </w:p>
        </w:tc>
        <w:tc>
          <w:tcPr>
            <w:tcW w:w="3118" w:type="dxa"/>
            <w:tcBorders>
              <w:top w:val="single" w:color="auto" w:sz="4" w:space="0"/>
              <w:left w:val="single" w:color="auto" w:sz="4" w:space="0"/>
              <w:bottom w:val="single" w:color="auto" w:sz="4" w:space="0"/>
              <w:right w:val="single" w:color="auto" w:sz="4" w:space="0"/>
            </w:tcBorders>
          </w:tcPr>
          <w:p w14:paraId="5D8F0DC4">
            <w:pPr>
              <w:snapToGrid w:val="0"/>
              <w:spacing w:line="360" w:lineRule="auto"/>
              <w:ind w:firstLine="420" w:firstLineChars="200"/>
              <w:jc w:val="left"/>
              <w:rPr>
                <w:rFonts w:ascii="宋体" w:hAnsi="宋体" w:cs="宋体"/>
                <w:szCs w:val="21"/>
              </w:rPr>
            </w:pPr>
          </w:p>
        </w:tc>
      </w:tr>
    </w:tbl>
    <w:p w14:paraId="07912F1A">
      <w:pPr>
        <w:pStyle w:val="16"/>
        <w:snapToGrid w:val="0"/>
        <w:spacing w:before="0" w:after="0" w:line="360" w:lineRule="auto"/>
        <w:ind w:firstLine="420" w:firstLineChars="200"/>
        <w:jc w:val="left"/>
        <w:rPr>
          <w:rFonts w:ascii="宋体" w:hAnsi="宋体" w:eastAsia="宋体" w:cs="宋体"/>
          <w:sz w:val="21"/>
          <w:szCs w:val="21"/>
        </w:rPr>
      </w:pPr>
    </w:p>
    <w:p w14:paraId="4CD26593">
      <w:pPr>
        <w:pStyle w:val="16"/>
        <w:snapToGrid w:val="0"/>
        <w:spacing w:before="0" w:after="0" w:line="360" w:lineRule="auto"/>
        <w:ind w:firstLine="420" w:firstLineChars="200"/>
        <w:jc w:val="left"/>
        <w:rPr>
          <w:rFonts w:ascii="宋体" w:hAnsi="宋体" w:eastAsia="宋体" w:cs="宋体"/>
          <w:sz w:val="21"/>
          <w:szCs w:val="21"/>
          <w:u w:val="single"/>
        </w:rPr>
      </w:pPr>
      <w:r>
        <w:rPr>
          <w:rFonts w:hint="eastAsia" w:ascii="宋体" w:hAnsi="宋体" w:eastAsia="宋体" w:cs="宋体"/>
          <w:sz w:val="21"/>
          <w:szCs w:val="21"/>
        </w:rPr>
        <w:t>法定代表人或其委托代理人签名（或盖章）：</w:t>
      </w:r>
      <w:r>
        <w:rPr>
          <w:rFonts w:hint="eastAsia" w:ascii="宋体" w:hAnsi="宋体" w:eastAsia="宋体" w:cs="宋体"/>
          <w:sz w:val="21"/>
          <w:szCs w:val="21"/>
          <w:u w:val="single"/>
        </w:rPr>
        <w:t>　　　　　</w:t>
      </w:r>
    </w:p>
    <w:p w14:paraId="1E574C63">
      <w:pPr>
        <w:snapToGrid w:val="0"/>
        <w:spacing w:line="360" w:lineRule="auto"/>
        <w:ind w:firstLine="420" w:firstLineChars="200"/>
        <w:jc w:val="left"/>
        <w:rPr>
          <w:rFonts w:ascii="宋体" w:hAnsi="宋体" w:cs="宋体"/>
          <w:szCs w:val="21"/>
        </w:rPr>
      </w:pPr>
      <w:r>
        <w:rPr>
          <w:rFonts w:hint="eastAsia" w:ascii="宋体" w:hAnsi="宋体" w:cs="宋体"/>
          <w:szCs w:val="21"/>
        </w:rPr>
        <w:t>投标人公章：年月日</w:t>
      </w:r>
    </w:p>
    <w:p w14:paraId="251C37CC">
      <w:pPr>
        <w:snapToGrid w:val="0"/>
        <w:spacing w:line="360" w:lineRule="auto"/>
        <w:ind w:firstLine="420" w:firstLineChars="200"/>
        <w:jc w:val="left"/>
        <w:rPr>
          <w:rFonts w:ascii="宋体" w:hAnsi="宋体" w:cs="宋体"/>
          <w:szCs w:val="21"/>
        </w:rPr>
      </w:pPr>
    </w:p>
    <w:p w14:paraId="35DE1683">
      <w:pPr>
        <w:snapToGrid w:val="0"/>
        <w:spacing w:line="360" w:lineRule="auto"/>
        <w:ind w:firstLine="420" w:firstLineChars="200"/>
        <w:jc w:val="left"/>
        <w:rPr>
          <w:rFonts w:ascii="宋体" w:hAnsi="宋体" w:cs="宋体"/>
          <w:szCs w:val="21"/>
        </w:rPr>
        <w:sectPr>
          <w:pgSz w:w="16838" w:h="11906" w:orient="landscape"/>
          <w:pgMar w:top="1797" w:right="1474" w:bottom="1797" w:left="1247" w:header="851" w:footer="851" w:gutter="0"/>
          <w:cols w:space="720" w:num="1"/>
          <w:docGrid w:linePitch="312" w:charSpace="0"/>
        </w:sectPr>
      </w:pPr>
    </w:p>
    <w:p w14:paraId="0D949A87">
      <w:pPr>
        <w:snapToGrid w:val="0"/>
        <w:spacing w:line="360" w:lineRule="auto"/>
        <w:ind w:firstLine="420" w:firstLineChars="200"/>
        <w:jc w:val="left"/>
        <w:rPr>
          <w:rFonts w:ascii="宋体" w:hAnsi="宋体" w:cs="宋体"/>
          <w:szCs w:val="21"/>
        </w:rPr>
      </w:pPr>
      <w:r>
        <w:rPr>
          <w:rFonts w:hint="eastAsia" w:ascii="宋体" w:hAnsi="宋体" w:cs="宋体"/>
          <w:szCs w:val="21"/>
        </w:rPr>
        <w:t>商务响应表格式：</w:t>
      </w:r>
    </w:p>
    <w:tbl>
      <w:tblPr>
        <w:tblStyle w:val="48"/>
        <w:tblW w:w="856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376"/>
        <w:gridCol w:w="1891"/>
        <w:gridCol w:w="1653"/>
        <w:gridCol w:w="2645"/>
      </w:tblGrid>
      <w:tr w14:paraId="32DFE7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7" w:hRule="atLeast"/>
        </w:trPr>
        <w:tc>
          <w:tcPr>
            <w:tcW w:w="2376" w:type="dxa"/>
            <w:tcBorders>
              <w:top w:val="single" w:color="auto" w:sz="4" w:space="0"/>
              <w:left w:val="single" w:color="auto" w:sz="4" w:space="0"/>
              <w:bottom w:val="single" w:color="auto" w:sz="4" w:space="0"/>
              <w:right w:val="single" w:color="auto" w:sz="4" w:space="0"/>
            </w:tcBorders>
          </w:tcPr>
          <w:p w14:paraId="0FC49E4D">
            <w:pPr>
              <w:snapToGrid w:val="0"/>
              <w:spacing w:line="360" w:lineRule="auto"/>
              <w:jc w:val="left"/>
              <w:rPr>
                <w:rFonts w:ascii="宋体" w:hAnsi="宋体" w:cs="宋体"/>
                <w:szCs w:val="21"/>
              </w:rPr>
            </w:pPr>
            <w:r>
              <w:rPr>
                <w:rFonts w:hint="eastAsia" w:ascii="宋体" w:hAnsi="宋体" w:cs="宋体"/>
                <w:szCs w:val="21"/>
              </w:rPr>
              <w:t>项目</w:t>
            </w:r>
          </w:p>
        </w:tc>
        <w:tc>
          <w:tcPr>
            <w:tcW w:w="1891" w:type="dxa"/>
            <w:tcBorders>
              <w:top w:val="single" w:color="auto" w:sz="4" w:space="0"/>
              <w:left w:val="single" w:color="auto" w:sz="4" w:space="0"/>
              <w:bottom w:val="single" w:color="auto" w:sz="4" w:space="0"/>
              <w:right w:val="single" w:color="auto" w:sz="4" w:space="0"/>
            </w:tcBorders>
          </w:tcPr>
          <w:p w14:paraId="05926611">
            <w:pPr>
              <w:snapToGrid w:val="0"/>
              <w:spacing w:line="360" w:lineRule="auto"/>
              <w:jc w:val="left"/>
              <w:rPr>
                <w:rFonts w:ascii="宋体" w:hAnsi="宋体" w:cs="宋体"/>
                <w:szCs w:val="21"/>
              </w:rPr>
            </w:pPr>
            <w:r>
              <w:rPr>
                <w:rFonts w:hint="eastAsia" w:ascii="宋体" w:hAnsi="宋体" w:cs="宋体"/>
                <w:szCs w:val="21"/>
              </w:rPr>
              <w:t>招标文件要求</w:t>
            </w:r>
          </w:p>
        </w:tc>
        <w:tc>
          <w:tcPr>
            <w:tcW w:w="1653" w:type="dxa"/>
            <w:tcBorders>
              <w:top w:val="single" w:color="auto" w:sz="4" w:space="0"/>
              <w:left w:val="single" w:color="auto" w:sz="4" w:space="0"/>
              <w:bottom w:val="single" w:color="auto" w:sz="4" w:space="0"/>
              <w:right w:val="single" w:color="auto" w:sz="4" w:space="0"/>
            </w:tcBorders>
          </w:tcPr>
          <w:p w14:paraId="47967F47">
            <w:pPr>
              <w:snapToGrid w:val="0"/>
              <w:spacing w:line="360" w:lineRule="auto"/>
              <w:jc w:val="left"/>
              <w:rPr>
                <w:rFonts w:ascii="宋体" w:hAnsi="宋体" w:cs="宋体"/>
                <w:szCs w:val="21"/>
              </w:rPr>
            </w:pPr>
            <w:r>
              <w:rPr>
                <w:rFonts w:hint="eastAsia" w:ascii="宋体" w:hAnsi="宋体" w:cs="宋体"/>
                <w:szCs w:val="21"/>
              </w:rPr>
              <w:t>是否响应</w:t>
            </w:r>
          </w:p>
        </w:tc>
        <w:tc>
          <w:tcPr>
            <w:tcW w:w="2645" w:type="dxa"/>
            <w:tcBorders>
              <w:top w:val="single" w:color="auto" w:sz="4" w:space="0"/>
              <w:left w:val="single" w:color="auto" w:sz="4" w:space="0"/>
              <w:bottom w:val="single" w:color="auto" w:sz="4" w:space="0"/>
              <w:right w:val="single" w:color="auto" w:sz="4" w:space="0"/>
            </w:tcBorders>
          </w:tcPr>
          <w:p w14:paraId="37F97B15">
            <w:pPr>
              <w:snapToGrid w:val="0"/>
              <w:spacing w:line="360" w:lineRule="auto"/>
              <w:jc w:val="left"/>
              <w:rPr>
                <w:rFonts w:ascii="宋体" w:hAnsi="宋体" w:cs="宋体"/>
                <w:szCs w:val="21"/>
              </w:rPr>
            </w:pPr>
            <w:r>
              <w:rPr>
                <w:rFonts w:hint="eastAsia" w:ascii="宋体" w:hAnsi="宋体" w:cs="宋体"/>
                <w:szCs w:val="21"/>
              </w:rPr>
              <w:t>投标人的承诺或说明</w:t>
            </w:r>
          </w:p>
        </w:tc>
      </w:tr>
      <w:tr w14:paraId="54542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376" w:type="dxa"/>
            <w:tcBorders>
              <w:top w:val="single" w:color="auto" w:sz="4" w:space="0"/>
              <w:left w:val="single" w:color="auto" w:sz="4" w:space="0"/>
              <w:bottom w:val="single" w:color="auto" w:sz="4" w:space="0"/>
              <w:right w:val="single" w:color="auto" w:sz="4" w:space="0"/>
            </w:tcBorders>
            <w:vAlign w:val="center"/>
          </w:tcPr>
          <w:p w14:paraId="73909B99">
            <w:pPr>
              <w:widowControl/>
              <w:overflowPunct w:val="0"/>
              <w:autoSpaceDE w:val="0"/>
              <w:autoSpaceDN w:val="0"/>
              <w:adjustRightInd w:val="0"/>
              <w:spacing w:line="360" w:lineRule="auto"/>
              <w:jc w:val="center"/>
              <w:textAlignment w:val="baseline"/>
              <w:rPr>
                <w:rFonts w:ascii="宋体" w:hAnsi="宋体" w:cs="宋体"/>
                <w:szCs w:val="21"/>
              </w:rPr>
            </w:pPr>
          </w:p>
        </w:tc>
        <w:tc>
          <w:tcPr>
            <w:tcW w:w="1891" w:type="dxa"/>
            <w:tcBorders>
              <w:top w:val="single" w:color="auto" w:sz="4" w:space="0"/>
              <w:left w:val="single" w:color="auto" w:sz="4" w:space="0"/>
              <w:bottom w:val="single" w:color="auto" w:sz="4" w:space="0"/>
              <w:right w:val="single" w:color="auto" w:sz="4" w:space="0"/>
            </w:tcBorders>
          </w:tcPr>
          <w:p w14:paraId="46A54D8F">
            <w:pPr>
              <w:snapToGrid w:val="0"/>
              <w:spacing w:line="360" w:lineRule="auto"/>
              <w:ind w:firstLine="420" w:firstLineChars="200"/>
              <w:jc w:val="left"/>
              <w:rPr>
                <w:rFonts w:ascii="宋体" w:hAnsi="宋体" w:cs="宋体"/>
                <w:szCs w:val="21"/>
              </w:rPr>
            </w:pPr>
          </w:p>
        </w:tc>
        <w:tc>
          <w:tcPr>
            <w:tcW w:w="1653" w:type="dxa"/>
            <w:tcBorders>
              <w:top w:val="single" w:color="auto" w:sz="4" w:space="0"/>
              <w:left w:val="single" w:color="auto" w:sz="4" w:space="0"/>
              <w:bottom w:val="single" w:color="auto" w:sz="4" w:space="0"/>
              <w:right w:val="single" w:color="auto" w:sz="4" w:space="0"/>
            </w:tcBorders>
          </w:tcPr>
          <w:p w14:paraId="69DED72E">
            <w:pPr>
              <w:snapToGrid w:val="0"/>
              <w:spacing w:line="360" w:lineRule="auto"/>
              <w:ind w:firstLine="420" w:firstLineChars="200"/>
              <w:jc w:val="left"/>
              <w:rPr>
                <w:rFonts w:ascii="宋体" w:hAnsi="宋体" w:cs="宋体"/>
                <w:szCs w:val="21"/>
              </w:rPr>
            </w:pPr>
          </w:p>
        </w:tc>
        <w:tc>
          <w:tcPr>
            <w:tcW w:w="2645" w:type="dxa"/>
            <w:tcBorders>
              <w:top w:val="single" w:color="auto" w:sz="4" w:space="0"/>
              <w:left w:val="single" w:color="auto" w:sz="4" w:space="0"/>
              <w:bottom w:val="single" w:color="auto" w:sz="4" w:space="0"/>
              <w:right w:val="single" w:color="auto" w:sz="4" w:space="0"/>
            </w:tcBorders>
          </w:tcPr>
          <w:p w14:paraId="1B757328">
            <w:pPr>
              <w:snapToGrid w:val="0"/>
              <w:spacing w:line="360" w:lineRule="auto"/>
              <w:ind w:firstLine="420" w:firstLineChars="200"/>
              <w:jc w:val="left"/>
              <w:rPr>
                <w:rFonts w:ascii="宋体" w:hAnsi="宋体" w:cs="宋体"/>
                <w:szCs w:val="21"/>
              </w:rPr>
            </w:pPr>
          </w:p>
        </w:tc>
      </w:tr>
      <w:tr w14:paraId="3E9835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76" w:type="dxa"/>
            <w:tcBorders>
              <w:top w:val="single" w:color="auto" w:sz="4" w:space="0"/>
              <w:left w:val="single" w:color="auto" w:sz="4" w:space="0"/>
              <w:bottom w:val="single" w:color="auto" w:sz="4" w:space="0"/>
              <w:right w:val="single" w:color="auto" w:sz="4" w:space="0"/>
            </w:tcBorders>
            <w:vAlign w:val="center"/>
          </w:tcPr>
          <w:p w14:paraId="5366A887">
            <w:pPr>
              <w:widowControl/>
              <w:overflowPunct w:val="0"/>
              <w:autoSpaceDE w:val="0"/>
              <w:autoSpaceDN w:val="0"/>
              <w:adjustRightInd w:val="0"/>
              <w:spacing w:line="360" w:lineRule="auto"/>
              <w:jc w:val="center"/>
              <w:textAlignment w:val="baseline"/>
              <w:rPr>
                <w:rFonts w:ascii="宋体" w:hAnsi="宋体" w:cs="宋体"/>
                <w:szCs w:val="21"/>
              </w:rPr>
            </w:pPr>
          </w:p>
        </w:tc>
        <w:tc>
          <w:tcPr>
            <w:tcW w:w="1891" w:type="dxa"/>
            <w:tcBorders>
              <w:top w:val="single" w:color="auto" w:sz="4" w:space="0"/>
              <w:left w:val="single" w:color="auto" w:sz="4" w:space="0"/>
              <w:bottom w:val="single" w:color="auto" w:sz="4" w:space="0"/>
              <w:right w:val="single" w:color="auto" w:sz="4" w:space="0"/>
            </w:tcBorders>
          </w:tcPr>
          <w:p w14:paraId="16511E36">
            <w:pPr>
              <w:snapToGrid w:val="0"/>
              <w:spacing w:line="360" w:lineRule="auto"/>
              <w:ind w:firstLine="420" w:firstLineChars="200"/>
              <w:jc w:val="left"/>
              <w:rPr>
                <w:rFonts w:ascii="宋体" w:hAnsi="宋体" w:cs="宋体"/>
                <w:szCs w:val="21"/>
              </w:rPr>
            </w:pPr>
          </w:p>
        </w:tc>
        <w:tc>
          <w:tcPr>
            <w:tcW w:w="1653" w:type="dxa"/>
            <w:tcBorders>
              <w:top w:val="single" w:color="auto" w:sz="4" w:space="0"/>
              <w:left w:val="single" w:color="auto" w:sz="4" w:space="0"/>
              <w:bottom w:val="single" w:color="auto" w:sz="4" w:space="0"/>
              <w:right w:val="single" w:color="auto" w:sz="4" w:space="0"/>
            </w:tcBorders>
          </w:tcPr>
          <w:p w14:paraId="44B06645">
            <w:pPr>
              <w:snapToGrid w:val="0"/>
              <w:spacing w:line="360" w:lineRule="auto"/>
              <w:ind w:firstLine="420" w:firstLineChars="200"/>
              <w:jc w:val="left"/>
              <w:rPr>
                <w:rFonts w:ascii="宋体" w:hAnsi="宋体" w:cs="宋体"/>
                <w:szCs w:val="21"/>
              </w:rPr>
            </w:pPr>
          </w:p>
        </w:tc>
        <w:tc>
          <w:tcPr>
            <w:tcW w:w="2645" w:type="dxa"/>
            <w:tcBorders>
              <w:top w:val="single" w:color="auto" w:sz="4" w:space="0"/>
              <w:left w:val="single" w:color="auto" w:sz="4" w:space="0"/>
              <w:bottom w:val="single" w:color="auto" w:sz="4" w:space="0"/>
              <w:right w:val="single" w:color="auto" w:sz="4" w:space="0"/>
            </w:tcBorders>
          </w:tcPr>
          <w:p w14:paraId="214C0EDD">
            <w:pPr>
              <w:snapToGrid w:val="0"/>
              <w:spacing w:line="360" w:lineRule="auto"/>
              <w:ind w:firstLine="420" w:firstLineChars="200"/>
              <w:jc w:val="left"/>
              <w:rPr>
                <w:rFonts w:ascii="宋体" w:hAnsi="宋体" w:cs="宋体"/>
                <w:szCs w:val="21"/>
              </w:rPr>
            </w:pPr>
          </w:p>
        </w:tc>
      </w:tr>
      <w:tr w14:paraId="1B7D3E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376" w:type="dxa"/>
            <w:tcBorders>
              <w:top w:val="single" w:color="auto" w:sz="4" w:space="0"/>
              <w:left w:val="single" w:color="auto" w:sz="4" w:space="0"/>
              <w:bottom w:val="single" w:color="auto" w:sz="4" w:space="0"/>
              <w:right w:val="single" w:color="auto" w:sz="4" w:space="0"/>
            </w:tcBorders>
            <w:vAlign w:val="center"/>
          </w:tcPr>
          <w:p w14:paraId="3ED76E43">
            <w:pPr>
              <w:widowControl/>
              <w:overflowPunct w:val="0"/>
              <w:autoSpaceDE w:val="0"/>
              <w:autoSpaceDN w:val="0"/>
              <w:adjustRightInd w:val="0"/>
              <w:spacing w:line="360" w:lineRule="auto"/>
              <w:jc w:val="center"/>
              <w:textAlignment w:val="baseline"/>
              <w:rPr>
                <w:rFonts w:ascii="宋体" w:hAnsi="宋体" w:cs="宋体"/>
                <w:szCs w:val="21"/>
              </w:rPr>
            </w:pPr>
          </w:p>
        </w:tc>
        <w:tc>
          <w:tcPr>
            <w:tcW w:w="1891" w:type="dxa"/>
            <w:tcBorders>
              <w:top w:val="single" w:color="auto" w:sz="4" w:space="0"/>
              <w:left w:val="single" w:color="auto" w:sz="4" w:space="0"/>
              <w:bottom w:val="single" w:color="auto" w:sz="4" w:space="0"/>
              <w:right w:val="single" w:color="auto" w:sz="4" w:space="0"/>
            </w:tcBorders>
          </w:tcPr>
          <w:p w14:paraId="596823A1">
            <w:pPr>
              <w:snapToGrid w:val="0"/>
              <w:spacing w:line="360" w:lineRule="auto"/>
              <w:ind w:firstLine="420" w:firstLineChars="200"/>
              <w:jc w:val="left"/>
              <w:rPr>
                <w:rFonts w:ascii="宋体" w:hAnsi="宋体" w:cs="宋体"/>
                <w:szCs w:val="21"/>
              </w:rPr>
            </w:pPr>
          </w:p>
        </w:tc>
        <w:tc>
          <w:tcPr>
            <w:tcW w:w="1653" w:type="dxa"/>
            <w:tcBorders>
              <w:top w:val="single" w:color="auto" w:sz="4" w:space="0"/>
              <w:left w:val="single" w:color="auto" w:sz="4" w:space="0"/>
              <w:bottom w:val="single" w:color="auto" w:sz="4" w:space="0"/>
              <w:right w:val="single" w:color="auto" w:sz="4" w:space="0"/>
            </w:tcBorders>
          </w:tcPr>
          <w:p w14:paraId="57E6808F">
            <w:pPr>
              <w:snapToGrid w:val="0"/>
              <w:spacing w:line="360" w:lineRule="auto"/>
              <w:ind w:firstLine="420" w:firstLineChars="200"/>
              <w:jc w:val="left"/>
              <w:rPr>
                <w:rFonts w:ascii="宋体" w:hAnsi="宋体" w:cs="宋体"/>
                <w:szCs w:val="21"/>
              </w:rPr>
            </w:pPr>
          </w:p>
        </w:tc>
        <w:tc>
          <w:tcPr>
            <w:tcW w:w="2645" w:type="dxa"/>
            <w:tcBorders>
              <w:top w:val="single" w:color="auto" w:sz="4" w:space="0"/>
              <w:left w:val="single" w:color="auto" w:sz="4" w:space="0"/>
              <w:bottom w:val="single" w:color="auto" w:sz="4" w:space="0"/>
              <w:right w:val="single" w:color="auto" w:sz="4" w:space="0"/>
            </w:tcBorders>
          </w:tcPr>
          <w:p w14:paraId="47593F71">
            <w:pPr>
              <w:snapToGrid w:val="0"/>
              <w:spacing w:line="360" w:lineRule="auto"/>
              <w:ind w:firstLine="420" w:firstLineChars="200"/>
              <w:jc w:val="left"/>
              <w:rPr>
                <w:rFonts w:ascii="宋体" w:hAnsi="宋体" w:cs="宋体"/>
                <w:szCs w:val="21"/>
              </w:rPr>
            </w:pPr>
          </w:p>
        </w:tc>
      </w:tr>
      <w:tr w14:paraId="5383AB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6" w:type="dxa"/>
            <w:tcBorders>
              <w:top w:val="single" w:color="auto" w:sz="4" w:space="0"/>
              <w:left w:val="single" w:color="auto" w:sz="4" w:space="0"/>
              <w:bottom w:val="single" w:color="auto" w:sz="4" w:space="0"/>
              <w:right w:val="single" w:color="auto" w:sz="4" w:space="0"/>
            </w:tcBorders>
            <w:vAlign w:val="center"/>
          </w:tcPr>
          <w:p w14:paraId="631C8388">
            <w:pPr>
              <w:snapToGrid w:val="0"/>
              <w:spacing w:line="360" w:lineRule="auto"/>
              <w:jc w:val="center"/>
              <w:rPr>
                <w:rFonts w:ascii="宋体" w:hAnsi="宋体" w:cs="宋体"/>
                <w:szCs w:val="21"/>
              </w:rPr>
            </w:pPr>
          </w:p>
        </w:tc>
        <w:tc>
          <w:tcPr>
            <w:tcW w:w="1891" w:type="dxa"/>
            <w:tcBorders>
              <w:top w:val="single" w:color="auto" w:sz="4" w:space="0"/>
              <w:left w:val="single" w:color="auto" w:sz="4" w:space="0"/>
              <w:bottom w:val="single" w:color="auto" w:sz="4" w:space="0"/>
              <w:right w:val="single" w:color="auto" w:sz="4" w:space="0"/>
            </w:tcBorders>
          </w:tcPr>
          <w:p w14:paraId="27FB4C0F">
            <w:pPr>
              <w:snapToGrid w:val="0"/>
              <w:spacing w:line="360" w:lineRule="auto"/>
              <w:ind w:firstLine="420" w:firstLineChars="200"/>
              <w:jc w:val="left"/>
              <w:rPr>
                <w:rFonts w:ascii="宋体" w:hAnsi="宋体" w:cs="宋体"/>
                <w:szCs w:val="21"/>
              </w:rPr>
            </w:pPr>
          </w:p>
        </w:tc>
        <w:tc>
          <w:tcPr>
            <w:tcW w:w="1653" w:type="dxa"/>
            <w:tcBorders>
              <w:top w:val="single" w:color="auto" w:sz="4" w:space="0"/>
              <w:left w:val="single" w:color="auto" w:sz="4" w:space="0"/>
              <w:bottom w:val="single" w:color="auto" w:sz="4" w:space="0"/>
              <w:right w:val="single" w:color="auto" w:sz="4" w:space="0"/>
            </w:tcBorders>
          </w:tcPr>
          <w:p w14:paraId="66738ED9">
            <w:pPr>
              <w:snapToGrid w:val="0"/>
              <w:spacing w:line="360" w:lineRule="auto"/>
              <w:ind w:firstLine="420" w:firstLineChars="200"/>
              <w:jc w:val="left"/>
              <w:rPr>
                <w:rFonts w:ascii="宋体" w:hAnsi="宋体" w:cs="宋体"/>
                <w:szCs w:val="21"/>
              </w:rPr>
            </w:pPr>
          </w:p>
        </w:tc>
        <w:tc>
          <w:tcPr>
            <w:tcW w:w="2645" w:type="dxa"/>
            <w:tcBorders>
              <w:top w:val="single" w:color="auto" w:sz="4" w:space="0"/>
              <w:left w:val="single" w:color="auto" w:sz="4" w:space="0"/>
              <w:bottom w:val="single" w:color="auto" w:sz="4" w:space="0"/>
              <w:right w:val="single" w:color="auto" w:sz="4" w:space="0"/>
            </w:tcBorders>
          </w:tcPr>
          <w:p w14:paraId="723B44A6">
            <w:pPr>
              <w:snapToGrid w:val="0"/>
              <w:spacing w:line="360" w:lineRule="auto"/>
              <w:ind w:firstLine="420" w:firstLineChars="200"/>
              <w:jc w:val="left"/>
              <w:rPr>
                <w:rFonts w:ascii="宋体" w:hAnsi="宋体" w:cs="宋体"/>
                <w:szCs w:val="21"/>
              </w:rPr>
            </w:pPr>
          </w:p>
        </w:tc>
      </w:tr>
    </w:tbl>
    <w:p w14:paraId="35A6AB61">
      <w:pPr>
        <w:pStyle w:val="25"/>
        <w:spacing w:line="360" w:lineRule="auto"/>
        <w:ind w:firstLine="420" w:firstLineChars="200"/>
        <w:jc w:val="left"/>
        <w:rPr>
          <w:rFonts w:hAnsi="宋体" w:cs="宋体"/>
          <w:szCs w:val="21"/>
        </w:rPr>
      </w:pPr>
    </w:p>
    <w:p w14:paraId="0ECA21A9">
      <w:pPr>
        <w:pStyle w:val="25"/>
        <w:spacing w:line="360" w:lineRule="auto"/>
        <w:ind w:firstLine="420" w:firstLineChars="200"/>
        <w:jc w:val="left"/>
        <w:rPr>
          <w:rFonts w:hAnsi="宋体" w:cs="宋体"/>
          <w:szCs w:val="21"/>
        </w:rPr>
      </w:pPr>
      <w:r>
        <w:rPr>
          <w:rFonts w:hint="eastAsia" w:hAnsi="宋体" w:cs="宋体"/>
          <w:szCs w:val="21"/>
        </w:rPr>
        <w:t>注：本表不允许负偏离；</w:t>
      </w:r>
    </w:p>
    <w:p w14:paraId="5A6336D5">
      <w:pPr>
        <w:pStyle w:val="25"/>
        <w:spacing w:line="360" w:lineRule="auto"/>
        <w:ind w:firstLine="420" w:firstLineChars="200"/>
        <w:jc w:val="left"/>
        <w:rPr>
          <w:rFonts w:hAnsi="宋体" w:cs="宋体"/>
          <w:szCs w:val="21"/>
        </w:rPr>
      </w:pPr>
      <w:r>
        <w:rPr>
          <w:rFonts w:hint="eastAsia" w:hAnsi="宋体" w:cs="宋体"/>
          <w:szCs w:val="21"/>
        </w:rPr>
        <w:t>▲不提供本表视为完全响应招标文件要求。</w:t>
      </w:r>
    </w:p>
    <w:p w14:paraId="19FB7940">
      <w:pPr>
        <w:pStyle w:val="25"/>
        <w:spacing w:line="360" w:lineRule="auto"/>
        <w:ind w:firstLine="420" w:firstLineChars="200"/>
        <w:jc w:val="left"/>
        <w:rPr>
          <w:rFonts w:hAnsi="宋体" w:cs="宋体"/>
          <w:szCs w:val="21"/>
        </w:rPr>
      </w:pPr>
      <w:r>
        <w:rPr>
          <w:rFonts w:hint="eastAsia" w:hAnsi="宋体" w:cs="宋体"/>
          <w:szCs w:val="21"/>
        </w:rPr>
        <w:t xml:space="preserve">法定代表人或其委托代理人签名（或盖章）：                </w:t>
      </w:r>
    </w:p>
    <w:p w14:paraId="508B365E">
      <w:pPr>
        <w:pStyle w:val="25"/>
        <w:spacing w:line="360" w:lineRule="auto"/>
        <w:ind w:firstLine="420" w:firstLineChars="200"/>
        <w:jc w:val="left"/>
        <w:rPr>
          <w:rFonts w:hAnsi="宋体" w:cs="宋体"/>
          <w:szCs w:val="21"/>
        </w:rPr>
      </w:pPr>
      <w:r>
        <w:rPr>
          <w:rFonts w:hint="eastAsia" w:hAnsi="宋体" w:cs="宋体"/>
          <w:szCs w:val="21"/>
        </w:rPr>
        <w:t>投标人：（单位公章）</w:t>
      </w:r>
    </w:p>
    <w:p w14:paraId="669D103E">
      <w:pPr>
        <w:pStyle w:val="25"/>
        <w:spacing w:line="360" w:lineRule="auto"/>
        <w:ind w:firstLine="420" w:firstLineChars="200"/>
        <w:jc w:val="left"/>
        <w:rPr>
          <w:rFonts w:hAnsi="宋体" w:cs="宋体"/>
          <w:szCs w:val="21"/>
        </w:rPr>
      </w:pPr>
      <w:r>
        <w:rPr>
          <w:rFonts w:hint="eastAsia" w:hAnsi="宋体" w:cs="宋体"/>
          <w:szCs w:val="21"/>
        </w:rPr>
        <w:t>日期：年月  日</w:t>
      </w:r>
    </w:p>
    <w:p w14:paraId="61911C21">
      <w:pPr>
        <w:snapToGrid w:val="0"/>
        <w:spacing w:line="360" w:lineRule="auto"/>
        <w:ind w:firstLine="422" w:firstLineChars="200"/>
        <w:jc w:val="left"/>
        <w:rPr>
          <w:rFonts w:ascii="宋体" w:hAnsi="宋体" w:cs="宋体"/>
          <w:b/>
          <w:bCs/>
          <w:szCs w:val="21"/>
        </w:rPr>
      </w:pPr>
    </w:p>
    <w:p w14:paraId="560DF6CB">
      <w:pPr>
        <w:pStyle w:val="59"/>
        <w:rPr>
          <w:rFonts w:ascii="宋体" w:hAnsi="宋体" w:cs="宋体"/>
        </w:rPr>
      </w:pPr>
    </w:p>
    <w:p w14:paraId="42F1BD75">
      <w:pPr>
        <w:rPr>
          <w:rFonts w:ascii="宋体" w:hAnsi="宋体" w:cs="宋体"/>
          <w:szCs w:val="21"/>
        </w:rPr>
      </w:pPr>
      <w:r>
        <w:rPr>
          <w:rFonts w:hint="eastAsia" w:ascii="宋体" w:hAnsi="宋体" w:cs="宋体"/>
          <w:szCs w:val="21"/>
        </w:rPr>
        <w:br w:type="page"/>
      </w:r>
    </w:p>
    <w:p w14:paraId="529C54EB">
      <w:pPr>
        <w:snapToGrid w:val="0"/>
        <w:spacing w:before="50" w:afterLines="50" w:line="360" w:lineRule="auto"/>
        <w:jc w:val="left"/>
        <w:rPr>
          <w:rFonts w:ascii="宋体" w:hAnsi="宋体" w:cs="宋体"/>
          <w:szCs w:val="21"/>
        </w:rPr>
      </w:pPr>
      <w:r>
        <w:rPr>
          <w:rFonts w:hint="eastAsia" w:ascii="宋体" w:hAnsi="宋体" w:cs="宋体"/>
          <w:szCs w:val="21"/>
        </w:rPr>
        <w:t>技术响应表格式</w:t>
      </w:r>
    </w:p>
    <w:tbl>
      <w:tblPr>
        <w:tblStyle w:val="48"/>
        <w:tblW w:w="89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77"/>
        <w:gridCol w:w="2475"/>
        <w:gridCol w:w="1583"/>
        <w:gridCol w:w="1849"/>
        <w:gridCol w:w="1456"/>
      </w:tblGrid>
      <w:tr w14:paraId="72CFB2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6" w:hRule="atLeast"/>
          <w:jc w:val="center"/>
        </w:trPr>
        <w:tc>
          <w:tcPr>
            <w:tcW w:w="4052" w:type="dxa"/>
            <w:gridSpan w:val="2"/>
            <w:tcBorders>
              <w:top w:val="single" w:color="auto" w:sz="4" w:space="0"/>
              <w:left w:val="single" w:color="auto" w:sz="4" w:space="0"/>
              <w:bottom w:val="single" w:color="auto" w:sz="4" w:space="0"/>
              <w:right w:val="single" w:color="auto" w:sz="4" w:space="0"/>
            </w:tcBorders>
          </w:tcPr>
          <w:p w14:paraId="4AA2660C">
            <w:pPr>
              <w:snapToGrid w:val="0"/>
              <w:spacing w:line="360" w:lineRule="auto"/>
              <w:jc w:val="center"/>
              <w:outlineLvl w:val="0"/>
              <w:rPr>
                <w:rFonts w:ascii="宋体" w:hAnsi="宋体" w:cs="宋体"/>
                <w:szCs w:val="21"/>
              </w:rPr>
            </w:pPr>
            <w:bookmarkStart w:id="247" w:name="_Toc385854110"/>
            <w:bookmarkStart w:id="248" w:name="_Toc381081903"/>
            <w:bookmarkStart w:id="249" w:name="_Toc377653976"/>
            <w:bookmarkStart w:id="250" w:name="_Toc385854156"/>
            <w:bookmarkStart w:id="251" w:name="_Toc402963095"/>
            <w:bookmarkStart w:id="252" w:name="_Toc382928236"/>
            <w:bookmarkStart w:id="253" w:name="_Toc377028057"/>
            <w:bookmarkStart w:id="254" w:name="_Toc406403001"/>
            <w:bookmarkStart w:id="255" w:name="_Toc62745298"/>
            <w:bookmarkStart w:id="256" w:name="_Toc377028119"/>
            <w:bookmarkStart w:id="257" w:name="_Toc402963128"/>
            <w:bookmarkStart w:id="258" w:name="_Toc401570314"/>
            <w:bookmarkStart w:id="259" w:name="_Toc401570290"/>
            <w:bookmarkStart w:id="260" w:name="_Toc406402957"/>
            <w:bookmarkStart w:id="261" w:name="_Toc382928118"/>
            <w:r>
              <w:rPr>
                <w:rFonts w:hint="eastAsia" w:ascii="宋体" w:hAnsi="宋体" w:cs="宋体"/>
                <w:szCs w:val="21"/>
              </w:rPr>
              <w:t>招标文件要求</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tc>
        <w:tc>
          <w:tcPr>
            <w:tcW w:w="3432" w:type="dxa"/>
            <w:gridSpan w:val="2"/>
            <w:tcBorders>
              <w:top w:val="single" w:color="auto" w:sz="4" w:space="0"/>
              <w:left w:val="single" w:color="auto" w:sz="4" w:space="0"/>
              <w:bottom w:val="single" w:color="auto" w:sz="4" w:space="0"/>
              <w:right w:val="single" w:color="auto" w:sz="4" w:space="0"/>
            </w:tcBorders>
          </w:tcPr>
          <w:p w14:paraId="7A33A7C4">
            <w:pPr>
              <w:snapToGrid w:val="0"/>
              <w:spacing w:line="360" w:lineRule="auto"/>
              <w:jc w:val="center"/>
              <w:outlineLvl w:val="0"/>
              <w:rPr>
                <w:rFonts w:ascii="宋体" w:hAnsi="宋体" w:cs="宋体"/>
                <w:szCs w:val="21"/>
              </w:rPr>
            </w:pPr>
            <w:bookmarkStart w:id="262" w:name="_Toc406403002"/>
            <w:bookmarkStart w:id="263" w:name="_Toc381081904"/>
            <w:bookmarkStart w:id="264" w:name="_Toc402963096"/>
            <w:bookmarkStart w:id="265" w:name="_Toc385854111"/>
            <w:bookmarkStart w:id="266" w:name="_Toc62745299"/>
            <w:bookmarkStart w:id="267" w:name="_Toc382928237"/>
            <w:bookmarkStart w:id="268" w:name="_Toc385854157"/>
            <w:bookmarkStart w:id="269" w:name="_Toc401570291"/>
            <w:bookmarkStart w:id="270" w:name="_Toc406402958"/>
            <w:bookmarkStart w:id="271" w:name="_Toc377028120"/>
            <w:bookmarkStart w:id="272" w:name="_Toc377653977"/>
            <w:bookmarkStart w:id="273" w:name="_Toc401570315"/>
            <w:bookmarkStart w:id="274" w:name="_Toc402963129"/>
            <w:bookmarkStart w:id="275" w:name="_Toc377028058"/>
            <w:bookmarkStart w:id="276" w:name="_Toc382928119"/>
            <w:r>
              <w:rPr>
                <w:rFonts w:hint="eastAsia" w:ascii="宋体" w:hAnsi="宋体" w:cs="宋体"/>
                <w:szCs w:val="21"/>
              </w:rPr>
              <w:t>投标文件响应</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tc>
        <w:tc>
          <w:tcPr>
            <w:tcW w:w="1456" w:type="dxa"/>
            <w:vMerge w:val="restart"/>
            <w:tcBorders>
              <w:top w:val="single" w:color="auto" w:sz="4" w:space="0"/>
              <w:left w:val="single" w:color="auto" w:sz="4" w:space="0"/>
              <w:bottom w:val="single" w:color="auto" w:sz="4" w:space="0"/>
              <w:right w:val="single" w:color="auto" w:sz="4" w:space="0"/>
            </w:tcBorders>
            <w:vAlign w:val="center"/>
          </w:tcPr>
          <w:p w14:paraId="06352C72">
            <w:pPr>
              <w:snapToGrid w:val="0"/>
              <w:spacing w:line="360" w:lineRule="auto"/>
              <w:jc w:val="center"/>
              <w:outlineLvl w:val="0"/>
              <w:rPr>
                <w:rFonts w:ascii="宋体" w:hAnsi="宋体" w:cs="宋体"/>
                <w:szCs w:val="21"/>
              </w:rPr>
            </w:pPr>
            <w:bookmarkStart w:id="277" w:name="_Toc401570316"/>
            <w:bookmarkStart w:id="278" w:name="_Toc377653978"/>
            <w:bookmarkStart w:id="279" w:name="_Toc382928238"/>
            <w:bookmarkStart w:id="280" w:name="_Toc385854158"/>
            <w:bookmarkStart w:id="281" w:name="_Toc377028059"/>
            <w:bookmarkStart w:id="282" w:name="_Toc406403003"/>
            <w:bookmarkStart w:id="283" w:name="_Toc401570292"/>
            <w:bookmarkStart w:id="284" w:name="_Toc382928120"/>
            <w:bookmarkStart w:id="285" w:name="_Toc62745300"/>
            <w:bookmarkStart w:id="286" w:name="_Toc377028121"/>
            <w:bookmarkStart w:id="287" w:name="_Toc402963130"/>
            <w:bookmarkStart w:id="288" w:name="_Toc402963097"/>
            <w:bookmarkStart w:id="289" w:name="_Toc385854112"/>
            <w:bookmarkStart w:id="290" w:name="_Toc406402959"/>
            <w:bookmarkStart w:id="291" w:name="_Toc381081905"/>
            <w:r>
              <w:rPr>
                <w:rFonts w:hint="eastAsia" w:ascii="宋体" w:hAnsi="宋体" w:cs="宋体"/>
                <w:szCs w:val="21"/>
              </w:rPr>
              <w:t>偏离情况</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tc>
      </w:tr>
      <w:tr w14:paraId="7FFAE1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1577" w:type="dxa"/>
            <w:tcBorders>
              <w:top w:val="single" w:color="auto" w:sz="4" w:space="0"/>
              <w:left w:val="single" w:color="auto" w:sz="4" w:space="0"/>
              <w:bottom w:val="single" w:color="auto" w:sz="4" w:space="0"/>
              <w:right w:val="single" w:color="auto" w:sz="4" w:space="0"/>
            </w:tcBorders>
          </w:tcPr>
          <w:p w14:paraId="5A6259FE">
            <w:pPr>
              <w:snapToGrid w:val="0"/>
              <w:spacing w:line="360" w:lineRule="auto"/>
              <w:jc w:val="center"/>
              <w:outlineLvl w:val="0"/>
              <w:rPr>
                <w:rFonts w:ascii="宋体" w:hAnsi="宋体" w:cs="宋体"/>
                <w:szCs w:val="21"/>
              </w:rPr>
            </w:pPr>
            <w:bookmarkStart w:id="292" w:name="_Toc406403004"/>
            <w:bookmarkStart w:id="293" w:name="_Toc377028060"/>
            <w:bookmarkStart w:id="294" w:name="_Toc381081906"/>
            <w:bookmarkStart w:id="295" w:name="_Toc402963098"/>
            <w:bookmarkStart w:id="296" w:name="_Toc382928239"/>
            <w:bookmarkStart w:id="297" w:name="_Toc401570317"/>
            <w:bookmarkStart w:id="298" w:name="_Toc377653979"/>
            <w:bookmarkStart w:id="299" w:name="_Toc402963131"/>
            <w:bookmarkStart w:id="300" w:name="_Toc406402960"/>
            <w:bookmarkStart w:id="301" w:name="_Toc377028122"/>
            <w:bookmarkStart w:id="302" w:name="_Toc401570293"/>
            <w:bookmarkStart w:id="303" w:name="_Toc385854159"/>
            <w:bookmarkStart w:id="304" w:name="_Toc62745301"/>
            <w:bookmarkStart w:id="305" w:name="_Toc385854113"/>
            <w:bookmarkStart w:id="306" w:name="_Toc382928121"/>
            <w:r>
              <w:rPr>
                <w:rFonts w:hint="eastAsia" w:ascii="宋体" w:hAnsi="宋体" w:cs="宋体"/>
                <w:szCs w:val="21"/>
              </w:rPr>
              <w:t>项目</w:t>
            </w:r>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tc>
        <w:tc>
          <w:tcPr>
            <w:tcW w:w="2475" w:type="dxa"/>
            <w:tcBorders>
              <w:top w:val="single" w:color="auto" w:sz="4" w:space="0"/>
              <w:left w:val="single" w:color="auto" w:sz="4" w:space="0"/>
              <w:bottom w:val="single" w:color="auto" w:sz="4" w:space="0"/>
              <w:right w:val="single" w:color="auto" w:sz="4" w:space="0"/>
            </w:tcBorders>
          </w:tcPr>
          <w:p w14:paraId="1C435946">
            <w:pPr>
              <w:snapToGrid w:val="0"/>
              <w:spacing w:line="360" w:lineRule="auto"/>
              <w:jc w:val="center"/>
              <w:outlineLvl w:val="0"/>
              <w:rPr>
                <w:rFonts w:ascii="宋体" w:hAnsi="宋体" w:cs="宋体"/>
                <w:szCs w:val="21"/>
              </w:rPr>
            </w:pPr>
            <w:bookmarkStart w:id="307" w:name="_Toc62745302"/>
            <w:bookmarkStart w:id="308" w:name="_Toc377028061"/>
            <w:bookmarkStart w:id="309" w:name="_Toc406402961"/>
            <w:bookmarkStart w:id="310" w:name="_Toc382928122"/>
            <w:bookmarkStart w:id="311" w:name="_Toc377653980"/>
            <w:bookmarkStart w:id="312" w:name="_Toc406403005"/>
            <w:bookmarkStart w:id="313" w:name="_Toc401570318"/>
            <w:bookmarkStart w:id="314" w:name="_Toc385854160"/>
            <w:bookmarkStart w:id="315" w:name="_Toc402963132"/>
            <w:bookmarkStart w:id="316" w:name="_Toc377028123"/>
            <w:bookmarkStart w:id="317" w:name="_Toc402963099"/>
            <w:bookmarkStart w:id="318" w:name="_Toc401570294"/>
            <w:bookmarkStart w:id="319" w:name="_Toc381081907"/>
            <w:bookmarkStart w:id="320" w:name="_Toc385854114"/>
            <w:bookmarkStart w:id="321" w:name="_Toc382928240"/>
            <w:r>
              <w:rPr>
                <w:rFonts w:hint="eastAsia" w:ascii="宋体" w:hAnsi="宋体" w:cs="宋体"/>
                <w:szCs w:val="21"/>
              </w:rPr>
              <w:t>要求</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tc>
        <w:tc>
          <w:tcPr>
            <w:tcW w:w="1583" w:type="dxa"/>
            <w:tcBorders>
              <w:top w:val="single" w:color="auto" w:sz="4" w:space="0"/>
              <w:left w:val="single" w:color="auto" w:sz="4" w:space="0"/>
              <w:bottom w:val="single" w:color="auto" w:sz="4" w:space="0"/>
              <w:right w:val="single" w:color="auto" w:sz="4" w:space="0"/>
            </w:tcBorders>
          </w:tcPr>
          <w:p w14:paraId="064F73BC">
            <w:pPr>
              <w:snapToGrid w:val="0"/>
              <w:spacing w:line="360" w:lineRule="auto"/>
              <w:jc w:val="center"/>
              <w:outlineLvl w:val="0"/>
              <w:rPr>
                <w:rFonts w:ascii="宋体" w:hAnsi="宋体" w:cs="宋体"/>
                <w:szCs w:val="21"/>
              </w:rPr>
            </w:pPr>
            <w:r>
              <w:rPr>
                <w:rFonts w:hint="eastAsia" w:ascii="宋体" w:hAnsi="宋体" w:cs="宋体"/>
                <w:szCs w:val="21"/>
              </w:rPr>
              <w:t>项目</w:t>
            </w:r>
          </w:p>
        </w:tc>
        <w:tc>
          <w:tcPr>
            <w:tcW w:w="1849" w:type="dxa"/>
            <w:tcBorders>
              <w:top w:val="single" w:color="auto" w:sz="4" w:space="0"/>
              <w:left w:val="single" w:color="auto" w:sz="4" w:space="0"/>
              <w:bottom w:val="single" w:color="auto" w:sz="4" w:space="0"/>
              <w:right w:val="single" w:color="auto" w:sz="4" w:space="0"/>
            </w:tcBorders>
          </w:tcPr>
          <w:p w14:paraId="6FE507B2">
            <w:pPr>
              <w:snapToGrid w:val="0"/>
              <w:spacing w:line="360" w:lineRule="auto"/>
              <w:jc w:val="center"/>
              <w:outlineLvl w:val="0"/>
              <w:rPr>
                <w:rFonts w:ascii="宋体" w:hAnsi="宋体" w:cs="宋体"/>
                <w:szCs w:val="21"/>
              </w:rPr>
            </w:pPr>
            <w:r>
              <w:rPr>
                <w:rFonts w:hint="eastAsia" w:ascii="宋体" w:hAnsi="宋体" w:cs="宋体"/>
                <w:szCs w:val="21"/>
              </w:rPr>
              <w:t>响应内容</w:t>
            </w:r>
          </w:p>
        </w:tc>
        <w:tc>
          <w:tcPr>
            <w:tcW w:w="1456" w:type="dxa"/>
            <w:vMerge w:val="continue"/>
            <w:tcBorders>
              <w:top w:val="single" w:color="auto" w:sz="4" w:space="0"/>
              <w:left w:val="single" w:color="auto" w:sz="4" w:space="0"/>
              <w:bottom w:val="single" w:color="auto" w:sz="4" w:space="0"/>
              <w:right w:val="single" w:color="auto" w:sz="4" w:space="0"/>
            </w:tcBorders>
            <w:vAlign w:val="center"/>
          </w:tcPr>
          <w:p w14:paraId="4671ACB0">
            <w:pPr>
              <w:widowControl/>
              <w:spacing w:line="360" w:lineRule="auto"/>
              <w:jc w:val="left"/>
              <w:rPr>
                <w:rFonts w:ascii="宋体" w:hAnsi="宋体" w:cs="宋体"/>
                <w:szCs w:val="21"/>
              </w:rPr>
            </w:pPr>
          </w:p>
        </w:tc>
      </w:tr>
      <w:tr w14:paraId="33278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C2F4595">
            <w:pPr>
              <w:snapToGrid w:val="0"/>
              <w:spacing w:beforeLines="50" w:afterLines="50" w:line="360" w:lineRule="auto"/>
              <w:outlineLvl w:val="0"/>
              <w:rPr>
                <w:rFonts w:ascii="宋体" w:hAnsi="宋体" w:cs="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14:paraId="6FC8EB30">
            <w:pPr>
              <w:snapToGrid w:val="0"/>
              <w:spacing w:line="360" w:lineRule="auto"/>
              <w:outlineLvl w:val="0"/>
              <w:rPr>
                <w:rFonts w:ascii="宋体" w:hAnsi="宋体" w:cs="宋体"/>
                <w:szCs w:val="21"/>
              </w:rPr>
            </w:pPr>
          </w:p>
        </w:tc>
        <w:tc>
          <w:tcPr>
            <w:tcW w:w="1583" w:type="dxa"/>
            <w:tcBorders>
              <w:top w:val="single" w:color="auto" w:sz="4" w:space="0"/>
              <w:left w:val="single" w:color="auto" w:sz="4" w:space="0"/>
              <w:bottom w:val="single" w:color="auto" w:sz="4" w:space="0"/>
              <w:right w:val="single" w:color="auto" w:sz="4" w:space="0"/>
            </w:tcBorders>
          </w:tcPr>
          <w:p w14:paraId="5A043829">
            <w:pPr>
              <w:snapToGrid w:val="0"/>
              <w:spacing w:line="360" w:lineRule="auto"/>
              <w:outlineLvl w:val="0"/>
              <w:rPr>
                <w:rFonts w:ascii="宋体" w:hAnsi="宋体" w:cs="宋体"/>
                <w:szCs w:val="21"/>
              </w:rPr>
            </w:pPr>
          </w:p>
        </w:tc>
        <w:tc>
          <w:tcPr>
            <w:tcW w:w="1849" w:type="dxa"/>
            <w:tcBorders>
              <w:top w:val="single" w:color="auto" w:sz="4" w:space="0"/>
              <w:left w:val="single" w:color="auto" w:sz="4" w:space="0"/>
              <w:bottom w:val="single" w:color="auto" w:sz="4" w:space="0"/>
              <w:right w:val="single" w:color="auto" w:sz="4" w:space="0"/>
            </w:tcBorders>
          </w:tcPr>
          <w:p w14:paraId="6D38F6BB">
            <w:pPr>
              <w:snapToGrid w:val="0"/>
              <w:spacing w:line="360" w:lineRule="auto"/>
              <w:outlineLvl w:val="0"/>
              <w:rPr>
                <w:rFonts w:ascii="宋体" w:hAnsi="宋体" w:cs="宋体"/>
                <w:szCs w:val="21"/>
              </w:rPr>
            </w:pPr>
          </w:p>
        </w:tc>
        <w:tc>
          <w:tcPr>
            <w:tcW w:w="1456" w:type="dxa"/>
            <w:tcBorders>
              <w:top w:val="single" w:color="auto" w:sz="4" w:space="0"/>
              <w:left w:val="single" w:color="auto" w:sz="4" w:space="0"/>
              <w:bottom w:val="single" w:color="auto" w:sz="4" w:space="0"/>
              <w:right w:val="single" w:color="auto" w:sz="4" w:space="0"/>
            </w:tcBorders>
          </w:tcPr>
          <w:p w14:paraId="183EAB89">
            <w:pPr>
              <w:snapToGrid w:val="0"/>
              <w:spacing w:line="360" w:lineRule="auto"/>
              <w:outlineLvl w:val="0"/>
              <w:rPr>
                <w:rFonts w:ascii="宋体" w:hAnsi="宋体" w:cs="宋体"/>
                <w:szCs w:val="21"/>
              </w:rPr>
            </w:pPr>
          </w:p>
        </w:tc>
      </w:tr>
      <w:tr w14:paraId="6FF7A4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27CC3689">
            <w:pPr>
              <w:widowControl/>
              <w:spacing w:line="360" w:lineRule="auto"/>
              <w:rPr>
                <w:rFonts w:ascii="宋体" w:hAnsi="宋体" w:cs="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14:paraId="0E26CC22">
            <w:pPr>
              <w:snapToGrid w:val="0"/>
              <w:spacing w:line="360" w:lineRule="auto"/>
              <w:outlineLvl w:val="0"/>
              <w:rPr>
                <w:rFonts w:ascii="宋体" w:hAnsi="宋体" w:cs="宋体"/>
                <w:szCs w:val="21"/>
              </w:rPr>
            </w:pPr>
          </w:p>
        </w:tc>
        <w:tc>
          <w:tcPr>
            <w:tcW w:w="1583" w:type="dxa"/>
            <w:tcBorders>
              <w:top w:val="single" w:color="auto" w:sz="4" w:space="0"/>
              <w:left w:val="single" w:color="auto" w:sz="4" w:space="0"/>
              <w:bottom w:val="single" w:color="auto" w:sz="4" w:space="0"/>
              <w:right w:val="single" w:color="auto" w:sz="4" w:space="0"/>
            </w:tcBorders>
          </w:tcPr>
          <w:p w14:paraId="68D586AF">
            <w:pPr>
              <w:snapToGrid w:val="0"/>
              <w:spacing w:line="360" w:lineRule="auto"/>
              <w:outlineLvl w:val="0"/>
              <w:rPr>
                <w:rFonts w:ascii="宋体" w:hAnsi="宋体" w:cs="宋体"/>
                <w:szCs w:val="21"/>
              </w:rPr>
            </w:pPr>
          </w:p>
        </w:tc>
        <w:tc>
          <w:tcPr>
            <w:tcW w:w="1849" w:type="dxa"/>
            <w:tcBorders>
              <w:top w:val="single" w:color="auto" w:sz="4" w:space="0"/>
              <w:left w:val="single" w:color="auto" w:sz="4" w:space="0"/>
              <w:bottom w:val="single" w:color="auto" w:sz="4" w:space="0"/>
              <w:right w:val="single" w:color="auto" w:sz="4" w:space="0"/>
            </w:tcBorders>
          </w:tcPr>
          <w:p w14:paraId="521A4C6F">
            <w:pPr>
              <w:snapToGrid w:val="0"/>
              <w:spacing w:line="360" w:lineRule="auto"/>
              <w:outlineLvl w:val="0"/>
              <w:rPr>
                <w:rFonts w:ascii="宋体" w:hAnsi="宋体" w:cs="宋体"/>
                <w:szCs w:val="21"/>
              </w:rPr>
            </w:pPr>
          </w:p>
        </w:tc>
        <w:tc>
          <w:tcPr>
            <w:tcW w:w="1456" w:type="dxa"/>
            <w:tcBorders>
              <w:top w:val="single" w:color="auto" w:sz="4" w:space="0"/>
              <w:left w:val="single" w:color="auto" w:sz="4" w:space="0"/>
              <w:bottom w:val="single" w:color="auto" w:sz="4" w:space="0"/>
              <w:right w:val="single" w:color="auto" w:sz="4" w:space="0"/>
            </w:tcBorders>
          </w:tcPr>
          <w:p w14:paraId="43093349">
            <w:pPr>
              <w:snapToGrid w:val="0"/>
              <w:spacing w:line="360" w:lineRule="auto"/>
              <w:outlineLvl w:val="0"/>
              <w:rPr>
                <w:rFonts w:ascii="宋体" w:hAnsi="宋体" w:cs="宋体"/>
                <w:szCs w:val="21"/>
              </w:rPr>
            </w:pPr>
          </w:p>
        </w:tc>
      </w:tr>
      <w:tr w14:paraId="4DB5F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34EE5559">
            <w:pPr>
              <w:snapToGrid w:val="0"/>
              <w:spacing w:beforeLines="50" w:afterLines="50" w:line="360" w:lineRule="auto"/>
              <w:outlineLvl w:val="0"/>
              <w:rPr>
                <w:rFonts w:ascii="宋体" w:hAnsi="宋体" w:cs="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14:paraId="45E5B024">
            <w:pPr>
              <w:snapToGrid w:val="0"/>
              <w:spacing w:line="360" w:lineRule="auto"/>
              <w:outlineLvl w:val="0"/>
              <w:rPr>
                <w:rFonts w:ascii="宋体" w:hAnsi="宋体" w:cs="宋体"/>
                <w:szCs w:val="21"/>
              </w:rPr>
            </w:pPr>
          </w:p>
        </w:tc>
        <w:tc>
          <w:tcPr>
            <w:tcW w:w="1583" w:type="dxa"/>
            <w:tcBorders>
              <w:top w:val="single" w:color="auto" w:sz="4" w:space="0"/>
              <w:left w:val="single" w:color="auto" w:sz="4" w:space="0"/>
              <w:bottom w:val="single" w:color="auto" w:sz="4" w:space="0"/>
              <w:right w:val="single" w:color="auto" w:sz="4" w:space="0"/>
            </w:tcBorders>
          </w:tcPr>
          <w:p w14:paraId="1B04D71E">
            <w:pPr>
              <w:snapToGrid w:val="0"/>
              <w:spacing w:line="360" w:lineRule="auto"/>
              <w:outlineLvl w:val="0"/>
              <w:rPr>
                <w:rFonts w:ascii="宋体" w:hAnsi="宋体" w:cs="宋体"/>
                <w:szCs w:val="21"/>
              </w:rPr>
            </w:pPr>
          </w:p>
        </w:tc>
        <w:tc>
          <w:tcPr>
            <w:tcW w:w="1849" w:type="dxa"/>
            <w:tcBorders>
              <w:top w:val="single" w:color="auto" w:sz="4" w:space="0"/>
              <w:left w:val="single" w:color="auto" w:sz="4" w:space="0"/>
              <w:bottom w:val="single" w:color="auto" w:sz="4" w:space="0"/>
              <w:right w:val="single" w:color="auto" w:sz="4" w:space="0"/>
            </w:tcBorders>
          </w:tcPr>
          <w:p w14:paraId="560ACC39">
            <w:pPr>
              <w:snapToGrid w:val="0"/>
              <w:spacing w:line="360" w:lineRule="auto"/>
              <w:outlineLvl w:val="0"/>
              <w:rPr>
                <w:rFonts w:ascii="宋体" w:hAnsi="宋体" w:cs="宋体"/>
                <w:szCs w:val="21"/>
              </w:rPr>
            </w:pPr>
          </w:p>
        </w:tc>
        <w:tc>
          <w:tcPr>
            <w:tcW w:w="1456" w:type="dxa"/>
            <w:tcBorders>
              <w:top w:val="single" w:color="auto" w:sz="4" w:space="0"/>
              <w:left w:val="single" w:color="auto" w:sz="4" w:space="0"/>
              <w:bottom w:val="single" w:color="auto" w:sz="4" w:space="0"/>
              <w:right w:val="single" w:color="auto" w:sz="4" w:space="0"/>
            </w:tcBorders>
          </w:tcPr>
          <w:p w14:paraId="388A9DF5">
            <w:pPr>
              <w:snapToGrid w:val="0"/>
              <w:spacing w:line="360" w:lineRule="auto"/>
              <w:outlineLvl w:val="0"/>
              <w:rPr>
                <w:rFonts w:ascii="宋体" w:hAnsi="宋体" w:cs="宋体"/>
                <w:szCs w:val="21"/>
              </w:rPr>
            </w:pPr>
          </w:p>
        </w:tc>
      </w:tr>
      <w:tr w14:paraId="3FB24E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41" w:hRule="atLeast"/>
          <w:jc w:val="center"/>
        </w:trPr>
        <w:tc>
          <w:tcPr>
            <w:tcW w:w="1577" w:type="dxa"/>
            <w:tcBorders>
              <w:top w:val="single" w:color="auto" w:sz="4" w:space="0"/>
              <w:left w:val="single" w:color="auto" w:sz="4" w:space="0"/>
              <w:bottom w:val="single" w:color="auto" w:sz="4" w:space="0"/>
              <w:right w:val="single" w:color="auto" w:sz="4" w:space="0"/>
            </w:tcBorders>
            <w:vAlign w:val="center"/>
          </w:tcPr>
          <w:p w14:paraId="565228F5">
            <w:pPr>
              <w:snapToGrid w:val="0"/>
              <w:spacing w:beforeLines="50" w:afterLines="50" w:line="360" w:lineRule="auto"/>
              <w:outlineLvl w:val="0"/>
              <w:rPr>
                <w:rFonts w:ascii="宋体" w:hAnsi="宋体" w:cs="宋体"/>
                <w:szCs w:val="21"/>
              </w:rPr>
            </w:pPr>
          </w:p>
        </w:tc>
        <w:tc>
          <w:tcPr>
            <w:tcW w:w="2475" w:type="dxa"/>
            <w:tcBorders>
              <w:top w:val="single" w:color="auto" w:sz="4" w:space="0"/>
              <w:left w:val="single" w:color="auto" w:sz="4" w:space="0"/>
              <w:bottom w:val="single" w:color="auto" w:sz="4" w:space="0"/>
              <w:right w:val="single" w:color="auto" w:sz="4" w:space="0"/>
            </w:tcBorders>
            <w:vAlign w:val="center"/>
          </w:tcPr>
          <w:p w14:paraId="3A7D35C8">
            <w:pPr>
              <w:snapToGrid w:val="0"/>
              <w:spacing w:line="360" w:lineRule="auto"/>
              <w:outlineLvl w:val="0"/>
              <w:rPr>
                <w:rFonts w:ascii="宋体" w:hAnsi="宋体" w:cs="宋体"/>
                <w:szCs w:val="21"/>
              </w:rPr>
            </w:pPr>
          </w:p>
        </w:tc>
        <w:tc>
          <w:tcPr>
            <w:tcW w:w="1583" w:type="dxa"/>
            <w:tcBorders>
              <w:top w:val="single" w:color="auto" w:sz="4" w:space="0"/>
              <w:left w:val="single" w:color="auto" w:sz="4" w:space="0"/>
              <w:bottom w:val="single" w:color="auto" w:sz="4" w:space="0"/>
              <w:right w:val="single" w:color="auto" w:sz="4" w:space="0"/>
            </w:tcBorders>
          </w:tcPr>
          <w:p w14:paraId="41F2A4FF">
            <w:pPr>
              <w:snapToGrid w:val="0"/>
              <w:spacing w:line="360" w:lineRule="auto"/>
              <w:outlineLvl w:val="0"/>
              <w:rPr>
                <w:rFonts w:ascii="宋体" w:hAnsi="宋体" w:cs="宋体"/>
                <w:szCs w:val="21"/>
              </w:rPr>
            </w:pPr>
          </w:p>
        </w:tc>
        <w:tc>
          <w:tcPr>
            <w:tcW w:w="1849" w:type="dxa"/>
            <w:tcBorders>
              <w:top w:val="single" w:color="auto" w:sz="4" w:space="0"/>
              <w:left w:val="single" w:color="auto" w:sz="4" w:space="0"/>
              <w:bottom w:val="single" w:color="auto" w:sz="4" w:space="0"/>
              <w:right w:val="single" w:color="auto" w:sz="4" w:space="0"/>
            </w:tcBorders>
          </w:tcPr>
          <w:p w14:paraId="06B91F06">
            <w:pPr>
              <w:snapToGrid w:val="0"/>
              <w:spacing w:line="360" w:lineRule="auto"/>
              <w:outlineLvl w:val="0"/>
              <w:rPr>
                <w:rFonts w:ascii="宋体" w:hAnsi="宋体" w:cs="宋体"/>
                <w:szCs w:val="21"/>
              </w:rPr>
            </w:pPr>
          </w:p>
        </w:tc>
        <w:tc>
          <w:tcPr>
            <w:tcW w:w="1456" w:type="dxa"/>
            <w:tcBorders>
              <w:top w:val="single" w:color="auto" w:sz="4" w:space="0"/>
              <w:left w:val="single" w:color="auto" w:sz="4" w:space="0"/>
              <w:bottom w:val="single" w:color="auto" w:sz="4" w:space="0"/>
              <w:right w:val="single" w:color="auto" w:sz="4" w:space="0"/>
            </w:tcBorders>
          </w:tcPr>
          <w:p w14:paraId="2721A71D">
            <w:pPr>
              <w:snapToGrid w:val="0"/>
              <w:spacing w:line="360" w:lineRule="auto"/>
              <w:outlineLvl w:val="0"/>
              <w:rPr>
                <w:rFonts w:ascii="宋体" w:hAnsi="宋体" w:cs="宋体"/>
                <w:szCs w:val="21"/>
              </w:rPr>
            </w:pPr>
          </w:p>
        </w:tc>
      </w:tr>
    </w:tbl>
    <w:p w14:paraId="774653CB">
      <w:pPr>
        <w:pStyle w:val="19"/>
        <w:spacing w:line="360" w:lineRule="auto"/>
        <w:rPr>
          <w:rFonts w:ascii="宋体" w:hAnsi="宋体" w:cs="宋体"/>
          <w:sz w:val="21"/>
          <w:szCs w:val="21"/>
        </w:rPr>
      </w:pPr>
      <w:r>
        <w:rPr>
          <w:rFonts w:hint="eastAsia" w:ascii="宋体" w:hAnsi="宋体" w:cs="宋体"/>
          <w:sz w:val="21"/>
          <w:szCs w:val="21"/>
        </w:rPr>
        <w:t>注：1.投标人应根据投标产品的性能指标、对照招标文件要求在“偏离情况”栏注明“正偏离”、“负偏离”或“无偏离”。</w:t>
      </w:r>
    </w:p>
    <w:p w14:paraId="1BC79184">
      <w:pPr>
        <w:pStyle w:val="19"/>
        <w:spacing w:line="360" w:lineRule="auto"/>
        <w:rPr>
          <w:rFonts w:ascii="宋体" w:hAnsi="宋体" w:cs="宋体"/>
          <w:sz w:val="21"/>
          <w:szCs w:val="21"/>
        </w:rPr>
      </w:pPr>
      <w:r>
        <w:rPr>
          <w:rFonts w:hint="eastAsia" w:ascii="宋体" w:hAnsi="宋体" w:cs="宋体"/>
          <w:sz w:val="21"/>
          <w:szCs w:val="21"/>
        </w:rPr>
        <w:t>2.投标人需对上述偏离情况负责，不得虚假应标。</w:t>
      </w:r>
    </w:p>
    <w:p w14:paraId="0CE9F824">
      <w:pPr>
        <w:snapToGrid w:val="0"/>
        <w:spacing w:before="50" w:after="50" w:line="360" w:lineRule="auto"/>
        <w:rPr>
          <w:rFonts w:ascii="宋体" w:hAnsi="宋体" w:cs="宋体"/>
          <w:szCs w:val="21"/>
        </w:rPr>
      </w:pPr>
      <w:r>
        <w:rPr>
          <w:rFonts w:hint="eastAsia" w:ascii="宋体" w:hAnsi="宋体" w:cs="宋体"/>
          <w:szCs w:val="21"/>
        </w:rPr>
        <w:t>被授权人签字（或盖章）：</w:t>
      </w:r>
    </w:p>
    <w:p w14:paraId="515FCBB9">
      <w:pPr>
        <w:adjustRightInd w:val="0"/>
        <w:spacing w:line="360" w:lineRule="auto"/>
        <w:ind w:right="480"/>
        <w:textAlignment w:val="baseline"/>
        <w:rPr>
          <w:rFonts w:ascii="宋体" w:hAnsi="宋体" w:cs="宋体"/>
          <w:szCs w:val="21"/>
        </w:rPr>
      </w:pPr>
      <w:r>
        <w:rPr>
          <w:rFonts w:hint="eastAsia" w:ascii="宋体" w:hAnsi="宋体" w:cs="宋体"/>
          <w:szCs w:val="21"/>
        </w:rPr>
        <w:t>投标人公章： 年  月  日</w:t>
      </w:r>
    </w:p>
    <w:p w14:paraId="143D341A">
      <w:pPr>
        <w:pStyle w:val="59"/>
        <w:rPr>
          <w:rFonts w:ascii="宋体" w:hAnsi="宋体" w:cs="宋体"/>
        </w:rPr>
        <w:sectPr>
          <w:pgSz w:w="11906" w:h="16838"/>
          <w:pgMar w:top="1474" w:right="1797" w:bottom="1247" w:left="1797" w:header="851" w:footer="851" w:gutter="0"/>
          <w:cols w:space="720" w:num="1"/>
          <w:docGrid w:linePitch="312" w:charSpace="0"/>
        </w:sectPr>
      </w:pPr>
    </w:p>
    <w:p w14:paraId="63CEC857">
      <w:pPr>
        <w:snapToGrid w:val="0"/>
        <w:spacing w:line="360" w:lineRule="auto"/>
        <w:ind w:firstLine="420" w:firstLineChars="200"/>
        <w:jc w:val="left"/>
        <w:rPr>
          <w:rFonts w:ascii="宋体" w:hAnsi="宋体" w:cs="宋体"/>
          <w:szCs w:val="21"/>
        </w:rPr>
      </w:pPr>
      <w:r>
        <w:rPr>
          <w:rFonts w:hint="eastAsia" w:ascii="宋体" w:hAnsi="宋体" w:cs="宋体"/>
          <w:szCs w:val="21"/>
        </w:rPr>
        <w:t>项目实施人员一览表</w:t>
      </w:r>
    </w:p>
    <w:p w14:paraId="093AD330">
      <w:pPr>
        <w:snapToGrid w:val="0"/>
        <w:spacing w:line="360" w:lineRule="auto"/>
        <w:ind w:firstLine="422" w:firstLineChars="200"/>
        <w:jc w:val="center"/>
        <w:rPr>
          <w:rFonts w:ascii="宋体" w:hAnsi="宋体" w:cs="宋体"/>
          <w:b/>
          <w:szCs w:val="21"/>
        </w:rPr>
      </w:pPr>
      <w:r>
        <w:rPr>
          <w:rFonts w:hint="eastAsia" w:ascii="宋体" w:hAnsi="宋体" w:cs="宋体"/>
          <w:b/>
          <w:szCs w:val="21"/>
        </w:rPr>
        <w:t>项目实施人员（主要从业人员及其相应证书）一览表</w:t>
      </w:r>
    </w:p>
    <w:tbl>
      <w:tblPr>
        <w:tblStyle w:val="48"/>
        <w:tblW w:w="8898" w:type="dxa"/>
        <w:tblInd w:w="-1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4"/>
        <w:gridCol w:w="1004"/>
        <w:gridCol w:w="1663"/>
        <w:gridCol w:w="1260"/>
        <w:gridCol w:w="1274"/>
        <w:gridCol w:w="1559"/>
        <w:gridCol w:w="1134"/>
      </w:tblGrid>
      <w:tr w14:paraId="6BB955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3F8D6EFE">
            <w:pPr>
              <w:snapToGrid w:val="0"/>
              <w:spacing w:line="360" w:lineRule="auto"/>
              <w:jc w:val="center"/>
              <w:rPr>
                <w:rFonts w:ascii="宋体" w:hAnsi="宋体" w:cs="宋体"/>
                <w:szCs w:val="21"/>
              </w:rPr>
            </w:pPr>
            <w:r>
              <w:rPr>
                <w:rFonts w:hint="eastAsia" w:ascii="宋体" w:hAnsi="宋体" w:cs="宋体"/>
                <w:szCs w:val="21"/>
              </w:rPr>
              <w:t>姓名</w:t>
            </w:r>
          </w:p>
        </w:tc>
        <w:tc>
          <w:tcPr>
            <w:tcW w:w="1004" w:type="dxa"/>
            <w:tcBorders>
              <w:top w:val="single" w:color="auto" w:sz="4" w:space="0"/>
              <w:left w:val="single" w:color="auto" w:sz="4" w:space="0"/>
              <w:bottom w:val="single" w:color="auto" w:sz="4" w:space="0"/>
              <w:right w:val="single" w:color="auto" w:sz="4" w:space="0"/>
            </w:tcBorders>
            <w:vAlign w:val="center"/>
          </w:tcPr>
          <w:p w14:paraId="61A1FAF6">
            <w:pPr>
              <w:snapToGrid w:val="0"/>
              <w:spacing w:line="360" w:lineRule="auto"/>
              <w:jc w:val="center"/>
              <w:rPr>
                <w:rFonts w:ascii="宋体" w:hAnsi="宋体" w:cs="宋体"/>
                <w:szCs w:val="21"/>
              </w:rPr>
            </w:pPr>
            <w:r>
              <w:rPr>
                <w:rFonts w:hint="eastAsia" w:ascii="宋体" w:hAnsi="宋体" w:cs="宋体"/>
                <w:szCs w:val="21"/>
              </w:rPr>
              <w:t>职务</w:t>
            </w:r>
          </w:p>
        </w:tc>
        <w:tc>
          <w:tcPr>
            <w:tcW w:w="1663" w:type="dxa"/>
            <w:tcBorders>
              <w:top w:val="single" w:color="auto" w:sz="4" w:space="0"/>
              <w:left w:val="single" w:color="auto" w:sz="4" w:space="0"/>
              <w:bottom w:val="single" w:color="auto" w:sz="4" w:space="0"/>
              <w:right w:val="single" w:color="auto" w:sz="4" w:space="0"/>
            </w:tcBorders>
            <w:vAlign w:val="center"/>
          </w:tcPr>
          <w:p w14:paraId="14084ECB">
            <w:pPr>
              <w:snapToGrid w:val="0"/>
              <w:spacing w:line="360" w:lineRule="auto"/>
              <w:jc w:val="center"/>
              <w:rPr>
                <w:rFonts w:ascii="宋体" w:hAnsi="宋体" w:cs="宋体"/>
                <w:szCs w:val="21"/>
              </w:rPr>
            </w:pPr>
            <w:r>
              <w:rPr>
                <w:rFonts w:hint="eastAsia" w:ascii="宋体" w:hAnsi="宋体" w:cs="宋体"/>
                <w:szCs w:val="21"/>
              </w:rPr>
              <w:t>相应证书</w:t>
            </w:r>
          </w:p>
        </w:tc>
        <w:tc>
          <w:tcPr>
            <w:tcW w:w="1260" w:type="dxa"/>
            <w:tcBorders>
              <w:top w:val="single" w:color="auto" w:sz="4" w:space="0"/>
              <w:left w:val="single" w:color="auto" w:sz="4" w:space="0"/>
              <w:bottom w:val="single" w:color="auto" w:sz="4" w:space="0"/>
              <w:right w:val="single" w:color="auto" w:sz="4" w:space="0"/>
            </w:tcBorders>
            <w:vAlign w:val="center"/>
          </w:tcPr>
          <w:p w14:paraId="1BD5D09C">
            <w:pPr>
              <w:snapToGrid w:val="0"/>
              <w:spacing w:line="360" w:lineRule="auto"/>
              <w:jc w:val="center"/>
              <w:rPr>
                <w:rFonts w:ascii="宋体" w:hAnsi="宋体" w:cs="宋体"/>
                <w:szCs w:val="21"/>
              </w:rPr>
            </w:pPr>
            <w:r>
              <w:rPr>
                <w:rFonts w:hint="eastAsia" w:ascii="宋体" w:hAnsi="宋体" w:cs="宋体"/>
                <w:szCs w:val="21"/>
              </w:rPr>
              <w:t>证书编号</w:t>
            </w:r>
          </w:p>
        </w:tc>
        <w:tc>
          <w:tcPr>
            <w:tcW w:w="1274" w:type="dxa"/>
            <w:tcBorders>
              <w:top w:val="single" w:color="auto" w:sz="4" w:space="0"/>
              <w:left w:val="single" w:color="auto" w:sz="4" w:space="0"/>
              <w:bottom w:val="single" w:color="auto" w:sz="4" w:space="0"/>
              <w:right w:val="single" w:color="auto" w:sz="4" w:space="0"/>
            </w:tcBorders>
            <w:vAlign w:val="center"/>
          </w:tcPr>
          <w:p w14:paraId="410CD30C">
            <w:pPr>
              <w:snapToGrid w:val="0"/>
              <w:spacing w:line="360" w:lineRule="auto"/>
              <w:jc w:val="center"/>
              <w:rPr>
                <w:rFonts w:ascii="宋体" w:hAnsi="宋体" w:cs="宋体"/>
                <w:bCs/>
                <w:szCs w:val="21"/>
              </w:rPr>
            </w:pPr>
            <w:r>
              <w:rPr>
                <w:rFonts w:hint="eastAsia" w:ascii="宋体" w:hAnsi="宋体" w:cs="宋体"/>
                <w:bCs/>
                <w:szCs w:val="21"/>
              </w:rPr>
              <w:t>参加本单位工作时间</w:t>
            </w:r>
          </w:p>
        </w:tc>
        <w:tc>
          <w:tcPr>
            <w:tcW w:w="1559" w:type="dxa"/>
            <w:tcBorders>
              <w:top w:val="single" w:color="auto" w:sz="4" w:space="0"/>
              <w:left w:val="single" w:color="auto" w:sz="4" w:space="0"/>
              <w:bottom w:val="single" w:color="auto" w:sz="4" w:space="0"/>
              <w:right w:val="single" w:color="auto" w:sz="4" w:space="0"/>
            </w:tcBorders>
            <w:vAlign w:val="center"/>
          </w:tcPr>
          <w:p w14:paraId="306F6654">
            <w:pPr>
              <w:snapToGrid w:val="0"/>
              <w:spacing w:line="360" w:lineRule="auto"/>
              <w:jc w:val="center"/>
              <w:rPr>
                <w:rFonts w:ascii="宋体" w:hAnsi="宋体" w:cs="宋体"/>
                <w:bCs/>
                <w:szCs w:val="21"/>
              </w:rPr>
            </w:pPr>
            <w:r>
              <w:rPr>
                <w:rFonts w:hint="eastAsia" w:ascii="宋体" w:hAnsi="宋体" w:cs="宋体"/>
                <w:bCs/>
                <w:szCs w:val="21"/>
              </w:rPr>
              <w:t>劳动合同编号</w:t>
            </w:r>
          </w:p>
        </w:tc>
        <w:tc>
          <w:tcPr>
            <w:tcW w:w="1134" w:type="dxa"/>
            <w:tcBorders>
              <w:top w:val="single" w:color="auto" w:sz="4" w:space="0"/>
              <w:left w:val="single" w:color="auto" w:sz="4" w:space="0"/>
              <w:bottom w:val="single" w:color="auto" w:sz="4" w:space="0"/>
              <w:right w:val="single" w:color="auto" w:sz="4" w:space="0"/>
            </w:tcBorders>
          </w:tcPr>
          <w:p w14:paraId="54CAF2EA">
            <w:pPr>
              <w:snapToGrid w:val="0"/>
              <w:spacing w:line="360" w:lineRule="auto"/>
              <w:jc w:val="center"/>
              <w:rPr>
                <w:rFonts w:ascii="宋体" w:hAnsi="宋体" w:cs="宋体"/>
                <w:bCs/>
                <w:szCs w:val="21"/>
              </w:rPr>
            </w:pPr>
            <w:r>
              <w:rPr>
                <w:rFonts w:hint="eastAsia" w:ascii="宋体" w:hAnsi="宋体" w:cs="宋体"/>
                <w:bCs/>
                <w:szCs w:val="21"/>
              </w:rPr>
              <w:t>本项目中担任职务</w:t>
            </w:r>
          </w:p>
        </w:tc>
      </w:tr>
      <w:tr w14:paraId="6A35E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739C701A">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4FE7313A">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41348DD5">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AB062D5">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06C320C3">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9052670">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04C800D3">
            <w:pPr>
              <w:snapToGrid w:val="0"/>
              <w:spacing w:line="360" w:lineRule="auto"/>
              <w:ind w:firstLine="420" w:firstLineChars="200"/>
              <w:jc w:val="center"/>
              <w:rPr>
                <w:rFonts w:ascii="宋体" w:hAnsi="宋体" w:cs="宋体"/>
                <w:szCs w:val="21"/>
              </w:rPr>
            </w:pPr>
          </w:p>
        </w:tc>
      </w:tr>
      <w:tr w14:paraId="33F19B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13CB39B">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14B7AB8D">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7747CF7A">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73CD537">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5A3EDC1A">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E338336">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E756C47">
            <w:pPr>
              <w:snapToGrid w:val="0"/>
              <w:spacing w:line="360" w:lineRule="auto"/>
              <w:ind w:firstLine="420" w:firstLineChars="200"/>
              <w:jc w:val="center"/>
              <w:rPr>
                <w:rFonts w:ascii="宋体" w:hAnsi="宋体" w:cs="宋体"/>
                <w:szCs w:val="21"/>
              </w:rPr>
            </w:pPr>
          </w:p>
        </w:tc>
      </w:tr>
      <w:tr w14:paraId="74AD36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573A75FC">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0E50B2AA">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0D4A11B6">
            <w:pPr>
              <w:pStyle w:val="28"/>
              <w:snapToGrid w:val="0"/>
              <w:spacing w:line="360" w:lineRule="auto"/>
              <w:ind w:leftChars="0" w:firstLine="420" w:firstLineChars="200"/>
              <w:jc w:val="center"/>
              <w:rPr>
                <w:rFonts w:ascii="宋体" w:hAnsi="宋体" w:eastAsia="宋体" w:cs="宋体"/>
                <w:sz w:val="21"/>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2479F858">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74121ECC">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1F174D9">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2BB15EB">
            <w:pPr>
              <w:snapToGrid w:val="0"/>
              <w:spacing w:line="360" w:lineRule="auto"/>
              <w:ind w:firstLine="420" w:firstLineChars="200"/>
              <w:jc w:val="center"/>
              <w:rPr>
                <w:rFonts w:ascii="宋体" w:hAnsi="宋体" w:cs="宋体"/>
                <w:szCs w:val="21"/>
              </w:rPr>
            </w:pPr>
          </w:p>
        </w:tc>
      </w:tr>
      <w:tr w14:paraId="1DB1AF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B143CE9">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3341E8F0">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50DE8B54">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CF68F82">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23BECAE0">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4F06C6F">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EC2128C">
            <w:pPr>
              <w:snapToGrid w:val="0"/>
              <w:spacing w:line="360" w:lineRule="auto"/>
              <w:ind w:firstLine="420" w:firstLineChars="200"/>
              <w:jc w:val="center"/>
              <w:rPr>
                <w:rFonts w:ascii="宋体" w:hAnsi="宋体" w:cs="宋体"/>
                <w:szCs w:val="21"/>
              </w:rPr>
            </w:pPr>
          </w:p>
        </w:tc>
      </w:tr>
      <w:tr w14:paraId="5FF061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01B61516">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54DBDFA8">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01211003">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1BD1F9F3">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60AAA5FB">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CFE7A3F">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65ED2D70">
            <w:pPr>
              <w:snapToGrid w:val="0"/>
              <w:spacing w:line="360" w:lineRule="auto"/>
              <w:ind w:firstLine="420" w:firstLineChars="200"/>
              <w:jc w:val="center"/>
              <w:rPr>
                <w:rFonts w:ascii="宋体" w:hAnsi="宋体" w:cs="宋体"/>
                <w:szCs w:val="21"/>
              </w:rPr>
            </w:pPr>
          </w:p>
        </w:tc>
      </w:tr>
      <w:tr w14:paraId="70155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E168DE5">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51085AD4">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3ACDA536">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4FAFBDB2">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241F25B0">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2CC2108">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2B6C533B">
            <w:pPr>
              <w:snapToGrid w:val="0"/>
              <w:spacing w:line="360" w:lineRule="auto"/>
              <w:ind w:firstLine="420" w:firstLineChars="200"/>
              <w:jc w:val="center"/>
              <w:rPr>
                <w:rFonts w:ascii="宋体" w:hAnsi="宋体" w:cs="宋体"/>
                <w:szCs w:val="21"/>
              </w:rPr>
            </w:pPr>
          </w:p>
        </w:tc>
      </w:tr>
      <w:tr w14:paraId="26E4DD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13329545">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09F165CB">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519E9BE5">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1CCDA40">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33372226">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23895D75">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78F3F754">
            <w:pPr>
              <w:snapToGrid w:val="0"/>
              <w:spacing w:line="360" w:lineRule="auto"/>
              <w:ind w:firstLine="420" w:firstLineChars="200"/>
              <w:jc w:val="center"/>
              <w:rPr>
                <w:rFonts w:ascii="宋体" w:hAnsi="宋体" w:cs="宋体"/>
                <w:szCs w:val="21"/>
              </w:rPr>
            </w:pPr>
          </w:p>
        </w:tc>
      </w:tr>
      <w:tr w14:paraId="5C288A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651AB2F3">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211B7506">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39545065">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61894F4C">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2A8779A0">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CA71797">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1F108F8B">
            <w:pPr>
              <w:snapToGrid w:val="0"/>
              <w:spacing w:line="360" w:lineRule="auto"/>
              <w:ind w:firstLine="420" w:firstLineChars="200"/>
              <w:jc w:val="center"/>
              <w:rPr>
                <w:rFonts w:ascii="宋体" w:hAnsi="宋体" w:cs="宋体"/>
                <w:szCs w:val="21"/>
              </w:rPr>
            </w:pPr>
          </w:p>
        </w:tc>
      </w:tr>
      <w:tr w14:paraId="17FDBE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04" w:type="dxa"/>
            <w:tcBorders>
              <w:top w:val="single" w:color="auto" w:sz="4" w:space="0"/>
              <w:left w:val="single" w:color="auto" w:sz="4" w:space="0"/>
              <w:bottom w:val="single" w:color="auto" w:sz="4" w:space="0"/>
              <w:right w:val="single" w:color="auto" w:sz="4" w:space="0"/>
            </w:tcBorders>
            <w:vAlign w:val="center"/>
          </w:tcPr>
          <w:p w14:paraId="2DED2D68">
            <w:pPr>
              <w:snapToGrid w:val="0"/>
              <w:spacing w:line="360" w:lineRule="auto"/>
              <w:ind w:firstLine="420" w:firstLineChars="200"/>
              <w:jc w:val="center"/>
              <w:rPr>
                <w:rFonts w:ascii="宋体" w:hAnsi="宋体" w:cs="宋体"/>
                <w:szCs w:val="21"/>
              </w:rPr>
            </w:pPr>
          </w:p>
        </w:tc>
        <w:tc>
          <w:tcPr>
            <w:tcW w:w="1004" w:type="dxa"/>
            <w:tcBorders>
              <w:top w:val="single" w:color="auto" w:sz="4" w:space="0"/>
              <w:left w:val="single" w:color="auto" w:sz="4" w:space="0"/>
              <w:bottom w:val="single" w:color="auto" w:sz="4" w:space="0"/>
              <w:right w:val="single" w:color="auto" w:sz="4" w:space="0"/>
            </w:tcBorders>
            <w:vAlign w:val="center"/>
          </w:tcPr>
          <w:p w14:paraId="70ABF644">
            <w:pPr>
              <w:snapToGrid w:val="0"/>
              <w:spacing w:line="360" w:lineRule="auto"/>
              <w:ind w:firstLine="420" w:firstLineChars="200"/>
              <w:jc w:val="center"/>
              <w:rPr>
                <w:rFonts w:ascii="宋体" w:hAnsi="宋体" w:cs="宋体"/>
                <w:szCs w:val="21"/>
              </w:rPr>
            </w:pPr>
          </w:p>
        </w:tc>
        <w:tc>
          <w:tcPr>
            <w:tcW w:w="1663" w:type="dxa"/>
            <w:tcBorders>
              <w:top w:val="single" w:color="auto" w:sz="4" w:space="0"/>
              <w:left w:val="single" w:color="auto" w:sz="4" w:space="0"/>
              <w:bottom w:val="single" w:color="auto" w:sz="4" w:space="0"/>
              <w:right w:val="single" w:color="auto" w:sz="4" w:space="0"/>
            </w:tcBorders>
            <w:vAlign w:val="center"/>
          </w:tcPr>
          <w:p w14:paraId="5AEA6368">
            <w:pPr>
              <w:snapToGrid w:val="0"/>
              <w:spacing w:line="360" w:lineRule="auto"/>
              <w:ind w:firstLine="420" w:firstLineChars="200"/>
              <w:jc w:val="center"/>
              <w:rPr>
                <w:rFonts w:ascii="宋体" w:hAnsi="宋体" w:cs="宋体"/>
                <w:szCs w:val="21"/>
              </w:rPr>
            </w:pPr>
          </w:p>
        </w:tc>
        <w:tc>
          <w:tcPr>
            <w:tcW w:w="1260" w:type="dxa"/>
            <w:tcBorders>
              <w:top w:val="single" w:color="auto" w:sz="4" w:space="0"/>
              <w:left w:val="single" w:color="auto" w:sz="4" w:space="0"/>
              <w:bottom w:val="single" w:color="auto" w:sz="4" w:space="0"/>
              <w:right w:val="single" w:color="auto" w:sz="4" w:space="0"/>
            </w:tcBorders>
            <w:vAlign w:val="center"/>
          </w:tcPr>
          <w:p w14:paraId="79F0087C">
            <w:pPr>
              <w:snapToGrid w:val="0"/>
              <w:spacing w:line="360" w:lineRule="auto"/>
              <w:ind w:firstLine="420" w:firstLineChars="200"/>
              <w:jc w:val="center"/>
              <w:rPr>
                <w:rFonts w:ascii="宋体" w:hAnsi="宋体" w:cs="宋体"/>
                <w:szCs w:val="21"/>
              </w:rPr>
            </w:pPr>
          </w:p>
        </w:tc>
        <w:tc>
          <w:tcPr>
            <w:tcW w:w="1274" w:type="dxa"/>
            <w:tcBorders>
              <w:top w:val="single" w:color="auto" w:sz="4" w:space="0"/>
              <w:left w:val="single" w:color="auto" w:sz="4" w:space="0"/>
              <w:bottom w:val="single" w:color="auto" w:sz="4" w:space="0"/>
              <w:right w:val="single" w:color="auto" w:sz="4" w:space="0"/>
            </w:tcBorders>
            <w:vAlign w:val="center"/>
          </w:tcPr>
          <w:p w14:paraId="08DBFF1E">
            <w:pPr>
              <w:snapToGrid w:val="0"/>
              <w:spacing w:line="360" w:lineRule="auto"/>
              <w:ind w:firstLine="420" w:firstLineChars="200"/>
              <w:jc w:val="center"/>
              <w:rPr>
                <w:rFonts w:ascii="宋体" w:hAnsi="宋体" w:cs="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7708C0CD">
            <w:pPr>
              <w:snapToGrid w:val="0"/>
              <w:spacing w:line="360" w:lineRule="auto"/>
              <w:ind w:firstLine="420" w:firstLineChars="200"/>
              <w:jc w:val="center"/>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tcPr>
          <w:p w14:paraId="2A9350E1">
            <w:pPr>
              <w:snapToGrid w:val="0"/>
              <w:spacing w:line="360" w:lineRule="auto"/>
              <w:ind w:firstLine="420" w:firstLineChars="200"/>
              <w:jc w:val="center"/>
              <w:rPr>
                <w:rFonts w:ascii="宋体" w:hAnsi="宋体" w:cs="宋体"/>
                <w:szCs w:val="21"/>
              </w:rPr>
            </w:pPr>
          </w:p>
        </w:tc>
      </w:tr>
    </w:tbl>
    <w:p w14:paraId="3A958FBB">
      <w:pPr>
        <w:snapToGrid w:val="0"/>
        <w:spacing w:line="360" w:lineRule="auto"/>
        <w:ind w:firstLine="420" w:firstLineChars="200"/>
        <w:jc w:val="left"/>
        <w:rPr>
          <w:rFonts w:ascii="宋体" w:hAnsi="宋体" w:cs="宋体"/>
          <w:szCs w:val="21"/>
        </w:rPr>
      </w:pPr>
      <w:r>
        <w:rPr>
          <w:rFonts w:hint="eastAsia" w:ascii="宋体" w:hAnsi="宋体" w:cs="宋体"/>
          <w:szCs w:val="21"/>
        </w:rPr>
        <w:t>注：在填写时，如本表格不适合投标单位的实际情况，可根据本表格式自行划表填写。</w:t>
      </w:r>
    </w:p>
    <w:p w14:paraId="73C883E0">
      <w:pPr>
        <w:snapToGrid w:val="0"/>
        <w:spacing w:line="360" w:lineRule="auto"/>
        <w:ind w:firstLine="500" w:firstLineChars="200"/>
        <w:jc w:val="left"/>
        <w:rPr>
          <w:rFonts w:ascii="宋体" w:hAnsi="宋体" w:cs="宋体"/>
          <w:spacing w:val="20"/>
          <w:szCs w:val="21"/>
          <w:u w:val="single"/>
        </w:rPr>
      </w:pPr>
      <w:r>
        <w:rPr>
          <w:rFonts w:hint="eastAsia" w:ascii="宋体" w:hAnsi="宋体" w:cs="宋体"/>
          <w:spacing w:val="20"/>
          <w:szCs w:val="21"/>
        </w:rPr>
        <w:t>授权代表签名：</w:t>
      </w:r>
    </w:p>
    <w:p w14:paraId="72AD9B6E">
      <w:pPr>
        <w:snapToGrid w:val="0"/>
        <w:spacing w:line="360" w:lineRule="auto"/>
        <w:ind w:firstLine="500" w:firstLineChars="200"/>
        <w:jc w:val="left"/>
        <w:rPr>
          <w:rFonts w:ascii="宋体" w:hAnsi="宋体" w:cs="宋体"/>
          <w:spacing w:val="20"/>
          <w:szCs w:val="21"/>
        </w:rPr>
      </w:pPr>
      <w:r>
        <w:rPr>
          <w:rFonts w:hint="eastAsia" w:ascii="宋体" w:hAnsi="宋体" w:cs="宋体"/>
          <w:spacing w:val="20"/>
          <w:szCs w:val="21"/>
        </w:rPr>
        <w:t>投标人盖章：</w:t>
      </w:r>
    </w:p>
    <w:p w14:paraId="53653C3F">
      <w:pPr>
        <w:snapToGrid w:val="0"/>
        <w:spacing w:line="360" w:lineRule="auto"/>
        <w:ind w:firstLine="500" w:firstLineChars="200"/>
        <w:jc w:val="left"/>
        <w:rPr>
          <w:rFonts w:ascii="宋体" w:hAnsi="宋体" w:cs="宋体"/>
          <w:spacing w:val="20"/>
          <w:szCs w:val="21"/>
          <w:u w:val="single"/>
        </w:rPr>
      </w:pPr>
      <w:r>
        <w:rPr>
          <w:rFonts w:hint="eastAsia" w:ascii="宋体" w:hAnsi="宋体" w:cs="宋体"/>
          <w:spacing w:val="20"/>
          <w:szCs w:val="21"/>
        </w:rPr>
        <w:t>日期：</w:t>
      </w:r>
    </w:p>
    <w:p w14:paraId="35891795">
      <w:pPr>
        <w:rPr>
          <w:rFonts w:ascii="宋体" w:hAnsi="宋体" w:cs="宋体"/>
          <w:b/>
          <w:szCs w:val="21"/>
        </w:rPr>
      </w:pPr>
      <w:r>
        <w:rPr>
          <w:rFonts w:hint="eastAsia" w:ascii="宋体" w:hAnsi="宋体" w:cs="宋体"/>
          <w:b/>
          <w:szCs w:val="21"/>
        </w:rPr>
        <w:br w:type="page"/>
      </w:r>
    </w:p>
    <w:p w14:paraId="00C2461E">
      <w:pPr>
        <w:snapToGrid w:val="0"/>
        <w:spacing w:line="360" w:lineRule="auto"/>
        <w:jc w:val="left"/>
        <w:rPr>
          <w:rFonts w:ascii="宋体" w:hAnsi="宋体" w:cs="宋体"/>
          <w:szCs w:val="21"/>
        </w:rPr>
      </w:pPr>
      <w:r>
        <w:rPr>
          <w:rFonts w:hint="eastAsia" w:ascii="宋体" w:hAnsi="宋体" w:cs="宋体"/>
          <w:szCs w:val="21"/>
        </w:rPr>
        <w:t>投标函格式：</w:t>
      </w:r>
    </w:p>
    <w:p w14:paraId="0558A0A9">
      <w:pPr>
        <w:snapToGrid w:val="0"/>
        <w:spacing w:line="360" w:lineRule="auto"/>
        <w:ind w:firstLine="643" w:firstLineChars="200"/>
        <w:jc w:val="center"/>
        <w:rPr>
          <w:rFonts w:ascii="宋体" w:hAnsi="宋体" w:cs="宋体"/>
          <w:b/>
          <w:sz w:val="32"/>
          <w:szCs w:val="32"/>
        </w:rPr>
      </w:pPr>
      <w:r>
        <w:rPr>
          <w:rFonts w:hint="eastAsia" w:ascii="宋体" w:hAnsi="宋体" w:cs="宋体"/>
          <w:b/>
          <w:sz w:val="32"/>
          <w:szCs w:val="32"/>
        </w:rPr>
        <w:t>投标函</w:t>
      </w:r>
    </w:p>
    <w:p w14:paraId="1A15B48B">
      <w:pPr>
        <w:snapToGrid w:val="0"/>
        <w:spacing w:line="360" w:lineRule="auto"/>
        <w:jc w:val="left"/>
        <w:rPr>
          <w:rFonts w:ascii="宋体" w:hAnsi="宋体" w:cs="宋体"/>
          <w:szCs w:val="21"/>
        </w:rPr>
      </w:pPr>
      <w:r>
        <w:rPr>
          <w:rFonts w:hint="eastAsia" w:ascii="宋体" w:hAnsi="宋体" w:cs="宋体"/>
          <w:szCs w:val="21"/>
        </w:rPr>
        <w:t>致：</w:t>
      </w:r>
      <w:r>
        <w:rPr>
          <w:rFonts w:hint="eastAsia" w:ascii="宋体" w:hAnsi="宋体" w:cs="宋体"/>
          <w:szCs w:val="21"/>
          <w:u w:val="single"/>
        </w:rPr>
        <w:t>（招标采购单位名称）</w:t>
      </w:r>
      <w:r>
        <w:rPr>
          <w:rFonts w:hint="eastAsia" w:ascii="宋体" w:hAnsi="宋体" w:cs="宋体"/>
          <w:szCs w:val="21"/>
        </w:rPr>
        <w:t>：</w:t>
      </w:r>
    </w:p>
    <w:p w14:paraId="295B0DB3">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根据贵方为 </w:t>
      </w:r>
      <w:r>
        <w:rPr>
          <w:rFonts w:hint="eastAsia" w:ascii="宋体" w:hAnsi="宋体" w:cs="宋体"/>
          <w:szCs w:val="21"/>
          <w:u w:val="single"/>
        </w:rPr>
        <w:t xml:space="preserve">          </w:t>
      </w:r>
      <w:r>
        <w:rPr>
          <w:rFonts w:hint="eastAsia" w:ascii="宋体" w:hAnsi="宋体" w:cs="宋体"/>
          <w:szCs w:val="21"/>
        </w:rPr>
        <w:t>项目的招标公告（项目编号：嘉消采-GK2024016），签字代表</w:t>
      </w:r>
      <w:r>
        <w:rPr>
          <w:rFonts w:hint="eastAsia" w:ascii="宋体" w:hAnsi="宋体" w:cs="宋体"/>
          <w:szCs w:val="21"/>
          <w:u w:val="single"/>
        </w:rPr>
        <w:t>（全名）</w:t>
      </w:r>
      <w:r>
        <w:rPr>
          <w:rFonts w:hint="eastAsia" w:ascii="宋体" w:hAnsi="宋体" w:cs="宋体"/>
          <w:szCs w:val="21"/>
        </w:rPr>
        <w:t>经正式授权并代表投标人</w:t>
      </w:r>
      <w:r>
        <w:rPr>
          <w:rFonts w:hint="eastAsia" w:ascii="宋体" w:hAnsi="宋体" w:cs="宋体"/>
          <w:szCs w:val="21"/>
          <w:u w:val="single"/>
        </w:rPr>
        <w:t>（投标人名称）</w:t>
      </w:r>
      <w:r>
        <w:rPr>
          <w:rFonts w:hint="eastAsia" w:ascii="宋体" w:hAnsi="宋体" w:cs="宋体"/>
          <w:szCs w:val="21"/>
        </w:rPr>
        <w:t>提交资信商务文件及技术文件</w:t>
      </w:r>
      <w:r>
        <w:rPr>
          <w:rFonts w:hint="eastAsia" w:ascii="宋体" w:hAnsi="宋体" w:cs="宋体"/>
          <w:szCs w:val="21"/>
          <w:u w:val="single"/>
        </w:rPr>
        <w:t xml:space="preserve">          </w:t>
      </w:r>
      <w:r>
        <w:rPr>
          <w:rFonts w:hint="eastAsia" w:ascii="宋体" w:hAnsi="宋体" w:cs="宋体"/>
          <w:szCs w:val="21"/>
        </w:rPr>
        <w:t>份；投标报价文件</w:t>
      </w:r>
      <w:r>
        <w:rPr>
          <w:rFonts w:hint="eastAsia" w:ascii="宋体" w:hAnsi="宋体" w:cs="宋体"/>
          <w:szCs w:val="21"/>
          <w:u w:val="single"/>
        </w:rPr>
        <w:t xml:space="preserve">          </w:t>
      </w:r>
      <w:r>
        <w:rPr>
          <w:rFonts w:hint="eastAsia" w:ascii="宋体" w:hAnsi="宋体" w:cs="宋体"/>
          <w:szCs w:val="21"/>
        </w:rPr>
        <w:t>份，电子文档</w:t>
      </w:r>
      <w:r>
        <w:rPr>
          <w:rFonts w:hint="eastAsia" w:ascii="宋体" w:hAnsi="宋体" w:cs="宋体"/>
          <w:szCs w:val="21"/>
          <w:u w:val="single"/>
        </w:rPr>
        <w:t xml:space="preserve">          </w:t>
      </w:r>
      <w:r>
        <w:rPr>
          <w:rFonts w:hint="eastAsia" w:ascii="宋体" w:hAnsi="宋体" w:cs="宋体"/>
          <w:szCs w:val="21"/>
        </w:rPr>
        <w:t>份。</w:t>
      </w:r>
    </w:p>
    <w:p w14:paraId="69784FAC">
      <w:pPr>
        <w:snapToGrid w:val="0"/>
        <w:spacing w:line="360" w:lineRule="auto"/>
        <w:ind w:firstLine="420" w:firstLineChars="200"/>
        <w:jc w:val="left"/>
        <w:rPr>
          <w:rFonts w:ascii="宋体" w:hAnsi="宋体" w:cs="宋体"/>
          <w:szCs w:val="21"/>
        </w:rPr>
      </w:pPr>
      <w:r>
        <w:rPr>
          <w:rFonts w:hint="eastAsia" w:ascii="宋体" w:hAnsi="宋体" w:cs="宋体"/>
          <w:szCs w:val="21"/>
        </w:rPr>
        <w:t>据此函，签字代表宣布同意如下：</w:t>
      </w:r>
    </w:p>
    <w:p w14:paraId="036DF26D">
      <w:pPr>
        <w:snapToGrid w:val="0"/>
        <w:spacing w:line="360" w:lineRule="auto"/>
        <w:ind w:firstLine="420" w:firstLineChars="200"/>
        <w:jc w:val="left"/>
        <w:rPr>
          <w:rFonts w:ascii="宋体" w:hAnsi="宋体" w:cs="宋体"/>
          <w:szCs w:val="21"/>
        </w:rPr>
      </w:pPr>
      <w:r>
        <w:rPr>
          <w:rFonts w:hint="eastAsia" w:ascii="宋体" w:hAnsi="宋体" w:cs="宋体"/>
          <w:szCs w:val="21"/>
        </w:rPr>
        <w:t>1、投标人已详细审查全部“招标文件”，包括修改文件（如有的话）以及全部参考资料和有关附件，已经了解我方对于招标文件、采购过程、采购结果有依法进行询问、质疑、投诉的权利及相关渠道和要求。</w:t>
      </w:r>
    </w:p>
    <w:p w14:paraId="78661A62">
      <w:pPr>
        <w:snapToGrid w:val="0"/>
        <w:spacing w:line="360" w:lineRule="auto"/>
        <w:ind w:firstLine="420" w:firstLineChars="200"/>
        <w:jc w:val="left"/>
        <w:rPr>
          <w:rFonts w:ascii="宋体" w:hAnsi="宋体" w:cs="宋体"/>
          <w:szCs w:val="21"/>
        </w:rPr>
      </w:pPr>
      <w:r>
        <w:rPr>
          <w:rFonts w:hint="eastAsia" w:ascii="宋体" w:hAnsi="宋体" w:cs="宋体"/>
          <w:szCs w:val="21"/>
        </w:rPr>
        <w:t>2、投标人在投标之前已经与贵方进行了充分的沟通，完全理解并接受招标文件的各项规定和要求，对招标文件的合理性、合法性不再有异议。</w:t>
      </w:r>
    </w:p>
    <w:p w14:paraId="31FD982B">
      <w:pPr>
        <w:snapToGrid w:val="0"/>
        <w:spacing w:line="360" w:lineRule="auto"/>
        <w:ind w:firstLine="420" w:firstLineChars="200"/>
        <w:jc w:val="left"/>
        <w:rPr>
          <w:rFonts w:ascii="宋体" w:hAnsi="宋体" w:cs="宋体"/>
          <w:szCs w:val="21"/>
        </w:rPr>
      </w:pPr>
      <w:r>
        <w:rPr>
          <w:rFonts w:hint="eastAsia" w:ascii="宋体" w:hAnsi="宋体" w:cs="宋体"/>
          <w:szCs w:val="21"/>
        </w:rPr>
        <w:t>3、本投标有效期自开标日起______天。</w:t>
      </w:r>
    </w:p>
    <w:p w14:paraId="2A1871C6">
      <w:pPr>
        <w:snapToGrid w:val="0"/>
        <w:spacing w:line="360" w:lineRule="auto"/>
        <w:ind w:firstLine="420" w:firstLineChars="200"/>
        <w:jc w:val="left"/>
        <w:rPr>
          <w:rFonts w:ascii="宋体" w:hAnsi="宋体" w:cs="宋体"/>
          <w:szCs w:val="21"/>
        </w:rPr>
      </w:pPr>
      <w:r>
        <w:rPr>
          <w:rFonts w:hint="eastAsia" w:ascii="宋体" w:hAnsi="宋体" w:cs="宋体"/>
          <w:szCs w:val="21"/>
        </w:rPr>
        <w:t>4、如中标，本投标文件至本项目合同履行完毕止均保持有效，本投标人将按“招标文件”及政府采购法律、法规的规定履行合同责任和义务。</w:t>
      </w:r>
    </w:p>
    <w:p w14:paraId="2D24BD12">
      <w:pPr>
        <w:snapToGrid w:val="0"/>
        <w:spacing w:line="360" w:lineRule="auto"/>
        <w:ind w:firstLine="420" w:firstLineChars="200"/>
        <w:jc w:val="left"/>
        <w:rPr>
          <w:rFonts w:ascii="宋体" w:hAnsi="宋体" w:cs="宋体"/>
          <w:szCs w:val="21"/>
        </w:rPr>
      </w:pPr>
      <w:r>
        <w:rPr>
          <w:rFonts w:hint="eastAsia" w:ascii="宋体" w:hAnsi="宋体" w:cs="宋体"/>
          <w:szCs w:val="21"/>
        </w:rPr>
        <w:t>5、投标人同意按照贵方要求提供与投标有关的一切数据或资料。</w:t>
      </w:r>
    </w:p>
    <w:p w14:paraId="73C79D43">
      <w:pPr>
        <w:snapToGrid w:val="0"/>
        <w:spacing w:line="360" w:lineRule="auto"/>
        <w:ind w:firstLine="420" w:firstLineChars="200"/>
        <w:jc w:val="left"/>
        <w:rPr>
          <w:rFonts w:ascii="宋体" w:hAnsi="宋体" w:cs="宋体"/>
          <w:szCs w:val="21"/>
        </w:rPr>
      </w:pPr>
      <w:r>
        <w:rPr>
          <w:rFonts w:hint="eastAsia" w:ascii="宋体" w:hAnsi="宋体" w:cs="宋体"/>
          <w:szCs w:val="21"/>
        </w:rPr>
        <w:t>6、与本投标有关的一切正式往来信函请寄：</w:t>
      </w:r>
    </w:p>
    <w:p w14:paraId="2F51CD05">
      <w:pPr>
        <w:snapToGrid w:val="0"/>
        <w:spacing w:line="360" w:lineRule="auto"/>
        <w:ind w:firstLine="420" w:firstLineChars="200"/>
        <w:jc w:val="left"/>
        <w:rPr>
          <w:rFonts w:ascii="宋体" w:hAnsi="宋体" w:cs="宋体"/>
          <w:szCs w:val="21"/>
        </w:rPr>
      </w:pPr>
    </w:p>
    <w:p w14:paraId="6BC7D11D">
      <w:pPr>
        <w:snapToGrid w:val="0"/>
        <w:spacing w:line="360" w:lineRule="auto"/>
        <w:ind w:firstLine="420" w:firstLineChars="200"/>
        <w:jc w:val="left"/>
        <w:rPr>
          <w:rFonts w:ascii="宋体" w:hAnsi="宋体" w:cs="宋体"/>
          <w:szCs w:val="21"/>
        </w:rPr>
      </w:pPr>
      <w:r>
        <w:rPr>
          <w:rFonts w:hint="eastAsia" w:ascii="宋体" w:hAnsi="宋体" w:cs="宋体"/>
          <w:szCs w:val="21"/>
        </w:rPr>
        <w:t>地址： 邮编：__________   电话：______________</w:t>
      </w:r>
    </w:p>
    <w:p w14:paraId="3C80F286">
      <w:pPr>
        <w:snapToGrid w:val="0"/>
        <w:spacing w:line="360" w:lineRule="auto"/>
        <w:ind w:firstLine="420" w:firstLineChars="200"/>
        <w:jc w:val="left"/>
        <w:rPr>
          <w:rFonts w:ascii="宋体" w:hAnsi="宋体" w:cs="宋体"/>
          <w:szCs w:val="21"/>
        </w:rPr>
      </w:pPr>
      <w:r>
        <w:rPr>
          <w:rFonts w:hint="eastAsia" w:ascii="宋体" w:hAnsi="宋体" w:cs="宋体"/>
          <w:szCs w:val="21"/>
        </w:rPr>
        <w:t>传真：______________投标人代表姓名 ___________  职务：_____________</w:t>
      </w:r>
    </w:p>
    <w:p w14:paraId="006CABB8">
      <w:pPr>
        <w:snapToGrid w:val="0"/>
        <w:spacing w:line="360" w:lineRule="auto"/>
        <w:ind w:firstLine="420" w:firstLineChars="200"/>
        <w:jc w:val="left"/>
        <w:rPr>
          <w:rFonts w:ascii="宋体" w:hAnsi="宋体" w:cs="宋体"/>
          <w:szCs w:val="21"/>
        </w:rPr>
      </w:pPr>
      <w:r>
        <w:rPr>
          <w:rFonts w:hint="eastAsia" w:ascii="宋体" w:hAnsi="宋体" w:cs="宋体"/>
          <w:szCs w:val="21"/>
        </w:rPr>
        <w:t>投标人名称(公章): _____________</w:t>
      </w:r>
    </w:p>
    <w:p w14:paraId="0CA5A3BB">
      <w:pPr>
        <w:snapToGrid w:val="0"/>
        <w:spacing w:line="360" w:lineRule="auto"/>
        <w:ind w:firstLine="420" w:firstLineChars="200"/>
        <w:jc w:val="left"/>
        <w:rPr>
          <w:rFonts w:ascii="宋体" w:hAnsi="宋体" w:cs="宋体"/>
          <w:szCs w:val="21"/>
        </w:rPr>
      </w:pPr>
      <w:r>
        <w:rPr>
          <w:rFonts w:hint="eastAsia" w:ascii="宋体" w:hAnsi="宋体" w:cs="宋体"/>
          <w:szCs w:val="21"/>
        </w:rPr>
        <w:t>开户银行：</w:t>
      </w:r>
    </w:p>
    <w:p w14:paraId="6A36E73C">
      <w:pPr>
        <w:snapToGrid w:val="0"/>
        <w:spacing w:line="360" w:lineRule="auto"/>
        <w:ind w:firstLine="420" w:firstLineChars="200"/>
        <w:jc w:val="left"/>
        <w:rPr>
          <w:rFonts w:ascii="宋体" w:hAnsi="宋体" w:cs="宋体"/>
          <w:szCs w:val="21"/>
        </w:rPr>
      </w:pPr>
      <w:r>
        <w:rPr>
          <w:rFonts w:hint="eastAsia" w:ascii="宋体" w:hAnsi="宋体" w:cs="宋体"/>
          <w:szCs w:val="21"/>
        </w:rPr>
        <w:t>银行账号：</w:t>
      </w:r>
    </w:p>
    <w:p w14:paraId="02DEAB6E">
      <w:pPr>
        <w:snapToGrid w:val="0"/>
        <w:spacing w:line="360" w:lineRule="auto"/>
        <w:ind w:firstLine="420" w:firstLineChars="200"/>
        <w:jc w:val="left"/>
        <w:rPr>
          <w:rFonts w:ascii="宋体" w:hAnsi="宋体" w:cs="宋体"/>
          <w:szCs w:val="21"/>
        </w:rPr>
      </w:pPr>
      <w:r>
        <w:rPr>
          <w:rFonts w:hint="eastAsia" w:ascii="宋体" w:hAnsi="宋体" w:cs="宋体"/>
          <w:szCs w:val="21"/>
        </w:rPr>
        <w:t xml:space="preserve">法定代表人或其委托代理人签名（或盖章）:___________                      </w:t>
      </w:r>
    </w:p>
    <w:p w14:paraId="1FBCBA06">
      <w:pPr>
        <w:snapToGrid w:val="0"/>
        <w:spacing w:line="360" w:lineRule="auto"/>
        <w:ind w:firstLine="420" w:firstLineChars="200"/>
        <w:jc w:val="left"/>
        <w:rPr>
          <w:rFonts w:ascii="宋体" w:hAnsi="宋体" w:cs="宋体"/>
          <w:szCs w:val="21"/>
        </w:rPr>
      </w:pPr>
      <w:r>
        <w:rPr>
          <w:rFonts w:hint="eastAsia" w:ascii="宋体" w:hAnsi="宋体" w:cs="宋体"/>
          <w:szCs w:val="21"/>
        </w:rPr>
        <w:t>日期:_____年___月___日</w:t>
      </w:r>
    </w:p>
    <w:p w14:paraId="63932CFF">
      <w:pPr>
        <w:rPr>
          <w:rFonts w:ascii="宋体" w:hAnsi="宋体" w:cs="宋体"/>
          <w:szCs w:val="21"/>
        </w:rPr>
      </w:pPr>
      <w:r>
        <w:rPr>
          <w:rFonts w:hint="eastAsia" w:ascii="宋体" w:hAnsi="宋体" w:cs="宋体"/>
          <w:szCs w:val="21"/>
        </w:rPr>
        <w:br w:type="page"/>
      </w:r>
    </w:p>
    <w:p w14:paraId="3B83EF9E">
      <w:pPr>
        <w:snapToGri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开标一览表</w:t>
      </w:r>
    </w:p>
    <w:p w14:paraId="71FF062E">
      <w:pPr>
        <w:snapToGrid w:val="0"/>
        <w:spacing w:line="360" w:lineRule="auto"/>
        <w:rPr>
          <w:rFonts w:ascii="宋体" w:hAnsi="宋体" w:cs="宋体"/>
          <w:szCs w:val="21"/>
          <w:highlight w:val="none"/>
        </w:rPr>
      </w:pPr>
      <w:r>
        <w:rPr>
          <w:rFonts w:hint="eastAsia" w:ascii="宋体" w:hAnsi="宋体" w:cs="宋体"/>
          <w:szCs w:val="21"/>
          <w:highlight w:val="none"/>
        </w:rPr>
        <w:t>项目编号：嘉消采-GK2024016                               报价单位：人民币（元）</w:t>
      </w:r>
    </w:p>
    <w:tbl>
      <w:tblPr>
        <w:tblStyle w:val="48"/>
        <w:tblW w:w="8323" w:type="dxa"/>
        <w:tblInd w:w="10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88"/>
        <w:gridCol w:w="6435"/>
      </w:tblGrid>
      <w:tr w14:paraId="0E86D8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2" w:hRule="atLeast"/>
        </w:trPr>
        <w:tc>
          <w:tcPr>
            <w:tcW w:w="1888" w:type="dxa"/>
            <w:tcBorders>
              <w:top w:val="single" w:color="auto" w:sz="4" w:space="0"/>
              <w:left w:val="single" w:color="auto" w:sz="4" w:space="0"/>
              <w:bottom w:val="single" w:color="auto" w:sz="4" w:space="0"/>
              <w:right w:val="single" w:color="auto" w:sz="4" w:space="0"/>
            </w:tcBorders>
            <w:vAlign w:val="center"/>
          </w:tcPr>
          <w:p w14:paraId="29C45E58">
            <w:pPr>
              <w:spacing w:line="440" w:lineRule="atLeast"/>
              <w:jc w:val="center"/>
              <w:rPr>
                <w:rFonts w:ascii="宋体" w:hAnsi="宋体" w:cs="宋体"/>
                <w:szCs w:val="21"/>
                <w:highlight w:val="none"/>
              </w:rPr>
            </w:pPr>
            <w:r>
              <w:rPr>
                <w:rFonts w:hint="eastAsia" w:ascii="宋体" w:hAnsi="宋体" w:cs="宋体"/>
                <w:szCs w:val="21"/>
                <w:highlight w:val="none"/>
              </w:rPr>
              <w:t>项目名称</w:t>
            </w:r>
          </w:p>
        </w:tc>
        <w:tc>
          <w:tcPr>
            <w:tcW w:w="6435" w:type="dxa"/>
            <w:tcBorders>
              <w:top w:val="single" w:color="auto" w:sz="4" w:space="0"/>
              <w:left w:val="single" w:color="auto" w:sz="4" w:space="0"/>
              <w:bottom w:val="single" w:color="auto" w:sz="4" w:space="0"/>
              <w:right w:val="single" w:color="000000" w:sz="4" w:space="0"/>
            </w:tcBorders>
            <w:vAlign w:val="center"/>
          </w:tcPr>
          <w:p w14:paraId="334D79AA">
            <w:pPr>
              <w:adjustRightInd w:val="0"/>
              <w:spacing w:line="440" w:lineRule="exact"/>
              <w:jc w:val="center"/>
              <w:rPr>
                <w:rFonts w:ascii="宋体" w:hAnsi="宋体" w:cs="宋体"/>
                <w:szCs w:val="21"/>
                <w:highlight w:val="none"/>
              </w:rPr>
            </w:pPr>
            <w:r>
              <w:rPr>
                <w:rFonts w:hint="eastAsia" w:ascii="宋体" w:hAnsi="宋体" w:cs="宋体"/>
                <w:szCs w:val="21"/>
                <w:highlight w:val="none"/>
              </w:rPr>
              <w:t>浙江省嘉兴支队海盐县消防救援大队2024-2025年度物业管理服务采购项目</w:t>
            </w:r>
          </w:p>
        </w:tc>
      </w:tr>
      <w:tr w14:paraId="3D9A6E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22" w:hRule="atLeast"/>
        </w:trPr>
        <w:tc>
          <w:tcPr>
            <w:tcW w:w="1888" w:type="dxa"/>
            <w:tcBorders>
              <w:top w:val="single" w:color="auto" w:sz="4" w:space="0"/>
              <w:left w:val="single" w:color="auto" w:sz="4" w:space="0"/>
              <w:bottom w:val="single" w:color="auto" w:sz="4" w:space="0"/>
              <w:right w:val="single" w:color="auto" w:sz="4" w:space="0"/>
            </w:tcBorders>
            <w:vAlign w:val="center"/>
          </w:tcPr>
          <w:p w14:paraId="7823D70A">
            <w:pPr>
              <w:spacing w:line="440" w:lineRule="atLeast"/>
              <w:jc w:val="center"/>
              <w:rPr>
                <w:rFonts w:ascii="宋体" w:hAnsi="宋体" w:cs="宋体"/>
                <w:szCs w:val="21"/>
                <w:highlight w:val="none"/>
              </w:rPr>
            </w:pPr>
            <w:r>
              <w:rPr>
                <w:rFonts w:hint="eastAsia" w:ascii="宋体" w:hAnsi="宋体" w:cs="宋体"/>
                <w:szCs w:val="21"/>
                <w:highlight w:val="none"/>
              </w:rPr>
              <w:t>服务期限</w:t>
            </w:r>
          </w:p>
        </w:tc>
        <w:tc>
          <w:tcPr>
            <w:tcW w:w="6435" w:type="dxa"/>
            <w:tcBorders>
              <w:top w:val="single" w:color="auto" w:sz="4" w:space="0"/>
              <w:left w:val="single" w:color="auto" w:sz="4" w:space="0"/>
              <w:bottom w:val="single" w:color="auto" w:sz="4" w:space="0"/>
              <w:right w:val="single" w:color="000000" w:sz="4" w:space="0"/>
            </w:tcBorders>
            <w:vAlign w:val="center"/>
          </w:tcPr>
          <w:p w14:paraId="34DAD949">
            <w:pPr>
              <w:adjustRightInd w:val="0"/>
              <w:spacing w:line="440" w:lineRule="exact"/>
              <w:jc w:val="center"/>
              <w:rPr>
                <w:rFonts w:ascii="宋体" w:hAnsi="宋体" w:cs="宋体"/>
                <w:szCs w:val="21"/>
                <w:highlight w:val="none"/>
              </w:rPr>
            </w:pPr>
          </w:p>
        </w:tc>
      </w:tr>
      <w:tr w14:paraId="7057EB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1888" w:type="dxa"/>
            <w:tcBorders>
              <w:top w:val="single" w:color="auto" w:sz="4" w:space="0"/>
              <w:left w:val="single" w:color="auto" w:sz="4" w:space="0"/>
              <w:bottom w:val="single" w:color="auto" w:sz="4" w:space="0"/>
              <w:right w:val="single" w:color="auto" w:sz="4" w:space="0"/>
            </w:tcBorders>
            <w:vAlign w:val="center"/>
          </w:tcPr>
          <w:p w14:paraId="5A6B3653">
            <w:pPr>
              <w:spacing w:line="440" w:lineRule="atLeast"/>
              <w:jc w:val="center"/>
              <w:rPr>
                <w:rFonts w:ascii="宋体" w:hAnsi="宋体" w:cs="宋体"/>
                <w:szCs w:val="21"/>
                <w:highlight w:val="none"/>
              </w:rPr>
            </w:pPr>
            <w:r>
              <w:rPr>
                <w:rFonts w:hint="eastAsia" w:ascii="宋体" w:hAnsi="宋体" w:cs="宋体"/>
                <w:szCs w:val="21"/>
                <w:highlight w:val="none"/>
              </w:rPr>
              <w:t>投标报价</w:t>
            </w:r>
          </w:p>
        </w:tc>
        <w:tc>
          <w:tcPr>
            <w:tcW w:w="6435" w:type="dxa"/>
            <w:tcBorders>
              <w:top w:val="single" w:color="auto" w:sz="4" w:space="0"/>
              <w:left w:val="single" w:color="auto" w:sz="4" w:space="0"/>
              <w:bottom w:val="single" w:color="auto" w:sz="4" w:space="0"/>
              <w:right w:val="single" w:color="000000" w:sz="4" w:space="0"/>
            </w:tcBorders>
            <w:vAlign w:val="center"/>
          </w:tcPr>
          <w:p w14:paraId="61186EFF">
            <w:pPr>
              <w:adjustRightInd w:val="0"/>
              <w:spacing w:line="440" w:lineRule="exact"/>
              <w:ind w:firstLine="210" w:firstLineChars="100"/>
              <w:jc w:val="left"/>
              <w:rPr>
                <w:rFonts w:ascii="宋体" w:hAnsi="宋体" w:cs="宋体"/>
                <w:color w:val="000000"/>
                <w:szCs w:val="21"/>
                <w:highlight w:val="none"/>
                <w:u w:val="single"/>
              </w:rPr>
            </w:pPr>
            <w:r>
              <w:rPr>
                <w:rFonts w:hint="eastAsia" w:ascii="宋体" w:hAnsi="宋体" w:cs="宋体"/>
                <w:color w:val="000000"/>
                <w:szCs w:val="21"/>
                <w:highlight w:val="none"/>
              </w:rPr>
              <w:t>大写（人民币）：</w:t>
            </w:r>
            <w:r>
              <w:rPr>
                <w:rFonts w:hint="eastAsia" w:ascii="宋体" w:hAnsi="宋体" w:cs="宋体"/>
                <w:color w:val="000000"/>
                <w:szCs w:val="21"/>
                <w:highlight w:val="none"/>
                <w:u w:val="single"/>
              </w:rPr>
              <w:t xml:space="preserve">                  </w:t>
            </w:r>
          </w:p>
          <w:p w14:paraId="199A2FF7">
            <w:pPr>
              <w:adjustRightInd w:val="0"/>
              <w:spacing w:line="440" w:lineRule="exact"/>
              <w:ind w:firstLine="210" w:firstLineChars="100"/>
              <w:jc w:val="left"/>
              <w:rPr>
                <w:rFonts w:ascii="宋体" w:hAnsi="宋体" w:cs="宋体"/>
                <w:color w:val="000000"/>
                <w:szCs w:val="21"/>
                <w:highlight w:val="none"/>
              </w:rPr>
            </w:pPr>
            <w:r>
              <w:rPr>
                <w:rFonts w:hint="eastAsia" w:ascii="宋体" w:hAnsi="宋体" w:cs="宋体"/>
                <w:color w:val="000000"/>
                <w:szCs w:val="21"/>
                <w:highlight w:val="none"/>
              </w:rPr>
              <w:t xml:space="preserve">小写：￥ </w:t>
            </w:r>
            <w:r>
              <w:rPr>
                <w:rFonts w:hint="eastAsia" w:ascii="宋体" w:hAnsi="宋体" w:cs="宋体"/>
                <w:color w:val="000000"/>
                <w:szCs w:val="21"/>
                <w:highlight w:val="none"/>
                <w:u w:val="single"/>
              </w:rPr>
              <w:t xml:space="preserve">                  </w:t>
            </w:r>
          </w:p>
        </w:tc>
      </w:tr>
      <w:tr w14:paraId="54EBD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1888" w:type="dxa"/>
            <w:tcBorders>
              <w:top w:val="single" w:color="auto" w:sz="4" w:space="0"/>
              <w:left w:val="single" w:color="auto" w:sz="4" w:space="0"/>
              <w:bottom w:val="single" w:color="auto" w:sz="4" w:space="0"/>
              <w:right w:val="single" w:color="auto" w:sz="4" w:space="0"/>
            </w:tcBorders>
            <w:vAlign w:val="center"/>
          </w:tcPr>
          <w:p w14:paraId="500BB02E">
            <w:pPr>
              <w:adjustRightInd w:val="0"/>
              <w:spacing w:line="440" w:lineRule="exact"/>
              <w:jc w:val="center"/>
              <w:rPr>
                <w:rFonts w:ascii="宋体" w:hAnsi="宋体" w:cs="宋体"/>
                <w:szCs w:val="21"/>
                <w:highlight w:val="none"/>
              </w:rPr>
            </w:pPr>
            <w:r>
              <w:rPr>
                <w:rFonts w:hint="eastAsia" w:ascii="宋体" w:hAnsi="宋体" w:cs="宋体"/>
                <w:szCs w:val="21"/>
                <w:highlight w:val="none"/>
              </w:rPr>
              <w:t>备注</w:t>
            </w:r>
          </w:p>
        </w:tc>
        <w:tc>
          <w:tcPr>
            <w:tcW w:w="6435" w:type="dxa"/>
            <w:tcBorders>
              <w:top w:val="single" w:color="auto" w:sz="4" w:space="0"/>
              <w:left w:val="single" w:color="auto" w:sz="4" w:space="0"/>
              <w:bottom w:val="single" w:color="auto" w:sz="4" w:space="0"/>
              <w:right w:val="single" w:color="000000" w:sz="4" w:space="0"/>
            </w:tcBorders>
            <w:vAlign w:val="center"/>
          </w:tcPr>
          <w:p w14:paraId="7138F405">
            <w:pPr>
              <w:adjustRightInd w:val="0"/>
              <w:spacing w:line="440" w:lineRule="exact"/>
              <w:ind w:firstLine="210" w:firstLineChars="100"/>
              <w:rPr>
                <w:rFonts w:ascii="宋体" w:hAnsi="宋体" w:cs="宋体"/>
                <w:szCs w:val="21"/>
                <w:highlight w:val="none"/>
              </w:rPr>
            </w:pPr>
          </w:p>
        </w:tc>
      </w:tr>
    </w:tbl>
    <w:p w14:paraId="2EEE38F3">
      <w:pPr>
        <w:adjustRightInd w:val="0"/>
        <w:spacing w:line="440" w:lineRule="exact"/>
        <w:rPr>
          <w:rFonts w:ascii="宋体" w:hAnsi="宋体" w:cs="宋体"/>
          <w:szCs w:val="21"/>
          <w:highlight w:val="none"/>
        </w:rPr>
      </w:pPr>
      <w:r>
        <w:rPr>
          <w:rFonts w:hint="eastAsia" w:ascii="宋体" w:hAnsi="宋体" w:cs="宋体"/>
          <w:szCs w:val="21"/>
          <w:highlight w:val="none"/>
        </w:rPr>
        <w:t>注：1、根据投标内容填写报价表。</w:t>
      </w:r>
    </w:p>
    <w:p w14:paraId="478534B7">
      <w:pPr>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2、投标报价包括投标人提供服务的人员各项费用、统一工作服（服装、帽子、饭单、袖套、毛巾、专用口罩、胶鞋、橡胶手套等）及管理费、利润、税金等相关内容，由投标人自行综合考虑报价。</w:t>
      </w:r>
    </w:p>
    <w:p w14:paraId="3C225D24">
      <w:pPr>
        <w:adjustRightInd w:val="0"/>
        <w:spacing w:line="440" w:lineRule="exact"/>
        <w:ind w:firstLine="420" w:firstLineChars="200"/>
        <w:rPr>
          <w:rFonts w:ascii="宋体" w:hAnsi="宋体" w:cs="宋体"/>
          <w:szCs w:val="21"/>
          <w:highlight w:val="none"/>
        </w:rPr>
      </w:pPr>
      <w:r>
        <w:rPr>
          <w:rFonts w:hint="eastAsia" w:ascii="宋体" w:hAnsi="宋体" w:cs="宋体"/>
          <w:color w:val="000000"/>
          <w:szCs w:val="21"/>
          <w:highlight w:val="none"/>
        </w:rPr>
        <w:t>3、投标人如果需要对报价、服务或其它内容加以说明，可在备注一栏中填写。</w:t>
      </w:r>
    </w:p>
    <w:p w14:paraId="3B25472A">
      <w:pPr>
        <w:pStyle w:val="25"/>
        <w:snapToGrid w:val="0"/>
        <w:spacing w:line="360" w:lineRule="auto"/>
        <w:rPr>
          <w:rFonts w:hAnsi="宋体" w:cs="宋体"/>
          <w:szCs w:val="21"/>
          <w:highlight w:val="none"/>
          <w:shd w:val="clear" w:color="auto" w:fill="FFFFFF"/>
        </w:rPr>
      </w:pPr>
    </w:p>
    <w:p w14:paraId="6BE73CAE">
      <w:pPr>
        <w:pStyle w:val="25"/>
        <w:snapToGrid w:val="0"/>
        <w:spacing w:line="360" w:lineRule="auto"/>
        <w:rPr>
          <w:rFonts w:hAnsi="宋体" w:cs="宋体"/>
          <w:szCs w:val="21"/>
          <w:highlight w:val="none"/>
          <w:shd w:val="clear" w:color="auto" w:fill="FFFFFF"/>
        </w:rPr>
      </w:pPr>
    </w:p>
    <w:p w14:paraId="4B8A3F12">
      <w:pPr>
        <w:pStyle w:val="25"/>
        <w:snapToGrid w:val="0"/>
        <w:spacing w:line="360" w:lineRule="auto"/>
        <w:rPr>
          <w:rFonts w:hAnsi="宋体" w:cs="宋体"/>
          <w:szCs w:val="21"/>
          <w:highlight w:val="none"/>
          <w:shd w:val="clear" w:color="auto" w:fill="FFFFFF"/>
        </w:rPr>
      </w:pPr>
      <w:r>
        <w:rPr>
          <w:rFonts w:hint="eastAsia" w:hAnsi="宋体" w:cs="宋体"/>
          <w:szCs w:val="21"/>
          <w:highlight w:val="none"/>
          <w:shd w:val="clear" w:color="auto" w:fill="FFFFFF"/>
        </w:rPr>
        <w:t>法定代表人或授权代表（签字或盖章）：</w:t>
      </w:r>
    </w:p>
    <w:p w14:paraId="05E991E8">
      <w:pPr>
        <w:pStyle w:val="25"/>
        <w:snapToGrid w:val="0"/>
        <w:spacing w:line="360" w:lineRule="auto"/>
        <w:rPr>
          <w:rFonts w:hAnsi="宋体" w:cs="宋体"/>
          <w:szCs w:val="21"/>
          <w:highlight w:val="none"/>
        </w:rPr>
      </w:pPr>
      <w:r>
        <w:rPr>
          <w:rFonts w:hint="eastAsia" w:hAnsi="宋体" w:cs="宋体"/>
          <w:szCs w:val="21"/>
          <w:highlight w:val="none"/>
          <w:shd w:val="clear" w:color="auto" w:fill="FFFFFF"/>
        </w:rPr>
        <w:t>投标人名称：（盖章）：</w:t>
      </w:r>
    </w:p>
    <w:p w14:paraId="517B683D">
      <w:pPr>
        <w:pStyle w:val="25"/>
        <w:snapToGrid w:val="0"/>
        <w:spacing w:line="360" w:lineRule="auto"/>
        <w:rPr>
          <w:rFonts w:hAnsi="宋体" w:cs="宋体"/>
          <w:highlight w:val="none"/>
        </w:rPr>
      </w:pPr>
      <w:r>
        <w:rPr>
          <w:rFonts w:hint="eastAsia" w:hAnsi="宋体" w:cs="宋体"/>
          <w:szCs w:val="21"/>
          <w:highlight w:val="none"/>
          <w:shd w:val="clear" w:color="auto" w:fill="FFFFFF"/>
        </w:rPr>
        <w:t>日期：</w:t>
      </w:r>
    </w:p>
    <w:p w14:paraId="2510BCC2">
      <w:pPr>
        <w:rPr>
          <w:rFonts w:ascii="宋体" w:hAnsi="宋体" w:cs="宋体"/>
          <w:highlight w:val="none"/>
        </w:rPr>
      </w:pPr>
      <w:r>
        <w:rPr>
          <w:rFonts w:hint="eastAsia" w:ascii="宋体" w:hAnsi="宋体" w:cs="宋体"/>
          <w:highlight w:val="none"/>
        </w:rPr>
        <w:br w:type="page"/>
      </w:r>
    </w:p>
    <w:p w14:paraId="282639FD">
      <w:pPr>
        <w:snapToGri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报价明细表</w:t>
      </w:r>
    </w:p>
    <w:tbl>
      <w:tblPr>
        <w:tblStyle w:val="48"/>
        <w:tblW w:w="9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1710"/>
        <w:gridCol w:w="1485"/>
        <w:gridCol w:w="1530"/>
        <w:gridCol w:w="1005"/>
        <w:gridCol w:w="2270"/>
      </w:tblGrid>
      <w:tr w14:paraId="32E48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jc w:val="center"/>
        </w:trPr>
        <w:tc>
          <w:tcPr>
            <w:tcW w:w="1005" w:type="dxa"/>
            <w:vAlign w:val="center"/>
          </w:tcPr>
          <w:p w14:paraId="19E16B03">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序号</w:t>
            </w:r>
          </w:p>
        </w:tc>
        <w:tc>
          <w:tcPr>
            <w:tcW w:w="1710" w:type="dxa"/>
            <w:vAlign w:val="center"/>
          </w:tcPr>
          <w:p w14:paraId="2BC82F83">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内容</w:t>
            </w:r>
          </w:p>
        </w:tc>
        <w:tc>
          <w:tcPr>
            <w:tcW w:w="1485" w:type="dxa"/>
            <w:vAlign w:val="center"/>
          </w:tcPr>
          <w:p w14:paraId="7DF690ED">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每人每月</w:t>
            </w:r>
          </w:p>
          <w:p w14:paraId="392CB3B3">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(元)</w:t>
            </w:r>
          </w:p>
        </w:tc>
        <w:tc>
          <w:tcPr>
            <w:tcW w:w="1530" w:type="dxa"/>
            <w:vAlign w:val="center"/>
          </w:tcPr>
          <w:p w14:paraId="0146D0F4">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每人每年</w:t>
            </w:r>
          </w:p>
          <w:p w14:paraId="40C787D6">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(元)</w:t>
            </w:r>
          </w:p>
        </w:tc>
        <w:tc>
          <w:tcPr>
            <w:tcW w:w="1005" w:type="dxa"/>
            <w:vAlign w:val="center"/>
          </w:tcPr>
          <w:p w14:paraId="2B529898">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数量</w:t>
            </w:r>
          </w:p>
          <w:p w14:paraId="254133C5">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(人)</w:t>
            </w:r>
          </w:p>
        </w:tc>
        <w:tc>
          <w:tcPr>
            <w:tcW w:w="2270" w:type="dxa"/>
            <w:vAlign w:val="center"/>
          </w:tcPr>
          <w:p w14:paraId="025DF3E3">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每年合计</w:t>
            </w:r>
          </w:p>
          <w:p w14:paraId="6400D62D">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(元)</w:t>
            </w:r>
          </w:p>
        </w:tc>
      </w:tr>
      <w:tr w14:paraId="0F54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05" w:type="dxa"/>
            <w:vAlign w:val="center"/>
          </w:tcPr>
          <w:p w14:paraId="6BC36F50">
            <w:pPr>
              <w:spacing w:line="480" w:lineRule="exact"/>
              <w:jc w:val="center"/>
              <w:rPr>
                <w:rFonts w:ascii="宋体" w:hAnsi="宋体" w:cs="宋体"/>
                <w:color w:val="000000"/>
                <w:szCs w:val="21"/>
                <w:highlight w:val="none"/>
              </w:rPr>
            </w:pPr>
            <w:r>
              <w:rPr>
                <w:rFonts w:hint="eastAsia" w:ascii="宋体" w:hAnsi="宋体" w:cs="宋体"/>
                <w:color w:val="000000"/>
                <w:szCs w:val="21"/>
                <w:highlight w:val="none"/>
              </w:rPr>
              <w:t>1</w:t>
            </w:r>
          </w:p>
        </w:tc>
        <w:tc>
          <w:tcPr>
            <w:tcW w:w="1710" w:type="dxa"/>
            <w:vAlign w:val="center"/>
          </w:tcPr>
          <w:p w14:paraId="46FE860B">
            <w:pPr>
              <w:spacing w:line="480" w:lineRule="exact"/>
              <w:jc w:val="center"/>
              <w:rPr>
                <w:rFonts w:ascii="宋体" w:hAnsi="宋体" w:cs="宋体"/>
                <w:szCs w:val="21"/>
                <w:highlight w:val="none"/>
              </w:rPr>
            </w:pPr>
            <w:r>
              <w:rPr>
                <w:rFonts w:hint="eastAsia" w:ascii="宋体" w:hAnsi="宋体" w:cs="宋体"/>
                <w:szCs w:val="21"/>
                <w:highlight w:val="none"/>
                <w:lang w:val="zh-CN"/>
              </w:rPr>
              <w:t>经理</w:t>
            </w:r>
          </w:p>
        </w:tc>
        <w:tc>
          <w:tcPr>
            <w:tcW w:w="1485" w:type="dxa"/>
            <w:vAlign w:val="center"/>
          </w:tcPr>
          <w:p w14:paraId="01DC88A7">
            <w:pPr>
              <w:spacing w:line="480" w:lineRule="exact"/>
              <w:ind w:right="105"/>
              <w:jc w:val="right"/>
              <w:rPr>
                <w:rFonts w:ascii="宋体" w:hAnsi="宋体" w:cs="宋体"/>
                <w:color w:val="000000"/>
                <w:szCs w:val="21"/>
                <w:highlight w:val="none"/>
              </w:rPr>
            </w:pPr>
          </w:p>
        </w:tc>
        <w:tc>
          <w:tcPr>
            <w:tcW w:w="1530" w:type="dxa"/>
            <w:vAlign w:val="center"/>
          </w:tcPr>
          <w:p w14:paraId="069BBAA0">
            <w:pPr>
              <w:spacing w:line="480" w:lineRule="exact"/>
              <w:jc w:val="center"/>
              <w:rPr>
                <w:rFonts w:ascii="宋体" w:hAnsi="宋体" w:cs="宋体"/>
                <w:color w:val="000000"/>
                <w:szCs w:val="21"/>
                <w:highlight w:val="none"/>
              </w:rPr>
            </w:pPr>
          </w:p>
        </w:tc>
        <w:tc>
          <w:tcPr>
            <w:tcW w:w="1005" w:type="dxa"/>
            <w:vAlign w:val="center"/>
          </w:tcPr>
          <w:p w14:paraId="529E0B38">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1</w:t>
            </w:r>
          </w:p>
        </w:tc>
        <w:tc>
          <w:tcPr>
            <w:tcW w:w="2270" w:type="dxa"/>
            <w:vAlign w:val="center"/>
          </w:tcPr>
          <w:p w14:paraId="1220D284">
            <w:pPr>
              <w:spacing w:line="480" w:lineRule="exact"/>
              <w:ind w:right="105"/>
              <w:jc w:val="right"/>
              <w:rPr>
                <w:rFonts w:ascii="宋体" w:hAnsi="宋体" w:cs="宋体"/>
                <w:color w:val="000000"/>
                <w:szCs w:val="21"/>
                <w:highlight w:val="none"/>
              </w:rPr>
            </w:pPr>
          </w:p>
        </w:tc>
      </w:tr>
      <w:tr w14:paraId="068B3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5" w:type="dxa"/>
            <w:vAlign w:val="center"/>
          </w:tcPr>
          <w:p w14:paraId="4A62DEC7">
            <w:pPr>
              <w:spacing w:line="480" w:lineRule="exact"/>
              <w:jc w:val="center"/>
              <w:rPr>
                <w:rFonts w:ascii="宋体" w:hAnsi="宋体" w:cs="宋体"/>
                <w:color w:val="000000"/>
                <w:szCs w:val="21"/>
                <w:highlight w:val="none"/>
              </w:rPr>
            </w:pPr>
            <w:r>
              <w:rPr>
                <w:rFonts w:hint="eastAsia" w:ascii="宋体" w:hAnsi="宋体" w:cs="宋体"/>
                <w:color w:val="000000"/>
                <w:szCs w:val="21"/>
                <w:highlight w:val="none"/>
              </w:rPr>
              <w:t>2</w:t>
            </w:r>
          </w:p>
        </w:tc>
        <w:tc>
          <w:tcPr>
            <w:tcW w:w="1710" w:type="dxa"/>
            <w:vAlign w:val="center"/>
          </w:tcPr>
          <w:p w14:paraId="68DAD656">
            <w:pPr>
              <w:spacing w:line="480" w:lineRule="exact"/>
              <w:jc w:val="center"/>
              <w:rPr>
                <w:rFonts w:ascii="宋体" w:hAnsi="宋体" w:cs="宋体"/>
                <w:kern w:val="0"/>
                <w:szCs w:val="21"/>
                <w:highlight w:val="none"/>
              </w:rPr>
            </w:pPr>
            <w:r>
              <w:rPr>
                <w:rFonts w:hint="eastAsia" w:ascii="宋体" w:hAnsi="宋体" w:cs="宋体"/>
                <w:szCs w:val="21"/>
                <w:highlight w:val="none"/>
                <w:lang w:val="zh-CN"/>
              </w:rPr>
              <w:t>后厨厨师</w:t>
            </w:r>
          </w:p>
        </w:tc>
        <w:tc>
          <w:tcPr>
            <w:tcW w:w="1485" w:type="dxa"/>
            <w:vAlign w:val="center"/>
          </w:tcPr>
          <w:p w14:paraId="00B39F45">
            <w:pPr>
              <w:spacing w:line="480" w:lineRule="exact"/>
              <w:ind w:right="108"/>
              <w:jc w:val="right"/>
              <w:rPr>
                <w:rFonts w:ascii="宋体" w:hAnsi="宋体" w:cs="宋体"/>
                <w:color w:val="000000"/>
                <w:highlight w:val="none"/>
              </w:rPr>
            </w:pPr>
          </w:p>
        </w:tc>
        <w:tc>
          <w:tcPr>
            <w:tcW w:w="1530" w:type="dxa"/>
            <w:vAlign w:val="center"/>
          </w:tcPr>
          <w:p w14:paraId="35FFB7DD">
            <w:pPr>
              <w:spacing w:line="480" w:lineRule="exact"/>
              <w:jc w:val="center"/>
              <w:rPr>
                <w:rFonts w:ascii="宋体" w:hAnsi="宋体" w:cs="宋体"/>
                <w:color w:val="000000"/>
                <w:highlight w:val="none"/>
              </w:rPr>
            </w:pPr>
          </w:p>
        </w:tc>
        <w:tc>
          <w:tcPr>
            <w:tcW w:w="1005" w:type="dxa"/>
            <w:vAlign w:val="center"/>
          </w:tcPr>
          <w:p w14:paraId="7942D3EE">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2270" w:type="dxa"/>
            <w:vAlign w:val="center"/>
          </w:tcPr>
          <w:p w14:paraId="24C323E0">
            <w:pPr>
              <w:spacing w:line="480" w:lineRule="exact"/>
              <w:ind w:right="105"/>
              <w:jc w:val="right"/>
              <w:rPr>
                <w:rFonts w:ascii="宋体" w:hAnsi="宋体" w:cs="宋体"/>
                <w:color w:val="000000"/>
                <w:szCs w:val="21"/>
                <w:highlight w:val="none"/>
              </w:rPr>
            </w:pPr>
          </w:p>
        </w:tc>
      </w:tr>
      <w:tr w14:paraId="3C0DF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5" w:type="dxa"/>
            <w:vAlign w:val="center"/>
          </w:tcPr>
          <w:p w14:paraId="71FC1496">
            <w:pPr>
              <w:spacing w:line="480" w:lineRule="exact"/>
              <w:jc w:val="center"/>
              <w:rPr>
                <w:rFonts w:ascii="宋体" w:hAnsi="宋体" w:cs="宋体"/>
                <w:color w:val="000000"/>
                <w:szCs w:val="21"/>
                <w:highlight w:val="none"/>
              </w:rPr>
            </w:pPr>
            <w:r>
              <w:rPr>
                <w:rFonts w:hint="eastAsia" w:ascii="宋体" w:hAnsi="宋体" w:cs="宋体"/>
                <w:color w:val="000000"/>
                <w:szCs w:val="21"/>
                <w:highlight w:val="none"/>
              </w:rPr>
              <w:t>3</w:t>
            </w:r>
          </w:p>
        </w:tc>
        <w:tc>
          <w:tcPr>
            <w:tcW w:w="1710" w:type="dxa"/>
            <w:vAlign w:val="center"/>
          </w:tcPr>
          <w:p w14:paraId="76A67130">
            <w:pPr>
              <w:spacing w:line="480" w:lineRule="exact"/>
              <w:jc w:val="center"/>
              <w:rPr>
                <w:rFonts w:ascii="宋体" w:hAnsi="宋体" w:cs="宋体"/>
                <w:kern w:val="0"/>
                <w:szCs w:val="21"/>
                <w:highlight w:val="none"/>
              </w:rPr>
            </w:pPr>
            <w:r>
              <w:rPr>
                <w:rFonts w:hint="eastAsia" w:ascii="宋体" w:hAnsi="宋体" w:cs="宋体"/>
                <w:szCs w:val="21"/>
                <w:highlight w:val="none"/>
                <w:lang w:val="zh-CN"/>
              </w:rPr>
              <w:t>切配</w:t>
            </w:r>
          </w:p>
        </w:tc>
        <w:tc>
          <w:tcPr>
            <w:tcW w:w="1485" w:type="dxa"/>
            <w:vAlign w:val="center"/>
          </w:tcPr>
          <w:p w14:paraId="752D2F04">
            <w:pPr>
              <w:spacing w:line="480" w:lineRule="exact"/>
              <w:ind w:right="108"/>
              <w:jc w:val="right"/>
              <w:rPr>
                <w:rFonts w:ascii="宋体" w:hAnsi="宋体" w:cs="宋体"/>
                <w:color w:val="000000"/>
                <w:highlight w:val="none"/>
              </w:rPr>
            </w:pPr>
          </w:p>
        </w:tc>
        <w:tc>
          <w:tcPr>
            <w:tcW w:w="1530" w:type="dxa"/>
            <w:vAlign w:val="center"/>
          </w:tcPr>
          <w:p w14:paraId="42996D78">
            <w:pPr>
              <w:spacing w:line="480" w:lineRule="exact"/>
              <w:jc w:val="center"/>
              <w:rPr>
                <w:rFonts w:ascii="宋体" w:hAnsi="宋体" w:cs="宋体"/>
                <w:color w:val="000000"/>
                <w:highlight w:val="none"/>
              </w:rPr>
            </w:pPr>
          </w:p>
        </w:tc>
        <w:tc>
          <w:tcPr>
            <w:tcW w:w="1005" w:type="dxa"/>
            <w:vAlign w:val="center"/>
          </w:tcPr>
          <w:p w14:paraId="6F726FC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4</w:t>
            </w:r>
          </w:p>
        </w:tc>
        <w:tc>
          <w:tcPr>
            <w:tcW w:w="2270" w:type="dxa"/>
            <w:vAlign w:val="center"/>
          </w:tcPr>
          <w:p w14:paraId="12FC58B0">
            <w:pPr>
              <w:spacing w:line="480" w:lineRule="exact"/>
              <w:ind w:right="105"/>
              <w:jc w:val="right"/>
              <w:rPr>
                <w:rFonts w:ascii="宋体" w:hAnsi="宋体" w:cs="宋体"/>
                <w:color w:val="000000"/>
                <w:szCs w:val="21"/>
                <w:highlight w:val="none"/>
              </w:rPr>
            </w:pPr>
          </w:p>
        </w:tc>
      </w:tr>
      <w:tr w14:paraId="3B6FD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5" w:type="dxa"/>
            <w:vAlign w:val="center"/>
          </w:tcPr>
          <w:p w14:paraId="3C3B5CC0">
            <w:pPr>
              <w:spacing w:line="480" w:lineRule="exact"/>
              <w:jc w:val="center"/>
              <w:rPr>
                <w:rFonts w:ascii="宋体" w:hAnsi="宋体" w:cs="宋体"/>
                <w:color w:val="000000"/>
                <w:szCs w:val="21"/>
                <w:highlight w:val="none"/>
              </w:rPr>
            </w:pPr>
            <w:r>
              <w:rPr>
                <w:rFonts w:hint="eastAsia" w:ascii="宋体" w:hAnsi="宋体" w:cs="宋体"/>
                <w:color w:val="000000"/>
                <w:szCs w:val="21"/>
                <w:highlight w:val="none"/>
              </w:rPr>
              <w:t>4</w:t>
            </w:r>
          </w:p>
        </w:tc>
        <w:tc>
          <w:tcPr>
            <w:tcW w:w="1710" w:type="dxa"/>
            <w:vAlign w:val="center"/>
          </w:tcPr>
          <w:p w14:paraId="0CE8CC0D">
            <w:pPr>
              <w:spacing w:line="480" w:lineRule="exact"/>
              <w:jc w:val="center"/>
              <w:rPr>
                <w:rFonts w:ascii="宋体" w:hAnsi="宋体" w:cs="宋体"/>
                <w:kern w:val="0"/>
                <w:szCs w:val="21"/>
                <w:highlight w:val="none"/>
              </w:rPr>
            </w:pPr>
            <w:r>
              <w:rPr>
                <w:rFonts w:hint="eastAsia" w:ascii="宋体" w:hAnsi="宋体" w:cs="宋体"/>
                <w:szCs w:val="21"/>
                <w:highlight w:val="none"/>
                <w:lang w:val="zh-CN"/>
              </w:rPr>
              <w:t>面点师</w:t>
            </w:r>
          </w:p>
        </w:tc>
        <w:tc>
          <w:tcPr>
            <w:tcW w:w="1485" w:type="dxa"/>
            <w:vAlign w:val="center"/>
          </w:tcPr>
          <w:p w14:paraId="57B795A5">
            <w:pPr>
              <w:spacing w:line="480" w:lineRule="exact"/>
              <w:ind w:right="108"/>
              <w:jc w:val="right"/>
              <w:rPr>
                <w:rFonts w:ascii="宋体" w:hAnsi="宋体" w:cs="宋体"/>
                <w:color w:val="000000"/>
                <w:highlight w:val="none"/>
              </w:rPr>
            </w:pPr>
          </w:p>
        </w:tc>
        <w:tc>
          <w:tcPr>
            <w:tcW w:w="1530" w:type="dxa"/>
            <w:vAlign w:val="center"/>
          </w:tcPr>
          <w:p w14:paraId="7762DB53">
            <w:pPr>
              <w:spacing w:line="480" w:lineRule="exact"/>
              <w:jc w:val="center"/>
              <w:rPr>
                <w:rFonts w:ascii="宋体" w:hAnsi="宋体" w:cs="宋体"/>
                <w:color w:val="000000"/>
                <w:highlight w:val="none"/>
              </w:rPr>
            </w:pPr>
          </w:p>
        </w:tc>
        <w:tc>
          <w:tcPr>
            <w:tcW w:w="1005" w:type="dxa"/>
            <w:vAlign w:val="center"/>
          </w:tcPr>
          <w:p w14:paraId="030577FB">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3</w:t>
            </w:r>
          </w:p>
        </w:tc>
        <w:tc>
          <w:tcPr>
            <w:tcW w:w="2270" w:type="dxa"/>
            <w:vAlign w:val="center"/>
          </w:tcPr>
          <w:p w14:paraId="27E0DF1A">
            <w:pPr>
              <w:spacing w:line="480" w:lineRule="exact"/>
              <w:ind w:right="105"/>
              <w:jc w:val="right"/>
              <w:rPr>
                <w:rFonts w:ascii="宋体" w:hAnsi="宋体" w:cs="宋体"/>
                <w:color w:val="000000"/>
                <w:szCs w:val="21"/>
                <w:highlight w:val="none"/>
              </w:rPr>
            </w:pPr>
          </w:p>
        </w:tc>
      </w:tr>
      <w:tr w14:paraId="0A5F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005" w:type="dxa"/>
            <w:vAlign w:val="center"/>
          </w:tcPr>
          <w:p w14:paraId="2B0F6E2D">
            <w:pPr>
              <w:spacing w:line="480" w:lineRule="exact"/>
              <w:jc w:val="center"/>
              <w:rPr>
                <w:rFonts w:ascii="宋体" w:hAnsi="宋体" w:cs="宋体"/>
                <w:color w:val="000000"/>
                <w:szCs w:val="21"/>
                <w:highlight w:val="none"/>
              </w:rPr>
            </w:pPr>
            <w:r>
              <w:rPr>
                <w:rFonts w:hint="eastAsia" w:ascii="宋体" w:hAnsi="宋体" w:cs="宋体"/>
                <w:color w:val="000000"/>
                <w:szCs w:val="21"/>
                <w:highlight w:val="none"/>
              </w:rPr>
              <w:t>5</w:t>
            </w:r>
          </w:p>
        </w:tc>
        <w:tc>
          <w:tcPr>
            <w:tcW w:w="1710" w:type="dxa"/>
            <w:vAlign w:val="center"/>
          </w:tcPr>
          <w:p w14:paraId="14D9591C">
            <w:pPr>
              <w:spacing w:line="480" w:lineRule="exact"/>
              <w:jc w:val="center"/>
              <w:rPr>
                <w:rFonts w:ascii="宋体" w:hAnsi="宋体" w:cs="宋体"/>
                <w:kern w:val="0"/>
                <w:szCs w:val="21"/>
                <w:highlight w:val="none"/>
              </w:rPr>
            </w:pPr>
            <w:r>
              <w:rPr>
                <w:rFonts w:hint="eastAsia" w:ascii="宋体" w:hAnsi="宋体" w:cs="宋体"/>
                <w:szCs w:val="21"/>
                <w:highlight w:val="none"/>
              </w:rPr>
              <w:t>保洁</w:t>
            </w:r>
          </w:p>
        </w:tc>
        <w:tc>
          <w:tcPr>
            <w:tcW w:w="1485" w:type="dxa"/>
            <w:vAlign w:val="center"/>
          </w:tcPr>
          <w:p w14:paraId="3FC4BAB6">
            <w:pPr>
              <w:spacing w:line="480" w:lineRule="exact"/>
              <w:ind w:right="108"/>
              <w:jc w:val="right"/>
              <w:rPr>
                <w:rFonts w:ascii="宋体" w:hAnsi="宋体" w:cs="宋体"/>
                <w:color w:val="000000"/>
                <w:highlight w:val="none"/>
              </w:rPr>
            </w:pPr>
          </w:p>
        </w:tc>
        <w:tc>
          <w:tcPr>
            <w:tcW w:w="1530" w:type="dxa"/>
            <w:vAlign w:val="center"/>
          </w:tcPr>
          <w:p w14:paraId="0B9DBF72">
            <w:pPr>
              <w:spacing w:line="480" w:lineRule="exact"/>
              <w:jc w:val="center"/>
              <w:rPr>
                <w:rFonts w:ascii="宋体" w:hAnsi="宋体" w:cs="宋体"/>
                <w:color w:val="000000"/>
                <w:highlight w:val="none"/>
              </w:rPr>
            </w:pPr>
          </w:p>
        </w:tc>
        <w:tc>
          <w:tcPr>
            <w:tcW w:w="1005" w:type="dxa"/>
            <w:vAlign w:val="center"/>
          </w:tcPr>
          <w:p w14:paraId="7982FDC3">
            <w:pPr>
              <w:widowControl/>
              <w:jc w:val="center"/>
              <w:textAlignment w:val="center"/>
              <w:rPr>
                <w:rFonts w:ascii="宋体" w:hAnsi="宋体" w:cs="宋体"/>
                <w:color w:val="000000"/>
                <w:szCs w:val="21"/>
                <w:highlight w:val="none"/>
              </w:rPr>
            </w:pPr>
            <w:r>
              <w:rPr>
                <w:rFonts w:hint="eastAsia" w:ascii="宋体" w:hAnsi="宋体" w:cs="宋体"/>
                <w:color w:val="000000"/>
                <w:kern w:val="0"/>
                <w:szCs w:val="21"/>
                <w:highlight w:val="none"/>
              </w:rPr>
              <w:t>2</w:t>
            </w:r>
          </w:p>
        </w:tc>
        <w:tc>
          <w:tcPr>
            <w:tcW w:w="2270" w:type="dxa"/>
            <w:vAlign w:val="center"/>
          </w:tcPr>
          <w:p w14:paraId="2D1AF4CD">
            <w:pPr>
              <w:spacing w:line="480" w:lineRule="exact"/>
              <w:ind w:right="105"/>
              <w:jc w:val="right"/>
              <w:rPr>
                <w:rFonts w:ascii="宋体" w:hAnsi="宋体" w:cs="宋体"/>
                <w:color w:val="000000"/>
                <w:szCs w:val="21"/>
                <w:highlight w:val="none"/>
              </w:rPr>
            </w:pPr>
          </w:p>
        </w:tc>
      </w:tr>
      <w:tr w14:paraId="3960F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2715" w:type="dxa"/>
            <w:gridSpan w:val="2"/>
            <w:vAlign w:val="center"/>
          </w:tcPr>
          <w:p w14:paraId="22A3AA76">
            <w:pPr>
              <w:spacing w:line="480" w:lineRule="exact"/>
              <w:jc w:val="center"/>
              <w:rPr>
                <w:rFonts w:ascii="宋体" w:hAnsi="宋体" w:cs="宋体"/>
                <w:b/>
                <w:color w:val="000000"/>
                <w:szCs w:val="21"/>
                <w:highlight w:val="none"/>
              </w:rPr>
            </w:pPr>
            <w:r>
              <w:rPr>
                <w:rFonts w:hint="eastAsia" w:ascii="宋体" w:hAnsi="宋体" w:cs="宋体"/>
                <w:b/>
                <w:color w:val="000000"/>
                <w:szCs w:val="21"/>
                <w:highlight w:val="none"/>
              </w:rPr>
              <w:t>投标总价（元）</w:t>
            </w:r>
          </w:p>
        </w:tc>
        <w:tc>
          <w:tcPr>
            <w:tcW w:w="6290" w:type="dxa"/>
            <w:gridSpan w:val="4"/>
            <w:vAlign w:val="center"/>
          </w:tcPr>
          <w:p w14:paraId="37554D86">
            <w:pPr>
              <w:spacing w:line="480" w:lineRule="exact"/>
              <w:rPr>
                <w:rFonts w:ascii="宋体" w:hAnsi="宋体" w:cs="宋体"/>
                <w:b/>
                <w:color w:val="000000"/>
                <w:szCs w:val="21"/>
                <w:highlight w:val="none"/>
              </w:rPr>
            </w:pPr>
          </w:p>
        </w:tc>
      </w:tr>
    </w:tbl>
    <w:p w14:paraId="6DBC1D44">
      <w:pPr>
        <w:adjustRightInd w:val="0"/>
        <w:spacing w:line="440" w:lineRule="exact"/>
        <w:rPr>
          <w:rFonts w:ascii="宋体" w:hAnsi="宋体" w:cs="宋体"/>
          <w:szCs w:val="21"/>
          <w:highlight w:val="none"/>
        </w:rPr>
      </w:pPr>
      <w:r>
        <w:rPr>
          <w:rFonts w:hint="eastAsia" w:ascii="宋体" w:hAnsi="宋体" w:cs="宋体"/>
          <w:szCs w:val="21"/>
          <w:highlight w:val="none"/>
        </w:rPr>
        <w:t>注：1、投标报价包括投标人提供服务的人员各项费用、统一工作服（服装、帽子、饭单、袖套、毛巾、专用口罩、胶鞋、橡胶手套等）及管理费、利润、税金等相关内容，由投标人自行综合考虑报价。</w:t>
      </w:r>
    </w:p>
    <w:p w14:paraId="41096C01">
      <w:pPr>
        <w:adjustRightInd w:val="0"/>
        <w:spacing w:line="440" w:lineRule="exact"/>
        <w:ind w:firstLine="420" w:firstLineChars="200"/>
        <w:rPr>
          <w:rFonts w:ascii="宋体" w:hAnsi="宋体" w:cs="宋体"/>
          <w:szCs w:val="21"/>
          <w:highlight w:val="none"/>
        </w:rPr>
      </w:pPr>
      <w:r>
        <w:rPr>
          <w:rFonts w:hint="eastAsia" w:ascii="宋体" w:hAnsi="宋体" w:cs="宋体"/>
          <w:szCs w:val="21"/>
          <w:highlight w:val="none"/>
        </w:rPr>
        <w:t>2、如本表格不适合投标人的实际情况，可选填或根据本表格式自行制表写。</w:t>
      </w:r>
    </w:p>
    <w:p w14:paraId="2C985C70">
      <w:pPr>
        <w:rPr>
          <w:rFonts w:ascii="宋体" w:hAnsi="宋体" w:cs="宋体"/>
          <w:szCs w:val="21"/>
          <w:highlight w:val="none"/>
          <w:shd w:val="clear" w:color="auto" w:fill="FFFFFF"/>
        </w:rPr>
      </w:pPr>
      <w:r>
        <w:rPr>
          <w:rFonts w:hint="eastAsia" w:ascii="宋体" w:hAnsi="宋体" w:cs="宋体"/>
          <w:szCs w:val="21"/>
          <w:highlight w:val="none"/>
          <w:shd w:val="clear" w:color="auto" w:fill="FFFFFF"/>
        </w:rPr>
        <w:br w:type="page"/>
      </w:r>
    </w:p>
    <w:p w14:paraId="09C2E34F">
      <w:pPr>
        <w:pStyle w:val="26"/>
      </w:pPr>
    </w:p>
    <w:p w14:paraId="37C6A640">
      <w:pPr>
        <w:snapToGrid w:val="0"/>
        <w:spacing w:before="50" w:afterLines="50" w:line="440" w:lineRule="exact"/>
        <w:jc w:val="center"/>
        <w:rPr>
          <w:rFonts w:ascii="宋体" w:hAnsi="宋体" w:cs="宋体"/>
          <w:sz w:val="32"/>
          <w:szCs w:val="32"/>
        </w:rPr>
      </w:pPr>
      <w:r>
        <w:rPr>
          <w:rFonts w:hint="eastAsia" w:ascii="宋体" w:hAnsi="宋体" w:cs="宋体"/>
          <w:b/>
          <w:sz w:val="32"/>
          <w:szCs w:val="32"/>
        </w:rPr>
        <w:t>劳动用工书面承诺</w:t>
      </w:r>
    </w:p>
    <w:p w14:paraId="50546E7D">
      <w:pPr>
        <w:pStyle w:val="25"/>
        <w:spacing w:line="480" w:lineRule="exact"/>
        <w:ind w:firstLine="480" w:firstLineChars="200"/>
        <w:rPr>
          <w:rFonts w:hAnsi="宋体" w:cs="宋体"/>
          <w:sz w:val="24"/>
          <w:szCs w:val="24"/>
        </w:rPr>
      </w:pPr>
      <w:r>
        <w:rPr>
          <w:rFonts w:hint="eastAsia" w:hAnsi="宋体" w:cs="宋体"/>
          <w:sz w:val="24"/>
          <w:szCs w:val="24"/>
        </w:rPr>
        <w:t>如我公司中标，我公司将严格遵守《民法典》的相关规定，按招标文件的要求配置服务人员，按国家规定为员工缴纳社会保险，员工的工资标准不低于嘉兴市最低工资标准，并将所有条款写入劳动用工合同。</w:t>
      </w:r>
    </w:p>
    <w:p w14:paraId="1F2494A9">
      <w:pPr>
        <w:pStyle w:val="25"/>
        <w:spacing w:line="480" w:lineRule="exact"/>
        <w:ind w:firstLine="480" w:firstLineChars="200"/>
        <w:rPr>
          <w:rFonts w:hAnsi="宋体" w:cs="宋体"/>
          <w:sz w:val="24"/>
          <w:szCs w:val="24"/>
        </w:rPr>
      </w:pPr>
      <w:r>
        <w:rPr>
          <w:rFonts w:hint="eastAsia" w:hAnsi="宋体" w:cs="宋体"/>
          <w:sz w:val="24"/>
          <w:szCs w:val="24"/>
        </w:rPr>
        <w:t>特此承诺。</w:t>
      </w:r>
    </w:p>
    <w:p w14:paraId="165C6F21">
      <w:pPr>
        <w:pStyle w:val="25"/>
        <w:spacing w:line="480" w:lineRule="exact"/>
        <w:ind w:firstLine="480" w:firstLineChars="200"/>
        <w:rPr>
          <w:rFonts w:hAnsi="宋体" w:cs="宋体"/>
          <w:sz w:val="24"/>
          <w:szCs w:val="24"/>
        </w:rPr>
      </w:pPr>
    </w:p>
    <w:p w14:paraId="7CAB1568">
      <w:pPr>
        <w:pStyle w:val="25"/>
        <w:spacing w:line="480" w:lineRule="exact"/>
        <w:ind w:firstLine="480" w:firstLineChars="200"/>
        <w:rPr>
          <w:rFonts w:hAnsi="宋体" w:cs="宋体"/>
          <w:sz w:val="24"/>
          <w:szCs w:val="24"/>
        </w:rPr>
      </w:pPr>
    </w:p>
    <w:p w14:paraId="76A7549B">
      <w:pPr>
        <w:snapToGrid w:val="0"/>
        <w:spacing w:before="50" w:after="50" w:line="360" w:lineRule="auto"/>
        <w:ind w:firstLine="480" w:firstLineChars="200"/>
        <w:rPr>
          <w:rFonts w:ascii="宋体" w:hAnsi="宋体" w:cs="宋体"/>
          <w:spacing w:val="20"/>
          <w:sz w:val="24"/>
          <w:u w:val="single"/>
        </w:rPr>
      </w:pPr>
      <w:r>
        <w:rPr>
          <w:rFonts w:hint="eastAsia" w:ascii="宋体" w:hAnsi="宋体" w:cs="宋体"/>
          <w:sz w:val="24"/>
        </w:rPr>
        <w:t>被授权人签字（或盖章）</w:t>
      </w:r>
      <w:r>
        <w:rPr>
          <w:rFonts w:hint="eastAsia" w:ascii="宋体" w:hAnsi="宋体" w:cs="宋体"/>
          <w:spacing w:val="20"/>
          <w:sz w:val="24"/>
        </w:rPr>
        <w:t>：</w:t>
      </w:r>
      <w:r>
        <w:rPr>
          <w:rFonts w:hint="eastAsia" w:ascii="宋体" w:hAnsi="宋体" w:cs="宋体"/>
          <w:spacing w:val="20"/>
          <w:sz w:val="24"/>
          <w:u w:val="single"/>
        </w:rPr>
        <w:t xml:space="preserve">        </w:t>
      </w:r>
    </w:p>
    <w:p w14:paraId="6472068C">
      <w:pPr>
        <w:spacing w:line="460" w:lineRule="atLeast"/>
        <w:ind w:firstLine="480" w:firstLineChars="200"/>
        <w:rPr>
          <w:rFonts w:ascii="宋体" w:hAnsi="宋体" w:cs="宋体"/>
          <w:sz w:val="24"/>
        </w:rPr>
      </w:pPr>
      <w:r>
        <w:rPr>
          <w:rFonts w:hint="eastAsia" w:ascii="宋体" w:hAnsi="宋体" w:cs="宋体"/>
          <w:sz w:val="24"/>
        </w:rPr>
        <w:t xml:space="preserve">投标人公章：                    </w:t>
      </w:r>
    </w:p>
    <w:p w14:paraId="4832D6F8">
      <w:pPr>
        <w:spacing w:line="460" w:lineRule="atLeast"/>
        <w:ind w:firstLine="240" w:firstLineChars="100"/>
        <w:rPr>
          <w:rFonts w:ascii="宋体" w:hAnsi="宋体" w:cs="宋体"/>
          <w:b/>
          <w:sz w:val="24"/>
        </w:rPr>
      </w:pPr>
      <w:r>
        <w:rPr>
          <w:rFonts w:hint="eastAsia" w:ascii="宋体" w:hAnsi="宋体" w:cs="宋体"/>
          <w:sz w:val="24"/>
        </w:rPr>
        <w:t xml:space="preserve">      年    月    日</w:t>
      </w:r>
    </w:p>
    <w:p w14:paraId="28A7EE31">
      <w:pPr>
        <w:pStyle w:val="25"/>
        <w:snapToGrid w:val="0"/>
        <w:spacing w:line="360" w:lineRule="auto"/>
        <w:rPr>
          <w:rFonts w:hAnsi="宋体" w:cs="宋体"/>
        </w:rPr>
      </w:pP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Batang">
    <w:panose1 w:val="02030600000101010101"/>
    <w:charset w:val="81"/>
    <w:family w:val="roman"/>
    <w:pitch w:val="default"/>
    <w:sig w:usb0="B00002AF" w:usb1="69D77CFB" w:usb2="00000030" w:usb3="00000000" w:csb0="4008009F" w:csb1="DFD70000"/>
  </w:font>
  <w:font w:name="Courier">
    <w:altName w:val="Courier New"/>
    <w:panose1 w:val="02070409020205020404"/>
    <w:charset w:val="00"/>
    <w:family w:val="moder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MS PGothic">
    <w:panose1 w:val="020B0600070205080204"/>
    <w:charset w:val="80"/>
    <w:family w:val="auto"/>
    <w:pitch w:val="default"/>
    <w:sig w:usb0="E00002FF" w:usb1="6AC7FDFB" w:usb2="00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69B7">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275FF">
    <w:pPr>
      <w:pStyle w:val="3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16734">
    <w:pPr>
      <w:pStyle w:val="3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18E81">
    <w:pPr>
      <w:pStyle w:val="31"/>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5325C0B">
                <w:pPr>
                  <w:pStyle w:val="31"/>
                </w:pPr>
                <w:r>
                  <w:fldChar w:fldCharType="begin"/>
                </w:r>
                <w:r>
                  <w:instrText xml:space="preserve"> PAGE  \* MERGEFORMAT </w:instrText>
                </w:r>
                <w:r>
                  <w:fldChar w:fldCharType="separate"/>
                </w:r>
                <w:r>
                  <w:t>4</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99943">
    <w:pPr>
      <w:pStyle w:val="31"/>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14:paraId="573CEEBC">
                <w:pPr>
                  <w:pStyle w:val="31"/>
                </w:pPr>
                <w:r>
                  <w:fldChar w:fldCharType="begin"/>
                </w:r>
                <w:r>
                  <w:instrText xml:space="preserve"> PAGE  \* MERGEFORMAT </w:instrText>
                </w:r>
                <w:r>
                  <w:fldChar w:fldCharType="separate"/>
                </w:r>
                <w:r>
                  <w:t>39</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FFC36">
    <w:pPr>
      <w:pStyle w:val="31"/>
    </w:pPr>
    <w: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14:paraId="46F69897">
                <w:pPr>
                  <w:pStyle w:val="31"/>
                </w:pPr>
                <w:r>
                  <w:fldChar w:fldCharType="begin"/>
                </w:r>
                <w:r>
                  <w:instrText xml:space="preserve"> PAGE  \* MERGEFORMAT </w:instrText>
                </w:r>
                <w:r>
                  <w:fldChar w:fldCharType="separate"/>
                </w:r>
                <w:r>
                  <w:t>55</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0B17">
    <w:pPr>
      <w:pStyle w:val="32"/>
      <w:rPr>
        <w:rFonts w:ascii="微软雅黑" w:hAnsi="微软雅黑" w:eastAsia="微软雅黑"/>
      </w:rPr>
    </w:pPr>
    <w:r>
      <w:rPr>
        <w:rFonts w:hint="eastAsia" w:ascii="宋体" w:hAnsi="宋体" w:cs="Arial"/>
        <w:kern w:val="0"/>
        <w:szCs w:val="21"/>
      </w:rPr>
      <w:t>浙江省嘉兴支队海盐县消防救援大队2024-2025年度物业管理服务采购项目 .招标文</w:t>
    </w:r>
    <w:r>
      <w:rPr>
        <w:rFonts w:ascii="宋体" w:hAnsi="宋体" w:cs="Arial"/>
        <w:kern w:val="0"/>
        <w:szCs w:val="21"/>
      </w:rPr>
      <w:t>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DC651">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67628">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7A29F1">
    <w:pPr>
      <w:pStyle w:val="32"/>
      <w:rPr>
        <w:rFonts w:ascii="微软雅黑" w:hAnsi="微软雅黑" w:eastAsia="微软雅黑"/>
      </w:rPr>
    </w:pPr>
    <w:r>
      <w:rPr>
        <w:rFonts w:hint="eastAsia" w:ascii="宋体" w:hAnsi="宋体" w:cs="Arial"/>
        <w:kern w:val="0"/>
        <w:szCs w:val="21"/>
      </w:rPr>
      <w:t>浙江省嘉兴支队海盐县消防救援大队2024-2025年度物业管理服务采购项目 .招标文</w:t>
    </w:r>
    <w:r>
      <w:rPr>
        <w:rFonts w:ascii="宋体" w:hAnsi="宋体" w:cs="Arial"/>
        <w:kern w:val="0"/>
        <w:szCs w:val="21"/>
      </w:rPr>
      <w:t>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F5DE2F">
    <w:pPr>
      <w:pStyle w:val="32"/>
      <w:rPr>
        <w:rFonts w:ascii="微软雅黑" w:hAnsi="微软雅黑" w:eastAsia="微软雅黑"/>
      </w:rPr>
    </w:pPr>
    <w:r>
      <w:rPr>
        <w:rFonts w:hint="eastAsia" w:ascii="宋体" w:hAnsi="宋体" w:cs="Arial"/>
        <w:kern w:val="0"/>
        <w:szCs w:val="21"/>
      </w:rPr>
      <w:t>浙江省嘉兴支队海盐县消防救援大队2024-2025年度物业管理服务采购项目 .招标文</w:t>
    </w:r>
    <w:r>
      <w:rPr>
        <w:rFonts w:ascii="宋体" w:hAnsi="宋体" w:cs="Arial"/>
        <w:kern w:val="0"/>
        <w:szCs w:val="21"/>
      </w:rPr>
      <w:t>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MwZjdhYzhiNTEyZDZmYWVjMzc4OWI4NGI0MDJiNzAifQ=="/>
  </w:docVars>
  <w:rsids>
    <w:rsidRoot w:val="00C67595"/>
    <w:rsid w:val="00000868"/>
    <w:rsid w:val="00002FF3"/>
    <w:rsid w:val="0000398F"/>
    <w:rsid w:val="00003C3C"/>
    <w:rsid w:val="000044F4"/>
    <w:rsid w:val="000050D6"/>
    <w:rsid w:val="00005B6A"/>
    <w:rsid w:val="0000613F"/>
    <w:rsid w:val="00006676"/>
    <w:rsid w:val="00007A59"/>
    <w:rsid w:val="000101D3"/>
    <w:rsid w:val="000104CA"/>
    <w:rsid w:val="00010B34"/>
    <w:rsid w:val="00010C43"/>
    <w:rsid w:val="000112E4"/>
    <w:rsid w:val="00011499"/>
    <w:rsid w:val="00011EDD"/>
    <w:rsid w:val="00012415"/>
    <w:rsid w:val="00014435"/>
    <w:rsid w:val="00015B12"/>
    <w:rsid w:val="00015C8C"/>
    <w:rsid w:val="00015EBA"/>
    <w:rsid w:val="00016F84"/>
    <w:rsid w:val="00017123"/>
    <w:rsid w:val="0001712E"/>
    <w:rsid w:val="0001791B"/>
    <w:rsid w:val="00020A3B"/>
    <w:rsid w:val="00023EA6"/>
    <w:rsid w:val="00023F05"/>
    <w:rsid w:val="000249F2"/>
    <w:rsid w:val="00024B81"/>
    <w:rsid w:val="00026C81"/>
    <w:rsid w:val="0003103E"/>
    <w:rsid w:val="0003146C"/>
    <w:rsid w:val="00031953"/>
    <w:rsid w:val="0003293E"/>
    <w:rsid w:val="00034784"/>
    <w:rsid w:val="00034D4D"/>
    <w:rsid w:val="00035725"/>
    <w:rsid w:val="000365CB"/>
    <w:rsid w:val="0003713E"/>
    <w:rsid w:val="000377BF"/>
    <w:rsid w:val="00037CD8"/>
    <w:rsid w:val="0004008C"/>
    <w:rsid w:val="000401D5"/>
    <w:rsid w:val="00041B2D"/>
    <w:rsid w:val="00042977"/>
    <w:rsid w:val="00042AFD"/>
    <w:rsid w:val="00043120"/>
    <w:rsid w:val="00043142"/>
    <w:rsid w:val="00045492"/>
    <w:rsid w:val="000462B4"/>
    <w:rsid w:val="0004692F"/>
    <w:rsid w:val="00047D1E"/>
    <w:rsid w:val="000501DD"/>
    <w:rsid w:val="0005070C"/>
    <w:rsid w:val="000510C6"/>
    <w:rsid w:val="000518B8"/>
    <w:rsid w:val="00051FC1"/>
    <w:rsid w:val="00052F01"/>
    <w:rsid w:val="00054A9C"/>
    <w:rsid w:val="00055784"/>
    <w:rsid w:val="00055D20"/>
    <w:rsid w:val="00056CBF"/>
    <w:rsid w:val="000573EF"/>
    <w:rsid w:val="00057835"/>
    <w:rsid w:val="00060047"/>
    <w:rsid w:val="00060905"/>
    <w:rsid w:val="000623FD"/>
    <w:rsid w:val="00062990"/>
    <w:rsid w:val="00062AFE"/>
    <w:rsid w:val="00063364"/>
    <w:rsid w:val="00064222"/>
    <w:rsid w:val="00064829"/>
    <w:rsid w:val="00065016"/>
    <w:rsid w:val="000651F4"/>
    <w:rsid w:val="00065E41"/>
    <w:rsid w:val="000661E3"/>
    <w:rsid w:val="000662AD"/>
    <w:rsid w:val="00066842"/>
    <w:rsid w:val="00066EC4"/>
    <w:rsid w:val="000709B0"/>
    <w:rsid w:val="000718A7"/>
    <w:rsid w:val="00072638"/>
    <w:rsid w:val="000736C9"/>
    <w:rsid w:val="00073C4C"/>
    <w:rsid w:val="00074E55"/>
    <w:rsid w:val="00074FC4"/>
    <w:rsid w:val="00076500"/>
    <w:rsid w:val="00076C16"/>
    <w:rsid w:val="0007718F"/>
    <w:rsid w:val="0007759B"/>
    <w:rsid w:val="0007790A"/>
    <w:rsid w:val="00080288"/>
    <w:rsid w:val="0008113B"/>
    <w:rsid w:val="00081912"/>
    <w:rsid w:val="00083285"/>
    <w:rsid w:val="00083E93"/>
    <w:rsid w:val="000845F6"/>
    <w:rsid w:val="00085D08"/>
    <w:rsid w:val="0008643D"/>
    <w:rsid w:val="000871CB"/>
    <w:rsid w:val="00087413"/>
    <w:rsid w:val="00087869"/>
    <w:rsid w:val="00087F2C"/>
    <w:rsid w:val="000901E0"/>
    <w:rsid w:val="00091F55"/>
    <w:rsid w:val="00092DE6"/>
    <w:rsid w:val="000932B2"/>
    <w:rsid w:val="00093B7D"/>
    <w:rsid w:val="00093EB5"/>
    <w:rsid w:val="000941A5"/>
    <w:rsid w:val="00095712"/>
    <w:rsid w:val="00096C1B"/>
    <w:rsid w:val="0009734B"/>
    <w:rsid w:val="000A0027"/>
    <w:rsid w:val="000A137F"/>
    <w:rsid w:val="000A20E5"/>
    <w:rsid w:val="000A24D3"/>
    <w:rsid w:val="000A29D9"/>
    <w:rsid w:val="000A326A"/>
    <w:rsid w:val="000A4323"/>
    <w:rsid w:val="000A4FF5"/>
    <w:rsid w:val="000A6697"/>
    <w:rsid w:val="000A69C1"/>
    <w:rsid w:val="000A74D9"/>
    <w:rsid w:val="000B09AE"/>
    <w:rsid w:val="000B0A3A"/>
    <w:rsid w:val="000B177F"/>
    <w:rsid w:val="000B22F5"/>
    <w:rsid w:val="000B2508"/>
    <w:rsid w:val="000B2E80"/>
    <w:rsid w:val="000B3796"/>
    <w:rsid w:val="000B39C4"/>
    <w:rsid w:val="000B4EDA"/>
    <w:rsid w:val="000B5BDD"/>
    <w:rsid w:val="000B60F2"/>
    <w:rsid w:val="000B688B"/>
    <w:rsid w:val="000C0619"/>
    <w:rsid w:val="000C0796"/>
    <w:rsid w:val="000C1788"/>
    <w:rsid w:val="000C1894"/>
    <w:rsid w:val="000C1950"/>
    <w:rsid w:val="000C1952"/>
    <w:rsid w:val="000C2450"/>
    <w:rsid w:val="000C34D1"/>
    <w:rsid w:val="000C3CB6"/>
    <w:rsid w:val="000C400E"/>
    <w:rsid w:val="000C4E12"/>
    <w:rsid w:val="000C51F1"/>
    <w:rsid w:val="000C52F4"/>
    <w:rsid w:val="000C62D7"/>
    <w:rsid w:val="000C743A"/>
    <w:rsid w:val="000C7992"/>
    <w:rsid w:val="000D00D5"/>
    <w:rsid w:val="000D0A89"/>
    <w:rsid w:val="000D0CCE"/>
    <w:rsid w:val="000D1BEF"/>
    <w:rsid w:val="000D1E8B"/>
    <w:rsid w:val="000D270C"/>
    <w:rsid w:val="000D3375"/>
    <w:rsid w:val="000D3BD8"/>
    <w:rsid w:val="000D3CA8"/>
    <w:rsid w:val="000D3DBC"/>
    <w:rsid w:val="000D3E83"/>
    <w:rsid w:val="000D4194"/>
    <w:rsid w:val="000D4E06"/>
    <w:rsid w:val="000D51BB"/>
    <w:rsid w:val="000D5879"/>
    <w:rsid w:val="000D73FD"/>
    <w:rsid w:val="000E0758"/>
    <w:rsid w:val="000E0C03"/>
    <w:rsid w:val="000E1631"/>
    <w:rsid w:val="000E1EB6"/>
    <w:rsid w:val="000E1F01"/>
    <w:rsid w:val="000E2330"/>
    <w:rsid w:val="000E2A99"/>
    <w:rsid w:val="000E4552"/>
    <w:rsid w:val="000E4833"/>
    <w:rsid w:val="000E5B07"/>
    <w:rsid w:val="000E5BED"/>
    <w:rsid w:val="000E63B3"/>
    <w:rsid w:val="000E67CC"/>
    <w:rsid w:val="000F00C6"/>
    <w:rsid w:val="000F03BE"/>
    <w:rsid w:val="000F1174"/>
    <w:rsid w:val="000F200A"/>
    <w:rsid w:val="000F2A44"/>
    <w:rsid w:val="000F2E02"/>
    <w:rsid w:val="000F41DC"/>
    <w:rsid w:val="000F79F2"/>
    <w:rsid w:val="000F7AE1"/>
    <w:rsid w:val="00102946"/>
    <w:rsid w:val="001029B5"/>
    <w:rsid w:val="00104A23"/>
    <w:rsid w:val="00104D7B"/>
    <w:rsid w:val="00104E7B"/>
    <w:rsid w:val="001056B0"/>
    <w:rsid w:val="00106261"/>
    <w:rsid w:val="00106CA0"/>
    <w:rsid w:val="00111AC6"/>
    <w:rsid w:val="00111C03"/>
    <w:rsid w:val="001127C2"/>
    <w:rsid w:val="00112C9C"/>
    <w:rsid w:val="001136F2"/>
    <w:rsid w:val="001140A1"/>
    <w:rsid w:val="0011453D"/>
    <w:rsid w:val="001157FF"/>
    <w:rsid w:val="00115C70"/>
    <w:rsid w:val="00117042"/>
    <w:rsid w:val="0012000F"/>
    <w:rsid w:val="00120031"/>
    <w:rsid w:val="001204E0"/>
    <w:rsid w:val="0012571C"/>
    <w:rsid w:val="00131164"/>
    <w:rsid w:val="0013190C"/>
    <w:rsid w:val="00131EB3"/>
    <w:rsid w:val="00132367"/>
    <w:rsid w:val="0013276A"/>
    <w:rsid w:val="0013300D"/>
    <w:rsid w:val="001331D8"/>
    <w:rsid w:val="0013637D"/>
    <w:rsid w:val="00136E52"/>
    <w:rsid w:val="001411A8"/>
    <w:rsid w:val="00142CFB"/>
    <w:rsid w:val="001433CF"/>
    <w:rsid w:val="0014548E"/>
    <w:rsid w:val="00150C59"/>
    <w:rsid w:val="001512EB"/>
    <w:rsid w:val="00152126"/>
    <w:rsid w:val="00152408"/>
    <w:rsid w:val="00152CF7"/>
    <w:rsid w:val="00155680"/>
    <w:rsid w:val="00155885"/>
    <w:rsid w:val="0015627F"/>
    <w:rsid w:val="0015639E"/>
    <w:rsid w:val="00157136"/>
    <w:rsid w:val="00157DAD"/>
    <w:rsid w:val="001601E1"/>
    <w:rsid w:val="001608DD"/>
    <w:rsid w:val="00160CB6"/>
    <w:rsid w:val="001619B3"/>
    <w:rsid w:val="00162AB9"/>
    <w:rsid w:val="001663C1"/>
    <w:rsid w:val="00171130"/>
    <w:rsid w:val="001749E9"/>
    <w:rsid w:val="001749EA"/>
    <w:rsid w:val="00175FF0"/>
    <w:rsid w:val="001760F8"/>
    <w:rsid w:val="00180135"/>
    <w:rsid w:val="001807AC"/>
    <w:rsid w:val="0018080D"/>
    <w:rsid w:val="00180B6C"/>
    <w:rsid w:val="00183E56"/>
    <w:rsid w:val="00184A25"/>
    <w:rsid w:val="00185BE6"/>
    <w:rsid w:val="00186C73"/>
    <w:rsid w:val="00187CA6"/>
    <w:rsid w:val="00190584"/>
    <w:rsid w:val="00190A51"/>
    <w:rsid w:val="001916F1"/>
    <w:rsid w:val="00191C4B"/>
    <w:rsid w:val="001930F4"/>
    <w:rsid w:val="00194ECF"/>
    <w:rsid w:val="001961BA"/>
    <w:rsid w:val="001963C7"/>
    <w:rsid w:val="00196943"/>
    <w:rsid w:val="00196E8A"/>
    <w:rsid w:val="001A3799"/>
    <w:rsid w:val="001A385B"/>
    <w:rsid w:val="001A3D66"/>
    <w:rsid w:val="001A45C5"/>
    <w:rsid w:val="001A5907"/>
    <w:rsid w:val="001A6FF0"/>
    <w:rsid w:val="001A7535"/>
    <w:rsid w:val="001A78E7"/>
    <w:rsid w:val="001B024B"/>
    <w:rsid w:val="001B31E0"/>
    <w:rsid w:val="001B333B"/>
    <w:rsid w:val="001B4756"/>
    <w:rsid w:val="001B4BD3"/>
    <w:rsid w:val="001B52C5"/>
    <w:rsid w:val="001B598A"/>
    <w:rsid w:val="001B6161"/>
    <w:rsid w:val="001B6DF8"/>
    <w:rsid w:val="001B7633"/>
    <w:rsid w:val="001B7C02"/>
    <w:rsid w:val="001C01C4"/>
    <w:rsid w:val="001C1990"/>
    <w:rsid w:val="001C2AE0"/>
    <w:rsid w:val="001C2C06"/>
    <w:rsid w:val="001C2E1A"/>
    <w:rsid w:val="001C2F33"/>
    <w:rsid w:val="001C531A"/>
    <w:rsid w:val="001C585A"/>
    <w:rsid w:val="001C5F4C"/>
    <w:rsid w:val="001C625B"/>
    <w:rsid w:val="001C70F2"/>
    <w:rsid w:val="001D0E96"/>
    <w:rsid w:val="001D15FA"/>
    <w:rsid w:val="001D1BEF"/>
    <w:rsid w:val="001D3D2D"/>
    <w:rsid w:val="001D6C3A"/>
    <w:rsid w:val="001E01DD"/>
    <w:rsid w:val="001E0DAD"/>
    <w:rsid w:val="001E0ED4"/>
    <w:rsid w:val="001E14EA"/>
    <w:rsid w:val="001E23F2"/>
    <w:rsid w:val="001E2F45"/>
    <w:rsid w:val="001E31F8"/>
    <w:rsid w:val="001E3FCE"/>
    <w:rsid w:val="001E4776"/>
    <w:rsid w:val="001E550F"/>
    <w:rsid w:val="001F020B"/>
    <w:rsid w:val="001F02A5"/>
    <w:rsid w:val="001F2692"/>
    <w:rsid w:val="001F32E4"/>
    <w:rsid w:val="001F3957"/>
    <w:rsid w:val="001F4D21"/>
    <w:rsid w:val="001F6A15"/>
    <w:rsid w:val="001F7336"/>
    <w:rsid w:val="002001BC"/>
    <w:rsid w:val="002004C0"/>
    <w:rsid w:val="00200E8E"/>
    <w:rsid w:val="002012BC"/>
    <w:rsid w:val="00201494"/>
    <w:rsid w:val="002033CF"/>
    <w:rsid w:val="00203D55"/>
    <w:rsid w:val="00204712"/>
    <w:rsid w:val="00204AFB"/>
    <w:rsid w:val="00205048"/>
    <w:rsid w:val="0020630C"/>
    <w:rsid w:val="00206B06"/>
    <w:rsid w:val="00210A6D"/>
    <w:rsid w:val="00211B35"/>
    <w:rsid w:val="00212194"/>
    <w:rsid w:val="002122A4"/>
    <w:rsid w:val="00213BB2"/>
    <w:rsid w:val="00214014"/>
    <w:rsid w:val="0021426B"/>
    <w:rsid w:val="00214F3B"/>
    <w:rsid w:val="00215167"/>
    <w:rsid w:val="00215261"/>
    <w:rsid w:val="0021582A"/>
    <w:rsid w:val="00216455"/>
    <w:rsid w:val="00216784"/>
    <w:rsid w:val="00216AF8"/>
    <w:rsid w:val="002172A3"/>
    <w:rsid w:val="002202C1"/>
    <w:rsid w:val="0022043B"/>
    <w:rsid w:val="0022120F"/>
    <w:rsid w:val="00221406"/>
    <w:rsid w:val="002214C3"/>
    <w:rsid w:val="00221609"/>
    <w:rsid w:val="00221DE0"/>
    <w:rsid w:val="00222725"/>
    <w:rsid w:val="00223A4D"/>
    <w:rsid w:val="00223C33"/>
    <w:rsid w:val="0022501A"/>
    <w:rsid w:val="00225680"/>
    <w:rsid w:val="00225B70"/>
    <w:rsid w:val="0022638E"/>
    <w:rsid w:val="002266AF"/>
    <w:rsid w:val="00226F31"/>
    <w:rsid w:val="00227079"/>
    <w:rsid w:val="002272CC"/>
    <w:rsid w:val="0022764B"/>
    <w:rsid w:val="002310E4"/>
    <w:rsid w:val="00231165"/>
    <w:rsid w:val="002321B2"/>
    <w:rsid w:val="00232532"/>
    <w:rsid w:val="002327C8"/>
    <w:rsid w:val="002331D8"/>
    <w:rsid w:val="0023367C"/>
    <w:rsid w:val="0023556C"/>
    <w:rsid w:val="00235917"/>
    <w:rsid w:val="0023594C"/>
    <w:rsid w:val="0023766E"/>
    <w:rsid w:val="00240313"/>
    <w:rsid w:val="00244319"/>
    <w:rsid w:val="002450E8"/>
    <w:rsid w:val="00245739"/>
    <w:rsid w:val="0024712C"/>
    <w:rsid w:val="0024757D"/>
    <w:rsid w:val="00250561"/>
    <w:rsid w:val="0025074F"/>
    <w:rsid w:val="00250FF3"/>
    <w:rsid w:val="00251D1B"/>
    <w:rsid w:val="00251DDD"/>
    <w:rsid w:val="00254D47"/>
    <w:rsid w:val="00255D0F"/>
    <w:rsid w:val="0025717D"/>
    <w:rsid w:val="00257251"/>
    <w:rsid w:val="00257614"/>
    <w:rsid w:val="00260090"/>
    <w:rsid w:val="00260141"/>
    <w:rsid w:val="00260679"/>
    <w:rsid w:val="00261255"/>
    <w:rsid w:val="002615FC"/>
    <w:rsid w:val="00262313"/>
    <w:rsid w:val="0026292E"/>
    <w:rsid w:val="00266055"/>
    <w:rsid w:val="0026746C"/>
    <w:rsid w:val="002705BE"/>
    <w:rsid w:val="00270CF7"/>
    <w:rsid w:val="00270F20"/>
    <w:rsid w:val="00272EC3"/>
    <w:rsid w:val="00273015"/>
    <w:rsid w:val="0027308B"/>
    <w:rsid w:val="0027337F"/>
    <w:rsid w:val="00274258"/>
    <w:rsid w:val="0027449C"/>
    <w:rsid w:val="00274F22"/>
    <w:rsid w:val="002754FB"/>
    <w:rsid w:val="00275E3B"/>
    <w:rsid w:val="00276170"/>
    <w:rsid w:val="00276513"/>
    <w:rsid w:val="002800F9"/>
    <w:rsid w:val="00282B66"/>
    <w:rsid w:val="00284071"/>
    <w:rsid w:val="00284585"/>
    <w:rsid w:val="00284A51"/>
    <w:rsid w:val="0028553D"/>
    <w:rsid w:val="0028590F"/>
    <w:rsid w:val="0028632D"/>
    <w:rsid w:val="002864B8"/>
    <w:rsid w:val="002867E2"/>
    <w:rsid w:val="0029034A"/>
    <w:rsid w:val="00290975"/>
    <w:rsid w:val="00293D33"/>
    <w:rsid w:val="0029485F"/>
    <w:rsid w:val="0029609E"/>
    <w:rsid w:val="00297229"/>
    <w:rsid w:val="002A0977"/>
    <w:rsid w:val="002A0E86"/>
    <w:rsid w:val="002A5215"/>
    <w:rsid w:val="002A62CD"/>
    <w:rsid w:val="002A6348"/>
    <w:rsid w:val="002A673A"/>
    <w:rsid w:val="002A6D52"/>
    <w:rsid w:val="002A6D8E"/>
    <w:rsid w:val="002A7816"/>
    <w:rsid w:val="002B0D8A"/>
    <w:rsid w:val="002B4339"/>
    <w:rsid w:val="002B5C0A"/>
    <w:rsid w:val="002B650F"/>
    <w:rsid w:val="002B73C5"/>
    <w:rsid w:val="002B7CC9"/>
    <w:rsid w:val="002C07F3"/>
    <w:rsid w:val="002C2BFF"/>
    <w:rsid w:val="002C2C79"/>
    <w:rsid w:val="002C2D68"/>
    <w:rsid w:val="002C30B4"/>
    <w:rsid w:val="002C3195"/>
    <w:rsid w:val="002C3490"/>
    <w:rsid w:val="002C4048"/>
    <w:rsid w:val="002C4195"/>
    <w:rsid w:val="002C49C2"/>
    <w:rsid w:val="002C4CA1"/>
    <w:rsid w:val="002C5920"/>
    <w:rsid w:val="002C5F4F"/>
    <w:rsid w:val="002C60A9"/>
    <w:rsid w:val="002C7739"/>
    <w:rsid w:val="002D0334"/>
    <w:rsid w:val="002D1096"/>
    <w:rsid w:val="002D1656"/>
    <w:rsid w:val="002D30D0"/>
    <w:rsid w:val="002D3A29"/>
    <w:rsid w:val="002D3DE7"/>
    <w:rsid w:val="002D40B4"/>
    <w:rsid w:val="002D4599"/>
    <w:rsid w:val="002D501A"/>
    <w:rsid w:val="002D5406"/>
    <w:rsid w:val="002D6047"/>
    <w:rsid w:val="002D6367"/>
    <w:rsid w:val="002D6ED5"/>
    <w:rsid w:val="002E0380"/>
    <w:rsid w:val="002E3DB0"/>
    <w:rsid w:val="002E4582"/>
    <w:rsid w:val="002E58E1"/>
    <w:rsid w:val="002E608E"/>
    <w:rsid w:val="002E6D2B"/>
    <w:rsid w:val="002E767C"/>
    <w:rsid w:val="002E7AFC"/>
    <w:rsid w:val="002E7CFC"/>
    <w:rsid w:val="002E7E1D"/>
    <w:rsid w:val="002F0B10"/>
    <w:rsid w:val="002F208F"/>
    <w:rsid w:val="002F22D6"/>
    <w:rsid w:val="002F46AD"/>
    <w:rsid w:val="002F4F9C"/>
    <w:rsid w:val="002F6AA7"/>
    <w:rsid w:val="002F6D21"/>
    <w:rsid w:val="002F6FCC"/>
    <w:rsid w:val="0030184C"/>
    <w:rsid w:val="003034C4"/>
    <w:rsid w:val="00303B30"/>
    <w:rsid w:val="003070E6"/>
    <w:rsid w:val="00307B9E"/>
    <w:rsid w:val="00311A46"/>
    <w:rsid w:val="00312FB3"/>
    <w:rsid w:val="003146C2"/>
    <w:rsid w:val="003146FD"/>
    <w:rsid w:val="00314A13"/>
    <w:rsid w:val="00314F8A"/>
    <w:rsid w:val="00315A4D"/>
    <w:rsid w:val="003163D4"/>
    <w:rsid w:val="00316663"/>
    <w:rsid w:val="00316CBA"/>
    <w:rsid w:val="00320024"/>
    <w:rsid w:val="003207AE"/>
    <w:rsid w:val="0032270C"/>
    <w:rsid w:val="003235A5"/>
    <w:rsid w:val="00323E19"/>
    <w:rsid w:val="0032517A"/>
    <w:rsid w:val="00325482"/>
    <w:rsid w:val="00326214"/>
    <w:rsid w:val="003262E3"/>
    <w:rsid w:val="0032659B"/>
    <w:rsid w:val="00326C39"/>
    <w:rsid w:val="00326F34"/>
    <w:rsid w:val="00327B44"/>
    <w:rsid w:val="00330637"/>
    <w:rsid w:val="00331439"/>
    <w:rsid w:val="003314C8"/>
    <w:rsid w:val="0033382F"/>
    <w:rsid w:val="003339BF"/>
    <w:rsid w:val="0033557B"/>
    <w:rsid w:val="00340021"/>
    <w:rsid w:val="00340753"/>
    <w:rsid w:val="00340EF0"/>
    <w:rsid w:val="0034120C"/>
    <w:rsid w:val="00341BA6"/>
    <w:rsid w:val="0034220C"/>
    <w:rsid w:val="0034299D"/>
    <w:rsid w:val="00342C20"/>
    <w:rsid w:val="003446A7"/>
    <w:rsid w:val="00344AB4"/>
    <w:rsid w:val="003450C9"/>
    <w:rsid w:val="0034565D"/>
    <w:rsid w:val="003462B2"/>
    <w:rsid w:val="003471ED"/>
    <w:rsid w:val="00347CE9"/>
    <w:rsid w:val="00351958"/>
    <w:rsid w:val="0035270E"/>
    <w:rsid w:val="0035302D"/>
    <w:rsid w:val="00353D48"/>
    <w:rsid w:val="00353D4B"/>
    <w:rsid w:val="00353FD0"/>
    <w:rsid w:val="0035446D"/>
    <w:rsid w:val="00357213"/>
    <w:rsid w:val="00360259"/>
    <w:rsid w:val="00360275"/>
    <w:rsid w:val="003618C1"/>
    <w:rsid w:val="00361B16"/>
    <w:rsid w:val="00361F22"/>
    <w:rsid w:val="00362B52"/>
    <w:rsid w:val="00362B6B"/>
    <w:rsid w:val="003640AC"/>
    <w:rsid w:val="00364900"/>
    <w:rsid w:val="00367043"/>
    <w:rsid w:val="00367868"/>
    <w:rsid w:val="00367E68"/>
    <w:rsid w:val="003702DB"/>
    <w:rsid w:val="003726C9"/>
    <w:rsid w:val="00373F8D"/>
    <w:rsid w:val="00374437"/>
    <w:rsid w:val="00374661"/>
    <w:rsid w:val="00374AFA"/>
    <w:rsid w:val="00375F2E"/>
    <w:rsid w:val="0037623E"/>
    <w:rsid w:val="0037688E"/>
    <w:rsid w:val="00376CC4"/>
    <w:rsid w:val="00377A30"/>
    <w:rsid w:val="00380F76"/>
    <w:rsid w:val="00381601"/>
    <w:rsid w:val="003827C0"/>
    <w:rsid w:val="00382D2E"/>
    <w:rsid w:val="003831B5"/>
    <w:rsid w:val="003833E2"/>
    <w:rsid w:val="003857B1"/>
    <w:rsid w:val="0038631D"/>
    <w:rsid w:val="00386BBA"/>
    <w:rsid w:val="00387D85"/>
    <w:rsid w:val="00391146"/>
    <w:rsid w:val="0039180D"/>
    <w:rsid w:val="003938CA"/>
    <w:rsid w:val="00393B51"/>
    <w:rsid w:val="003940A9"/>
    <w:rsid w:val="003945FE"/>
    <w:rsid w:val="00394AE3"/>
    <w:rsid w:val="00395629"/>
    <w:rsid w:val="00396529"/>
    <w:rsid w:val="00397632"/>
    <w:rsid w:val="00397A22"/>
    <w:rsid w:val="003A11D5"/>
    <w:rsid w:val="003A1716"/>
    <w:rsid w:val="003A35DE"/>
    <w:rsid w:val="003A368B"/>
    <w:rsid w:val="003A3F1A"/>
    <w:rsid w:val="003A55E2"/>
    <w:rsid w:val="003A5CBD"/>
    <w:rsid w:val="003A65FE"/>
    <w:rsid w:val="003A6EB4"/>
    <w:rsid w:val="003B296C"/>
    <w:rsid w:val="003B5979"/>
    <w:rsid w:val="003B5E24"/>
    <w:rsid w:val="003B6222"/>
    <w:rsid w:val="003C1488"/>
    <w:rsid w:val="003C2EF0"/>
    <w:rsid w:val="003C39A1"/>
    <w:rsid w:val="003C4C6A"/>
    <w:rsid w:val="003C542B"/>
    <w:rsid w:val="003C6088"/>
    <w:rsid w:val="003C6925"/>
    <w:rsid w:val="003C6A7D"/>
    <w:rsid w:val="003C704B"/>
    <w:rsid w:val="003C77FD"/>
    <w:rsid w:val="003C7C88"/>
    <w:rsid w:val="003D1D29"/>
    <w:rsid w:val="003D1E74"/>
    <w:rsid w:val="003D38BD"/>
    <w:rsid w:val="003D3F8F"/>
    <w:rsid w:val="003D44ED"/>
    <w:rsid w:val="003D5BE8"/>
    <w:rsid w:val="003D7B96"/>
    <w:rsid w:val="003E0C22"/>
    <w:rsid w:val="003E25C9"/>
    <w:rsid w:val="003E3291"/>
    <w:rsid w:val="003E3769"/>
    <w:rsid w:val="003E4A05"/>
    <w:rsid w:val="003E62A6"/>
    <w:rsid w:val="003E6BD1"/>
    <w:rsid w:val="003E76F5"/>
    <w:rsid w:val="003F00F1"/>
    <w:rsid w:val="003F08DD"/>
    <w:rsid w:val="003F095C"/>
    <w:rsid w:val="003F135A"/>
    <w:rsid w:val="003F32EA"/>
    <w:rsid w:val="003F3578"/>
    <w:rsid w:val="003F361B"/>
    <w:rsid w:val="003F3B43"/>
    <w:rsid w:val="003F47CC"/>
    <w:rsid w:val="003F6EA7"/>
    <w:rsid w:val="00401095"/>
    <w:rsid w:val="00401627"/>
    <w:rsid w:val="00401A1A"/>
    <w:rsid w:val="00403741"/>
    <w:rsid w:val="00404445"/>
    <w:rsid w:val="00404C20"/>
    <w:rsid w:val="00405C98"/>
    <w:rsid w:val="00407E08"/>
    <w:rsid w:val="00407ED7"/>
    <w:rsid w:val="00410A0F"/>
    <w:rsid w:val="00410FAF"/>
    <w:rsid w:val="004114AA"/>
    <w:rsid w:val="0041237D"/>
    <w:rsid w:val="00412CBD"/>
    <w:rsid w:val="00412CD1"/>
    <w:rsid w:val="00413F4C"/>
    <w:rsid w:val="00415698"/>
    <w:rsid w:val="004156B5"/>
    <w:rsid w:val="00415CB5"/>
    <w:rsid w:val="00415CD0"/>
    <w:rsid w:val="00417BE9"/>
    <w:rsid w:val="00420F8D"/>
    <w:rsid w:val="004214B5"/>
    <w:rsid w:val="004225B5"/>
    <w:rsid w:val="0042297C"/>
    <w:rsid w:val="00422B8C"/>
    <w:rsid w:val="00423F7F"/>
    <w:rsid w:val="004250BA"/>
    <w:rsid w:val="004256E8"/>
    <w:rsid w:val="00425845"/>
    <w:rsid w:val="00425B57"/>
    <w:rsid w:val="004267A0"/>
    <w:rsid w:val="00426EEF"/>
    <w:rsid w:val="00427047"/>
    <w:rsid w:val="00430924"/>
    <w:rsid w:val="0043115C"/>
    <w:rsid w:val="00431C25"/>
    <w:rsid w:val="00431CF0"/>
    <w:rsid w:val="0043214E"/>
    <w:rsid w:val="00433D02"/>
    <w:rsid w:val="00434060"/>
    <w:rsid w:val="00437762"/>
    <w:rsid w:val="00437C7D"/>
    <w:rsid w:val="00440432"/>
    <w:rsid w:val="00440709"/>
    <w:rsid w:val="004409B0"/>
    <w:rsid w:val="004410F2"/>
    <w:rsid w:val="0044162A"/>
    <w:rsid w:val="0044176C"/>
    <w:rsid w:val="004426D3"/>
    <w:rsid w:val="004432C4"/>
    <w:rsid w:val="00444BDC"/>
    <w:rsid w:val="00444E81"/>
    <w:rsid w:val="00445C3B"/>
    <w:rsid w:val="004461E1"/>
    <w:rsid w:val="0044624A"/>
    <w:rsid w:val="004466ED"/>
    <w:rsid w:val="00450063"/>
    <w:rsid w:val="00451372"/>
    <w:rsid w:val="00451A69"/>
    <w:rsid w:val="00451D14"/>
    <w:rsid w:val="00453177"/>
    <w:rsid w:val="0045398A"/>
    <w:rsid w:val="004548E3"/>
    <w:rsid w:val="00454CAC"/>
    <w:rsid w:val="00454FEF"/>
    <w:rsid w:val="00455983"/>
    <w:rsid w:val="00455FB6"/>
    <w:rsid w:val="00456AB9"/>
    <w:rsid w:val="00456B40"/>
    <w:rsid w:val="00457A35"/>
    <w:rsid w:val="00463AE4"/>
    <w:rsid w:val="00466865"/>
    <w:rsid w:val="0047000B"/>
    <w:rsid w:val="00470411"/>
    <w:rsid w:val="00470989"/>
    <w:rsid w:val="0047269E"/>
    <w:rsid w:val="00472A6B"/>
    <w:rsid w:val="004730CD"/>
    <w:rsid w:val="004753EA"/>
    <w:rsid w:val="004756E5"/>
    <w:rsid w:val="00475B66"/>
    <w:rsid w:val="00477067"/>
    <w:rsid w:val="0047747E"/>
    <w:rsid w:val="0047764D"/>
    <w:rsid w:val="00481C9A"/>
    <w:rsid w:val="00482362"/>
    <w:rsid w:val="004837DF"/>
    <w:rsid w:val="00483A8C"/>
    <w:rsid w:val="00483AF6"/>
    <w:rsid w:val="004845BA"/>
    <w:rsid w:val="00485E36"/>
    <w:rsid w:val="00486130"/>
    <w:rsid w:val="00487EA8"/>
    <w:rsid w:val="00491467"/>
    <w:rsid w:val="00491686"/>
    <w:rsid w:val="00492C3D"/>
    <w:rsid w:val="004935E2"/>
    <w:rsid w:val="004935F5"/>
    <w:rsid w:val="00493D52"/>
    <w:rsid w:val="00494311"/>
    <w:rsid w:val="00495508"/>
    <w:rsid w:val="00496347"/>
    <w:rsid w:val="0049757D"/>
    <w:rsid w:val="004A0749"/>
    <w:rsid w:val="004A074A"/>
    <w:rsid w:val="004A081C"/>
    <w:rsid w:val="004A08C4"/>
    <w:rsid w:val="004A0C79"/>
    <w:rsid w:val="004A193D"/>
    <w:rsid w:val="004A29C6"/>
    <w:rsid w:val="004A339A"/>
    <w:rsid w:val="004A33C5"/>
    <w:rsid w:val="004A3408"/>
    <w:rsid w:val="004A3427"/>
    <w:rsid w:val="004A35EC"/>
    <w:rsid w:val="004A3D67"/>
    <w:rsid w:val="004A5FE4"/>
    <w:rsid w:val="004A63AD"/>
    <w:rsid w:val="004A672E"/>
    <w:rsid w:val="004A6CD4"/>
    <w:rsid w:val="004A763F"/>
    <w:rsid w:val="004A7686"/>
    <w:rsid w:val="004B1146"/>
    <w:rsid w:val="004B1B25"/>
    <w:rsid w:val="004B3872"/>
    <w:rsid w:val="004B50D5"/>
    <w:rsid w:val="004B5BDD"/>
    <w:rsid w:val="004B76FA"/>
    <w:rsid w:val="004C024F"/>
    <w:rsid w:val="004C08D1"/>
    <w:rsid w:val="004C09A2"/>
    <w:rsid w:val="004C2CFD"/>
    <w:rsid w:val="004C30F4"/>
    <w:rsid w:val="004C34B1"/>
    <w:rsid w:val="004C490A"/>
    <w:rsid w:val="004C4F9B"/>
    <w:rsid w:val="004C7813"/>
    <w:rsid w:val="004D0473"/>
    <w:rsid w:val="004D07AC"/>
    <w:rsid w:val="004D1437"/>
    <w:rsid w:val="004D1876"/>
    <w:rsid w:val="004D3047"/>
    <w:rsid w:val="004D3105"/>
    <w:rsid w:val="004D352E"/>
    <w:rsid w:val="004D39A3"/>
    <w:rsid w:val="004D4F09"/>
    <w:rsid w:val="004D5556"/>
    <w:rsid w:val="004D5FBE"/>
    <w:rsid w:val="004D688A"/>
    <w:rsid w:val="004D7812"/>
    <w:rsid w:val="004D7E27"/>
    <w:rsid w:val="004E180E"/>
    <w:rsid w:val="004E1853"/>
    <w:rsid w:val="004E2801"/>
    <w:rsid w:val="004E3AAC"/>
    <w:rsid w:val="004E3F53"/>
    <w:rsid w:val="004E443A"/>
    <w:rsid w:val="004E49CF"/>
    <w:rsid w:val="004E7946"/>
    <w:rsid w:val="004F00CE"/>
    <w:rsid w:val="004F054E"/>
    <w:rsid w:val="004F14AA"/>
    <w:rsid w:val="004F22F9"/>
    <w:rsid w:val="004F28FF"/>
    <w:rsid w:val="004F2BE6"/>
    <w:rsid w:val="004F49C9"/>
    <w:rsid w:val="004F5EEB"/>
    <w:rsid w:val="004F6AAA"/>
    <w:rsid w:val="004F773C"/>
    <w:rsid w:val="004F7EA8"/>
    <w:rsid w:val="00500A89"/>
    <w:rsid w:val="00501FF8"/>
    <w:rsid w:val="0050272E"/>
    <w:rsid w:val="00504332"/>
    <w:rsid w:val="00504E3A"/>
    <w:rsid w:val="00507566"/>
    <w:rsid w:val="005101D0"/>
    <w:rsid w:val="00510C68"/>
    <w:rsid w:val="00511A73"/>
    <w:rsid w:val="0051205B"/>
    <w:rsid w:val="0051264D"/>
    <w:rsid w:val="00512C76"/>
    <w:rsid w:val="00512DE6"/>
    <w:rsid w:val="00513715"/>
    <w:rsid w:val="00513791"/>
    <w:rsid w:val="00513BF2"/>
    <w:rsid w:val="00513EE1"/>
    <w:rsid w:val="0051455D"/>
    <w:rsid w:val="005163A0"/>
    <w:rsid w:val="005167B7"/>
    <w:rsid w:val="00520BD0"/>
    <w:rsid w:val="00520EB6"/>
    <w:rsid w:val="00521558"/>
    <w:rsid w:val="00521C5E"/>
    <w:rsid w:val="00521FA8"/>
    <w:rsid w:val="00521FF6"/>
    <w:rsid w:val="00523056"/>
    <w:rsid w:val="0052346E"/>
    <w:rsid w:val="005235A4"/>
    <w:rsid w:val="00524F55"/>
    <w:rsid w:val="00525BDD"/>
    <w:rsid w:val="0052684A"/>
    <w:rsid w:val="00526FB9"/>
    <w:rsid w:val="005272BF"/>
    <w:rsid w:val="00527687"/>
    <w:rsid w:val="005309B4"/>
    <w:rsid w:val="005312BB"/>
    <w:rsid w:val="00532778"/>
    <w:rsid w:val="00532B2C"/>
    <w:rsid w:val="00533812"/>
    <w:rsid w:val="00534342"/>
    <w:rsid w:val="00534722"/>
    <w:rsid w:val="00535AFE"/>
    <w:rsid w:val="00535F25"/>
    <w:rsid w:val="00536684"/>
    <w:rsid w:val="00536B9E"/>
    <w:rsid w:val="00536EDE"/>
    <w:rsid w:val="00536FC0"/>
    <w:rsid w:val="00537646"/>
    <w:rsid w:val="005432E2"/>
    <w:rsid w:val="0054336E"/>
    <w:rsid w:val="00543F20"/>
    <w:rsid w:val="005445EF"/>
    <w:rsid w:val="00545D29"/>
    <w:rsid w:val="005460CA"/>
    <w:rsid w:val="0054671E"/>
    <w:rsid w:val="00546ADF"/>
    <w:rsid w:val="00546C74"/>
    <w:rsid w:val="00547404"/>
    <w:rsid w:val="005474F2"/>
    <w:rsid w:val="00551A9F"/>
    <w:rsid w:val="00551FAE"/>
    <w:rsid w:val="005520FF"/>
    <w:rsid w:val="00552BA8"/>
    <w:rsid w:val="00553DED"/>
    <w:rsid w:val="00553EF5"/>
    <w:rsid w:val="00555788"/>
    <w:rsid w:val="00556AAA"/>
    <w:rsid w:val="00556ED3"/>
    <w:rsid w:val="005574A3"/>
    <w:rsid w:val="005577EC"/>
    <w:rsid w:val="005579A1"/>
    <w:rsid w:val="00557B69"/>
    <w:rsid w:val="005608EF"/>
    <w:rsid w:val="00562FE2"/>
    <w:rsid w:val="00563D15"/>
    <w:rsid w:val="00564533"/>
    <w:rsid w:val="00566FF8"/>
    <w:rsid w:val="005676EC"/>
    <w:rsid w:val="0056771B"/>
    <w:rsid w:val="00567FD0"/>
    <w:rsid w:val="005719F3"/>
    <w:rsid w:val="00571C2F"/>
    <w:rsid w:val="00572072"/>
    <w:rsid w:val="00572649"/>
    <w:rsid w:val="00574776"/>
    <w:rsid w:val="005758C3"/>
    <w:rsid w:val="00576E0E"/>
    <w:rsid w:val="005774DA"/>
    <w:rsid w:val="00577BFD"/>
    <w:rsid w:val="00580329"/>
    <w:rsid w:val="00583887"/>
    <w:rsid w:val="00583E2C"/>
    <w:rsid w:val="00584144"/>
    <w:rsid w:val="005844A7"/>
    <w:rsid w:val="00584C25"/>
    <w:rsid w:val="0058506B"/>
    <w:rsid w:val="0058575C"/>
    <w:rsid w:val="00585FD8"/>
    <w:rsid w:val="00586296"/>
    <w:rsid w:val="005866FE"/>
    <w:rsid w:val="0059061B"/>
    <w:rsid w:val="005907E4"/>
    <w:rsid w:val="00591922"/>
    <w:rsid w:val="00591C01"/>
    <w:rsid w:val="005955B8"/>
    <w:rsid w:val="00595BD6"/>
    <w:rsid w:val="005969CE"/>
    <w:rsid w:val="00596EB2"/>
    <w:rsid w:val="00597102"/>
    <w:rsid w:val="00597843"/>
    <w:rsid w:val="005979E9"/>
    <w:rsid w:val="00597A7A"/>
    <w:rsid w:val="005A102D"/>
    <w:rsid w:val="005A182D"/>
    <w:rsid w:val="005A1858"/>
    <w:rsid w:val="005A1DC0"/>
    <w:rsid w:val="005A2A66"/>
    <w:rsid w:val="005A422B"/>
    <w:rsid w:val="005A452F"/>
    <w:rsid w:val="005A4EA4"/>
    <w:rsid w:val="005A76B0"/>
    <w:rsid w:val="005B067A"/>
    <w:rsid w:val="005B26C5"/>
    <w:rsid w:val="005B3B45"/>
    <w:rsid w:val="005B6616"/>
    <w:rsid w:val="005B67AE"/>
    <w:rsid w:val="005B7C00"/>
    <w:rsid w:val="005B7F47"/>
    <w:rsid w:val="005C020F"/>
    <w:rsid w:val="005C0785"/>
    <w:rsid w:val="005C0E52"/>
    <w:rsid w:val="005C1351"/>
    <w:rsid w:val="005C1C87"/>
    <w:rsid w:val="005C2002"/>
    <w:rsid w:val="005C25DD"/>
    <w:rsid w:val="005C34B9"/>
    <w:rsid w:val="005C35FC"/>
    <w:rsid w:val="005C3A36"/>
    <w:rsid w:val="005C6DB7"/>
    <w:rsid w:val="005C75FA"/>
    <w:rsid w:val="005D09F3"/>
    <w:rsid w:val="005D2086"/>
    <w:rsid w:val="005D2694"/>
    <w:rsid w:val="005D2A4D"/>
    <w:rsid w:val="005D2A91"/>
    <w:rsid w:val="005D2B8F"/>
    <w:rsid w:val="005D32EA"/>
    <w:rsid w:val="005D3740"/>
    <w:rsid w:val="005D46E1"/>
    <w:rsid w:val="005D4DE6"/>
    <w:rsid w:val="005D547F"/>
    <w:rsid w:val="005D5639"/>
    <w:rsid w:val="005D5F44"/>
    <w:rsid w:val="005D6F33"/>
    <w:rsid w:val="005E250B"/>
    <w:rsid w:val="005E2D9D"/>
    <w:rsid w:val="005E30E2"/>
    <w:rsid w:val="005E3BE9"/>
    <w:rsid w:val="005E4B63"/>
    <w:rsid w:val="005E60BB"/>
    <w:rsid w:val="005E7161"/>
    <w:rsid w:val="005F05EE"/>
    <w:rsid w:val="005F0EA0"/>
    <w:rsid w:val="005F0F42"/>
    <w:rsid w:val="005F1237"/>
    <w:rsid w:val="005F17BB"/>
    <w:rsid w:val="005F22D0"/>
    <w:rsid w:val="005F27D0"/>
    <w:rsid w:val="005F357E"/>
    <w:rsid w:val="005F3F1A"/>
    <w:rsid w:val="005F51B4"/>
    <w:rsid w:val="005F5253"/>
    <w:rsid w:val="005F55D0"/>
    <w:rsid w:val="005F5636"/>
    <w:rsid w:val="005F6215"/>
    <w:rsid w:val="005F6F6C"/>
    <w:rsid w:val="005F7B25"/>
    <w:rsid w:val="006003FA"/>
    <w:rsid w:val="00600451"/>
    <w:rsid w:val="006016E9"/>
    <w:rsid w:val="006034DD"/>
    <w:rsid w:val="00603938"/>
    <w:rsid w:val="006057B7"/>
    <w:rsid w:val="006061EE"/>
    <w:rsid w:val="00610BBA"/>
    <w:rsid w:val="006122BB"/>
    <w:rsid w:val="006127E7"/>
    <w:rsid w:val="0061389F"/>
    <w:rsid w:val="00613CE4"/>
    <w:rsid w:val="00616792"/>
    <w:rsid w:val="00617CB5"/>
    <w:rsid w:val="00617E39"/>
    <w:rsid w:val="006212FF"/>
    <w:rsid w:val="006216C7"/>
    <w:rsid w:val="00623960"/>
    <w:rsid w:val="006239D2"/>
    <w:rsid w:val="0062434B"/>
    <w:rsid w:val="0062472F"/>
    <w:rsid w:val="00625664"/>
    <w:rsid w:val="00626086"/>
    <w:rsid w:val="006277E7"/>
    <w:rsid w:val="00627BB3"/>
    <w:rsid w:val="00630160"/>
    <w:rsid w:val="00631638"/>
    <w:rsid w:val="0063192E"/>
    <w:rsid w:val="00633F6D"/>
    <w:rsid w:val="006343E9"/>
    <w:rsid w:val="0063463C"/>
    <w:rsid w:val="006361F8"/>
    <w:rsid w:val="00636968"/>
    <w:rsid w:val="00636BB2"/>
    <w:rsid w:val="00637470"/>
    <w:rsid w:val="006374F5"/>
    <w:rsid w:val="00640596"/>
    <w:rsid w:val="00640D1D"/>
    <w:rsid w:val="00643083"/>
    <w:rsid w:val="00643839"/>
    <w:rsid w:val="0064553A"/>
    <w:rsid w:val="00647897"/>
    <w:rsid w:val="0065028A"/>
    <w:rsid w:val="00650D71"/>
    <w:rsid w:val="00650E2E"/>
    <w:rsid w:val="0065164A"/>
    <w:rsid w:val="00652459"/>
    <w:rsid w:val="006526B4"/>
    <w:rsid w:val="00656DA8"/>
    <w:rsid w:val="00660207"/>
    <w:rsid w:val="0066034E"/>
    <w:rsid w:val="00660B7E"/>
    <w:rsid w:val="00661A0B"/>
    <w:rsid w:val="00662379"/>
    <w:rsid w:val="006625F1"/>
    <w:rsid w:val="006626E8"/>
    <w:rsid w:val="00662D47"/>
    <w:rsid w:val="00663202"/>
    <w:rsid w:val="006636EA"/>
    <w:rsid w:val="0066420F"/>
    <w:rsid w:val="0066585A"/>
    <w:rsid w:val="00665C33"/>
    <w:rsid w:val="00665EA4"/>
    <w:rsid w:val="0066619B"/>
    <w:rsid w:val="006674FA"/>
    <w:rsid w:val="00670985"/>
    <w:rsid w:val="00670FB1"/>
    <w:rsid w:val="00671C13"/>
    <w:rsid w:val="00672FAE"/>
    <w:rsid w:val="0067304C"/>
    <w:rsid w:val="006731F3"/>
    <w:rsid w:val="0067332C"/>
    <w:rsid w:val="006733E5"/>
    <w:rsid w:val="00673758"/>
    <w:rsid w:val="006747C1"/>
    <w:rsid w:val="006756B6"/>
    <w:rsid w:val="00675EDC"/>
    <w:rsid w:val="00676B76"/>
    <w:rsid w:val="006770F9"/>
    <w:rsid w:val="006779C7"/>
    <w:rsid w:val="0068024E"/>
    <w:rsid w:val="00680D84"/>
    <w:rsid w:val="00683635"/>
    <w:rsid w:val="0068446A"/>
    <w:rsid w:val="0068600C"/>
    <w:rsid w:val="006867FE"/>
    <w:rsid w:val="00686DEF"/>
    <w:rsid w:val="00686E3D"/>
    <w:rsid w:val="0069003B"/>
    <w:rsid w:val="00690265"/>
    <w:rsid w:val="006908CB"/>
    <w:rsid w:val="00693547"/>
    <w:rsid w:val="00693761"/>
    <w:rsid w:val="00694C0A"/>
    <w:rsid w:val="00695242"/>
    <w:rsid w:val="00696549"/>
    <w:rsid w:val="0069692F"/>
    <w:rsid w:val="00696C84"/>
    <w:rsid w:val="0069719C"/>
    <w:rsid w:val="006973C0"/>
    <w:rsid w:val="006A0193"/>
    <w:rsid w:val="006A0516"/>
    <w:rsid w:val="006A09E2"/>
    <w:rsid w:val="006A20B4"/>
    <w:rsid w:val="006A2CF4"/>
    <w:rsid w:val="006A3E17"/>
    <w:rsid w:val="006A506E"/>
    <w:rsid w:val="006A731A"/>
    <w:rsid w:val="006B2869"/>
    <w:rsid w:val="006B3051"/>
    <w:rsid w:val="006B429A"/>
    <w:rsid w:val="006B4904"/>
    <w:rsid w:val="006B526A"/>
    <w:rsid w:val="006B7799"/>
    <w:rsid w:val="006C029A"/>
    <w:rsid w:val="006C0ED1"/>
    <w:rsid w:val="006C119A"/>
    <w:rsid w:val="006C2E01"/>
    <w:rsid w:val="006C3040"/>
    <w:rsid w:val="006C37A6"/>
    <w:rsid w:val="006C39EE"/>
    <w:rsid w:val="006C4979"/>
    <w:rsid w:val="006C4CD4"/>
    <w:rsid w:val="006C51AB"/>
    <w:rsid w:val="006C574A"/>
    <w:rsid w:val="006C6554"/>
    <w:rsid w:val="006C7114"/>
    <w:rsid w:val="006C7366"/>
    <w:rsid w:val="006C769A"/>
    <w:rsid w:val="006C7A0B"/>
    <w:rsid w:val="006C7F22"/>
    <w:rsid w:val="006D0625"/>
    <w:rsid w:val="006D0E7E"/>
    <w:rsid w:val="006D1AB5"/>
    <w:rsid w:val="006D1C10"/>
    <w:rsid w:val="006D3EC2"/>
    <w:rsid w:val="006D41C9"/>
    <w:rsid w:val="006D48EB"/>
    <w:rsid w:val="006D4D8B"/>
    <w:rsid w:val="006D6571"/>
    <w:rsid w:val="006D7AA7"/>
    <w:rsid w:val="006E0134"/>
    <w:rsid w:val="006E0DFA"/>
    <w:rsid w:val="006E0FD3"/>
    <w:rsid w:val="006E1BA5"/>
    <w:rsid w:val="006E1C93"/>
    <w:rsid w:val="006E1D94"/>
    <w:rsid w:val="006E20B4"/>
    <w:rsid w:val="006E23C2"/>
    <w:rsid w:val="006E2473"/>
    <w:rsid w:val="006E25AF"/>
    <w:rsid w:val="006E317D"/>
    <w:rsid w:val="006E3C08"/>
    <w:rsid w:val="006E46D1"/>
    <w:rsid w:val="006E4C23"/>
    <w:rsid w:val="006E6D37"/>
    <w:rsid w:val="006F1882"/>
    <w:rsid w:val="006F2296"/>
    <w:rsid w:val="006F271C"/>
    <w:rsid w:val="006F4BE4"/>
    <w:rsid w:val="006F55BF"/>
    <w:rsid w:val="006F5954"/>
    <w:rsid w:val="00700091"/>
    <w:rsid w:val="00700127"/>
    <w:rsid w:val="007003DE"/>
    <w:rsid w:val="007006A7"/>
    <w:rsid w:val="007035AF"/>
    <w:rsid w:val="007047D4"/>
    <w:rsid w:val="00704C7E"/>
    <w:rsid w:val="00704DB1"/>
    <w:rsid w:val="007103C4"/>
    <w:rsid w:val="00711632"/>
    <w:rsid w:val="007116D7"/>
    <w:rsid w:val="007122C6"/>
    <w:rsid w:val="00712E9E"/>
    <w:rsid w:val="00714040"/>
    <w:rsid w:val="00714D00"/>
    <w:rsid w:val="0071596C"/>
    <w:rsid w:val="00715C18"/>
    <w:rsid w:val="00717DD9"/>
    <w:rsid w:val="00720042"/>
    <w:rsid w:val="00720D68"/>
    <w:rsid w:val="00721233"/>
    <w:rsid w:val="0072159D"/>
    <w:rsid w:val="007224ED"/>
    <w:rsid w:val="007227A5"/>
    <w:rsid w:val="00724E21"/>
    <w:rsid w:val="007267BA"/>
    <w:rsid w:val="00726FB9"/>
    <w:rsid w:val="00727D8A"/>
    <w:rsid w:val="00731A35"/>
    <w:rsid w:val="00731C9A"/>
    <w:rsid w:val="00732101"/>
    <w:rsid w:val="007325C3"/>
    <w:rsid w:val="0073287D"/>
    <w:rsid w:val="00732BBD"/>
    <w:rsid w:val="00732C9D"/>
    <w:rsid w:val="00733274"/>
    <w:rsid w:val="00734C56"/>
    <w:rsid w:val="00734F91"/>
    <w:rsid w:val="007354DB"/>
    <w:rsid w:val="007355FD"/>
    <w:rsid w:val="007365F1"/>
    <w:rsid w:val="00736B47"/>
    <w:rsid w:val="0073703D"/>
    <w:rsid w:val="00737E26"/>
    <w:rsid w:val="00740E34"/>
    <w:rsid w:val="007428E1"/>
    <w:rsid w:val="0074472E"/>
    <w:rsid w:val="00746F7F"/>
    <w:rsid w:val="0075085C"/>
    <w:rsid w:val="00750C53"/>
    <w:rsid w:val="00751F77"/>
    <w:rsid w:val="0075542C"/>
    <w:rsid w:val="007556A3"/>
    <w:rsid w:val="00755EDC"/>
    <w:rsid w:val="0075681F"/>
    <w:rsid w:val="007602DE"/>
    <w:rsid w:val="00760AE5"/>
    <w:rsid w:val="00760D9F"/>
    <w:rsid w:val="0076277F"/>
    <w:rsid w:val="00765390"/>
    <w:rsid w:val="0076602C"/>
    <w:rsid w:val="007674A5"/>
    <w:rsid w:val="007677DB"/>
    <w:rsid w:val="00770F11"/>
    <w:rsid w:val="00771333"/>
    <w:rsid w:val="0077177C"/>
    <w:rsid w:val="0077376F"/>
    <w:rsid w:val="00773806"/>
    <w:rsid w:val="007776CA"/>
    <w:rsid w:val="0078038B"/>
    <w:rsid w:val="007824BC"/>
    <w:rsid w:val="00782FEF"/>
    <w:rsid w:val="00783049"/>
    <w:rsid w:val="007831A0"/>
    <w:rsid w:val="00783A8A"/>
    <w:rsid w:val="0078417B"/>
    <w:rsid w:val="00786222"/>
    <w:rsid w:val="00786753"/>
    <w:rsid w:val="00787045"/>
    <w:rsid w:val="0079078D"/>
    <w:rsid w:val="00790F1A"/>
    <w:rsid w:val="00791058"/>
    <w:rsid w:val="007918EB"/>
    <w:rsid w:val="00792754"/>
    <w:rsid w:val="00792D5E"/>
    <w:rsid w:val="0079305E"/>
    <w:rsid w:val="00793CD6"/>
    <w:rsid w:val="00796CD3"/>
    <w:rsid w:val="007973CE"/>
    <w:rsid w:val="007A0048"/>
    <w:rsid w:val="007A1211"/>
    <w:rsid w:val="007A166C"/>
    <w:rsid w:val="007A1A85"/>
    <w:rsid w:val="007A2813"/>
    <w:rsid w:val="007A29E6"/>
    <w:rsid w:val="007A39FD"/>
    <w:rsid w:val="007A523F"/>
    <w:rsid w:val="007A5705"/>
    <w:rsid w:val="007A68F9"/>
    <w:rsid w:val="007A6FB4"/>
    <w:rsid w:val="007A7604"/>
    <w:rsid w:val="007B125D"/>
    <w:rsid w:val="007B158D"/>
    <w:rsid w:val="007B2033"/>
    <w:rsid w:val="007B2975"/>
    <w:rsid w:val="007B33D2"/>
    <w:rsid w:val="007B3A1C"/>
    <w:rsid w:val="007B4571"/>
    <w:rsid w:val="007B4DC3"/>
    <w:rsid w:val="007B5865"/>
    <w:rsid w:val="007B5F6E"/>
    <w:rsid w:val="007B6DE8"/>
    <w:rsid w:val="007C038A"/>
    <w:rsid w:val="007C2BCC"/>
    <w:rsid w:val="007C3BD3"/>
    <w:rsid w:val="007C3D13"/>
    <w:rsid w:val="007C6F35"/>
    <w:rsid w:val="007C7003"/>
    <w:rsid w:val="007C712C"/>
    <w:rsid w:val="007D04E8"/>
    <w:rsid w:val="007D0D1C"/>
    <w:rsid w:val="007D17C7"/>
    <w:rsid w:val="007D1DD1"/>
    <w:rsid w:val="007D4CC7"/>
    <w:rsid w:val="007D4D43"/>
    <w:rsid w:val="007D4E6E"/>
    <w:rsid w:val="007D51DD"/>
    <w:rsid w:val="007D6377"/>
    <w:rsid w:val="007D69E1"/>
    <w:rsid w:val="007D6A5D"/>
    <w:rsid w:val="007D725A"/>
    <w:rsid w:val="007D72DD"/>
    <w:rsid w:val="007D799A"/>
    <w:rsid w:val="007E0CDD"/>
    <w:rsid w:val="007E145B"/>
    <w:rsid w:val="007E1BEB"/>
    <w:rsid w:val="007E59BC"/>
    <w:rsid w:val="007E59D4"/>
    <w:rsid w:val="007E6638"/>
    <w:rsid w:val="007E6EAB"/>
    <w:rsid w:val="007E7296"/>
    <w:rsid w:val="007E7958"/>
    <w:rsid w:val="007F12CD"/>
    <w:rsid w:val="007F1C24"/>
    <w:rsid w:val="007F3C74"/>
    <w:rsid w:val="007F49DD"/>
    <w:rsid w:val="007F5EE7"/>
    <w:rsid w:val="007F6266"/>
    <w:rsid w:val="007F707D"/>
    <w:rsid w:val="007F757C"/>
    <w:rsid w:val="007F75BA"/>
    <w:rsid w:val="00800C88"/>
    <w:rsid w:val="00801661"/>
    <w:rsid w:val="0080173B"/>
    <w:rsid w:val="00802B0C"/>
    <w:rsid w:val="00803D5B"/>
    <w:rsid w:val="00805CB6"/>
    <w:rsid w:val="00805DB5"/>
    <w:rsid w:val="008062BD"/>
    <w:rsid w:val="00807320"/>
    <w:rsid w:val="00807935"/>
    <w:rsid w:val="00807F93"/>
    <w:rsid w:val="008108E2"/>
    <w:rsid w:val="00810B53"/>
    <w:rsid w:val="0081145A"/>
    <w:rsid w:val="00811520"/>
    <w:rsid w:val="008121E4"/>
    <w:rsid w:val="00812DA6"/>
    <w:rsid w:val="008139DA"/>
    <w:rsid w:val="008140DA"/>
    <w:rsid w:val="00814678"/>
    <w:rsid w:val="0081505A"/>
    <w:rsid w:val="008156B5"/>
    <w:rsid w:val="00815B82"/>
    <w:rsid w:val="00817109"/>
    <w:rsid w:val="008233B0"/>
    <w:rsid w:val="0082379B"/>
    <w:rsid w:val="00824E78"/>
    <w:rsid w:val="00825019"/>
    <w:rsid w:val="00826EDE"/>
    <w:rsid w:val="00826F90"/>
    <w:rsid w:val="00827283"/>
    <w:rsid w:val="0083230F"/>
    <w:rsid w:val="00832A0B"/>
    <w:rsid w:val="0083477D"/>
    <w:rsid w:val="00837D28"/>
    <w:rsid w:val="008400FE"/>
    <w:rsid w:val="008402AF"/>
    <w:rsid w:val="00840409"/>
    <w:rsid w:val="00840E53"/>
    <w:rsid w:val="0084161D"/>
    <w:rsid w:val="00841E45"/>
    <w:rsid w:val="0084223A"/>
    <w:rsid w:val="008431CE"/>
    <w:rsid w:val="00844133"/>
    <w:rsid w:val="0085149F"/>
    <w:rsid w:val="00852726"/>
    <w:rsid w:val="008529C4"/>
    <w:rsid w:val="00852AD5"/>
    <w:rsid w:val="00852D3F"/>
    <w:rsid w:val="00853144"/>
    <w:rsid w:val="00854462"/>
    <w:rsid w:val="008551D2"/>
    <w:rsid w:val="00856156"/>
    <w:rsid w:val="00857444"/>
    <w:rsid w:val="00857E65"/>
    <w:rsid w:val="00861AED"/>
    <w:rsid w:val="00861FE8"/>
    <w:rsid w:val="00862183"/>
    <w:rsid w:val="00863C21"/>
    <w:rsid w:val="00863EA8"/>
    <w:rsid w:val="00864368"/>
    <w:rsid w:val="00865389"/>
    <w:rsid w:val="00865BD0"/>
    <w:rsid w:val="008660BF"/>
    <w:rsid w:val="0086763B"/>
    <w:rsid w:val="00867695"/>
    <w:rsid w:val="00867C56"/>
    <w:rsid w:val="00867DB1"/>
    <w:rsid w:val="008715E2"/>
    <w:rsid w:val="00871A5D"/>
    <w:rsid w:val="0087228F"/>
    <w:rsid w:val="00873771"/>
    <w:rsid w:val="00875CB0"/>
    <w:rsid w:val="0087768F"/>
    <w:rsid w:val="0088024B"/>
    <w:rsid w:val="008802C1"/>
    <w:rsid w:val="00880ED4"/>
    <w:rsid w:val="00883807"/>
    <w:rsid w:val="00885F21"/>
    <w:rsid w:val="00886208"/>
    <w:rsid w:val="00887326"/>
    <w:rsid w:val="008874B0"/>
    <w:rsid w:val="008879CF"/>
    <w:rsid w:val="0089028E"/>
    <w:rsid w:val="00890A34"/>
    <w:rsid w:val="008911FC"/>
    <w:rsid w:val="00891708"/>
    <w:rsid w:val="00891A03"/>
    <w:rsid w:val="00892213"/>
    <w:rsid w:val="0089268E"/>
    <w:rsid w:val="00892F9F"/>
    <w:rsid w:val="008934C7"/>
    <w:rsid w:val="0089395B"/>
    <w:rsid w:val="00894232"/>
    <w:rsid w:val="00895693"/>
    <w:rsid w:val="0089600B"/>
    <w:rsid w:val="008A13C0"/>
    <w:rsid w:val="008A1501"/>
    <w:rsid w:val="008A1D9B"/>
    <w:rsid w:val="008A263A"/>
    <w:rsid w:val="008A2D62"/>
    <w:rsid w:val="008A3834"/>
    <w:rsid w:val="008A3F5A"/>
    <w:rsid w:val="008A463B"/>
    <w:rsid w:val="008A50C7"/>
    <w:rsid w:val="008A7414"/>
    <w:rsid w:val="008B0A27"/>
    <w:rsid w:val="008B197C"/>
    <w:rsid w:val="008B1F00"/>
    <w:rsid w:val="008B2239"/>
    <w:rsid w:val="008B2446"/>
    <w:rsid w:val="008B333D"/>
    <w:rsid w:val="008B47ED"/>
    <w:rsid w:val="008B6EDB"/>
    <w:rsid w:val="008C1649"/>
    <w:rsid w:val="008C1B09"/>
    <w:rsid w:val="008C2E7B"/>
    <w:rsid w:val="008C3389"/>
    <w:rsid w:val="008C35F5"/>
    <w:rsid w:val="008C3B3E"/>
    <w:rsid w:val="008C462C"/>
    <w:rsid w:val="008C4831"/>
    <w:rsid w:val="008C486C"/>
    <w:rsid w:val="008C5778"/>
    <w:rsid w:val="008D0C8E"/>
    <w:rsid w:val="008D3C76"/>
    <w:rsid w:val="008D40FE"/>
    <w:rsid w:val="008D44A6"/>
    <w:rsid w:val="008D5502"/>
    <w:rsid w:val="008D561F"/>
    <w:rsid w:val="008D6764"/>
    <w:rsid w:val="008D6AE9"/>
    <w:rsid w:val="008D792D"/>
    <w:rsid w:val="008E13D5"/>
    <w:rsid w:val="008E3C9E"/>
    <w:rsid w:val="008E4205"/>
    <w:rsid w:val="008E440F"/>
    <w:rsid w:val="008E459D"/>
    <w:rsid w:val="008E605F"/>
    <w:rsid w:val="008E7754"/>
    <w:rsid w:val="008F019A"/>
    <w:rsid w:val="008F3F27"/>
    <w:rsid w:val="008F425C"/>
    <w:rsid w:val="008F5D87"/>
    <w:rsid w:val="008F6541"/>
    <w:rsid w:val="008F669A"/>
    <w:rsid w:val="008F6AFA"/>
    <w:rsid w:val="008F7C92"/>
    <w:rsid w:val="008F7D1A"/>
    <w:rsid w:val="009002CF"/>
    <w:rsid w:val="009019EB"/>
    <w:rsid w:val="00902097"/>
    <w:rsid w:val="00903445"/>
    <w:rsid w:val="009035A2"/>
    <w:rsid w:val="00903CAD"/>
    <w:rsid w:val="00904F2D"/>
    <w:rsid w:val="009063E7"/>
    <w:rsid w:val="00907B36"/>
    <w:rsid w:val="00911E6D"/>
    <w:rsid w:val="00911EC2"/>
    <w:rsid w:val="0091372B"/>
    <w:rsid w:val="00913AFB"/>
    <w:rsid w:val="00915AEB"/>
    <w:rsid w:val="009172A2"/>
    <w:rsid w:val="00917857"/>
    <w:rsid w:val="00917F98"/>
    <w:rsid w:val="009219BC"/>
    <w:rsid w:val="009232BB"/>
    <w:rsid w:val="00923C17"/>
    <w:rsid w:val="00923DFD"/>
    <w:rsid w:val="00924527"/>
    <w:rsid w:val="00924F37"/>
    <w:rsid w:val="0092562D"/>
    <w:rsid w:val="00926352"/>
    <w:rsid w:val="00931AE8"/>
    <w:rsid w:val="00933D0C"/>
    <w:rsid w:val="00934086"/>
    <w:rsid w:val="0093431C"/>
    <w:rsid w:val="009356E6"/>
    <w:rsid w:val="0093634D"/>
    <w:rsid w:val="00936F4C"/>
    <w:rsid w:val="00937C7C"/>
    <w:rsid w:val="009401AB"/>
    <w:rsid w:val="0094096B"/>
    <w:rsid w:val="0094184E"/>
    <w:rsid w:val="00942355"/>
    <w:rsid w:val="00943155"/>
    <w:rsid w:val="00943B3E"/>
    <w:rsid w:val="00944743"/>
    <w:rsid w:val="00944E03"/>
    <w:rsid w:val="009455C7"/>
    <w:rsid w:val="00945A5A"/>
    <w:rsid w:val="00945D37"/>
    <w:rsid w:val="0095401B"/>
    <w:rsid w:val="0095469E"/>
    <w:rsid w:val="009546FA"/>
    <w:rsid w:val="00954CC7"/>
    <w:rsid w:val="009550FB"/>
    <w:rsid w:val="00960F09"/>
    <w:rsid w:val="00961025"/>
    <w:rsid w:val="00961C89"/>
    <w:rsid w:val="00963E8A"/>
    <w:rsid w:val="0096408B"/>
    <w:rsid w:val="0096523F"/>
    <w:rsid w:val="0096577B"/>
    <w:rsid w:val="0096586A"/>
    <w:rsid w:val="009661D8"/>
    <w:rsid w:val="00966D62"/>
    <w:rsid w:val="0096772B"/>
    <w:rsid w:val="009707D3"/>
    <w:rsid w:val="009717DC"/>
    <w:rsid w:val="00971C84"/>
    <w:rsid w:val="00973D02"/>
    <w:rsid w:val="00973F57"/>
    <w:rsid w:val="0097408E"/>
    <w:rsid w:val="009757FB"/>
    <w:rsid w:val="0097581E"/>
    <w:rsid w:val="00977B42"/>
    <w:rsid w:val="009805B6"/>
    <w:rsid w:val="009812FB"/>
    <w:rsid w:val="00982CA1"/>
    <w:rsid w:val="00983BD8"/>
    <w:rsid w:val="00983EB7"/>
    <w:rsid w:val="009851CF"/>
    <w:rsid w:val="00987241"/>
    <w:rsid w:val="00987B72"/>
    <w:rsid w:val="00990ACE"/>
    <w:rsid w:val="0099119E"/>
    <w:rsid w:val="00991C50"/>
    <w:rsid w:val="00994E1C"/>
    <w:rsid w:val="009953DA"/>
    <w:rsid w:val="00997501"/>
    <w:rsid w:val="00997D48"/>
    <w:rsid w:val="009A01A1"/>
    <w:rsid w:val="009A05B4"/>
    <w:rsid w:val="009A1026"/>
    <w:rsid w:val="009A26DA"/>
    <w:rsid w:val="009A2F73"/>
    <w:rsid w:val="009A3D54"/>
    <w:rsid w:val="009A5858"/>
    <w:rsid w:val="009A5B9F"/>
    <w:rsid w:val="009A63DE"/>
    <w:rsid w:val="009A6D66"/>
    <w:rsid w:val="009B0745"/>
    <w:rsid w:val="009B1D19"/>
    <w:rsid w:val="009B2B19"/>
    <w:rsid w:val="009B44FE"/>
    <w:rsid w:val="009B65FF"/>
    <w:rsid w:val="009B6700"/>
    <w:rsid w:val="009B767E"/>
    <w:rsid w:val="009C1A76"/>
    <w:rsid w:val="009C1CD0"/>
    <w:rsid w:val="009C2218"/>
    <w:rsid w:val="009C317F"/>
    <w:rsid w:val="009C76CB"/>
    <w:rsid w:val="009D0F9C"/>
    <w:rsid w:val="009D12F8"/>
    <w:rsid w:val="009D15FF"/>
    <w:rsid w:val="009D2660"/>
    <w:rsid w:val="009D2C63"/>
    <w:rsid w:val="009D3830"/>
    <w:rsid w:val="009D39F5"/>
    <w:rsid w:val="009D3AEF"/>
    <w:rsid w:val="009D421B"/>
    <w:rsid w:val="009D454F"/>
    <w:rsid w:val="009D47FF"/>
    <w:rsid w:val="009D51A8"/>
    <w:rsid w:val="009E034E"/>
    <w:rsid w:val="009E03EC"/>
    <w:rsid w:val="009E0A7A"/>
    <w:rsid w:val="009E10C0"/>
    <w:rsid w:val="009E24CB"/>
    <w:rsid w:val="009E2B78"/>
    <w:rsid w:val="009E6421"/>
    <w:rsid w:val="009E6815"/>
    <w:rsid w:val="009E7148"/>
    <w:rsid w:val="009E7514"/>
    <w:rsid w:val="009F04B9"/>
    <w:rsid w:val="009F168F"/>
    <w:rsid w:val="009F19C3"/>
    <w:rsid w:val="009F2DC9"/>
    <w:rsid w:val="009F4180"/>
    <w:rsid w:val="009F5B28"/>
    <w:rsid w:val="009F5C2E"/>
    <w:rsid w:val="009F6DBF"/>
    <w:rsid w:val="009F757B"/>
    <w:rsid w:val="009F7948"/>
    <w:rsid w:val="00A009F7"/>
    <w:rsid w:val="00A01DFD"/>
    <w:rsid w:val="00A022AC"/>
    <w:rsid w:val="00A0423C"/>
    <w:rsid w:val="00A0505C"/>
    <w:rsid w:val="00A067B2"/>
    <w:rsid w:val="00A06AC4"/>
    <w:rsid w:val="00A0776D"/>
    <w:rsid w:val="00A07E6E"/>
    <w:rsid w:val="00A1039F"/>
    <w:rsid w:val="00A110CB"/>
    <w:rsid w:val="00A1297B"/>
    <w:rsid w:val="00A12F3F"/>
    <w:rsid w:val="00A12FE6"/>
    <w:rsid w:val="00A1304B"/>
    <w:rsid w:val="00A133B3"/>
    <w:rsid w:val="00A135C1"/>
    <w:rsid w:val="00A13859"/>
    <w:rsid w:val="00A139BE"/>
    <w:rsid w:val="00A13EE0"/>
    <w:rsid w:val="00A140FC"/>
    <w:rsid w:val="00A14D57"/>
    <w:rsid w:val="00A14EBE"/>
    <w:rsid w:val="00A15DB0"/>
    <w:rsid w:val="00A17DAF"/>
    <w:rsid w:val="00A206E5"/>
    <w:rsid w:val="00A20D42"/>
    <w:rsid w:val="00A20E15"/>
    <w:rsid w:val="00A22B19"/>
    <w:rsid w:val="00A22EDD"/>
    <w:rsid w:val="00A231AE"/>
    <w:rsid w:val="00A23A26"/>
    <w:rsid w:val="00A23CD6"/>
    <w:rsid w:val="00A25586"/>
    <w:rsid w:val="00A261BA"/>
    <w:rsid w:val="00A264D5"/>
    <w:rsid w:val="00A27898"/>
    <w:rsid w:val="00A33917"/>
    <w:rsid w:val="00A34B44"/>
    <w:rsid w:val="00A35282"/>
    <w:rsid w:val="00A373A4"/>
    <w:rsid w:val="00A40F71"/>
    <w:rsid w:val="00A415F5"/>
    <w:rsid w:val="00A41BCB"/>
    <w:rsid w:val="00A41E16"/>
    <w:rsid w:val="00A43832"/>
    <w:rsid w:val="00A43DC1"/>
    <w:rsid w:val="00A45515"/>
    <w:rsid w:val="00A4581F"/>
    <w:rsid w:val="00A4595F"/>
    <w:rsid w:val="00A466D3"/>
    <w:rsid w:val="00A50701"/>
    <w:rsid w:val="00A50AE8"/>
    <w:rsid w:val="00A50FD4"/>
    <w:rsid w:val="00A5175B"/>
    <w:rsid w:val="00A522E7"/>
    <w:rsid w:val="00A52CF5"/>
    <w:rsid w:val="00A53356"/>
    <w:rsid w:val="00A540FA"/>
    <w:rsid w:val="00A553B3"/>
    <w:rsid w:val="00A5586F"/>
    <w:rsid w:val="00A560B4"/>
    <w:rsid w:val="00A5672A"/>
    <w:rsid w:val="00A57653"/>
    <w:rsid w:val="00A601B6"/>
    <w:rsid w:val="00A60679"/>
    <w:rsid w:val="00A62224"/>
    <w:rsid w:val="00A62591"/>
    <w:rsid w:val="00A6391F"/>
    <w:rsid w:val="00A639F6"/>
    <w:rsid w:val="00A640C6"/>
    <w:rsid w:val="00A66BE6"/>
    <w:rsid w:val="00A67BF2"/>
    <w:rsid w:val="00A67DE3"/>
    <w:rsid w:val="00A70002"/>
    <w:rsid w:val="00A700DC"/>
    <w:rsid w:val="00A70891"/>
    <w:rsid w:val="00A71694"/>
    <w:rsid w:val="00A7173F"/>
    <w:rsid w:val="00A72211"/>
    <w:rsid w:val="00A73227"/>
    <w:rsid w:val="00A73EE2"/>
    <w:rsid w:val="00A740FB"/>
    <w:rsid w:val="00A74173"/>
    <w:rsid w:val="00A746A3"/>
    <w:rsid w:val="00A74B20"/>
    <w:rsid w:val="00A74C43"/>
    <w:rsid w:val="00A74D3D"/>
    <w:rsid w:val="00A74F9C"/>
    <w:rsid w:val="00A751B5"/>
    <w:rsid w:val="00A80F72"/>
    <w:rsid w:val="00A81798"/>
    <w:rsid w:val="00A83A12"/>
    <w:rsid w:val="00A83F83"/>
    <w:rsid w:val="00A84669"/>
    <w:rsid w:val="00A850BE"/>
    <w:rsid w:val="00A856C5"/>
    <w:rsid w:val="00A863DD"/>
    <w:rsid w:val="00A87C8C"/>
    <w:rsid w:val="00A903A3"/>
    <w:rsid w:val="00A9096F"/>
    <w:rsid w:val="00A90B18"/>
    <w:rsid w:val="00A91EE0"/>
    <w:rsid w:val="00A921F2"/>
    <w:rsid w:val="00A92E4A"/>
    <w:rsid w:val="00A947D5"/>
    <w:rsid w:val="00A96260"/>
    <w:rsid w:val="00A96EE8"/>
    <w:rsid w:val="00AA030E"/>
    <w:rsid w:val="00AA09ED"/>
    <w:rsid w:val="00AA3143"/>
    <w:rsid w:val="00AA37B0"/>
    <w:rsid w:val="00AA3F9B"/>
    <w:rsid w:val="00AA42C7"/>
    <w:rsid w:val="00AA49CC"/>
    <w:rsid w:val="00AA4ED1"/>
    <w:rsid w:val="00AA5C83"/>
    <w:rsid w:val="00AA66B6"/>
    <w:rsid w:val="00AA6A0B"/>
    <w:rsid w:val="00AA7670"/>
    <w:rsid w:val="00AB555E"/>
    <w:rsid w:val="00AB5926"/>
    <w:rsid w:val="00AB758B"/>
    <w:rsid w:val="00AB7F35"/>
    <w:rsid w:val="00AC0D28"/>
    <w:rsid w:val="00AC1327"/>
    <w:rsid w:val="00AC153F"/>
    <w:rsid w:val="00AC1A60"/>
    <w:rsid w:val="00AC2340"/>
    <w:rsid w:val="00AC3FD1"/>
    <w:rsid w:val="00AC424A"/>
    <w:rsid w:val="00AC5810"/>
    <w:rsid w:val="00AC5FFB"/>
    <w:rsid w:val="00AC695E"/>
    <w:rsid w:val="00AC7ECD"/>
    <w:rsid w:val="00AD0933"/>
    <w:rsid w:val="00AD210E"/>
    <w:rsid w:val="00AD226F"/>
    <w:rsid w:val="00AD2370"/>
    <w:rsid w:val="00AD28B6"/>
    <w:rsid w:val="00AD303A"/>
    <w:rsid w:val="00AD441C"/>
    <w:rsid w:val="00AD46DE"/>
    <w:rsid w:val="00AD4FDE"/>
    <w:rsid w:val="00AD6904"/>
    <w:rsid w:val="00AD694B"/>
    <w:rsid w:val="00AD70F7"/>
    <w:rsid w:val="00AE2548"/>
    <w:rsid w:val="00AE3B00"/>
    <w:rsid w:val="00AE42D3"/>
    <w:rsid w:val="00AE5870"/>
    <w:rsid w:val="00AE630A"/>
    <w:rsid w:val="00AE6B42"/>
    <w:rsid w:val="00AE782E"/>
    <w:rsid w:val="00AE7BC9"/>
    <w:rsid w:val="00AF0CED"/>
    <w:rsid w:val="00AF31BD"/>
    <w:rsid w:val="00AF3C70"/>
    <w:rsid w:val="00AF3D89"/>
    <w:rsid w:val="00AF443A"/>
    <w:rsid w:val="00AF453E"/>
    <w:rsid w:val="00AF6438"/>
    <w:rsid w:val="00AF77C0"/>
    <w:rsid w:val="00AF79AE"/>
    <w:rsid w:val="00B01019"/>
    <w:rsid w:val="00B0131C"/>
    <w:rsid w:val="00B01F1C"/>
    <w:rsid w:val="00B02D24"/>
    <w:rsid w:val="00B02EA7"/>
    <w:rsid w:val="00B031CB"/>
    <w:rsid w:val="00B058B5"/>
    <w:rsid w:val="00B059B1"/>
    <w:rsid w:val="00B07171"/>
    <w:rsid w:val="00B073BC"/>
    <w:rsid w:val="00B07739"/>
    <w:rsid w:val="00B07C8A"/>
    <w:rsid w:val="00B10013"/>
    <w:rsid w:val="00B10322"/>
    <w:rsid w:val="00B10E1E"/>
    <w:rsid w:val="00B11708"/>
    <w:rsid w:val="00B11E3E"/>
    <w:rsid w:val="00B11F0D"/>
    <w:rsid w:val="00B11FF9"/>
    <w:rsid w:val="00B1217E"/>
    <w:rsid w:val="00B12333"/>
    <w:rsid w:val="00B1252E"/>
    <w:rsid w:val="00B12BE6"/>
    <w:rsid w:val="00B13A91"/>
    <w:rsid w:val="00B1419C"/>
    <w:rsid w:val="00B1687F"/>
    <w:rsid w:val="00B20276"/>
    <w:rsid w:val="00B20963"/>
    <w:rsid w:val="00B21DBF"/>
    <w:rsid w:val="00B221C0"/>
    <w:rsid w:val="00B24110"/>
    <w:rsid w:val="00B2434A"/>
    <w:rsid w:val="00B2464F"/>
    <w:rsid w:val="00B24C1A"/>
    <w:rsid w:val="00B2508D"/>
    <w:rsid w:val="00B258C4"/>
    <w:rsid w:val="00B27475"/>
    <w:rsid w:val="00B30AD4"/>
    <w:rsid w:val="00B30FF4"/>
    <w:rsid w:val="00B31AF4"/>
    <w:rsid w:val="00B31E2F"/>
    <w:rsid w:val="00B31EC3"/>
    <w:rsid w:val="00B3265D"/>
    <w:rsid w:val="00B329D3"/>
    <w:rsid w:val="00B33198"/>
    <w:rsid w:val="00B333F3"/>
    <w:rsid w:val="00B354FD"/>
    <w:rsid w:val="00B356C8"/>
    <w:rsid w:val="00B36A7C"/>
    <w:rsid w:val="00B400C5"/>
    <w:rsid w:val="00B4010B"/>
    <w:rsid w:val="00B413FD"/>
    <w:rsid w:val="00B41CCB"/>
    <w:rsid w:val="00B43544"/>
    <w:rsid w:val="00B43B34"/>
    <w:rsid w:val="00B4409E"/>
    <w:rsid w:val="00B450DE"/>
    <w:rsid w:val="00B458E5"/>
    <w:rsid w:val="00B46ADF"/>
    <w:rsid w:val="00B46B89"/>
    <w:rsid w:val="00B47B89"/>
    <w:rsid w:val="00B50697"/>
    <w:rsid w:val="00B50A8B"/>
    <w:rsid w:val="00B51BFB"/>
    <w:rsid w:val="00B52B3D"/>
    <w:rsid w:val="00B531F8"/>
    <w:rsid w:val="00B54B48"/>
    <w:rsid w:val="00B564FD"/>
    <w:rsid w:val="00B56C2B"/>
    <w:rsid w:val="00B56E20"/>
    <w:rsid w:val="00B5790D"/>
    <w:rsid w:val="00B57BD7"/>
    <w:rsid w:val="00B60FC4"/>
    <w:rsid w:val="00B61D63"/>
    <w:rsid w:val="00B6353F"/>
    <w:rsid w:val="00B63CA4"/>
    <w:rsid w:val="00B644CE"/>
    <w:rsid w:val="00B6478F"/>
    <w:rsid w:val="00B64E75"/>
    <w:rsid w:val="00B66126"/>
    <w:rsid w:val="00B678B6"/>
    <w:rsid w:val="00B705B5"/>
    <w:rsid w:val="00B70714"/>
    <w:rsid w:val="00B70C75"/>
    <w:rsid w:val="00B71709"/>
    <w:rsid w:val="00B717DC"/>
    <w:rsid w:val="00B720E3"/>
    <w:rsid w:val="00B727EA"/>
    <w:rsid w:val="00B7319D"/>
    <w:rsid w:val="00B73403"/>
    <w:rsid w:val="00B739A7"/>
    <w:rsid w:val="00B73E0B"/>
    <w:rsid w:val="00B755ED"/>
    <w:rsid w:val="00B77287"/>
    <w:rsid w:val="00B81DBE"/>
    <w:rsid w:val="00B82B91"/>
    <w:rsid w:val="00B833F4"/>
    <w:rsid w:val="00B8363B"/>
    <w:rsid w:val="00B8383F"/>
    <w:rsid w:val="00B83B74"/>
    <w:rsid w:val="00B85EF8"/>
    <w:rsid w:val="00B8668D"/>
    <w:rsid w:val="00B8687E"/>
    <w:rsid w:val="00B86D63"/>
    <w:rsid w:val="00B871D0"/>
    <w:rsid w:val="00B877E8"/>
    <w:rsid w:val="00B902DB"/>
    <w:rsid w:val="00B90445"/>
    <w:rsid w:val="00B90CE7"/>
    <w:rsid w:val="00B951D3"/>
    <w:rsid w:val="00B95A0E"/>
    <w:rsid w:val="00B96341"/>
    <w:rsid w:val="00B96AD3"/>
    <w:rsid w:val="00B97977"/>
    <w:rsid w:val="00B97F02"/>
    <w:rsid w:val="00BA148F"/>
    <w:rsid w:val="00BA252C"/>
    <w:rsid w:val="00BA36F9"/>
    <w:rsid w:val="00BA3B3A"/>
    <w:rsid w:val="00BA45F4"/>
    <w:rsid w:val="00BA4DB9"/>
    <w:rsid w:val="00BA4DE2"/>
    <w:rsid w:val="00BA7C9F"/>
    <w:rsid w:val="00BB06DD"/>
    <w:rsid w:val="00BB1A45"/>
    <w:rsid w:val="00BB241A"/>
    <w:rsid w:val="00BB27C8"/>
    <w:rsid w:val="00BB3868"/>
    <w:rsid w:val="00BB449E"/>
    <w:rsid w:val="00BB5041"/>
    <w:rsid w:val="00BB5419"/>
    <w:rsid w:val="00BB578C"/>
    <w:rsid w:val="00BB6398"/>
    <w:rsid w:val="00BB72E5"/>
    <w:rsid w:val="00BB77C6"/>
    <w:rsid w:val="00BB7AA9"/>
    <w:rsid w:val="00BB7CD1"/>
    <w:rsid w:val="00BC17B4"/>
    <w:rsid w:val="00BC206C"/>
    <w:rsid w:val="00BC2C8E"/>
    <w:rsid w:val="00BC34A4"/>
    <w:rsid w:val="00BC3B06"/>
    <w:rsid w:val="00BC4506"/>
    <w:rsid w:val="00BC4F53"/>
    <w:rsid w:val="00BC5E6F"/>
    <w:rsid w:val="00BC6B41"/>
    <w:rsid w:val="00BC7726"/>
    <w:rsid w:val="00BC784D"/>
    <w:rsid w:val="00BD00F3"/>
    <w:rsid w:val="00BD049D"/>
    <w:rsid w:val="00BD04F0"/>
    <w:rsid w:val="00BD068D"/>
    <w:rsid w:val="00BD11D3"/>
    <w:rsid w:val="00BD2170"/>
    <w:rsid w:val="00BD25B3"/>
    <w:rsid w:val="00BD3BC3"/>
    <w:rsid w:val="00BD4C0D"/>
    <w:rsid w:val="00BD6483"/>
    <w:rsid w:val="00BD75F9"/>
    <w:rsid w:val="00BE07A0"/>
    <w:rsid w:val="00BE1D65"/>
    <w:rsid w:val="00BE405F"/>
    <w:rsid w:val="00BE4129"/>
    <w:rsid w:val="00BE44E8"/>
    <w:rsid w:val="00BE471E"/>
    <w:rsid w:val="00BE5314"/>
    <w:rsid w:val="00BE5F2B"/>
    <w:rsid w:val="00BE66CD"/>
    <w:rsid w:val="00BE76E2"/>
    <w:rsid w:val="00BF0C84"/>
    <w:rsid w:val="00BF2121"/>
    <w:rsid w:val="00BF3222"/>
    <w:rsid w:val="00BF325C"/>
    <w:rsid w:val="00BF3445"/>
    <w:rsid w:val="00BF60AE"/>
    <w:rsid w:val="00BF6DA5"/>
    <w:rsid w:val="00BF6E09"/>
    <w:rsid w:val="00C03817"/>
    <w:rsid w:val="00C03ED8"/>
    <w:rsid w:val="00C040B6"/>
    <w:rsid w:val="00C04C8F"/>
    <w:rsid w:val="00C05C06"/>
    <w:rsid w:val="00C07536"/>
    <w:rsid w:val="00C07842"/>
    <w:rsid w:val="00C07925"/>
    <w:rsid w:val="00C101CD"/>
    <w:rsid w:val="00C11A1A"/>
    <w:rsid w:val="00C1205B"/>
    <w:rsid w:val="00C1212A"/>
    <w:rsid w:val="00C12356"/>
    <w:rsid w:val="00C13EF5"/>
    <w:rsid w:val="00C1583D"/>
    <w:rsid w:val="00C17027"/>
    <w:rsid w:val="00C1740C"/>
    <w:rsid w:val="00C174FC"/>
    <w:rsid w:val="00C17609"/>
    <w:rsid w:val="00C17F41"/>
    <w:rsid w:val="00C20367"/>
    <w:rsid w:val="00C204A1"/>
    <w:rsid w:val="00C232BC"/>
    <w:rsid w:val="00C24074"/>
    <w:rsid w:val="00C2493B"/>
    <w:rsid w:val="00C25ADA"/>
    <w:rsid w:val="00C26995"/>
    <w:rsid w:val="00C27678"/>
    <w:rsid w:val="00C30504"/>
    <w:rsid w:val="00C31177"/>
    <w:rsid w:val="00C31346"/>
    <w:rsid w:val="00C31DC1"/>
    <w:rsid w:val="00C33162"/>
    <w:rsid w:val="00C34216"/>
    <w:rsid w:val="00C3459B"/>
    <w:rsid w:val="00C3460D"/>
    <w:rsid w:val="00C349E0"/>
    <w:rsid w:val="00C36950"/>
    <w:rsid w:val="00C36FF2"/>
    <w:rsid w:val="00C41797"/>
    <w:rsid w:val="00C42C96"/>
    <w:rsid w:val="00C4415B"/>
    <w:rsid w:val="00C4452D"/>
    <w:rsid w:val="00C47DC3"/>
    <w:rsid w:val="00C51755"/>
    <w:rsid w:val="00C51E13"/>
    <w:rsid w:val="00C51E41"/>
    <w:rsid w:val="00C52765"/>
    <w:rsid w:val="00C53DB6"/>
    <w:rsid w:val="00C54167"/>
    <w:rsid w:val="00C541FB"/>
    <w:rsid w:val="00C54B89"/>
    <w:rsid w:val="00C54EB8"/>
    <w:rsid w:val="00C551E0"/>
    <w:rsid w:val="00C57C37"/>
    <w:rsid w:val="00C57E71"/>
    <w:rsid w:val="00C60816"/>
    <w:rsid w:val="00C60F04"/>
    <w:rsid w:val="00C61B31"/>
    <w:rsid w:val="00C61F0D"/>
    <w:rsid w:val="00C62285"/>
    <w:rsid w:val="00C635D2"/>
    <w:rsid w:val="00C63C49"/>
    <w:rsid w:val="00C6407F"/>
    <w:rsid w:val="00C65F2F"/>
    <w:rsid w:val="00C662A5"/>
    <w:rsid w:val="00C67595"/>
    <w:rsid w:val="00C677E7"/>
    <w:rsid w:val="00C70950"/>
    <w:rsid w:val="00C713EE"/>
    <w:rsid w:val="00C720E4"/>
    <w:rsid w:val="00C737F8"/>
    <w:rsid w:val="00C768CC"/>
    <w:rsid w:val="00C76ADF"/>
    <w:rsid w:val="00C76EBA"/>
    <w:rsid w:val="00C77E32"/>
    <w:rsid w:val="00C803CE"/>
    <w:rsid w:val="00C8084B"/>
    <w:rsid w:val="00C8193F"/>
    <w:rsid w:val="00C819F9"/>
    <w:rsid w:val="00C82BC8"/>
    <w:rsid w:val="00C82EDE"/>
    <w:rsid w:val="00C85AA3"/>
    <w:rsid w:val="00C85E77"/>
    <w:rsid w:val="00C86B5C"/>
    <w:rsid w:val="00C86E6D"/>
    <w:rsid w:val="00C911D4"/>
    <w:rsid w:val="00C9123F"/>
    <w:rsid w:val="00C91287"/>
    <w:rsid w:val="00C93521"/>
    <w:rsid w:val="00C93888"/>
    <w:rsid w:val="00C93BB4"/>
    <w:rsid w:val="00C93CE1"/>
    <w:rsid w:val="00C94090"/>
    <w:rsid w:val="00C947AD"/>
    <w:rsid w:val="00C94D3F"/>
    <w:rsid w:val="00C961D0"/>
    <w:rsid w:val="00C96459"/>
    <w:rsid w:val="00C96E38"/>
    <w:rsid w:val="00C9731B"/>
    <w:rsid w:val="00C97707"/>
    <w:rsid w:val="00C97C92"/>
    <w:rsid w:val="00CA0401"/>
    <w:rsid w:val="00CA0A89"/>
    <w:rsid w:val="00CA0B59"/>
    <w:rsid w:val="00CA1375"/>
    <w:rsid w:val="00CA179C"/>
    <w:rsid w:val="00CA48F1"/>
    <w:rsid w:val="00CA4C9C"/>
    <w:rsid w:val="00CA6289"/>
    <w:rsid w:val="00CA638C"/>
    <w:rsid w:val="00CA7C4D"/>
    <w:rsid w:val="00CA7D19"/>
    <w:rsid w:val="00CB2777"/>
    <w:rsid w:val="00CB2825"/>
    <w:rsid w:val="00CB333C"/>
    <w:rsid w:val="00CB478B"/>
    <w:rsid w:val="00CB4805"/>
    <w:rsid w:val="00CB54C8"/>
    <w:rsid w:val="00CB6525"/>
    <w:rsid w:val="00CB68D2"/>
    <w:rsid w:val="00CB728B"/>
    <w:rsid w:val="00CB7A43"/>
    <w:rsid w:val="00CC027E"/>
    <w:rsid w:val="00CC26F5"/>
    <w:rsid w:val="00CC2C1B"/>
    <w:rsid w:val="00CC3B42"/>
    <w:rsid w:val="00CC40EA"/>
    <w:rsid w:val="00CC42AB"/>
    <w:rsid w:val="00CC44F4"/>
    <w:rsid w:val="00CC480D"/>
    <w:rsid w:val="00CC6461"/>
    <w:rsid w:val="00CC66B9"/>
    <w:rsid w:val="00CC6847"/>
    <w:rsid w:val="00CC6D78"/>
    <w:rsid w:val="00CC7E48"/>
    <w:rsid w:val="00CC7F46"/>
    <w:rsid w:val="00CC7F58"/>
    <w:rsid w:val="00CD088F"/>
    <w:rsid w:val="00CD14AE"/>
    <w:rsid w:val="00CD186C"/>
    <w:rsid w:val="00CD1FC9"/>
    <w:rsid w:val="00CD1FE4"/>
    <w:rsid w:val="00CD2837"/>
    <w:rsid w:val="00CD2E19"/>
    <w:rsid w:val="00CD2FC2"/>
    <w:rsid w:val="00CD3717"/>
    <w:rsid w:val="00CD3A53"/>
    <w:rsid w:val="00CD3B17"/>
    <w:rsid w:val="00CD3BC9"/>
    <w:rsid w:val="00CD4601"/>
    <w:rsid w:val="00CD4DF8"/>
    <w:rsid w:val="00CE0432"/>
    <w:rsid w:val="00CE19AB"/>
    <w:rsid w:val="00CE1C4C"/>
    <w:rsid w:val="00CE3779"/>
    <w:rsid w:val="00CE3A57"/>
    <w:rsid w:val="00CE6F12"/>
    <w:rsid w:val="00CE7812"/>
    <w:rsid w:val="00CE7D04"/>
    <w:rsid w:val="00CF0EA2"/>
    <w:rsid w:val="00CF29E3"/>
    <w:rsid w:val="00CF34B8"/>
    <w:rsid w:val="00CF39BB"/>
    <w:rsid w:val="00CF42C9"/>
    <w:rsid w:val="00CF4957"/>
    <w:rsid w:val="00CF6FCE"/>
    <w:rsid w:val="00CF7043"/>
    <w:rsid w:val="00CF727C"/>
    <w:rsid w:val="00CF754D"/>
    <w:rsid w:val="00CF77E7"/>
    <w:rsid w:val="00D013C8"/>
    <w:rsid w:val="00D02DFC"/>
    <w:rsid w:val="00D04651"/>
    <w:rsid w:val="00D04E21"/>
    <w:rsid w:val="00D073F3"/>
    <w:rsid w:val="00D077B7"/>
    <w:rsid w:val="00D10427"/>
    <w:rsid w:val="00D10A35"/>
    <w:rsid w:val="00D1209F"/>
    <w:rsid w:val="00D12713"/>
    <w:rsid w:val="00D12EC1"/>
    <w:rsid w:val="00D138E6"/>
    <w:rsid w:val="00D166EA"/>
    <w:rsid w:val="00D16CFB"/>
    <w:rsid w:val="00D16DE6"/>
    <w:rsid w:val="00D2077A"/>
    <w:rsid w:val="00D208A6"/>
    <w:rsid w:val="00D213E6"/>
    <w:rsid w:val="00D213F4"/>
    <w:rsid w:val="00D228BB"/>
    <w:rsid w:val="00D22F77"/>
    <w:rsid w:val="00D243A2"/>
    <w:rsid w:val="00D25DF2"/>
    <w:rsid w:val="00D26BAA"/>
    <w:rsid w:val="00D26F7E"/>
    <w:rsid w:val="00D2720E"/>
    <w:rsid w:val="00D2788C"/>
    <w:rsid w:val="00D27CFB"/>
    <w:rsid w:val="00D30090"/>
    <w:rsid w:val="00D31123"/>
    <w:rsid w:val="00D31207"/>
    <w:rsid w:val="00D3309D"/>
    <w:rsid w:val="00D335A0"/>
    <w:rsid w:val="00D337D4"/>
    <w:rsid w:val="00D34105"/>
    <w:rsid w:val="00D351A2"/>
    <w:rsid w:val="00D36209"/>
    <w:rsid w:val="00D36496"/>
    <w:rsid w:val="00D370DD"/>
    <w:rsid w:val="00D377D8"/>
    <w:rsid w:val="00D37D21"/>
    <w:rsid w:val="00D40186"/>
    <w:rsid w:val="00D40A92"/>
    <w:rsid w:val="00D435D8"/>
    <w:rsid w:val="00D460AC"/>
    <w:rsid w:val="00D460E5"/>
    <w:rsid w:val="00D46CD3"/>
    <w:rsid w:val="00D46D80"/>
    <w:rsid w:val="00D479A4"/>
    <w:rsid w:val="00D506E1"/>
    <w:rsid w:val="00D50CFD"/>
    <w:rsid w:val="00D510E0"/>
    <w:rsid w:val="00D534E2"/>
    <w:rsid w:val="00D54DEC"/>
    <w:rsid w:val="00D5534B"/>
    <w:rsid w:val="00D56E13"/>
    <w:rsid w:val="00D570F4"/>
    <w:rsid w:val="00D607C2"/>
    <w:rsid w:val="00D60871"/>
    <w:rsid w:val="00D61199"/>
    <w:rsid w:val="00D61F40"/>
    <w:rsid w:val="00D622EC"/>
    <w:rsid w:val="00D623AF"/>
    <w:rsid w:val="00D6284C"/>
    <w:rsid w:val="00D64197"/>
    <w:rsid w:val="00D65953"/>
    <w:rsid w:val="00D65A78"/>
    <w:rsid w:val="00D66F7E"/>
    <w:rsid w:val="00D73444"/>
    <w:rsid w:val="00D73633"/>
    <w:rsid w:val="00D73FDF"/>
    <w:rsid w:val="00D75813"/>
    <w:rsid w:val="00D76018"/>
    <w:rsid w:val="00D76083"/>
    <w:rsid w:val="00D76A87"/>
    <w:rsid w:val="00D7779A"/>
    <w:rsid w:val="00D8040E"/>
    <w:rsid w:val="00D808AE"/>
    <w:rsid w:val="00D82051"/>
    <w:rsid w:val="00D83251"/>
    <w:rsid w:val="00D85744"/>
    <w:rsid w:val="00D863F8"/>
    <w:rsid w:val="00D90456"/>
    <w:rsid w:val="00D90682"/>
    <w:rsid w:val="00D90FDA"/>
    <w:rsid w:val="00D92D20"/>
    <w:rsid w:val="00D92FAC"/>
    <w:rsid w:val="00D943A3"/>
    <w:rsid w:val="00D96D49"/>
    <w:rsid w:val="00D97408"/>
    <w:rsid w:val="00D9761B"/>
    <w:rsid w:val="00D9780E"/>
    <w:rsid w:val="00DA049C"/>
    <w:rsid w:val="00DA1430"/>
    <w:rsid w:val="00DA2F03"/>
    <w:rsid w:val="00DA3CB0"/>
    <w:rsid w:val="00DA4E28"/>
    <w:rsid w:val="00DA657E"/>
    <w:rsid w:val="00DA68F6"/>
    <w:rsid w:val="00DA6F72"/>
    <w:rsid w:val="00DB03D9"/>
    <w:rsid w:val="00DB0ED2"/>
    <w:rsid w:val="00DB1159"/>
    <w:rsid w:val="00DB2DCF"/>
    <w:rsid w:val="00DB3587"/>
    <w:rsid w:val="00DB4DC9"/>
    <w:rsid w:val="00DB52EA"/>
    <w:rsid w:val="00DB5427"/>
    <w:rsid w:val="00DB5510"/>
    <w:rsid w:val="00DB7330"/>
    <w:rsid w:val="00DB7BD6"/>
    <w:rsid w:val="00DC00D6"/>
    <w:rsid w:val="00DC01CF"/>
    <w:rsid w:val="00DC0304"/>
    <w:rsid w:val="00DC05AA"/>
    <w:rsid w:val="00DC05C9"/>
    <w:rsid w:val="00DC07E6"/>
    <w:rsid w:val="00DC2245"/>
    <w:rsid w:val="00DC3292"/>
    <w:rsid w:val="00DC34CA"/>
    <w:rsid w:val="00DC3758"/>
    <w:rsid w:val="00DC39F2"/>
    <w:rsid w:val="00DC5EF3"/>
    <w:rsid w:val="00DC7CD0"/>
    <w:rsid w:val="00DD0E73"/>
    <w:rsid w:val="00DD1CB4"/>
    <w:rsid w:val="00DD1D88"/>
    <w:rsid w:val="00DD1DFE"/>
    <w:rsid w:val="00DD22A5"/>
    <w:rsid w:val="00DD25AF"/>
    <w:rsid w:val="00DD4618"/>
    <w:rsid w:val="00DD4911"/>
    <w:rsid w:val="00DD4FA5"/>
    <w:rsid w:val="00DD63EA"/>
    <w:rsid w:val="00DD708E"/>
    <w:rsid w:val="00DD70C4"/>
    <w:rsid w:val="00DD7942"/>
    <w:rsid w:val="00DE0F91"/>
    <w:rsid w:val="00DE1EB2"/>
    <w:rsid w:val="00DE260A"/>
    <w:rsid w:val="00DE3126"/>
    <w:rsid w:val="00DE3142"/>
    <w:rsid w:val="00DE3271"/>
    <w:rsid w:val="00DE35BC"/>
    <w:rsid w:val="00DE4336"/>
    <w:rsid w:val="00DE4F7E"/>
    <w:rsid w:val="00DE51AF"/>
    <w:rsid w:val="00DE54A2"/>
    <w:rsid w:val="00DE54E1"/>
    <w:rsid w:val="00DE60D8"/>
    <w:rsid w:val="00DE6415"/>
    <w:rsid w:val="00DE6BFE"/>
    <w:rsid w:val="00DE75CE"/>
    <w:rsid w:val="00DF02CF"/>
    <w:rsid w:val="00DF054C"/>
    <w:rsid w:val="00DF0696"/>
    <w:rsid w:val="00DF10DE"/>
    <w:rsid w:val="00DF2554"/>
    <w:rsid w:val="00DF42F2"/>
    <w:rsid w:val="00DF48EB"/>
    <w:rsid w:val="00DF4BFB"/>
    <w:rsid w:val="00DF51F1"/>
    <w:rsid w:val="00DF5223"/>
    <w:rsid w:val="00DF5C64"/>
    <w:rsid w:val="00DF5E5E"/>
    <w:rsid w:val="00DF665C"/>
    <w:rsid w:val="00DF713B"/>
    <w:rsid w:val="00DF7250"/>
    <w:rsid w:val="00DF72A5"/>
    <w:rsid w:val="00DF7776"/>
    <w:rsid w:val="00DF7CD8"/>
    <w:rsid w:val="00E00549"/>
    <w:rsid w:val="00E00BCE"/>
    <w:rsid w:val="00E03633"/>
    <w:rsid w:val="00E04341"/>
    <w:rsid w:val="00E04D37"/>
    <w:rsid w:val="00E04F98"/>
    <w:rsid w:val="00E05BBE"/>
    <w:rsid w:val="00E060D6"/>
    <w:rsid w:val="00E06342"/>
    <w:rsid w:val="00E06AB9"/>
    <w:rsid w:val="00E07ED7"/>
    <w:rsid w:val="00E100B6"/>
    <w:rsid w:val="00E10188"/>
    <w:rsid w:val="00E10C8D"/>
    <w:rsid w:val="00E1153C"/>
    <w:rsid w:val="00E11A31"/>
    <w:rsid w:val="00E11B4B"/>
    <w:rsid w:val="00E13035"/>
    <w:rsid w:val="00E13287"/>
    <w:rsid w:val="00E13410"/>
    <w:rsid w:val="00E134B3"/>
    <w:rsid w:val="00E1363E"/>
    <w:rsid w:val="00E143C7"/>
    <w:rsid w:val="00E147E7"/>
    <w:rsid w:val="00E1529C"/>
    <w:rsid w:val="00E15D47"/>
    <w:rsid w:val="00E16995"/>
    <w:rsid w:val="00E16FE8"/>
    <w:rsid w:val="00E20949"/>
    <w:rsid w:val="00E21088"/>
    <w:rsid w:val="00E21B5B"/>
    <w:rsid w:val="00E22095"/>
    <w:rsid w:val="00E24F6E"/>
    <w:rsid w:val="00E25417"/>
    <w:rsid w:val="00E263BA"/>
    <w:rsid w:val="00E269EE"/>
    <w:rsid w:val="00E26FF4"/>
    <w:rsid w:val="00E271C1"/>
    <w:rsid w:val="00E2760F"/>
    <w:rsid w:val="00E27C67"/>
    <w:rsid w:val="00E3064D"/>
    <w:rsid w:val="00E33458"/>
    <w:rsid w:val="00E33AFA"/>
    <w:rsid w:val="00E34D99"/>
    <w:rsid w:val="00E352DF"/>
    <w:rsid w:val="00E36CA0"/>
    <w:rsid w:val="00E37057"/>
    <w:rsid w:val="00E40836"/>
    <w:rsid w:val="00E41464"/>
    <w:rsid w:val="00E4185F"/>
    <w:rsid w:val="00E418A7"/>
    <w:rsid w:val="00E41E7D"/>
    <w:rsid w:val="00E430C1"/>
    <w:rsid w:val="00E4395B"/>
    <w:rsid w:val="00E4417C"/>
    <w:rsid w:val="00E45518"/>
    <w:rsid w:val="00E45D67"/>
    <w:rsid w:val="00E50D22"/>
    <w:rsid w:val="00E514E1"/>
    <w:rsid w:val="00E51D03"/>
    <w:rsid w:val="00E52070"/>
    <w:rsid w:val="00E56118"/>
    <w:rsid w:val="00E60023"/>
    <w:rsid w:val="00E600D6"/>
    <w:rsid w:val="00E605AE"/>
    <w:rsid w:val="00E61031"/>
    <w:rsid w:val="00E613A0"/>
    <w:rsid w:val="00E6158A"/>
    <w:rsid w:val="00E61920"/>
    <w:rsid w:val="00E6235E"/>
    <w:rsid w:val="00E62EC0"/>
    <w:rsid w:val="00E636C0"/>
    <w:rsid w:val="00E64383"/>
    <w:rsid w:val="00E64406"/>
    <w:rsid w:val="00E66B49"/>
    <w:rsid w:val="00E66C45"/>
    <w:rsid w:val="00E674E5"/>
    <w:rsid w:val="00E675D0"/>
    <w:rsid w:val="00E67606"/>
    <w:rsid w:val="00E6774E"/>
    <w:rsid w:val="00E702C4"/>
    <w:rsid w:val="00E70B8C"/>
    <w:rsid w:val="00E71EFD"/>
    <w:rsid w:val="00E73F60"/>
    <w:rsid w:val="00E74412"/>
    <w:rsid w:val="00E74EEC"/>
    <w:rsid w:val="00E74FFA"/>
    <w:rsid w:val="00E75977"/>
    <w:rsid w:val="00E76683"/>
    <w:rsid w:val="00E76F57"/>
    <w:rsid w:val="00E77481"/>
    <w:rsid w:val="00E80BE8"/>
    <w:rsid w:val="00E81AB3"/>
    <w:rsid w:val="00E8330D"/>
    <w:rsid w:val="00E83F56"/>
    <w:rsid w:val="00E8455F"/>
    <w:rsid w:val="00E874B4"/>
    <w:rsid w:val="00E87AF9"/>
    <w:rsid w:val="00E90434"/>
    <w:rsid w:val="00E90F8A"/>
    <w:rsid w:val="00E9259D"/>
    <w:rsid w:val="00E93101"/>
    <w:rsid w:val="00E9313E"/>
    <w:rsid w:val="00E93761"/>
    <w:rsid w:val="00E948A5"/>
    <w:rsid w:val="00E95067"/>
    <w:rsid w:val="00E95E3E"/>
    <w:rsid w:val="00E95E76"/>
    <w:rsid w:val="00E962F2"/>
    <w:rsid w:val="00E973D5"/>
    <w:rsid w:val="00EA010D"/>
    <w:rsid w:val="00EA0ED1"/>
    <w:rsid w:val="00EA1523"/>
    <w:rsid w:val="00EA2731"/>
    <w:rsid w:val="00EA279A"/>
    <w:rsid w:val="00EA2F8B"/>
    <w:rsid w:val="00EA3A1D"/>
    <w:rsid w:val="00EA445A"/>
    <w:rsid w:val="00EA57D0"/>
    <w:rsid w:val="00EA6445"/>
    <w:rsid w:val="00EA70CB"/>
    <w:rsid w:val="00EA7D98"/>
    <w:rsid w:val="00EB2483"/>
    <w:rsid w:val="00EB437F"/>
    <w:rsid w:val="00EB5B14"/>
    <w:rsid w:val="00EB683C"/>
    <w:rsid w:val="00EB734F"/>
    <w:rsid w:val="00EB75C2"/>
    <w:rsid w:val="00EB7981"/>
    <w:rsid w:val="00EC0019"/>
    <w:rsid w:val="00EC02A2"/>
    <w:rsid w:val="00EC0520"/>
    <w:rsid w:val="00EC070C"/>
    <w:rsid w:val="00EC0E05"/>
    <w:rsid w:val="00EC17B5"/>
    <w:rsid w:val="00EC23BF"/>
    <w:rsid w:val="00EC31CD"/>
    <w:rsid w:val="00EC3BFD"/>
    <w:rsid w:val="00EC3E45"/>
    <w:rsid w:val="00EC439B"/>
    <w:rsid w:val="00EC55ED"/>
    <w:rsid w:val="00EC7FDD"/>
    <w:rsid w:val="00ED0996"/>
    <w:rsid w:val="00ED1312"/>
    <w:rsid w:val="00ED1A64"/>
    <w:rsid w:val="00ED3E13"/>
    <w:rsid w:val="00ED6014"/>
    <w:rsid w:val="00ED64EE"/>
    <w:rsid w:val="00ED6A94"/>
    <w:rsid w:val="00EE0049"/>
    <w:rsid w:val="00EE01D0"/>
    <w:rsid w:val="00EE0E63"/>
    <w:rsid w:val="00EE10A5"/>
    <w:rsid w:val="00EE2AC6"/>
    <w:rsid w:val="00EE2EBF"/>
    <w:rsid w:val="00EE2EFE"/>
    <w:rsid w:val="00EE5274"/>
    <w:rsid w:val="00EE55CB"/>
    <w:rsid w:val="00EE6081"/>
    <w:rsid w:val="00EE62BE"/>
    <w:rsid w:val="00EE6375"/>
    <w:rsid w:val="00EE6A96"/>
    <w:rsid w:val="00EF05FD"/>
    <w:rsid w:val="00EF1219"/>
    <w:rsid w:val="00EF1B3B"/>
    <w:rsid w:val="00EF231F"/>
    <w:rsid w:val="00EF3C22"/>
    <w:rsid w:val="00EF4428"/>
    <w:rsid w:val="00EF4657"/>
    <w:rsid w:val="00EF4C37"/>
    <w:rsid w:val="00EF5378"/>
    <w:rsid w:val="00EF54AC"/>
    <w:rsid w:val="00EF59F0"/>
    <w:rsid w:val="00EF7795"/>
    <w:rsid w:val="00F007BC"/>
    <w:rsid w:val="00F008C6"/>
    <w:rsid w:val="00F0224B"/>
    <w:rsid w:val="00F033F2"/>
    <w:rsid w:val="00F045F2"/>
    <w:rsid w:val="00F051A2"/>
    <w:rsid w:val="00F05AF4"/>
    <w:rsid w:val="00F05C68"/>
    <w:rsid w:val="00F10B41"/>
    <w:rsid w:val="00F10CB6"/>
    <w:rsid w:val="00F10FAF"/>
    <w:rsid w:val="00F113B5"/>
    <w:rsid w:val="00F1154F"/>
    <w:rsid w:val="00F11C9D"/>
    <w:rsid w:val="00F11DDD"/>
    <w:rsid w:val="00F12106"/>
    <w:rsid w:val="00F13231"/>
    <w:rsid w:val="00F13692"/>
    <w:rsid w:val="00F14039"/>
    <w:rsid w:val="00F15101"/>
    <w:rsid w:val="00F15307"/>
    <w:rsid w:val="00F1585E"/>
    <w:rsid w:val="00F15AB4"/>
    <w:rsid w:val="00F15ED8"/>
    <w:rsid w:val="00F16046"/>
    <w:rsid w:val="00F164E6"/>
    <w:rsid w:val="00F16DC2"/>
    <w:rsid w:val="00F178C8"/>
    <w:rsid w:val="00F17B63"/>
    <w:rsid w:val="00F17BE2"/>
    <w:rsid w:val="00F20119"/>
    <w:rsid w:val="00F20B5D"/>
    <w:rsid w:val="00F21756"/>
    <w:rsid w:val="00F2296F"/>
    <w:rsid w:val="00F22DC4"/>
    <w:rsid w:val="00F24D45"/>
    <w:rsid w:val="00F252E5"/>
    <w:rsid w:val="00F26804"/>
    <w:rsid w:val="00F302DA"/>
    <w:rsid w:val="00F30CF8"/>
    <w:rsid w:val="00F31C17"/>
    <w:rsid w:val="00F34292"/>
    <w:rsid w:val="00F35F54"/>
    <w:rsid w:val="00F362B5"/>
    <w:rsid w:val="00F36A77"/>
    <w:rsid w:val="00F36B91"/>
    <w:rsid w:val="00F37A4F"/>
    <w:rsid w:val="00F40A99"/>
    <w:rsid w:val="00F41060"/>
    <w:rsid w:val="00F41B6E"/>
    <w:rsid w:val="00F42C2D"/>
    <w:rsid w:val="00F43857"/>
    <w:rsid w:val="00F4438B"/>
    <w:rsid w:val="00F45D12"/>
    <w:rsid w:val="00F46E21"/>
    <w:rsid w:val="00F4723C"/>
    <w:rsid w:val="00F47F3F"/>
    <w:rsid w:val="00F50D7A"/>
    <w:rsid w:val="00F520A9"/>
    <w:rsid w:val="00F52F66"/>
    <w:rsid w:val="00F53AA0"/>
    <w:rsid w:val="00F54B7A"/>
    <w:rsid w:val="00F5519F"/>
    <w:rsid w:val="00F56FBA"/>
    <w:rsid w:val="00F5716E"/>
    <w:rsid w:val="00F57471"/>
    <w:rsid w:val="00F57672"/>
    <w:rsid w:val="00F57978"/>
    <w:rsid w:val="00F608E2"/>
    <w:rsid w:val="00F612B1"/>
    <w:rsid w:val="00F61E95"/>
    <w:rsid w:val="00F625BF"/>
    <w:rsid w:val="00F63934"/>
    <w:rsid w:val="00F64DD5"/>
    <w:rsid w:val="00F64F8E"/>
    <w:rsid w:val="00F65ED9"/>
    <w:rsid w:val="00F7014A"/>
    <w:rsid w:val="00F7077E"/>
    <w:rsid w:val="00F715BA"/>
    <w:rsid w:val="00F71832"/>
    <w:rsid w:val="00F72CAC"/>
    <w:rsid w:val="00F750A2"/>
    <w:rsid w:val="00F76109"/>
    <w:rsid w:val="00F76B24"/>
    <w:rsid w:val="00F76B4C"/>
    <w:rsid w:val="00F7719C"/>
    <w:rsid w:val="00F777F3"/>
    <w:rsid w:val="00F80155"/>
    <w:rsid w:val="00F804F9"/>
    <w:rsid w:val="00F8118E"/>
    <w:rsid w:val="00F84C34"/>
    <w:rsid w:val="00F8609A"/>
    <w:rsid w:val="00F86B1B"/>
    <w:rsid w:val="00F86F70"/>
    <w:rsid w:val="00F873D2"/>
    <w:rsid w:val="00F8764E"/>
    <w:rsid w:val="00F877ED"/>
    <w:rsid w:val="00F878A5"/>
    <w:rsid w:val="00F90589"/>
    <w:rsid w:val="00F90A8F"/>
    <w:rsid w:val="00F91D2F"/>
    <w:rsid w:val="00F923DE"/>
    <w:rsid w:val="00F93298"/>
    <w:rsid w:val="00F9332C"/>
    <w:rsid w:val="00F95529"/>
    <w:rsid w:val="00F96CC1"/>
    <w:rsid w:val="00F977F7"/>
    <w:rsid w:val="00FA108E"/>
    <w:rsid w:val="00FA2F73"/>
    <w:rsid w:val="00FA3EB0"/>
    <w:rsid w:val="00FA49D9"/>
    <w:rsid w:val="00FA4A08"/>
    <w:rsid w:val="00FA4DB9"/>
    <w:rsid w:val="00FA59B4"/>
    <w:rsid w:val="00FA60BF"/>
    <w:rsid w:val="00FA67E6"/>
    <w:rsid w:val="00FA7BA6"/>
    <w:rsid w:val="00FA7D6D"/>
    <w:rsid w:val="00FB13C0"/>
    <w:rsid w:val="00FB1622"/>
    <w:rsid w:val="00FB204D"/>
    <w:rsid w:val="00FB25FB"/>
    <w:rsid w:val="00FB271D"/>
    <w:rsid w:val="00FB296E"/>
    <w:rsid w:val="00FB2AE1"/>
    <w:rsid w:val="00FB2B7C"/>
    <w:rsid w:val="00FB338B"/>
    <w:rsid w:val="00FB3528"/>
    <w:rsid w:val="00FB38AF"/>
    <w:rsid w:val="00FB4486"/>
    <w:rsid w:val="00FB4BAB"/>
    <w:rsid w:val="00FB4C7F"/>
    <w:rsid w:val="00FB4DFC"/>
    <w:rsid w:val="00FB4E8D"/>
    <w:rsid w:val="00FB6F40"/>
    <w:rsid w:val="00FB6FB1"/>
    <w:rsid w:val="00FB7CD5"/>
    <w:rsid w:val="00FC057E"/>
    <w:rsid w:val="00FC09B6"/>
    <w:rsid w:val="00FC1ED9"/>
    <w:rsid w:val="00FC23EF"/>
    <w:rsid w:val="00FC55B3"/>
    <w:rsid w:val="00FC5AEB"/>
    <w:rsid w:val="00FC692E"/>
    <w:rsid w:val="00FD00AF"/>
    <w:rsid w:val="00FD0635"/>
    <w:rsid w:val="00FD2604"/>
    <w:rsid w:val="00FD2728"/>
    <w:rsid w:val="00FD2A1B"/>
    <w:rsid w:val="00FD326B"/>
    <w:rsid w:val="00FD5416"/>
    <w:rsid w:val="00FD6FA6"/>
    <w:rsid w:val="00FD7CE2"/>
    <w:rsid w:val="00FE0090"/>
    <w:rsid w:val="00FE0490"/>
    <w:rsid w:val="00FE14CB"/>
    <w:rsid w:val="00FE21E3"/>
    <w:rsid w:val="00FE25D0"/>
    <w:rsid w:val="00FE3C8C"/>
    <w:rsid w:val="00FE585E"/>
    <w:rsid w:val="00FE5999"/>
    <w:rsid w:val="00FE5A74"/>
    <w:rsid w:val="00FE5F13"/>
    <w:rsid w:val="00FE6508"/>
    <w:rsid w:val="00FE6905"/>
    <w:rsid w:val="00FE7EE4"/>
    <w:rsid w:val="00FF13A4"/>
    <w:rsid w:val="00FF1496"/>
    <w:rsid w:val="00FF32A1"/>
    <w:rsid w:val="00FF37E9"/>
    <w:rsid w:val="00FF3FA1"/>
    <w:rsid w:val="00FF5D23"/>
    <w:rsid w:val="00FF615D"/>
    <w:rsid w:val="00FF64BA"/>
    <w:rsid w:val="00FF6511"/>
    <w:rsid w:val="00FF7475"/>
    <w:rsid w:val="00FF7D2B"/>
    <w:rsid w:val="01142EFC"/>
    <w:rsid w:val="013C054E"/>
    <w:rsid w:val="01A32DD9"/>
    <w:rsid w:val="01D80872"/>
    <w:rsid w:val="0277007C"/>
    <w:rsid w:val="028D5F69"/>
    <w:rsid w:val="02AA5B7D"/>
    <w:rsid w:val="02F26113"/>
    <w:rsid w:val="03AE5C78"/>
    <w:rsid w:val="04132AE5"/>
    <w:rsid w:val="0436735D"/>
    <w:rsid w:val="045B547B"/>
    <w:rsid w:val="048E122E"/>
    <w:rsid w:val="05645169"/>
    <w:rsid w:val="05860AA0"/>
    <w:rsid w:val="05B970E0"/>
    <w:rsid w:val="06311428"/>
    <w:rsid w:val="071A66E5"/>
    <w:rsid w:val="07344756"/>
    <w:rsid w:val="07E35A5B"/>
    <w:rsid w:val="08415635"/>
    <w:rsid w:val="08557DD7"/>
    <w:rsid w:val="087D3A94"/>
    <w:rsid w:val="08D10652"/>
    <w:rsid w:val="08E30040"/>
    <w:rsid w:val="092A35DB"/>
    <w:rsid w:val="097339DB"/>
    <w:rsid w:val="09E33020"/>
    <w:rsid w:val="0A9357F1"/>
    <w:rsid w:val="0B255B35"/>
    <w:rsid w:val="0C5124B3"/>
    <w:rsid w:val="0CDA4765"/>
    <w:rsid w:val="0D385B21"/>
    <w:rsid w:val="0E2E2851"/>
    <w:rsid w:val="0E547045"/>
    <w:rsid w:val="0F3747BA"/>
    <w:rsid w:val="0F5572C4"/>
    <w:rsid w:val="0F991E98"/>
    <w:rsid w:val="104A0632"/>
    <w:rsid w:val="113A4FCB"/>
    <w:rsid w:val="11EA0D70"/>
    <w:rsid w:val="1216530A"/>
    <w:rsid w:val="12C7072D"/>
    <w:rsid w:val="12F40645"/>
    <w:rsid w:val="132B2B4B"/>
    <w:rsid w:val="133B6A25"/>
    <w:rsid w:val="135C0C7A"/>
    <w:rsid w:val="1360648C"/>
    <w:rsid w:val="13CF7DD3"/>
    <w:rsid w:val="13F71F55"/>
    <w:rsid w:val="140E5EE8"/>
    <w:rsid w:val="146411B3"/>
    <w:rsid w:val="14770F16"/>
    <w:rsid w:val="14B46DF6"/>
    <w:rsid w:val="14D507B4"/>
    <w:rsid w:val="14F52FE5"/>
    <w:rsid w:val="15D942D4"/>
    <w:rsid w:val="182E2909"/>
    <w:rsid w:val="185C1FA2"/>
    <w:rsid w:val="18E960C0"/>
    <w:rsid w:val="19152275"/>
    <w:rsid w:val="19BD4967"/>
    <w:rsid w:val="19E04862"/>
    <w:rsid w:val="1A157447"/>
    <w:rsid w:val="1A8A1ABB"/>
    <w:rsid w:val="1A9567B5"/>
    <w:rsid w:val="1AEC20FA"/>
    <w:rsid w:val="1B307D77"/>
    <w:rsid w:val="1BC31CAE"/>
    <w:rsid w:val="1C0B28F8"/>
    <w:rsid w:val="1C5E345C"/>
    <w:rsid w:val="1C6B178C"/>
    <w:rsid w:val="1D4E2C02"/>
    <w:rsid w:val="1EEB72DF"/>
    <w:rsid w:val="1F2F00AB"/>
    <w:rsid w:val="1F821E85"/>
    <w:rsid w:val="1F9837C8"/>
    <w:rsid w:val="1FB42629"/>
    <w:rsid w:val="1FE1254C"/>
    <w:rsid w:val="206E3B8C"/>
    <w:rsid w:val="209755D6"/>
    <w:rsid w:val="20985D92"/>
    <w:rsid w:val="20BD6AE5"/>
    <w:rsid w:val="20F45535"/>
    <w:rsid w:val="210466A8"/>
    <w:rsid w:val="21167438"/>
    <w:rsid w:val="223F7B2D"/>
    <w:rsid w:val="22AF5CC8"/>
    <w:rsid w:val="23AE7D5A"/>
    <w:rsid w:val="23CF617A"/>
    <w:rsid w:val="23F33B5F"/>
    <w:rsid w:val="24085B1D"/>
    <w:rsid w:val="24196F3D"/>
    <w:rsid w:val="24757082"/>
    <w:rsid w:val="24CE594B"/>
    <w:rsid w:val="253669B8"/>
    <w:rsid w:val="267B74CC"/>
    <w:rsid w:val="269F111B"/>
    <w:rsid w:val="271E0FCD"/>
    <w:rsid w:val="27635E3D"/>
    <w:rsid w:val="28377893"/>
    <w:rsid w:val="28A112BE"/>
    <w:rsid w:val="29055E8C"/>
    <w:rsid w:val="2A195064"/>
    <w:rsid w:val="2AB772D9"/>
    <w:rsid w:val="2ADF3E44"/>
    <w:rsid w:val="2B6761B2"/>
    <w:rsid w:val="2BCA663C"/>
    <w:rsid w:val="2C0656DA"/>
    <w:rsid w:val="2CCE4485"/>
    <w:rsid w:val="2D132147"/>
    <w:rsid w:val="2D230A44"/>
    <w:rsid w:val="2D3C541C"/>
    <w:rsid w:val="2D8C2805"/>
    <w:rsid w:val="2E4616A6"/>
    <w:rsid w:val="2E544BF6"/>
    <w:rsid w:val="2E7035CF"/>
    <w:rsid w:val="2EB85A79"/>
    <w:rsid w:val="2EE30DF8"/>
    <w:rsid w:val="2F4957F8"/>
    <w:rsid w:val="2F4F4849"/>
    <w:rsid w:val="2F5B4105"/>
    <w:rsid w:val="304F1246"/>
    <w:rsid w:val="3092002F"/>
    <w:rsid w:val="30BD15E5"/>
    <w:rsid w:val="3121636C"/>
    <w:rsid w:val="31A252F1"/>
    <w:rsid w:val="31C50D87"/>
    <w:rsid w:val="31CF708E"/>
    <w:rsid w:val="31D57F7F"/>
    <w:rsid w:val="32033FC0"/>
    <w:rsid w:val="33034BA2"/>
    <w:rsid w:val="33351062"/>
    <w:rsid w:val="33917B72"/>
    <w:rsid w:val="33A27B38"/>
    <w:rsid w:val="357B753E"/>
    <w:rsid w:val="3595001D"/>
    <w:rsid w:val="35DE19DF"/>
    <w:rsid w:val="37340B1D"/>
    <w:rsid w:val="37F401F0"/>
    <w:rsid w:val="385A3AD0"/>
    <w:rsid w:val="38852A0E"/>
    <w:rsid w:val="38A17ABD"/>
    <w:rsid w:val="395104A1"/>
    <w:rsid w:val="3952515F"/>
    <w:rsid w:val="399C170E"/>
    <w:rsid w:val="39A22464"/>
    <w:rsid w:val="3A3232F3"/>
    <w:rsid w:val="3B13214F"/>
    <w:rsid w:val="3B1654FE"/>
    <w:rsid w:val="3B1F741D"/>
    <w:rsid w:val="3B383FAF"/>
    <w:rsid w:val="3B494567"/>
    <w:rsid w:val="3B6002E9"/>
    <w:rsid w:val="3BCE5DD9"/>
    <w:rsid w:val="3CDE5F64"/>
    <w:rsid w:val="3D561EA3"/>
    <w:rsid w:val="3E6D47F7"/>
    <w:rsid w:val="3E8D73B3"/>
    <w:rsid w:val="3F2F5AEC"/>
    <w:rsid w:val="3F654595"/>
    <w:rsid w:val="3F7C70EB"/>
    <w:rsid w:val="3FD7750C"/>
    <w:rsid w:val="3FEE3BE1"/>
    <w:rsid w:val="406008AF"/>
    <w:rsid w:val="413173AF"/>
    <w:rsid w:val="418D1537"/>
    <w:rsid w:val="425A48CF"/>
    <w:rsid w:val="42B75819"/>
    <w:rsid w:val="42DD0C8B"/>
    <w:rsid w:val="431B5BC3"/>
    <w:rsid w:val="44557097"/>
    <w:rsid w:val="447A1CE8"/>
    <w:rsid w:val="4490385E"/>
    <w:rsid w:val="44C324A0"/>
    <w:rsid w:val="45235D66"/>
    <w:rsid w:val="452A1BFE"/>
    <w:rsid w:val="454A3D0E"/>
    <w:rsid w:val="45753046"/>
    <w:rsid w:val="458B301B"/>
    <w:rsid w:val="45C0082E"/>
    <w:rsid w:val="4663281C"/>
    <w:rsid w:val="46876A05"/>
    <w:rsid w:val="46B5746E"/>
    <w:rsid w:val="473662BB"/>
    <w:rsid w:val="47956AD2"/>
    <w:rsid w:val="47C51174"/>
    <w:rsid w:val="484C560D"/>
    <w:rsid w:val="48CE7418"/>
    <w:rsid w:val="49906376"/>
    <w:rsid w:val="49A87D57"/>
    <w:rsid w:val="4A72211A"/>
    <w:rsid w:val="4AEA6060"/>
    <w:rsid w:val="4B3B30DB"/>
    <w:rsid w:val="4B421DA5"/>
    <w:rsid w:val="4C211F55"/>
    <w:rsid w:val="4CA14F0B"/>
    <w:rsid w:val="4D870D1C"/>
    <w:rsid w:val="4D893F5F"/>
    <w:rsid w:val="4DB62343"/>
    <w:rsid w:val="4E97682F"/>
    <w:rsid w:val="4ECC2C3D"/>
    <w:rsid w:val="4F6A50AB"/>
    <w:rsid w:val="4F811371"/>
    <w:rsid w:val="4FA727D4"/>
    <w:rsid w:val="503A5393"/>
    <w:rsid w:val="508D4A32"/>
    <w:rsid w:val="51A17809"/>
    <w:rsid w:val="532145E9"/>
    <w:rsid w:val="536A55BB"/>
    <w:rsid w:val="53F71F19"/>
    <w:rsid w:val="53F87AA7"/>
    <w:rsid w:val="543734F7"/>
    <w:rsid w:val="543C33D0"/>
    <w:rsid w:val="54E46620"/>
    <w:rsid w:val="5508216F"/>
    <w:rsid w:val="55747599"/>
    <w:rsid w:val="55CC0C1E"/>
    <w:rsid w:val="56BA41C9"/>
    <w:rsid w:val="56EC69C1"/>
    <w:rsid w:val="5867774F"/>
    <w:rsid w:val="598377BF"/>
    <w:rsid w:val="59AA17DC"/>
    <w:rsid w:val="59F83469"/>
    <w:rsid w:val="5A1610A0"/>
    <w:rsid w:val="5A4E2A6B"/>
    <w:rsid w:val="5A683F59"/>
    <w:rsid w:val="5B982DE4"/>
    <w:rsid w:val="5D27015D"/>
    <w:rsid w:val="5D5B5065"/>
    <w:rsid w:val="5DEC3724"/>
    <w:rsid w:val="5E1201FB"/>
    <w:rsid w:val="5EB80508"/>
    <w:rsid w:val="61066393"/>
    <w:rsid w:val="61092A40"/>
    <w:rsid w:val="619F6626"/>
    <w:rsid w:val="61BA27D8"/>
    <w:rsid w:val="61BE21CF"/>
    <w:rsid w:val="61D511F3"/>
    <w:rsid w:val="62700640"/>
    <w:rsid w:val="628559C8"/>
    <w:rsid w:val="62AB0152"/>
    <w:rsid w:val="62C63D9D"/>
    <w:rsid w:val="63FA7440"/>
    <w:rsid w:val="644C495D"/>
    <w:rsid w:val="64607667"/>
    <w:rsid w:val="64715C24"/>
    <w:rsid w:val="64961628"/>
    <w:rsid w:val="65224C04"/>
    <w:rsid w:val="65707FB6"/>
    <w:rsid w:val="65800B1A"/>
    <w:rsid w:val="65FA31A1"/>
    <w:rsid w:val="665C267F"/>
    <w:rsid w:val="66A05066"/>
    <w:rsid w:val="67B039EE"/>
    <w:rsid w:val="67F83836"/>
    <w:rsid w:val="6807463D"/>
    <w:rsid w:val="68377D06"/>
    <w:rsid w:val="68C46AF0"/>
    <w:rsid w:val="69DC778F"/>
    <w:rsid w:val="6C520652"/>
    <w:rsid w:val="6CD10439"/>
    <w:rsid w:val="6D45103B"/>
    <w:rsid w:val="6E5E52E6"/>
    <w:rsid w:val="6E7E3037"/>
    <w:rsid w:val="6EA53FDE"/>
    <w:rsid w:val="6F0C1E15"/>
    <w:rsid w:val="70650505"/>
    <w:rsid w:val="70651D96"/>
    <w:rsid w:val="70812704"/>
    <w:rsid w:val="70945ECB"/>
    <w:rsid w:val="715E23FC"/>
    <w:rsid w:val="71697A5B"/>
    <w:rsid w:val="719C3D56"/>
    <w:rsid w:val="721C7497"/>
    <w:rsid w:val="722F3441"/>
    <w:rsid w:val="72AE0BD2"/>
    <w:rsid w:val="73055389"/>
    <w:rsid w:val="732D5840"/>
    <w:rsid w:val="740F7653"/>
    <w:rsid w:val="748E78D8"/>
    <w:rsid w:val="74A93A94"/>
    <w:rsid w:val="753D175A"/>
    <w:rsid w:val="754C224F"/>
    <w:rsid w:val="759B2704"/>
    <w:rsid w:val="769C0F09"/>
    <w:rsid w:val="76D04E2A"/>
    <w:rsid w:val="77396964"/>
    <w:rsid w:val="77B454A0"/>
    <w:rsid w:val="77C600FB"/>
    <w:rsid w:val="77D6540E"/>
    <w:rsid w:val="7938366D"/>
    <w:rsid w:val="795E7C85"/>
    <w:rsid w:val="7968067D"/>
    <w:rsid w:val="79F85CF3"/>
    <w:rsid w:val="7B7A34C4"/>
    <w:rsid w:val="7BCC0CE6"/>
    <w:rsid w:val="7C3F770A"/>
    <w:rsid w:val="7C782CBB"/>
    <w:rsid w:val="7C8331C4"/>
    <w:rsid w:val="7D357AB4"/>
    <w:rsid w:val="7D6350C7"/>
    <w:rsid w:val="7D8B4F86"/>
    <w:rsid w:val="7DC31F48"/>
    <w:rsid w:val="7E133FBA"/>
    <w:rsid w:val="7E575AE3"/>
    <w:rsid w:val="7F186204"/>
    <w:rsid w:val="7F2104A6"/>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qFormat="1" w:unhideWhenUsed="0" w:uiPriority="0" w:semiHidden="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autoRedefine/>
    <w:qFormat/>
    <w:uiPriority w:val="0"/>
    <w:pPr>
      <w:keepNext/>
      <w:keepLines/>
      <w:spacing w:before="340" w:after="330" w:line="578" w:lineRule="auto"/>
      <w:outlineLvl w:val="0"/>
    </w:pPr>
    <w:rPr>
      <w:b/>
      <w:bCs/>
      <w:kern w:val="44"/>
      <w:sz w:val="44"/>
      <w:szCs w:val="44"/>
    </w:rPr>
  </w:style>
  <w:style w:type="paragraph" w:styleId="4">
    <w:name w:val="heading 2"/>
    <w:basedOn w:val="3"/>
    <w:next w:val="1"/>
    <w:link w:val="133"/>
    <w:autoRedefine/>
    <w:qFormat/>
    <w:uiPriority w:val="0"/>
    <w:pPr>
      <w:adjustRightInd w:val="0"/>
      <w:snapToGrid w:val="0"/>
      <w:spacing w:before="120" w:after="120" w:line="360" w:lineRule="auto"/>
      <w:jc w:val="center"/>
      <w:textAlignment w:val="baseline"/>
      <w:outlineLvl w:val="1"/>
    </w:pPr>
    <w:rPr>
      <w:rFonts w:ascii="仿宋_GB2312" w:eastAsia="仿宋_GB2312"/>
      <w:kern w:val="0"/>
      <w:sz w:val="36"/>
      <w:szCs w:val="20"/>
    </w:rPr>
  </w:style>
  <w:style w:type="paragraph" w:styleId="5">
    <w:name w:val="heading 3"/>
    <w:basedOn w:val="1"/>
    <w:next w:val="6"/>
    <w:link w:val="135"/>
    <w:autoRedefine/>
    <w:qFormat/>
    <w:uiPriority w:val="0"/>
    <w:pPr>
      <w:keepNext/>
      <w:keepLines/>
      <w:spacing w:before="260" w:after="260" w:line="360" w:lineRule="auto"/>
      <w:ind w:firstLine="602" w:firstLineChars="200"/>
      <w:outlineLvl w:val="2"/>
    </w:pPr>
    <w:rPr>
      <w:rFonts w:ascii="仿宋_GB2312" w:eastAsia="仿宋_GB2312"/>
      <w:b/>
      <w:bCs/>
      <w:sz w:val="30"/>
      <w:szCs w:val="20"/>
    </w:rPr>
  </w:style>
  <w:style w:type="paragraph" w:styleId="8">
    <w:name w:val="heading 4"/>
    <w:basedOn w:val="1"/>
    <w:next w:val="1"/>
    <w:link w:val="136"/>
    <w:autoRedefine/>
    <w:qFormat/>
    <w:uiPriority w:val="0"/>
    <w:pPr>
      <w:keepNext/>
      <w:keepLines/>
      <w:spacing w:before="280" w:after="290" w:line="376" w:lineRule="auto"/>
      <w:outlineLvl w:val="3"/>
    </w:pPr>
    <w:rPr>
      <w:rFonts w:ascii="Cambria" w:hAnsi="Cambria"/>
      <w:b/>
      <w:bCs/>
      <w:sz w:val="28"/>
      <w:szCs w:val="28"/>
    </w:rPr>
  </w:style>
  <w:style w:type="paragraph" w:styleId="9">
    <w:name w:val="heading 5"/>
    <w:basedOn w:val="1"/>
    <w:next w:val="1"/>
    <w:link w:val="137"/>
    <w:autoRedefine/>
    <w:qFormat/>
    <w:uiPriority w:val="0"/>
    <w:pPr>
      <w:keepNext/>
      <w:keepLines/>
      <w:spacing w:beforeLines="100" w:afterLines="100" w:line="360" w:lineRule="auto"/>
      <w:outlineLvl w:val="4"/>
    </w:pPr>
    <w:rPr>
      <w:b/>
      <w:bCs/>
      <w:sz w:val="28"/>
      <w:szCs w:val="28"/>
    </w:rPr>
  </w:style>
  <w:style w:type="paragraph" w:styleId="10">
    <w:name w:val="heading 6"/>
    <w:basedOn w:val="1"/>
    <w:next w:val="1"/>
    <w:link w:val="138"/>
    <w:autoRedefine/>
    <w:qFormat/>
    <w:uiPriority w:val="0"/>
    <w:pPr>
      <w:keepNext/>
      <w:keepLines/>
      <w:spacing w:beforeLines="100" w:afterLines="100" w:line="360" w:lineRule="auto"/>
      <w:outlineLvl w:val="5"/>
    </w:pPr>
    <w:rPr>
      <w:rFonts w:ascii="Cambria" w:hAnsi="Cambria"/>
      <w:b/>
      <w:bCs/>
      <w:sz w:val="24"/>
    </w:rPr>
  </w:style>
  <w:style w:type="paragraph" w:styleId="11">
    <w:name w:val="heading 7"/>
    <w:basedOn w:val="1"/>
    <w:next w:val="1"/>
    <w:link w:val="139"/>
    <w:autoRedefine/>
    <w:qFormat/>
    <w:uiPriority w:val="0"/>
    <w:pPr>
      <w:keepNext/>
      <w:keepLines/>
      <w:spacing w:beforeLines="100" w:afterLines="100" w:line="360" w:lineRule="auto"/>
      <w:outlineLvl w:val="6"/>
    </w:pPr>
    <w:rPr>
      <w:b/>
      <w:bCs/>
      <w:sz w:val="24"/>
    </w:rPr>
  </w:style>
  <w:style w:type="paragraph" w:styleId="12">
    <w:name w:val="heading 8"/>
    <w:basedOn w:val="1"/>
    <w:next w:val="1"/>
    <w:link w:val="140"/>
    <w:autoRedefine/>
    <w:qFormat/>
    <w:uiPriority w:val="0"/>
    <w:pPr>
      <w:keepNext/>
      <w:keepLines/>
      <w:spacing w:beforeLines="100" w:afterLines="100" w:line="360" w:lineRule="auto"/>
      <w:outlineLvl w:val="7"/>
    </w:pPr>
    <w:rPr>
      <w:rFonts w:ascii="Cambria" w:hAnsi="Cambria"/>
      <w:b/>
      <w:sz w:val="24"/>
    </w:rPr>
  </w:style>
  <w:style w:type="paragraph" w:styleId="13">
    <w:name w:val="heading 9"/>
    <w:basedOn w:val="1"/>
    <w:next w:val="1"/>
    <w:link w:val="141"/>
    <w:autoRedefine/>
    <w:qFormat/>
    <w:uiPriority w:val="0"/>
    <w:pPr>
      <w:keepNext/>
      <w:keepLines/>
      <w:spacing w:beforeLines="100" w:afterLines="100" w:line="360" w:lineRule="auto"/>
      <w:outlineLvl w:val="8"/>
    </w:pPr>
    <w:rPr>
      <w:rFonts w:ascii="Cambria" w:hAnsi="Cambria"/>
      <w:b/>
      <w:sz w:val="24"/>
      <w:szCs w:val="21"/>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Heading5"/>
    <w:basedOn w:val="1"/>
    <w:next w:val="1"/>
    <w:qFormat/>
    <w:uiPriority w:val="0"/>
    <w:pPr>
      <w:keepNext/>
      <w:keepLines/>
      <w:spacing w:after="120"/>
      <w:textAlignment w:val="baseline"/>
    </w:pPr>
    <w:rPr>
      <w:rFonts w:eastAsia="微软雅黑"/>
      <w:b/>
      <w:bCs/>
    </w:rPr>
  </w:style>
  <w:style w:type="paragraph" w:styleId="6">
    <w:name w:val="Normal Indent"/>
    <w:basedOn w:val="1"/>
    <w:next w:val="7"/>
    <w:link w:val="134"/>
    <w:autoRedefine/>
    <w:qFormat/>
    <w:uiPriority w:val="0"/>
    <w:pPr>
      <w:ind w:firstLine="420"/>
    </w:pPr>
    <w:rPr>
      <w:szCs w:val="20"/>
    </w:rPr>
  </w:style>
  <w:style w:type="paragraph" w:styleId="7">
    <w:name w:val="Body Text Indent"/>
    <w:basedOn w:val="1"/>
    <w:next w:val="6"/>
    <w:link w:val="147"/>
    <w:autoRedefine/>
    <w:qFormat/>
    <w:uiPriority w:val="0"/>
    <w:pPr>
      <w:spacing w:line="200" w:lineRule="exact"/>
      <w:ind w:firstLine="301"/>
    </w:pPr>
    <w:rPr>
      <w:rFonts w:ascii="宋体" w:hAnsi="Courier New"/>
      <w:spacing w:val="-4"/>
      <w:sz w:val="18"/>
      <w:szCs w:val="20"/>
    </w:rPr>
  </w:style>
  <w:style w:type="paragraph" w:styleId="14">
    <w:name w:val="toc 7"/>
    <w:basedOn w:val="1"/>
    <w:next w:val="1"/>
    <w:autoRedefine/>
    <w:unhideWhenUsed/>
    <w:qFormat/>
    <w:uiPriority w:val="39"/>
    <w:pPr>
      <w:ind w:left="2520" w:leftChars="1200"/>
    </w:pPr>
    <w:rPr>
      <w:rFonts w:ascii="Calibri" w:hAnsi="Calibri"/>
      <w:szCs w:val="22"/>
    </w:rPr>
  </w:style>
  <w:style w:type="paragraph" w:styleId="15">
    <w:name w:val="List Number"/>
    <w:basedOn w:val="1"/>
    <w:autoRedefine/>
    <w:qFormat/>
    <w:uiPriority w:val="0"/>
    <w:pPr>
      <w:widowControl/>
      <w:tabs>
        <w:tab w:val="left" w:pos="454"/>
        <w:tab w:val="left" w:pos="720"/>
      </w:tabs>
      <w:spacing w:afterLines="50"/>
      <w:ind w:left="720" w:hanging="720"/>
      <w:jc w:val="left"/>
    </w:pPr>
    <w:rPr>
      <w:kern w:val="0"/>
      <w:sz w:val="24"/>
      <w:szCs w:val="20"/>
    </w:rPr>
  </w:style>
  <w:style w:type="paragraph" w:styleId="16">
    <w:name w:val="caption"/>
    <w:basedOn w:val="1"/>
    <w:next w:val="1"/>
    <w:link w:val="142"/>
    <w:autoRedefine/>
    <w:qFormat/>
    <w:uiPriority w:val="0"/>
    <w:pPr>
      <w:spacing w:before="152" w:after="160"/>
    </w:pPr>
    <w:rPr>
      <w:rFonts w:ascii="Arial" w:hAnsi="Arial" w:eastAsia="黑体"/>
      <w:sz w:val="20"/>
      <w:szCs w:val="20"/>
    </w:rPr>
  </w:style>
  <w:style w:type="paragraph" w:styleId="17">
    <w:name w:val="Document Map"/>
    <w:basedOn w:val="1"/>
    <w:link w:val="143"/>
    <w:autoRedefine/>
    <w:qFormat/>
    <w:uiPriority w:val="0"/>
    <w:pPr>
      <w:shd w:val="clear" w:color="auto" w:fill="000080"/>
    </w:pPr>
  </w:style>
  <w:style w:type="paragraph" w:styleId="18">
    <w:name w:val="annotation text"/>
    <w:basedOn w:val="1"/>
    <w:link w:val="144"/>
    <w:autoRedefine/>
    <w:qFormat/>
    <w:uiPriority w:val="99"/>
    <w:pPr>
      <w:jc w:val="left"/>
    </w:pPr>
  </w:style>
  <w:style w:type="paragraph" w:styleId="19">
    <w:name w:val="Body Text 3"/>
    <w:basedOn w:val="1"/>
    <w:link w:val="145"/>
    <w:autoRedefine/>
    <w:qFormat/>
    <w:uiPriority w:val="0"/>
    <w:pPr>
      <w:spacing w:after="120"/>
    </w:pPr>
    <w:rPr>
      <w:sz w:val="16"/>
      <w:szCs w:val="16"/>
    </w:rPr>
  </w:style>
  <w:style w:type="paragraph" w:styleId="20">
    <w:name w:val="Body Text"/>
    <w:basedOn w:val="1"/>
    <w:link w:val="146"/>
    <w:autoRedefine/>
    <w:qFormat/>
    <w:uiPriority w:val="0"/>
    <w:pPr>
      <w:spacing w:after="120"/>
    </w:pPr>
  </w:style>
  <w:style w:type="paragraph" w:styleId="21">
    <w:name w:val="List Number 3"/>
    <w:basedOn w:val="1"/>
    <w:autoRedefine/>
    <w:qFormat/>
    <w:uiPriority w:val="0"/>
    <w:pPr>
      <w:tabs>
        <w:tab w:val="left" w:pos="1200"/>
      </w:tabs>
      <w:ind w:left="1200" w:hanging="360"/>
    </w:pPr>
  </w:style>
  <w:style w:type="paragraph" w:styleId="22">
    <w:name w:val="List 2"/>
    <w:basedOn w:val="1"/>
    <w:autoRedefine/>
    <w:qFormat/>
    <w:uiPriority w:val="0"/>
    <w:pPr>
      <w:ind w:left="566" w:hanging="283"/>
      <w:contextualSpacing/>
    </w:pPr>
  </w:style>
  <w:style w:type="paragraph" w:styleId="23">
    <w:name w:val="toc 5"/>
    <w:basedOn w:val="1"/>
    <w:next w:val="1"/>
    <w:autoRedefine/>
    <w:unhideWhenUsed/>
    <w:qFormat/>
    <w:uiPriority w:val="39"/>
    <w:pPr>
      <w:ind w:left="1680" w:leftChars="800"/>
    </w:pPr>
    <w:rPr>
      <w:rFonts w:ascii="Calibri" w:hAnsi="Calibri"/>
      <w:szCs w:val="22"/>
    </w:rPr>
  </w:style>
  <w:style w:type="paragraph" w:styleId="24">
    <w:name w:val="toc 3"/>
    <w:basedOn w:val="1"/>
    <w:next w:val="1"/>
    <w:autoRedefine/>
    <w:qFormat/>
    <w:uiPriority w:val="39"/>
    <w:pPr>
      <w:ind w:left="840" w:leftChars="400"/>
    </w:pPr>
  </w:style>
  <w:style w:type="paragraph" w:styleId="25">
    <w:name w:val="Plain Text"/>
    <w:basedOn w:val="1"/>
    <w:next w:val="26"/>
    <w:link w:val="148"/>
    <w:autoRedefine/>
    <w:qFormat/>
    <w:uiPriority w:val="99"/>
    <w:rPr>
      <w:rFonts w:ascii="宋体" w:hAnsi="Courier New"/>
      <w:szCs w:val="20"/>
    </w:rPr>
  </w:style>
  <w:style w:type="paragraph" w:styleId="26">
    <w:name w:val="toc 2"/>
    <w:basedOn w:val="1"/>
    <w:next w:val="1"/>
    <w:autoRedefine/>
    <w:qFormat/>
    <w:uiPriority w:val="39"/>
    <w:pPr>
      <w:ind w:left="420" w:leftChars="200"/>
    </w:pPr>
  </w:style>
  <w:style w:type="paragraph" w:styleId="27">
    <w:name w:val="toc 8"/>
    <w:basedOn w:val="1"/>
    <w:next w:val="1"/>
    <w:autoRedefine/>
    <w:unhideWhenUsed/>
    <w:qFormat/>
    <w:uiPriority w:val="39"/>
    <w:pPr>
      <w:ind w:left="2940" w:leftChars="1400"/>
    </w:pPr>
    <w:rPr>
      <w:rFonts w:ascii="Calibri" w:hAnsi="Calibri"/>
      <w:szCs w:val="22"/>
    </w:rPr>
  </w:style>
  <w:style w:type="paragraph" w:styleId="28">
    <w:name w:val="Date"/>
    <w:basedOn w:val="1"/>
    <w:next w:val="1"/>
    <w:link w:val="149"/>
    <w:autoRedefine/>
    <w:qFormat/>
    <w:uiPriority w:val="0"/>
    <w:pPr>
      <w:ind w:left="2500" w:leftChars="2500"/>
    </w:pPr>
    <w:rPr>
      <w:rFonts w:eastAsia="楷体_GB2312"/>
      <w:sz w:val="32"/>
      <w:szCs w:val="20"/>
    </w:rPr>
  </w:style>
  <w:style w:type="paragraph" w:styleId="29">
    <w:name w:val="Body Text Indent 2"/>
    <w:basedOn w:val="1"/>
    <w:link w:val="150"/>
    <w:autoRedefine/>
    <w:qFormat/>
    <w:uiPriority w:val="0"/>
    <w:pPr>
      <w:snapToGrid w:val="0"/>
      <w:ind w:firstLine="542" w:firstLineChars="225"/>
    </w:pPr>
    <w:rPr>
      <w:rFonts w:ascii="仿宋_GB2312" w:hAnsi="宋体"/>
      <w:b/>
      <w:bCs/>
      <w:color w:val="000000"/>
      <w:sz w:val="24"/>
    </w:rPr>
  </w:style>
  <w:style w:type="paragraph" w:styleId="30">
    <w:name w:val="Balloon Text"/>
    <w:basedOn w:val="1"/>
    <w:link w:val="151"/>
    <w:autoRedefine/>
    <w:qFormat/>
    <w:uiPriority w:val="0"/>
    <w:rPr>
      <w:sz w:val="18"/>
      <w:szCs w:val="18"/>
    </w:rPr>
  </w:style>
  <w:style w:type="paragraph" w:styleId="31">
    <w:name w:val="footer"/>
    <w:basedOn w:val="1"/>
    <w:link w:val="152"/>
    <w:autoRedefine/>
    <w:qFormat/>
    <w:uiPriority w:val="99"/>
    <w:pPr>
      <w:tabs>
        <w:tab w:val="center" w:pos="4153"/>
        <w:tab w:val="right" w:pos="8306"/>
      </w:tabs>
      <w:snapToGrid w:val="0"/>
      <w:jc w:val="left"/>
    </w:pPr>
    <w:rPr>
      <w:sz w:val="18"/>
      <w:szCs w:val="18"/>
    </w:rPr>
  </w:style>
  <w:style w:type="paragraph" w:styleId="32">
    <w:name w:val="header"/>
    <w:basedOn w:val="1"/>
    <w:link w:val="153"/>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style>
  <w:style w:type="paragraph" w:styleId="34">
    <w:name w:val="toc 4"/>
    <w:basedOn w:val="1"/>
    <w:next w:val="1"/>
    <w:autoRedefine/>
    <w:unhideWhenUsed/>
    <w:qFormat/>
    <w:uiPriority w:val="39"/>
    <w:pPr>
      <w:ind w:left="1260" w:leftChars="600"/>
    </w:pPr>
    <w:rPr>
      <w:rFonts w:ascii="Calibri" w:hAnsi="Calibri"/>
      <w:szCs w:val="22"/>
    </w:rPr>
  </w:style>
  <w:style w:type="paragraph" w:styleId="35">
    <w:name w:val="Subtitle"/>
    <w:basedOn w:val="1"/>
    <w:next w:val="1"/>
    <w:link w:val="154"/>
    <w:autoRedefine/>
    <w:qFormat/>
    <w:uiPriority w:val="0"/>
    <w:pPr>
      <w:spacing w:before="240" w:after="60" w:line="312" w:lineRule="auto"/>
      <w:jc w:val="center"/>
      <w:outlineLvl w:val="1"/>
    </w:pPr>
    <w:rPr>
      <w:rFonts w:ascii="Cambria" w:hAnsi="Cambria"/>
      <w:b/>
      <w:bCs/>
      <w:kern w:val="28"/>
      <w:sz w:val="32"/>
      <w:szCs w:val="32"/>
    </w:rPr>
  </w:style>
  <w:style w:type="paragraph" w:styleId="36">
    <w:name w:val="List"/>
    <w:basedOn w:val="1"/>
    <w:autoRedefine/>
    <w:qFormat/>
    <w:uiPriority w:val="0"/>
    <w:pPr>
      <w:ind w:left="283" w:hanging="283"/>
      <w:contextualSpacing/>
    </w:pPr>
  </w:style>
  <w:style w:type="paragraph" w:styleId="37">
    <w:name w:val="footnote text"/>
    <w:basedOn w:val="1"/>
    <w:link w:val="155"/>
    <w:autoRedefine/>
    <w:qFormat/>
    <w:uiPriority w:val="99"/>
    <w:pPr>
      <w:jc w:val="left"/>
    </w:pPr>
    <w:rPr>
      <w:kern w:val="1"/>
      <w:sz w:val="18"/>
      <w:szCs w:val="18"/>
    </w:rPr>
  </w:style>
  <w:style w:type="paragraph" w:styleId="38">
    <w:name w:val="toc 6"/>
    <w:basedOn w:val="1"/>
    <w:next w:val="1"/>
    <w:autoRedefine/>
    <w:unhideWhenUsed/>
    <w:qFormat/>
    <w:uiPriority w:val="39"/>
    <w:pPr>
      <w:ind w:left="2100" w:leftChars="1000"/>
    </w:pPr>
    <w:rPr>
      <w:rFonts w:ascii="Calibri" w:hAnsi="Calibri"/>
      <w:szCs w:val="22"/>
    </w:rPr>
  </w:style>
  <w:style w:type="paragraph" w:styleId="39">
    <w:name w:val="Body Text Indent 3"/>
    <w:basedOn w:val="1"/>
    <w:link w:val="156"/>
    <w:autoRedefine/>
    <w:qFormat/>
    <w:uiPriority w:val="0"/>
    <w:pPr>
      <w:snapToGrid w:val="0"/>
      <w:ind w:firstLine="480" w:firstLineChars="200"/>
      <w:jc w:val="left"/>
    </w:pPr>
    <w:rPr>
      <w:rFonts w:ascii="仿宋_GB2312" w:hAnsi="宋体" w:eastAsia="仿宋_GB2312"/>
      <w:color w:val="000000"/>
      <w:sz w:val="24"/>
    </w:rPr>
  </w:style>
  <w:style w:type="paragraph" w:styleId="40">
    <w:name w:val="toc 9"/>
    <w:basedOn w:val="1"/>
    <w:next w:val="1"/>
    <w:autoRedefine/>
    <w:unhideWhenUsed/>
    <w:qFormat/>
    <w:uiPriority w:val="39"/>
    <w:pPr>
      <w:ind w:left="3360" w:leftChars="1600"/>
    </w:pPr>
    <w:rPr>
      <w:rFonts w:ascii="Calibri" w:hAnsi="Calibri"/>
      <w:szCs w:val="22"/>
    </w:rPr>
  </w:style>
  <w:style w:type="paragraph" w:styleId="41">
    <w:name w:val="Body Text 2"/>
    <w:basedOn w:val="1"/>
    <w:link w:val="157"/>
    <w:autoRedefine/>
    <w:qFormat/>
    <w:uiPriority w:val="0"/>
    <w:pPr>
      <w:widowControl/>
      <w:snapToGrid w:val="0"/>
      <w:spacing w:before="50" w:afterLines="50" w:line="400" w:lineRule="exact"/>
      <w:jc w:val="left"/>
    </w:pPr>
    <w:rPr>
      <w:rFonts w:ascii="宋体" w:hAnsi="宋体"/>
      <w:color w:val="000000"/>
      <w:sz w:val="24"/>
    </w:rPr>
  </w:style>
  <w:style w:type="paragraph" w:styleId="42">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link w:val="158"/>
    <w:autoRedefine/>
    <w:qFormat/>
    <w:uiPriority w:val="0"/>
    <w:pPr>
      <w:widowControl/>
      <w:spacing w:before="100" w:beforeAutospacing="1" w:after="100" w:afterAutospacing="1"/>
      <w:jc w:val="left"/>
    </w:pPr>
    <w:rPr>
      <w:rFonts w:ascii="宋体" w:hAnsi="宋体"/>
      <w:kern w:val="0"/>
      <w:sz w:val="24"/>
    </w:rPr>
  </w:style>
  <w:style w:type="paragraph" w:styleId="44">
    <w:name w:val="Title"/>
    <w:basedOn w:val="1"/>
    <w:next w:val="1"/>
    <w:link w:val="159"/>
    <w:autoRedefine/>
    <w:qFormat/>
    <w:uiPriority w:val="0"/>
    <w:pPr>
      <w:spacing w:before="240" w:after="60"/>
      <w:jc w:val="center"/>
      <w:outlineLvl w:val="0"/>
    </w:pPr>
    <w:rPr>
      <w:rFonts w:ascii="Cambria" w:hAnsi="Cambria"/>
      <w:b/>
      <w:bCs/>
      <w:sz w:val="32"/>
      <w:szCs w:val="32"/>
    </w:rPr>
  </w:style>
  <w:style w:type="paragraph" w:styleId="45">
    <w:name w:val="annotation subject"/>
    <w:basedOn w:val="18"/>
    <w:next w:val="18"/>
    <w:link w:val="160"/>
    <w:autoRedefine/>
    <w:qFormat/>
    <w:uiPriority w:val="0"/>
    <w:rPr>
      <w:b/>
      <w:bCs/>
    </w:rPr>
  </w:style>
  <w:style w:type="paragraph" w:styleId="46">
    <w:name w:val="Body Text First Indent"/>
    <w:basedOn w:val="20"/>
    <w:link w:val="161"/>
    <w:autoRedefine/>
    <w:qFormat/>
    <w:uiPriority w:val="0"/>
    <w:pPr>
      <w:ind w:firstLine="420" w:firstLineChars="100"/>
    </w:pPr>
  </w:style>
  <w:style w:type="paragraph" w:styleId="47">
    <w:name w:val="Body Text First Indent 2"/>
    <w:basedOn w:val="7"/>
    <w:link w:val="162"/>
    <w:autoRedefine/>
    <w:unhideWhenUsed/>
    <w:qFormat/>
    <w:uiPriority w:val="0"/>
    <w:pPr>
      <w:spacing w:after="120" w:line="360" w:lineRule="auto"/>
      <w:ind w:left="420" w:leftChars="200" w:firstLine="420" w:firstLineChars="200"/>
    </w:pPr>
    <w:rPr>
      <w:sz w:val="24"/>
    </w:rPr>
  </w:style>
  <w:style w:type="table" w:styleId="49">
    <w:name w:val="Table Grid"/>
    <w:basedOn w:val="48"/>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50">
    <w:name w:val="Table Grid 8"/>
    <w:basedOn w:val="48"/>
    <w:autoRedefine/>
    <w:qFormat/>
    <w:uiPriority w:val="0"/>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character" w:styleId="52">
    <w:name w:val="Strong"/>
    <w:autoRedefine/>
    <w:qFormat/>
    <w:uiPriority w:val="22"/>
    <w:rPr>
      <w:b/>
      <w:bCs/>
    </w:rPr>
  </w:style>
  <w:style w:type="character" w:styleId="53">
    <w:name w:val="page number"/>
    <w:basedOn w:val="51"/>
    <w:autoRedefine/>
    <w:qFormat/>
    <w:uiPriority w:val="0"/>
  </w:style>
  <w:style w:type="character" w:styleId="54">
    <w:name w:val="FollowedHyperlink"/>
    <w:autoRedefine/>
    <w:qFormat/>
    <w:uiPriority w:val="99"/>
    <w:rPr>
      <w:color w:val="800080"/>
      <w:u w:val="single"/>
    </w:rPr>
  </w:style>
  <w:style w:type="character" w:styleId="55">
    <w:name w:val="Hyperlink"/>
    <w:autoRedefine/>
    <w:qFormat/>
    <w:uiPriority w:val="99"/>
    <w:rPr>
      <w:color w:val="0000FF"/>
      <w:u w:val="single"/>
    </w:rPr>
  </w:style>
  <w:style w:type="character" w:styleId="56">
    <w:name w:val="annotation reference"/>
    <w:basedOn w:val="51"/>
    <w:autoRedefine/>
    <w:qFormat/>
    <w:uiPriority w:val="0"/>
    <w:rPr>
      <w:sz w:val="21"/>
      <w:szCs w:val="21"/>
    </w:rPr>
  </w:style>
  <w:style w:type="character" w:styleId="57">
    <w:name w:val="footnote reference"/>
    <w:autoRedefine/>
    <w:qFormat/>
    <w:uiPriority w:val="0"/>
    <w:rPr>
      <w:position w:val="-2"/>
      <w:vertAlign w:val="superscript"/>
    </w:rPr>
  </w:style>
  <w:style w:type="paragraph" w:customStyle="1" w:styleId="58">
    <w:name w:val="正"/>
    <w:autoRedefine/>
    <w:qFormat/>
    <w:uiPriority w:val="0"/>
    <w:pPr>
      <w:widowControl w:val="0"/>
      <w:spacing w:line="360" w:lineRule="auto"/>
      <w:ind w:firstLine="480" w:firstLineChars="200"/>
      <w:contextualSpacing/>
      <w:jc w:val="both"/>
    </w:pPr>
    <w:rPr>
      <w:rFonts w:ascii="Times New Roman" w:hAnsi="Times New Roman" w:eastAsia="宋体" w:cs="Times New Roman"/>
      <w:sz w:val="24"/>
      <w:szCs w:val="24"/>
      <w:lang w:val="en-US" w:eastAsia="zh-CN" w:bidi="ar-SA"/>
    </w:rPr>
  </w:style>
  <w:style w:type="paragraph" w:customStyle="1" w:styleId="59">
    <w:name w:val="_Style 3"/>
    <w:autoRedefine/>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0">
    <w:name w:val="标准正文"/>
    <w:basedOn w:val="1"/>
    <w:autoRedefine/>
    <w:qFormat/>
    <w:uiPriority w:val="0"/>
    <w:pPr>
      <w:spacing w:line="360" w:lineRule="auto"/>
      <w:ind w:firstLine="200" w:firstLineChars="200"/>
    </w:pPr>
    <w:rPr>
      <w:sz w:val="24"/>
      <w:szCs w:val="20"/>
    </w:rPr>
  </w:style>
  <w:style w:type="paragraph" w:customStyle="1" w:styleId="61">
    <w:name w:val="纯文本2"/>
    <w:basedOn w:val="1"/>
    <w:link w:val="183"/>
    <w:autoRedefine/>
    <w:qFormat/>
    <w:uiPriority w:val="0"/>
    <w:pPr>
      <w:spacing w:afterLines="50"/>
    </w:pPr>
    <w:rPr>
      <w:rFonts w:ascii="宋体" w:hAnsi="Courier New"/>
      <w:kern w:val="0"/>
      <w:sz w:val="24"/>
    </w:rPr>
  </w:style>
  <w:style w:type="paragraph" w:customStyle="1" w:styleId="62">
    <w:name w:val="*正文"/>
    <w:basedOn w:val="1"/>
    <w:link w:val="186"/>
    <w:autoRedefine/>
    <w:qFormat/>
    <w:uiPriority w:val="99"/>
    <w:pPr>
      <w:spacing w:line="360" w:lineRule="auto"/>
      <w:ind w:firstLine="482"/>
    </w:pPr>
    <w:rPr>
      <w:rFonts w:ascii="宋体" w:hAnsi="宋体"/>
      <w:kern w:val="0"/>
      <w:sz w:val="24"/>
      <w:szCs w:val="20"/>
    </w:rPr>
  </w:style>
  <w:style w:type="paragraph" w:customStyle="1" w:styleId="63">
    <w:name w:val="列出段落1"/>
    <w:basedOn w:val="1"/>
    <w:link w:val="195"/>
    <w:autoRedefine/>
    <w:qFormat/>
    <w:uiPriority w:val="34"/>
    <w:pPr>
      <w:ind w:firstLine="420" w:firstLineChars="200"/>
    </w:pPr>
    <w:rPr>
      <w:szCs w:val="22"/>
    </w:rPr>
  </w:style>
  <w:style w:type="paragraph" w:customStyle="1" w:styleId="64">
    <w:name w:val="GW-正文"/>
    <w:link w:val="200"/>
    <w:autoRedefine/>
    <w:qFormat/>
    <w:uiPriority w:val="0"/>
    <w:pPr>
      <w:spacing w:line="300" w:lineRule="auto"/>
      <w:ind w:firstLine="200" w:firstLineChars="200"/>
    </w:pPr>
    <w:rPr>
      <w:rFonts w:ascii="Times New Roman" w:hAnsi="Times New Roman" w:eastAsia="仿宋_GB2312" w:cs="Times New Roman"/>
      <w:sz w:val="24"/>
      <w:szCs w:val="24"/>
      <w:lang w:val="en-US" w:eastAsia="zh-CN" w:bidi="ar-SA"/>
    </w:rPr>
  </w:style>
  <w:style w:type="paragraph" w:customStyle="1" w:styleId="65">
    <w:name w:val="TOC 标题1"/>
    <w:basedOn w:val="3"/>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6">
    <w:name w:val="表头文本"/>
    <w:autoRedefine/>
    <w:qFormat/>
    <w:uiPriority w:val="0"/>
    <w:pPr>
      <w:jc w:val="center"/>
    </w:pPr>
    <w:rPr>
      <w:rFonts w:ascii="Arial" w:hAnsi="Arial" w:eastAsia="宋体" w:cs="Times New Roman"/>
      <w:b/>
      <w:sz w:val="21"/>
      <w:szCs w:val="21"/>
      <w:lang w:val="en-US" w:eastAsia="zh-CN" w:bidi="ar-SA"/>
    </w:rPr>
  </w:style>
  <w:style w:type="paragraph" w:customStyle="1" w:styleId="67">
    <w:name w:val="节"/>
    <w:basedOn w:val="4"/>
    <w:autoRedefine/>
    <w:qFormat/>
    <w:uiPriority w:val="99"/>
    <w:pPr>
      <w:tabs>
        <w:tab w:val="left" w:pos="432"/>
        <w:tab w:val="left" w:pos="576"/>
      </w:tabs>
      <w:adjustRightInd/>
      <w:snapToGrid/>
      <w:spacing w:beforeLines="100" w:afterLines="100" w:line="240" w:lineRule="auto"/>
      <w:ind w:left="576" w:hanging="576"/>
      <w:jc w:val="both"/>
      <w:textAlignment w:val="auto"/>
    </w:pPr>
    <w:rPr>
      <w:rFonts w:ascii="黑体" w:hAnsi="Arial" w:eastAsia="黑体"/>
      <w:kern w:val="2"/>
      <w:sz w:val="28"/>
      <w:szCs w:val="28"/>
      <w:lang w:val="zh-CN"/>
    </w:rPr>
  </w:style>
  <w:style w:type="paragraph" w:customStyle="1" w:styleId="68">
    <w:name w:val="正文段"/>
    <w:basedOn w:val="1"/>
    <w:autoRedefine/>
    <w:qFormat/>
    <w:uiPriority w:val="0"/>
    <w:pPr>
      <w:widowControl/>
      <w:snapToGrid w:val="0"/>
      <w:spacing w:afterLines="50"/>
      <w:ind w:firstLine="200" w:firstLineChars="200"/>
    </w:pPr>
    <w:rPr>
      <w:kern w:val="0"/>
      <w:sz w:val="24"/>
      <w:szCs w:val="20"/>
    </w:rPr>
  </w:style>
  <w:style w:type="paragraph" w:customStyle="1" w:styleId="69">
    <w:name w:val="--规划正文"/>
    <w:basedOn w:val="1"/>
    <w:autoRedefine/>
    <w:qFormat/>
    <w:uiPriority w:val="0"/>
    <w:pPr>
      <w:widowControl/>
      <w:suppressAutoHyphens/>
      <w:spacing w:line="360" w:lineRule="auto"/>
      <w:ind w:firstLine="200"/>
      <w:jc w:val="left"/>
    </w:pPr>
    <w:rPr>
      <w:kern w:val="1"/>
      <w:szCs w:val="20"/>
      <w:lang w:eastAsia="ar-SA"/>
    </w:rPr>
  </w:style>
  <w:style w:type="paragraph" w:customStyle="1" w:styleId="70">
    <w:name w:val="Char Char Char Char Char Char Char"/>
    <w:basedOn w:val="1"/>
    <w:autoRedefine/>
    <w:qFormat/>
    <w:uiPriority w:val="0"/>
    <w:rPr>
      <w:szCs w:val="21"/>
    </w:rPr>
  </w:style>
  <w:style w:type="paragraph" w:customStyle="1" w:styleId="71">
    <w:name w:val="_Style 2"/>
    <w:basedOn w:val="1"/>
    <w:autoRedefine/>
    <w:qFormat/>
    <w:uiPriority w:val="0"/>
    <w:pPr>
      <w:adjustRightInd w:val="0"/>
      <w:snapToGrid w:val="0"/>
      <w:spacing w:line="360" w:lineRule="auto"/>
      <w:ind w:firstLine="200" w:firstLineChars="200"/>
      <w:jc w:val="center"/>
    </w:pPr>
    <w:rPr>
      <w:rFonts w:ascii="Calibri" w:hAnsi="Calibri" w:eastAsia="微软雅黑"/>
      <w:sz w:val="30"/>
    </w:rPr>
  </w:style>
  <w:style w:type="paragraph" w:customStyle="1" w:styleId="72">
    <w:name w:val="【正文】"/>
    <w:basedOn w:val="1"/>
    <w:autoRedefine/>
    <w:qFormat/>
    <w:uiPriority w:val="0"/>
    <w:pPr>
      <w:spacing w:beforeAutospacing="1" w:afterAutospacing="1" w:line="360" w:lineRule="auto"/>
      <w:ind w:firstLine="200" w:firstLineChars="200"/>
      <w:contextualSpacing/>
    </w:pPr>
    <w:rPr>
      <w:rFonts w:ascii="Calibri" w:hAnsi="Calibri" w:cs="黑体"/>
      <w:sz w:val="24"/>
      <w:szCs w:val="22"/>
    </w:rPr>
  </w:style>
  <w:style w:type="paragraph" w:customStyle="1" w:styleId="73">
    <w:name w:val="样式 正文1 + 段前: 0.1 行"/>
    <w:basedOn w:val="1"/>
    <w:autoRedefine/>
    <w:qFormat/>
    <w:uiPriority w:val="0"/>
    <w:pPr>
      <w:snapToGrid w:val="0"/>
      <w:spacing w:beforeLines="10" w:line="440" w:lineRule="atLeast"/>
      <w:ind w:firstLine="510"/>
    </w:pPr>
    <w:rPr>
      <w:sz w:val="24"/>
    </w:rPr>
  </w:style>
  <w:style w:type="paragraph" w:customStyle="1" w:styleId="74">
    <w:name w:val="图样式"/>
    <w:basedOn w:val="1"/>
    <w:autoRedefine/>
    <w:qFormat/>
    <w:uiPriority w:val="0"/>
    <w:pPr>
      <w:keepNext/>
      <w:widowControl/>
      <w:autoSpaceDE w:val="0"/>
      <w:autoSpaceDN w:val="0"/>
      <w:adjustRightInd w:val="0"/>
      <w:spacing w:before="80" w:after="80" w:line="360" w:lineRule="auto"/>
      <w:jc w:val="center"/>
    </w:pPr>
    <w:rPr>
      <w:snapToGrid w:val="0"/>
      <w:kern w:val="0"/>
      <w:sz w:val="24"/>
      <w:szCs w:val="21"/>
    </w:rPr>
  </w:style>
  <w:style w:type="paragraph" w:customStyle="1" w:styleId="75">
    <w:name w:val="正文2"/>
    <w:basedOn w:val="1"/>
    <w:link w:val="216"/>
    <w:autoRedefine/>
    <w:qFormat/>
    <w:uiPriority w:val="0"/>
    <w:pPr>
      <w:spacing w:before="156" w:line="360" w:lineRule="auto"/>
      <w:ind w:firstLine="510" w:firstLineChars="200"/>
    </w:pPr>
    <w:rPr>
      <w:sz w:val="24"/>
      <w:szCs w:val="20"/>
    </w:rPr>
  </w:style>
  <w:style w:type="paragraph" w:customStyle="1" w:styleId="76">
    <w:name w:val="列出段落111"/>
    <w:basedOn w:val="1"/>
    <w:link w:val="212"/>
    <w:autoRedefine/>
    <w:qFormat/>
    <w:uiPriority w:val="0"/>
    <w:pPr>
      <w:ind w:firstLine="420" w:firstLineChars="200"/>
    </w:pPr>
    <w:rPr>
      <w:szCs w:val="21"/>
    </w:rPr>
  </w:style>
  <w:style w:type="paragraph" w:customStyle="1" w:styleId="77">
    <w:name w:val="表格文本"/>
    <w:autoRedefine/>
    <w:qFormat/>
    <w:uiPriority w:val="0"/>
    <w:pPr>
      <w:tabs>
        <w:tab w:val="decimal" w:pos="0"/>
      </w:tabs>
    </w:pPr>
    <w:rPr>
      <w:rFonts w:ascii="Arial" w:hAnsi="Arial" w:eastAsia="宋体" w:cs="Times New Roman"/>
      <w:sz w:val="21"/>
      <w:szCs w:val="21"/>
      <w:lang w:val="en-US" w:eastAsia="zh-CN" w:bidi="ar-SA"/>
    </w:rPr>
  </w:style>
  <w:style w:type="paragraph" w:customStyle="1" w:styleId="78">
    <w:name w:val="正文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79">
    <w:name w:val="Char Char Char Char Char Char Char Char Char Char Char Char Char"/>
    <w:basedOn w:val="1"/>
    <w:autoRedefine/>
    <w:qFormat/>
    <w:uiPriority w:val="0"/>
    <w:pPr>
      <w:tabs>
        <w:tab w:val="left" w:pos="432"/>
      </w:tabs>
      <w:ind w:left="432" w:hanging="432"/>
    </w:pPr>
    <w:rPr>
      <w:rFonts w:ascii="Tahoma" w:hAnsi="Tahoma"/>
      <w:sz w:val="24"/>
      <w:szCs w:val="20"/>
    </w:rPr>
  </w:style>
  <w:style w:type="paragraph" w:customStyle="1" w:styleId="80">
    <w:name w:val="6级标题"/>
    <w:basedOn w:val="1"/>
    <w:autoRedefine/>
    <w:qFormat/>
    <w:uiPriority w:val="0"/>
    <w:pPr>
      <w:keepNext/>
      <w:spacing w:line="360" w:lineRule="auto"/>
      <w:ind w:left="1151" w:hanging="431"/>
      <w:jc w:val="center"/>
      <w:outlineLvl w:val="5"/>
    </w:pPr>
    <w:rPr>
      <w:rFonts w:ascii="黑体" w:hAnsi="宋体" w:eastAsia="微软雅黑"/>
      <w:b/>
      <w:bCs/>
      <w:sz w:val="24"/>
      <w:szCs w:val="52"/>
    </w:rPr>
  </w:style>
  <w:style w:type="paragraph" w:customStyle="1" w:styleId="81">
    <w:name w:val="f1"/>
    <w:basedOn w:val="1"/>
    <w:autoRedefine/>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82">
    <w:name w:val="_Style 58"/>
    <w:basedOn w:val="1"/>
    <w:next w:val="63"/>
    <w:autoRedefine/>
    <w:qFormat/>
    <w:uiPriority w:val="0"/>
    <w:pPr>
      <w:ind w:firstLine="420" w:firstLineChars="200"/>
    </w:pPr>
    <w:rPr>
      <w:rFonts w:ascii="Calibri" w:hAnsi="Calibri"/>
      <w:szCs w:val="22"/>
    </w:rPr>
  </w:style>
  <w:style w:type="paragraph" w:customStyle="1" w:styleId="83">
    <w:name w:val="Body text|1"/>
    <w:basedOn w:val="1"/>
    <w:autoRedefine/>
    <w:qFormat/>
    <w:uiPriority w:val="0"/>
    <w:pPr>
      <w:autoSpaceDE w:val="0"/>
      <w:autoSpaceDN w:val="0"/>
      <w:adjustRightInd w:val="0"/>
      <w:spacing w:after="200" w:line="314" w:lineRule="auto"/>
      <w:jc w:val="left"/>
    </w:pPr>
    <w:rPr>
      <w:rFonts w:ascii="MingLiU" w:hAnsi="MingLiU" w:eastAsia="MingLiU" w:cs="MingLiU"/>
      <w:snapToGrid w:val="0"/>
      <w:color w:val="000963"/>
      <w:kern w:val="0"/>
      <w:sz w:val="19"/>
      <w:szCs w:val="19"/>
      <w:lang w:val="zh-TW" w:eastAsia="zh-TW" w:bidi="zh-TW"/>
    </w:rPr>
  </w:style>
  <w:style w:type="paragraph" w:customStyle="1" w:styleId="84">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85">
    <w:name w:val="编写建议"/>
    <w:basedOn w:val="1"/>
    <w:autoRedefine/>
    <w:qFormat/>
    <w:uiPriority w:val="0"/>
    <w:pPr>
      <w:autoSpaceDE w:val="0"/>
      <w:autoSpaceDN w:val="0"/>
      <w:adjustRightInd w:val="0"/>
      <w:spacing w:line="360" w:lineRule="auto"/>
      <w:ind w:firstLine="420"/>
      <w:jc w:val="left"/>
    </w:pPr>
    <w:rPr>
      <w:rFonts w:ascii="Arial" w:hAnsi="Arial" w:cs="Arial"/>
      <w:i/>
      <w:snapToGrid w:val="0"/>
      <w:color w:val="0000FF"/>
      <w:kern w:val="0"/>
      <w:sz w:val="24"/>
      <w:szCs w:val="21"/>
    </w:rPr>
  </w:style>
  <w:style w:type="paragraph" w:customStyle="1" w:styleId="86">
    <w:name w:val="CM11"/>
    <w:basedOn w:val="87"/>
    <w:next w:val="87"/>
    <w:autoRedefine/>
    <w:unhideWhenUsed/>
    <w:qFormat/>
    <w:uiPriority w:val="99"/>
    <w:pPr>
      <w:spacing w:line="520" w:lineRule="atLeast"/>
    </w:pPr>
  </w:style>
  <w:style w:type="paragraph" w:customStyle="1" w:styleId="87">
    <w:name w:val="Default"/>
    <w:autoRedefine/>
    <w:unhideWhenUsed/>
    <w:qFormat/>
    <w:uiPriority w:val="0"/>
    <w:pPr>
      <w:widowControl w:val="0"/>
      <w:autoSpaceDE w:val="0"/>
      <w:autoSpaceDN w:val="0"/>
      <w:adjustRightInd w:val="0"/>
    </w:pPr>
    <w:rPr>
      <w:rFonts w:hint="eastAsia" w:ascii="仿宋" w:hAnsi="Times New Roman" w:eastAsia="仿宋" w:cs="Times New Roman"/>
      <w:color w:val="000000"/>
      <w:sz w:val="24"/>
      <w:lang w:val="en-US" w:eastAsia="zh-CN" w:bidi="ar-SA"/>
    </w:rPr>
  </w:style>
  <w:style w:type="paragraph" w:customStyle="1" w:styleId="88">
    <w:name w:val="正文11"/>
    <w:basedOn w:val="1"/>
    <w:next w:val="1"/>
    <w:autoRedefine/>
    <w:qFormat/>
    <w:uiPriority w:val="0"/>
    <w:pPr>
      <w:spacing w:before="120" w:line="360" w:lineRule="auto"/>
      <w:ind w:left="420" w:firstLine="527"/>
    </w:pPr>
    <w:rPr>
      <w:rFonts w:ascii="宋体" w:hAnsi="宋体"/>
    </w:rPr>
  </w:style>
  <w:style w:type="paragraph" w:customStyle="1" w:styleId="89">
    <w:name w:val="_Style 54"/>
    <w:basedOn w:val="1"/>
    <w:autoRedefine/>
    <w:qFormat/>
    <w:uiPriority w:val="0"/>
    <w:pPr>
      <w:adjustRightInd w:val="0"/>
      <w:snapToGrid w:val="0"/>
      <w:spacing w:line="360" w:lineRule="auto"/>
      <w:ind w:firstLine="420" w:firstLineChars="200"/>
    </w:pPr>
    <w:rPr>
      <w:rFonts w:ascii="Calibri" w:hAnsi="Calibri"/>
      <w:sz w:val="24"/>
    </w:rPr>
  </w:style>
  <w:style w:type="paragraph" w:customStyle="1" w:styleId="90">
    <w:name w:val="注示头"/>
    <w:basedOn w:val="1"/>
    <w:autoRedefine/>
    <w:qFormat/>
    <w:uiPriority w:val="0"/>
    <w:pPr>
      <w:pBdr>
        <w:top w:val="single" w:color="000000" w:sz="4" w:space="1"/>
      </w:pBdr>
      <w:autoSpaceDE w:val="0"/>
      <w:autoSpaceDN w:val="0"/>
      <w:adjustRightInd w:val="0"/>
      <w:spacing w:line="360" w:lineRule="auto"/>
    </w:pPr>
    <w:rPr>
      <w:rFonts w:ascii="Arial" w:hAnsi="Arial" w:eastAsia="黑体"/>
      <w:snapToGrid w:val="0"/>
      <w:kern w:val="0"/>
      <w:sz w:val="18"/>
      <w:szCs w:val="21"/>
    </w:rPr>
  </w:style>
  <w:style w:type="paragraph" w:customStyle="1" w:styleId="91">
    <w:name w:val="5级标题"/>
    <w:basedOn w:val="1"/>
    <w:autoRedefine/>
    <w:qFormat/>
    <w:uiPriority w:val="0"/>
    <w:pPr>
      <w:keepNext/>
      <w:ind w:left="148" w:leftChars="-52" w:right="-7" w:rightChars="-7" w:hanging="200" w:hangingChars="200"/>
      <w:jc w:val="left"/>
      <w:outlineLvl w:val="4"/>
    </w:pPr>
    <w:rPr>
      <w:rFonts w:ascii="宋体" w:hAnsi="宋体"/>
      <w:bCs/>
      <w:sz w:val="24"/>
      <w:szCs w:val="30"/>
    </w:rPr>
  </w:style>
  <w:style w:type="paragraph" w:customStyle="1" w:styleId="92">
    <w:name w:val="表内文字"/>
    <w:basedOn w:val="1"/>
    <w:autoRedefine/>
    <w:qFormat/>
    <w:uiPriority w:val="0"/>
    <w:pPr>
      <w:jc w:val="center"/>
    </w:pPr>
    <w:rPr>
      <w:rFonts w:ascii="仿宋_GB2312" w:eastAsia="仿宋_GB2312"/>
      <w:sz w:val="24"/>
    </w:rPr>
  </w:style>
  <w:style w:type="paragraph" w:customStyle="1" w:styleId="93">
    <w:name w:val="Char Char9 Char Char"/>
    <w:basedOn w:val="1"/>
    <w:autoRedefine/>
    <w:qFormat/>
    <w:uiPriority w:val="0"/>
    <w:pPr>
      <w:tabs>
        <w:tab w:val="left" w:pos="360"/>
      </w:tabs>
    </w:pPr>
  </w:style>
  <w:style w:type="paragraph" w:customStyle="1" w:styleId="94">
    <w:name w:val="纯文本11"/>
    <w:basedOn w:val="1"/>
    <w:autoRedefine/>
    <w:qFormat/>
    <w:uiPriority w:val="0"/>
    <w:pPr>
      <w:adjustRightInd w:val="0"/>
      <w:textAlignment w:val="baseline"/>
    </w:pPr>
    <w:rPr>
      <w:rFonts w:ascii="宋体" w:hAnsi="Courier New" w:eastAsia="楷体_GB2312"/>
      <w:sz w:val="26"/>
      <w:szCs w:val="20"/>
    </w:rPr>
  </w:style>
  <w:style w:type="paragraph" w:customStyle="1" w:styleId="95">
    <w:name w:val="正文（首行不缩进）"/>
    <w:basedOn w:val="1"/>
    <w:autoRedefine/>
    <w:qFormat/>
    <w:uiPriority w:val="0"/>
    <w:pPr>
      <w:autoSpaceDE w:val="0"/>
      <w:autoSpaceDN w:val="0"/>
      <w:adjustRightInd w:val="0"/>
      <w:spacing w:line="360" w:lineRule="auto"/>
      <w:jc w:val="left"/>
    </w:pPr>
    <w:rPr>
      <w:snapToGrid w:val="0"/>
      <w:kern w:val="0"/>
      <w:sz w:val="24"/>
      <w:szCs w:val="21"/>
    </w:rPr>
  </w:style>
  <w:style w:type="paragraph" w:customStyle="1" w:styleId="96">
    <w:name w:val="封面标题"/>
    <w:autoRedefine/>
    <w:qFormat/>
    <w:uiPriority w:val="0"/>
    <w:pPr>
      <w:spacing w:beforeLines="500" w:afterLines="300"/>
      <w:jc w:val="center"/>
    </w:pPr>
    <w:rPr>
      <w:rFonts w:ascii="Times New Roman" w:hAnsi="Times New Roman" w:eastAsia="黑体" w:cs="Times New Roman"/>
      <w:b/>
      <w:kern w:val="2"/>
      <w:sz w:val="52"/>
      <w:szCs w:val="22"/>
      <w:lang w:val="en-US" w:eastAsia="zh-CN" w:bidi="ar-SA"/>
    </w:rPr>
  </w:style>
  <w:style w:type="paragraph" w:customStyle="1" w:styleId="97">
    <w:name w:val="列出段落11"/>
    <w:basedOn w:val="1"/>
    <w:autoRedefine/>
    <w:qFormat/>
    <w:uiPriority w:val="0"/>
    <w:pPr>
      <w:ind w:firstLine="420" w:firstLineChars="200"/>
    </w:pPr>
    <w:rPr>
      <w:rFonts w:ascii="Calibri" w:hAnsi="Calibri"/>
      <w:szCs w:val="20"/>
    </w:rPr>
  </w:style>
  <w:style w:type="paragraph" w:customStyle="1" w:styleId="98">
    <w:name w:val="FBY-表格文字"/>
    <w:basedOn w:val="1"/>
    <w:autoRedefine/>
    <w:qFormat/>
    <w:uiPriority w:val="99"/>
    <w:pPr>
      <w:adjustRightInd w:val="0"/>
      <w:jc w:val="left"/>
      <w:textAlignment w:val="top"/>
    </w:pPr>
    <w:rPr>
      <w:szCs w:val="20"/>
    </w:rPr>
  </w:style>
  <w:style w:type="paragraph" w:customStyle="1" w:styleId="99">
    <w:name w:val="默认段落字体 Para Char Char Char Char Char Char Char Char Char1 Char Char Char Char"/>
    <w:basedOn w:val="1"/>
    <w:autoRedefine/>
    <w:qFormat/>
    <w:uiPriority w:val="0"/>
    <w:rPr>
      <w:rFonts w:ascii="Tahoma" w:hAnsi="Tahoma"/>
      <w:sz w:val="24"/>
      <w:szCs w:val="20"/>
    </w:rPr>
  </w:style>
  <w:style w:type="paragraph" w:customStyle="1" w:styleId="100">
    <w:name w:val="文档标题"/>
    <w:basedOn w:val="1"/>
    <w:autoRedefine/>
    <w:qFormat/>
    <w:uiPriority w:val="0"/>
    <w:pPr>
      <w:tabs>
        <w:tab w:val="left" w:pos="0"/>
      </w:tabs>
      <w:autoSpaceDE w:val="0"/>
      <w:autoSpaceDN w:val="0"/>
      <w:adjustRightInd w:val="0"/>
      <w:spacing w:before="300" w:after="300" w:line="360" w:lineRule="auto"/>
      <w:jc w:val="center"/>
    </w:pPr>
    <w:rPr>
      <w:rFonts w:ascii="Arial" w:hAnsi="Arial" w:eastAsia="黑体"/>
      <w:snapToGrid w:val="0"/>
      <w:kern w:val="0"/>
      <w:sz w:val="36"/>
      <w:szCs w:val="36"/>
    </w:rPr>
  </w:style>
  <w:style w:type="paragraph" w:customStyle="1" w:styleId="101">
    <w:name w:val="1 Char Char Char Char"/>
    <w:basedOn w:val="1"/>
    <w:autoRedefine/>
    <w:qFormat/>
    <w:uiPriority w:val="0"/>
    <w:rPr>
      <w:rFonts w:ascii="Tahoma" w:hAnsi="Tahoma"/>
      <w:sz w:val="24"/>
      <w:szCs w:val="20"/>
    </w:rPr>
  </w:style>
  <w:style w:type="paragraph" w:customStyle="1" w:styleId="102">
    <w:name w:val="默认段落字体 Para Char Char Char Char"/>
    <w:basedOn w:val="1"/>
    <w:autoRedefine/>
    <w:qFormat/>
    <w:uiPriority w:val="0"/>
    <w:rPr>
      <w:rFonts w:ascii="Arial" w:hAnsi="Arial" w:cs="Arial"/>
      <w:szCs w:val="21"/>
    </w:rPr>
  </w:style>
  <w:style w:type="paragraph" w:customStyle="1" w:styleId="103">
    <w:name w:val="注示文本"/>
    <w:basedOn w:val="1"/>
    <w:autoRedefine/>
    <w:qFormat/>
    <w:uiPriority w:val="0"/>
    <w:pPr>
      <w:pBdr>
        <w:bottom w:val="single" w:color="000000" w:sz="4" w:space="1"/>
      </w:pBdr>
      <w:autoSpaceDE w:val="0"/>
      <w:autoSpaceDN w:val="0"/>
      <w:adjustRightInd w:val="0"/>
      <w:spacing w:line="360" w:lineRule="auto"/>
      <w:ind w:firstLine="360"/>
    </w:pPr>
    <w:rPr>
      <w:rFonts w:ascii="Arial" w:hAnsi="Arial" w:eastAsia="楷体_GB2312"/>
      <w:snapToGrid w:val="0"/>
      <w:kern w:val="0"/>
      <w:sz w:val="18"/>
      <w:szCs w:val="18"/>
    </w:rPr>
  </w:style>
  <w:style w:type="paragraph" w:customStyle="1" w:styleId="104">
    <w:name w:val="插图题注"/>
    <w:next w:val="1"/>
    <w:autoRedefine/>
    <w:qFormat/>
    <w:uiPriority w:val="0"/>
    <w:pPr>
      <w:spacing w:afterLines="100"/>
      <w:ind w:left="1089" w:hanging="369"/>
      <w:jc w:val="center"/>
    </w:pPr>
    <w:rPr>
      <w:rFonts w:ascii="Arial" w:hAnsi="Arial" w:eastAsia="宋体" w:cs="Times New Roman"/>
      <w:sz w:val="18"/>
      <w:szCs w:val="18"/>
      <w:lang w:val="en-US" w:eastAsia="zh-CN" w:bidi="ar-SA"/>
    </w:rPr>
  </w:style>
  <w:style w:type="paragraph" w:customStyle="1" w:styleId="105">
    <w:name w:val="TOC 标题11"/>
    <w:basedOn w:val="3"/>
    <w:next w:val="1"/>
    <w:autoRedefine/>
    <w:unhideWhenUsed/>
    <w:qFormat/>
    <w:uiPriority w:val="39"/>
    <w:pPr>
      <w:widowControl/>
      <w:spacing w:beforeLines="100" w:afterLines="100" w:line="259" w:lineRule="auto"/>
      <w:jc w:val="left"/>
      <w:outlineLvl w:val="9"/>
    </w:pPr>
    <w:rPr>
      <w:rFonts w:ascii="Cambria" w:hAnsi="Cambria"/>
      <w:b w:val="0"/>
      <w:bCs w:val="0"/>
      <w:color w:val="365F91"/>
      <w:kern w:val="0"/>
      <w:sz w:val="32"/>
      <w:szCs w:val="32"/>
    </w:rPr>
  </w:style>
  <w:style w:type="paragraph" w:customStyle="1" w:styleId="106">
    <w:name w:val="表格题注"/>
    <w:next w:val="1"/>
    <w:autoRedefine/>
    <w:qFormat/>
    <w:uiPriority w:val="0"/>
    <w:pPr>
      <w:keepLines/>
      <w:spacing w:beforeLines="100"/>
      <w:ind w:left="1089" w:hanging="369"/>
      <w:jc w:val="center"/>
    </w:pPr>
    <w:rPr>
      <w:rFonts w:ascii="Arial" w:hAnsi="Arial" w:eastAsia="宋体" w:cs="Times New Roman"/>
      <w:sz w:val="18"/>
      <w:szCs w:val="18"/>
      <w:lang w:val="en-US" w:eastAsia="zh-CN" w:bidi="ar-SA"/>
    </w:rPr>
  </w:style>
  <w:style w:type="paragraph" w:customStyle="1" w:styleId="107">
    <w:name w:val="122222222"/>
    <w:basedOn w:val="6"/>
    <w:autoRedefine/>
    <w:qFormat/>
    <w:uiPriority w:val="0"/>
    <w:pPr>
      <w:autoSpaceDE w:val="0"/>
      <w:autoSpaceDN w:val="0"/>
      <w:adjustRightInd w:val="0"/>
      <w:spacing w:line="360" w:lineRule="auto"/>
      <w:ind w:firstLine="552" w:firstLineChars="197"/>
      <w:textAlignment w:val="baseline"/>
    </w:pPr>
    <w:rPr>
      <w:rFonts w:ascii="Calibri" w:hAnsi="Calibri"/>
      <w:color w:val="000000"/>
    </w:rPr>
  </w:style>
  <w:style w:type="paragraph" w:customStyle="1" w:styleId="108">
    <w:name w:val="无间隔1"/>
    <w:link w:val="207"/>
    <w:autoRedefine/>
    <w:qFormat/>
    <w:uiPriority w:val="1"/>
    <w:pPr>
      <w:widowControl w:val="0"/>
    </w:pPr>
    <w:rPr>
      <w:rFonts w:ascii="Times New Roman" w:hAnsi="Times New Roman" w:eastAsia="宋体" w:cs="Times New Roman"/>
      <w:kern w:val="2"/>
      <w:sz w:val="21"/>
      <w:szCs w:val="22"/>
      <w:lang w:val="en-US" w:eastAsia="zh-CN" w:bidi="ar-SA"/>
    </w:rPr>
  </w:style>
  <w:style w:type="paragraph" w:customStyle="1" w:styleId="109">
    <w:name w:val="表格文字"/>
    <w:basedOn w:val="1"/>
    <w:link w:val="208"/>
    <w:autoRedefine/>
    <w:qFormat/>
    <w:uiPriority w:val="0"/>
    <w:pPr>
      <w:jc w:val="left"/>
      <w:textAlignment w:val="top"/>
    </w:pPr>
    <w:rPr>
      <w:sz w:val="18"/>
    </w:rPr>
  </w:style>
  <w:style w:type="paragraph" w:customStyle="1" w:styleId="110">
    <w:name w:val="金保标题2"/>
    <w:basedOn w:val="4"/>
    <w:next w:val="1"/>
    <w:link w:val="210"/>
    <w:autoRedefine/>
    <w:qFormat/>
    <w:uiPriority w:val="0"/>
    <w:pPr>
      <w:tabs>
        <w:tab w:val="left" w:pos="709"/>
      </w:tabs>
      <w:adjustRightInd/>
      <w:snapToGrid/>
      <w:spacing w:before="240" w:after="0"/>
      <w:jc w:val="both"/>
      <w:textAlignment w:val="auto"/>
    </w:pPr>
    <w:rPr>
      <w:rFonts w:ascii="宋体" w:hAnsi="宋体" w:eastAsia="宋体"/>
      <w:sz w:val="24"/>
      <w:szCs w:val="24"/>
    </w:rPr>
  </w:style>
  <w:style w:type="paragraph" w:customStyle="1" w:styleId="111">
    <w:name w:val="修订1"/>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112">
    <w:name w:val="方案正文-样式 小四 行距: 1.5 倍行距"/>
    <w:basedOn w:val="1"/>
    <w:link w:val="213"/>
    <w:autoRedefine/>
    <w:qFormat/>
    <w:uiPriority w:val="0"/>
    <w:pPr>
      <w:spacing w:line="360" w:lineRule="auto"/>
      <w:ind w:firstLine="480" w:firstLineChars="200"/>
    </w:pPr>
    <w:rPr>
      <w:sz w:val="24"/>
      <w:szCs w:val="20"/>
    </w:rPr>
  </w:style>
  <w:style w:type="paragraph" w:customStyle="1" w:styleId="113">
    <w:name w:val="正文JK"/>
    <w:basedOn w:val="1"/>
    <w:link w:val="214"/>
    <w:autoRedefine/>
    <w:qFormat/>
    <w:uiPriority w:val="0"/>
    <w:pPr>
      <w:spacing w:line="360" w:lineRule="auto"/>
      <w:ind w:firstLine="200" w:firstLineChars="200"/>
    </w:pPr>
    <w:rPr>
      <w:rFonts w:ascii="Calibri" w:hAnsi="Calibri"/>
      <w:szCs w:val="21"/>
    </w:rPr>
  </w:style>
  <w:style w:type="paragraph" w:customStyle="1" w:styleId="114">
    <w:name w:val="投标书正文无序编号"/>
    <w:basedOn w:val="115"/>
    <w:link w:val="215"/>
    <w:autoRedefine/>
    <w:qFormat/>
    <w:uiPriority w:val="0"/>
    <w:pPr>
      <w:tabs>
        <w:tab w:val="left" w:pos="780"/>
        <w:tab w:val="left" w:pos="902"/>
      </w:tabs>
      <w:adjustRightInd w:val="0"/>
      <w:ind w:left="1282" w:firstLine="0" w:firstLineChars="0"/>
    </w:pPr>
    <w:rPr>
      <w:rFonts w:eastAsia="宋体"/>
    </w:rPr>
  </w:style>
  <w:style w:type="paragraph" w:customStyle="1" w:styleId="115">
    <w:name w:val="投标书正文"/>
    <w:link w:val="217"/>
    <w:autoRedefine/>
    <w:qFormat/>
    <w:uiPriority w:val="0"/>
    <w:pPr>
      <w:autoSpaceDE w:val="0"/>
      <w:spacing w:line="360" w:lineRule="auto"/>
      <w:ind w:firstLine="200" w:firstLineChars="200"/>
    </w:pPr>
    <w:rPr>
      <w:rFonts w:ascii="Times New Roman" w:hAnsi="Times New Roman" w:eastAsia="Times New Roman" w:cs="Times New Roman"/>
      <w:kern w:val="2"/>
      <w:sz w:val="24"/>
      <w:szCs w:val="24"/>
      <w:lang w:val="en-US" w:eastAsia="zh-CN" w:bidi="ar-SA"/>
    </w:rPr>
  </w:style>
  <w:style w:type="paragraph" w:customStyle="1" w:styleId="116">
    <w:name w:val="_Style 196"/>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p16"/>
    <w:basedOn w:val="1"/>
    <w:autoRedefine/>
    <w:qFormat/>
    <w:uiPriority w:val="0"/>
    <w:pPr>
      <w:widowControl/>
    </w:pPr>
    <w:rPr>
      <w:rFonts w:ascii="Calibri" w:hAnsi="Calibri"/>
      <w:kern w:val="0"/>
      <w:szCs w:val="21"/>
    </w:rPr>
  </w:style>
  <w:style w:type="paragraph" w:customStyle="1" w:styleId="118">
    <w:name w:val="z-窗体顶端1"/>
    <w:basedOn w:val="1"/>
    <w:next w:val="1"/>
    <w:link w:val="218"/>
    <w:autoRedefine/>
    <w:qFormat/>
    <w:uiPriority w:val="0"/>
    <w:pPr>
      <w:pBdr>
        <w:bottom w:val="single" w:color="auto" w:sz="6" w:space="1"/>
      </w:pBdr>
      <w:jc w:val="center"/>
    </w:pPr>
    <w:rPr>
      <w:rFonts w:ascii="Arial" w:hAnsi="Calibri"/>
      <w:vanish/>
      <w:sz w:val="16"/>
    </w:rPr>
  </w:style>
  <w:style w:type="paragraph" w:customStyle="1" w:styleId="119">
    <w:name w:val="Char"/>
    <w:basedOn w:val="1"/>
    <w:autoRedefine/>
    <w:qFormat/>
    <w:uiPriority w:val="0"/>
    <w:pPr>
      <w:tabs>
        <w:tab w:val="left" w:pos="360"/>
      </w:tabs>
    </w:pPr>
    <w:rPr>
      <w:rFonts w:ascii="Calibri" w:hAnsi="Calibri"/>
      <w:sz w:val="24"/>
    </w:rPr>
  </w:style>
  <w:style w:type="paragraph" w:customStyle="1" w:styleId="120">
    <w:name w:val="样式 标题 3 + 小三"/>
    <w:basedOn w:val="5"/>
    <w:next w:val="1"/>
    <w:autoRedefine/>
    <w:qFormat/>
    <w:uiPriority w:val="0"/>
    <w:pPr>
      <w:tabs>
        <w:tab w:val="left" w:pos="540"/>
      </w:tabs>
      <w:ind w:firstLine="0" w:firstLineChars="0"/>
    </w:pPr>
    <w:rPr>
      <w:rFonts w:ascii="宋体" w:hAnsi="宋体" w:eastAsia="宋体"/>
      <w:sz w:val="28"/>
      <w:szCs w:val="28"/>
    </w:rPr>
  </w:style>
  <w:style w:type="paragraph" w:customStyle="1" w:styleId="121">
    <w:name w:val="TOC 标题2"/>
    <w:basedOn w:val="3"/>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22">
    <w:name w:val="Char Char Char Char Char Char Char Char Char Char Char Char Char Char Char1 Char"/>
    <w:basedOn w:val="1"/>
    <w:autoRedefine/>
    <w:qFormat/>
    <w:uiPriority w:val="0"/>
    <w:rPr>
      <w:rFonts w:ascii="Calibri" w:hAnsi="Calibri"/>
      <w:sz w:val="28"/>
      <w:szCs w:val="20"/>
    </w:rPr>
  </w:style>
  <w:style w:type="paragraph" w:customStyle="1" w:styleId="123">
    <w:name w:val="p17"/>
    <w:basedOn w:val="1"/>
    <w:autoRedefine/>
    <w:qFormat/>
    <w:uiPriority w:val="0"/>
    <w:pPr>
      <w:widowControl/>
    </w:pPr>
    <w:rPr>
      <w:rFonts w:ascii="Calibri" w:hAnsi="Calibri"/>
      <w:kern w:val="0"/>
      <w:szCs w:val="21"/>
    </w:rPr>
  </w:style>
  <w:style w:type="paragraph" w:customStyle="1" w:styleId="124">
    <w:name w:val="无间隔111"/>
    <w:autoRedefine/>
    <w:qFormat/>
    <w:uiPriority w:val="0"/>
    <w:rPr>
      <w:rFonts w:ascii="Calibri" w:hAnsi="Calibri" w:eastAsia="??" w:cs="宋体"/>
      <w:sz w:val="22"/>
      <w:szCs w:val="22"/>
      <w:lang w:val="en-US" w:eastAsia="en-US" w:bidi="ar-SA"/>
    </w:rPr>
  </w:style>
  <w:style w:type="paragraph" w:customStyle="1" w:styleId="125">
    <w:name w:val="z-窗体底端1"/>
    <w:basedOn w:val="1"/>
    <w:next w:val="1"/>
    <w:link w:val="219"/>
    <w:autoRedefine/>
    <w:qFormat/>
    <w:uiPriority w:val="0"/>
    <w:pPr>
      <w:pBdr>
        <w:top w:val="single" w:color="auto" w:sz="6" w:space="1"/>
      </w:pBdr>
      <w:jc w:val="center"/>
    </w:pPr>
    <w:rPr>
      <w:rFonts w:ascii="Arial" w:hAnsi="Calibri"/>
      <w:vanish/>
      <w:sz w:val="16"/>
    </w:rPr>
  </w:style>
  <w:style w:type="paragraph" w:customStyle="1" w:styleId="126">
    <w:name w:val="无间隔11"/>
    <w:autoRedefine/>
    <w:qFormat/>
    <w:uiPriority w:val="0"/>
    <w:rPr>
      <w:rFonts w:ascii="Calibri" w:hAnsi="Calibri" w:eastAsia="宋体" w:cs="Times New Roman"/>
      <w:sz w:val="22"/>
      <w:szCs w:val="22"/>
      <w:lang w:val="en-US" w:eastAsia="en-US" w:bidi="ar-SA"/>
    </w:rPr>
  </w:style>
  <w:style w:type="paragraph" w:customStyle="1" w:styleId="127">
    <w:name w:val="TableTitle"/>
    <w:basedOn w:val="20"/>
    <w:autoRedefine/>
    <w:qFormat/>
    <w:uiPriority w:val="0"/>
    <w:pPr>
      <w:keepNext/>
      <w:widowControl/>
      <w:tabs>
        <w:tab w:val="left" w:pos="2558"/>
      </w:tabs>
      <w:spacing w:before="120"/>
      <w:jc w:val="center"/>
    </w:pPr>
    <w:rPr>
      <w:rFonts w:ascii="Calibri" w:hAnsi="Calibri"/>
      <w:b/>
      <w:kern w:val="0"/>
      <w:sz w:val="24"/>
      <w:szCs w:val="20"/>
    </w:rPr>
  </w:style>
  <w:style w:type="paragraph" w:customStyle="1" w:styleId="128">
    <w:name w:val="ParaAttribute6"/>
    <w:autoRedefine/>
    <w:qFormat/>
    <w:uiPriority w:val="0"/>
    <w:pPr>
      <w:wordWrap w:val="0"/>
      <w:ind w:firstLine="941"/>
    </w:pPr>
    <w:rPr>
      <w:rFonts w:ascii="Calibri" w:hAnsi="Calibri" w:eastAsia="Batang" w:cs="Times New Roman"/>
      <w:sz w:val="21"/>
      <w:szCs w:val="22"/>
      <w:lang w:val="en-US" w:eastAsia="zh-CN" w:bidi="ar-SA"/>
    </w:rPr>
  </w:style>
  <w:style w:type="paragraph" w:customStyle="1" w:styleId="129">
    <w:name w:val="条款正文"/>
    <w:basedOn w:val="1"/>
    <w:autoRedefine/>
    <w:qFormat/>
    <w:uiPriority w:val="0"/>
    <w:pPr>
      <w:adjustRightInd w:val="0"/>
      <w:snapToGrid w:val="0"/>
      <w:spacing w:line="360" w:lineRule="auto"/>
      <w:jc w:val="left"/>
    </w:pPr>
    <w:rPr>
      <w:sz w:val="28"/>
    </w:rPr>
  </w:style>
  <w:style w:type="paragraph" w:customStyle="1" w:styleId="130">
    <w:name w:val="列出段落2"/>
    <w:basedOn w:val="1"/>
    <w:autoRedefine/>
    <w:qFormat/>
    <w:uiPriority w:val="99"/>
    <w:pPr>
      <w:ind w:firstLine="420" w:firstLineChars="200"/>
    </w:pPr>
  </w:style>
  <w:style w:type="paragraph" w:customStyle="1" w:styleId="131">
    <w:name w:val="正文_1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2">
    <w:name w:val="标题 1 Char"/>
    <w:link w:val="3"/>
    <w:autoRedefine/>
    <w:qFormat/>
    <w:uiPriority w:val="0"/>
    <w:rPr>
      <w:b/>
      <w:bCs/>
      <w:kern w:val="44"/>
      <w:sz w:val="44"/>
      <w:szCs w:val="44"/>
    </w:rPr>
  </w:style>
  <w:style w:type="character" w:customStyle="1" w:styleId="133">
    <w:name w:val="标题 2 Char"/>
    <w:link w:val="4"/>
    <w:autoRedefine/>
    <w:qFormat/>
    <w:uiPriority w:val="9"/>
    <w:rPr>
      <w:rFonts w:ascii="仿宋_GB2312" w:eastAsia="仿宋_GB2312"/>
      <w:b/>
      <w:sz w:val="36"/>
    </w:rPr>
  </w:style>
  <w:style w:type="character" w:customStyle="1" w:styleId="134">
    <w:name w:val="正文缩进 Char"/>
    <w:link w:val="6"/>
    <w:autoRedefine/>
    <w:qFormat/>
    <w:uiPriority w:val="0"/>
    <w:rPr>
      <w:kern w:val="2"/>
      <w:sz w:val="21"/>
    </w:rPr>
  </w:style>
  <w:style w:type="character" w:customStyle="1" w:styleId="135">
    <w:name w:val="标题 3 Char"/>
    <w:link w:val="5"/>
    <w:autoRedefine/>
    <w:qFormat/>
    <w:uiPriority w:val="0"/>
    <w:rPr>
      <w:rFonts w:ascii="仿宋_GB2312" w:eastAsia="仿宋_GB2312"/>
      <w:b/>
      <w:bCs/>
      <w:kern w:val="2"/>
      <w:sz w:val="30"/>
    </w:rPr>
  </w:style>
  <w:style w:type="character" w:customStyle="1" w:styleId="136">
    <w:name w:val="标题 4 Char"/>
    <w:link w:val="8"/>
    <w:autoRedefine/>
    <w:qFormat/>
    <w:uiPriority w:val="0"/>
    <w:rPr>
      <w:rFonts w:ascii="Cambria" w:hAnsi="Cambria" w:eastAsia="宋体" w:cs="Times New Roman"/>
      <w:b/>
      <w:bCs/>
      <w:kern w:val="2"/>
      <w:sz w:val="28"/>
      <w:szCs w:val="28"/>
    </w:rPr>
  </w:style>
  <w:style w:type="character" w:customStyle="1" w:styleId="137">
    <w:name w:val="标题 5 Char"/>
    <w:link w:val="9"/>
    <w:autoRedefine/>
    <w:qFormat/>
    <w:uiPriority w:val="0"/>
    <w:rPr>
      <w:rFonts w:eastAsia="宋体"/>
      <w:b/>
      <w:bCs/>
      <w:kern w:val="2"/>
      <w:sz w:val="28"/>
      <w:szCs w:val="28"/>
    </w:rPr>
  </w:style>
  <w:style w:type="character" w:customStyle="1" w:styleId="138">
    <w:name w:val="标题 6 Char"/>
    <w:link w:val="10"/>
    <w:autoRedefine/>
    <w:qFormat/>
    <w:uiPriority w:val="0"/>
    <w:rPr>
      <w:rFonts w:ascii="Cambria" w:hAnsi="Cambria" w:eastAsia="宋体" w:cs="Times New Roman"/>
      <w:b/>
      <w:bCs/>
      <w:kern w:val="2"/>
      <w:sz w:val="24"/>
      <w:szCs w:val="24"/>
    </w:rPr>
  </w:style>
  <w:style w:type="character" w:customStyle="1" w:styleId="139">
    <w:name w:val="标题 7 Char"/>
    <w:link w:val="11"/>
    <w:autoRedefine/>
    <w:qFormat/>
    <w:uiPriority w:val="0"/>
    <w:rPr>
      <w:rFonts w:eastAsia="宋体"/>
      <w:b/>
      <w:bCs/>
      <w:kern w:val="2"/>
      <w:sz w:val="24"/>
      <w:szCs w:val="24"/>
    </w:rPr>
  </w:style>
  <w:style w:type="character" w:customStyle="1" w:styleId="140">
    <w:name w:val="标题 8 Char"/>
    <w:link w:val="12"/>
    <w:autoRedefine/>
    <w:qFormat/>
    <w:uiPriority w:val="0"/>
    <w:rPr>
      <w:rFonts w:ascii="Cambria" w:hAnsi="Cambria" w:eastAsia="宋体" w:cs="Times New Roman"/>
      <w:b/>
      <w:kern w:val="2"/>
      <w:sz w:val="24"/>
      <w:szCs w:val="24"/>
    </w:rPr>
  </w:style>
  <w:style w:type="character" w:customStyle="1" w:styleId="141">
    <w:name w:val="标题 9 Char"/>
    <w:link w:val="13"/>
    <w:autoRedefine/>
    <w:qFormat/>
    <w:uiPriority w:val="0"/>
    <w:rPr>
      <w:rFonts w:ascii="Cambria" w:hAnsi="Cambria" w:eastAsia="宋体" w:cs="Times New Roman"/>
      <w:b/>
      <w:kern w:val="2"/>
      <w:sz w:val="24"/>
      <w:szCs w:val="21"/>
    </w:rPr>
  </w:style>
  <w:style w:type="character" w:customStyle="1" w:styleId="142">
    <w:name w:val="题注 Char"/>
    <w:link w:val="16"/>
    <w:autoRedefine/>
    <w:qFormat/>
    <w:locked/>
    <w:uiPriority w:val="0"/>
    <w:rPr>
      <w:rFonts w:ascii="Arial" w:hAnsi="Arial" w:eastAsia="黑体" w:cs="Arial"/>
      <w:kern w:val="2"/>
    </w:rPr>
  </w:style>
  <w:style w:type="character" w:customStyle="1" w:styleId="143">
    <w:name w:val="文档结构图 Char"/>
    <w:link w:val="17"/>
    <w:autoRedefine/>
    <w:qFormat/>
    <w:uiPriority w:val="0"/>
    <w:rPr>
      <w:kern w:val="2"/>
      <w:sz w:val="21"/>
      <w:szCs w:val="24"/>
      <w:shd w:val="clear" w:color="auto" w:fill="000080"/>
    </w:rPr>
  </w:style>
  <w:style w:type="character" w:customStyle="1" w:styleId="144">
    <w:name w:val="批注文字 Char1"/>
    <w:link w:val="18"/>
    <w:autoRedefine/>
    <w:qFormat/>
    <w:uiPriority w:val="0"/>
    <w:rPr>
      <w:kern w:val="2"/>
      <w:sz w:val="21"/>
      <w:szCs w:val="24"/>
    </w:rPr>
  </w:style>
  <w:style w:type="character" w:customStyle="1" w:styleId="145">
    <w:name w:val="正文文本 3 Char"/>
    <w:link w:val="19"/>
    <w:autoRedefine/>
    <w:qFormat/>
    <w:uiPriority w:val="0"/>
    <w:rPr>
      <w:kern w:val="2"/>
      <w:sz w:val="16"/>
      <w:szCs w:val="16"/>
    </w:rPr>
  </w:style>
  <w:style w:type="character" w:customStyle="1" w:styleId="146">
    <w:name w:val="正文文本 Char"/>
    <w:link w:val="20"/>
    <w:autoRedefine/>
    <w:qFormat/>
    <w:uiPriority w:val="0"/>
    <w:rPr>
      <w:kern w:val="2"/>
      <w:sz w:val="21"/>
      <w:szCs w:val="24"/>
    </w:rPr>
  </w:style>
  <w:style w:type="character" w:customStyle="1" w:styleId="147">
    <w:name w:val="正文文本缩进 Char"/>
    <w:link w:val="7"/>
    <w:autoRedefine/>
    <w:qFormat/>
    <w:uiPriority w:val="0"/>
    <w:rPr>
      <w:rFonts w:ascii="宋体" w:hAnsi="Courier New"/>
      <w:spacing w:val="-4"/>
      <w:kern w:val="2"/>
      <w:sz w:val="18"/>
    </w:rPr>
  </w:style>
  <w:style w:type="character" w:customStyle="1" w:styleId="148">
    <w:name w:val="纯文本 Char"/>
    <w:link w:val="25"/>
    <w:autoRedefine/>
    <w:qFormat/>
    <w:uiPriority w:val="0"/>
    <w:rPr>
      <w:rFonts w:ascii="宋体" w:hAnsi="Courier New"/>
      <w:kern w:val="2"/>
      <w:sz w:val="21"/>
    </w:rPr>
  </w:style>
  <w:style w:type="character" w:customStyle="1" w:styleId="149">
    <w:name w:val="日期 Char"/>
    <w:link w:val="28"/>
    <w:autoRedefine/>
    <w:qFormat/>
    <w:uiPriority w:val="0"/>
    <w:rPr>
      <w:rFonts w:eastAsia="楷体_GB2312"/>
      <w:kern w:val="2"/>
      <w:sz w:val="32"/>
    </w:rPr>
  </w:style>
  <w:style w:type="character" w:customStyle="1" w:styleId="150">
    <w:name w:val="正文文本缩进 2 Char"/>
    <w:link w:val="29"/>
    <w:autoRedefine/>
    <w:qFormat/>
    <w:uiPriority w:val="0"/>
    <w:rPr>
      <w:rFonts w:ascii="仿宋_GB2312" w:hAnsi="宋体" w:cs="Arial"/>
      <w:b/>
      <w:bCs/>
      <w:color w:val="000000"/>
      <w:kern w:val="2"/>
      <w:sz w:val="24"/>
      <w:szCs w:val="24"/>
    </w:rPr>
  </w:style>
  <w:style w:type="character" w:customStyle="1" w:styleId="151">
    <w:name w:val="批注框文本 Char"/>
    <w:link w:val="30"/>
    <w:autoRedefine/>
    <w:qFormat/>
    <w:uiPriority w:val="0"/>
    <w:rPr>
      <w:kern w:val="2"/>
      <w:sz w:val="18"/>
      <w:szCs w:val="18"/>
    </w:rPr>
  </w:style>
  <w:style w:type="character" w:customStyle="1" w:styleId="152">
    <w:name w:val="页脚 Char"/>
    <w:link w:val="31"/>
    <w:autoRedefine/>
    <w:qFormat/>
    <w:locked/>
    <w:uiPriority w:val="99"/>
    <w:rPr>
      <w:kern w:val="2"/>
      <w:sz w:val="18"/>
      <w:szCs w:val="18"/>
    </w:rPr>
  </w:style>
  <w:style w:type="character" w:customStyle="1" w:styleId="153">
    <w:name w:val="页眉 Char"/>
    <w:link w:val="32"/>
    <w:autoRedefine/>
    <w:qFormat/>
    <w:uiPriority w:val="0"/>
    <w:rPr>
      <w:rFonts w:eastAsia="宋体"/>
      <w:kern w:val="2"/>
      <w:sz w:val="18"/>
      <w:szCs w:val="18"/>
      <w:lang w:val="en-US" w:eastAsia="zh-CN" w:bidi="ar-SA"/>
    </w:rPr>
  </w:style>
  <w:style w:type="character" w:customStyle="1" w:styleId="154">
    <w:name w:val="副标题 Char"/>
    <w:link w:val="35"/>
    <w:autoRedefine/>
    <w:qFormat/>
    <w:uiPriority w:val="0"/>
    <w:rPr>
      <w:rFonts w:ascii="Cambria" w:hAnsi="Cambria"/>
      <w:b/>
      <w:bCs/>
      <w:kern w:val="28"/>
      <w:sz w:val="32"/>
      <w:szCs w:val="32"/>
    </w:rPr>
  </w:style>
  <w:style w:type="character" w:customStyle="1" w:styleId="155">
    <w:name w:val="脚注文本 Char"/>
    <w:basedOn w:val="51"/>
    <w:link w:val="37"/>
    <w:autoRedefine/>
    <w:qFormat/>
    <w:uiPriority w:val="99"/>
    <w:rPr>
      <w:kern w:val="1"/>
      <w:sz w:val="18"/>
      <w:szCs w:val="18"/>
    </w:rPr>
  </w:style>
  <w:style w:type="character" w:customStyle="1" w:styleId="156">
    <w:name w:val="正文文本缩进 3 Char"/>
    <w:link w:val="39"/>
    <w:autoRedefine/>
    <w:qFormat/>
    <w:uiPriority w:val="0"/>
    <w:rPr>
      <w:rFonts w:ascii="仿宋_GB2312" w:hAnsi="宋体" w:eastAsia="仿宋_GB2312"/>
      <w:color w:val="000000"/>
      <w:kern w:val="2"/>
      <w:sz w:val="24"/>
      <w:szCs w:val="24"/>
    </w:rPr>
  </w:style>
  <w:style w:type="character" w:customStyle="1" w:styleId="157">
    <w:name w:val="正文文本 2 Char"/>
    <w:link w:val="41"/>
    <w:autoRedefine/>
    <w:qFormat/>
    <w:uiPriority w:val="0"/>
    <w:rPr>
      <w:rFonts w:ascii="宋体" w:hAnsi="宋体"/>
      <w:color w:val="000000"/>
      <w:kern w:val="2"/>
      <w:sz w:val="24"/>
      <w:szCs w:val="24"/>
    </w:rPr>
  </w:style>
  <w:style w:type="character" w:customStyle="1" w:styleId="158">
    <w:name w:val="普通(网站) Char"/>
    <w:link w:val="43"/>
    <w:autoRedefine/>
    <w:qFormat/>
    <w:locked/>
    <w:uiPriority w:val="0"/>
    <w:rPr>
      <w:rFonts w:ascii="宋体" w:hAnsi="宋体" w:cs="宋体"/>
      <w:sz w:val="24"/>
      <w:szCs w:val="24"/>
    </w:rPr>
  </w:style>
  <w:style w:type="character" w:customStyle="1" w:styleId="159">
    <w:name w:val="标题 Char"/>
    <w:link w:val="44"/>
    <w:autoRedefine/>
    <w:qFormat/>
    <w:uiPriority w:val="0"/>
    <w:rPr>
      <w:rFonts w:ascii="Cambria" w:hAnsi="Cambria"/>
      <w:b/>
      <w:bCs/>
      <w:kern w:val="2"/>
      <w:sz w:val="32"/>
      <w:szCs w:val="32"/>
    </w:rPr>
  </w:style>
  <w:style w:type="character" w:customStyle="1" w:styleId="160">
    <w:name w:val="批注主题 Char"/>
    <w:link w:val="45"/>
    <w:autoRedefine/>
    <w:qFormat/>
    <w:uiPriority w:val="0"/>
    <w:rPr>
      <w:b/>
      <w:bCs/>
      <w:kern w:val="2"/>
      <w:sz w:val="21"/>
      <w:szCs w:val="24"/>
    </w:rPr>
  </w:style>
  <w:style w:type="character" w:customStyle="1" w:styleId="161">
    <w:name w:val="正文首行缩进 Char"/>
    <w:basedOn w:val="146"/>
    <w:link w:val="46"/>
    <w:autoRedefine/>
    <w:qFormat/>
    <w:uiPriority w:val="0"/>
    <w:rPr>
      <w:kern w:val="2"/>
      <w:sz w:val="21"/>
      <w:szCs w:val="24"/>
    </w:rPr>
  </w:style>
  <w:style w:type="character" w:customStyle="1" w:styleId="162">
    <w:name w:val="正文首行缩进 2 Char"/>
    <w:link w:val="47"/>
    <w:autoRedefine/>
    <w:qFormat/>
    <w:uiPriority w:val="0"/>
    <w:rPr>
      <w:rFonts w:ascii="宋体" w:hAnsi="Courier New"/>
      <w:spacing w:val="-4"/>
      <w:kern w:val="2"/>
      <w:sz w:val="24"/>
    </w:rPr>
  </w:style>
  <w:style w:type="character" w:customStyle="1" w:styleId="163">
    <w:name w:val="页眉 Char1"/>
    <w:autoRedefine/>
    <w:qFormat/>
    <w:uiPriority w:val="0"/>
    <w:rPr>
      <w:kern w:val="2"/>
      <w:sz w:val="18"/>
      <w:szCs w:val="18"/>
    </w:rPr>
  </w:style>
  <w:style w:type="character" w:customStyle="1" w:styleId="164">
    <w:name w:val="hover"/>
    <w:autoRedefine/>
    <w:qFormat/>
    <w:uiPriority w:val="0"/>
    <w:rPr>
      <w:color w:val="4178BE"/>
    </w:rPr>
  </w:style>
  <w:style w:type="character" w:customStyle="1" w:styleId="165">
    <w:name w:val="页眉 字符1"/>
    <w:autoRedefine/>
    <w:qFormat/>
    <w:uiPriority w:val="99"/>
    <w:rPr>
      <w:rFonts w:eastAsia="宋体"/>
      <w:sz w:val="18"/>
      <w:szCs w:val="18"/>
    </w:rPr>
  </w:style>
  <w:style w:type="character" w:customStyle="1" w:styleId="166">
    <w:name w:val="font111"/>
    <w:autoRedefine/>
    <w:qFormat/>
    <w:uiPriority w:val="0"/>
    <w:rPr>
      <w:rFonts w:ascii="宋体" w:hAnsi="宋体" w:eastAsia="宋体" w:cs="宋体"/>
      <w:color w:val="FF0000"/>
      <w:sz w:val="18"/>
      <w:szCs w:val="18"/>
      <w:u w:val="none"/>
    </w:rPr>
  </w:style>
  <w:style w:type="character" w:customStyle="1" w:styleId="167">
    <w:name w:val="页脚 字符1"/>
    <w:autoRedefine/>
    <w:qFormat/>
    <w:locked/>
    <w:uiPriority w:val="99"/>
    <w:rPr>
      <w:sz w:val="18"/>
      <w:szCs w:val="18"/>
    </w:rPr>
  </w:style>
  <w:style w:type="character" w:customStyle="1" w:styleId="168">
    <w:name w:val="font21"/>
    <w:autoRedefine/>
    <w:qFormat/>
    <w:uiPriority w:val="0"/>
    <w:rPr>
      <w:rFonts w:hint="eastAsia" w:ascii="微软雅黑" w:hAnsi="微软雅黑" w:eastAsia="微软雅黑" w:cs="微软雅黑"/>
      <w:color w:val="000000"/>
      <w:sz w:val="18"/>
      <w:szCs w:val="18"/>
      <w:u w:val="none"/>
    </w:rPr>
  </w:style>
  <w:style w:type="character" w:customStyle="1" w:styleId="169">
    <w:name w:val="样式一"/>
    <w:autoRedefine/>
    <w:qFormat/>
    <w:uiPriority w:val="0"/>
    <w:rPr>
      <w:rFonts w:ascii="宋体" w:hAnsi="宋体"/>
      <w:b/>
      <w:bCs/>
      <w:color w:val="000000"/>
      <w:sz w:val="36"/>
    </w:rPr>
  </w:style>
  <w:style w:type="character" w:customStyle="1" w:styleId="170">
    <w:name w:val="optnmoresets"/>
    <w:autoRedefine/>
    <w:qFormat/>
    <w:uiPriority w:val="0"/>
    <w:rPr>
      <w:color w:val="5596E6"/>
    </w:rPr>
  </w:style>
  <w:style w:type="character" w:customStyle="1" w:styleId="171">
    <w:name w:val="ca-92"/>
    <w:basedOn w:val="51"/>
    <w:autoRedefine/>
    <w:qFormat/>
    <w:uiPriority w:val="0"/>
  </w:style>
  <w:style w:type="character" w:customStyle="1" w:styleId="172">
    <w:name w:val="font91"/>
    <w:autoRedefine/>
    <w:qFormat/>
    <w:uiPriority w:val="0"/>
    <w:rPr>
      <w:rFonts w:ascii="宋体" w:hAnsi="宋体" w:eastAsia="宋体" w:cs="宋体"/>
      <w:color w:val="auto"/>
      <w:sz w:val="18"/>
      <w:szCs w:val="18"/>
      <w:u w:val="none"/>
    </w:rPr>
  </w:style>
  <w:style w:type="character" w:customStyle="1" w:styleId="173">
    <w:name w:val="纯文本 Char3"/>
    <w:autoRedefine/>
    <w:qFormat/>
    <w:uiPriority w:val="0"/>
    <w:rPr>
      <w:rFonts w:ascii="宋体" w:hAnsi="Courier New" w:eastAsia="宋体"/>
      <w:kern w:val="2"/>
      <w:sz w:val="24"/>
      <w:szCs w:val="24"/>
      <w:lang w:val="en-US" w:eastAsia="zh-CN" w:bidi="ar-SA"/>
    </w:rPr>
  </w:style>
  <w:style w:type="character" w:customStyle="1" w:styleId="174">
    <w:name w:val="列出段落 Char1"/>
    <w:autoRedefine/>
    <w:qFormat/>
    <w:uiPriority w:val="34"/>
    <w:rPr>
      <w:sz w:val="24"/>
    </w:rPr>
  </w:style>
  <w:style w:type="character" w:customStyle="1" w:styleId="175">
    <w:name w:val="标题字符1"/>
    <w:autoRedefine/>
    <w:qFormat/>
    <w:uiPriority w:val="0"/>
    <w:rPr>
      <w:rFonts w:ascii="Cambria" w:hAnsi="Cambria" w:cs="Times New Roman"/>
      <w:b/>
      <w:bCs/>
      <w:snapToGrid w:val="0"/>
      <w:sz w:val="32"/>
      <w:szCs w:val="32"/>
    </w:rPr>
  </w:style>
  <w:style w:type="character" w:customStyle="1" w:styleId="176">
    <w:name w:val="sub"/>
    <w:basedOn w:val="51"/>
    <w:autoRedefine/>
    <w:qFormat/>
    <w:uiPriority w:val="0"/>
  </w:style>
  <w:style w:type="character" w:customStyle="1" w:styleId="177">
    <w:name w:val="lotusbtndisabled2"/>
    <w:basedOn w:val="51"/>
    <w:autoRedefine/>
    <w:qFormat/>
    <w:uiPriority w:val="0"/>
  </w:style>
  <w:style w:type="character" w:customStyle="1" w:styleId="178">
    <w:name w:val="列出段落 Char"/>
    <w:autoRedefine/>
    <w:qFormat/>
    <w:uiPriority w:val="34"/>
    <w:rPr>
      <w:kern w:val="2"/>
      <w:sz w:val="21"/>
      <w:szCs w:val="22"/>
    </w:rPr>
  </w:style>
  <w:style w:type="character" w:customStyle="1" w:styleId="179">
    <w:name w:val="dijitarrowbuttoninner"/>
    <w:autoRedefine/>
    <w:qFormat/>
    <w:uiPriority w:val="0"/>
    <w:rPr>
      <w:vanish/>
    </w:rPr>
  </w:style>
  <w:style w:type="character" w:customStyle="1" w:styleId="180">
    <w:name w:val="hover21"/>
    <w:autoRedefine/>
    <w:qFormat/>
    <w:uiPriority w:val="0"/>
    <w:rPr>
      <w:color w:val="4178BE"/>
    </w:rPr>
  </w:style>
  <w:style w:type="character" w:customStyle="1" w:styleId="181">
    <w:name w:val="普通文字 Char Char2"/>
    <w:autoRedefine/>
    <w:qFormat/>
    <w:uiPriority w:val="0"/>
    <w:rPr>
      <w:rFonts w:ascii="宋体" w:hAnsi="Courier New" w:eastAsia="宋体"/>
      <w:kern w:val="2"/>
      <w:sz w:val="24"/>
      <w:szCs w:val="24"/>
      <w:lang w:val="en-US" w:eastAsia="zh-CN" w:bidi="ar-SA"/>
    </w:rPr>
  </w:style>
  <w:style w:type="character" w:customStyle="1" w:styleId="182">
    <w:name w:val="font11"/>
    <w:autoRedefine/>
    <w:qFormat/>
    <w:uiPriority w:val="0"/>
    <w:rPr>
      <w:rFonts w:hint="eastAsia" w:ascii="微软雅黑" w:hAnsi="微软雅黑" w:eastAsia="微软雅黑" w:cs="微软雅黑"/>
      <w:color w:val="FF0000"/>
      <w:sz w:val="18"/>
      <w:szCs w:val="18"/>
      <w:u w:val="none"/>
    </w:rPr>
  </w:style>
  <w:style w:type="character" w:customStyle="1" w:styleId="183">
    <w:name w:val="纯文本 Char1"/>
    <w:link w:val="61"/>
    <w:autoRedefine/>
    <w:qFormat/>
    <w:uiPriority w:val="99"/>
    <w:rPr>
      <w:rFonts w:ascii="宋体" w:hAnsi="Courier New" w:eastAsia="宋体" w:cs="Times New Roman"/>
      <w:sz w:val="24"/>
      <w:szCs w:val="24"/>
    </w:rPr>
  </w:style>
  <w:style w:type="character" w:customStyle="1" w:styleId="184">
    <w:name w:val="lotusalttext10"/>
    <w:basedOn w:val="51"/>
    <w:autoRedefine/>
    <w:qFormat/>
    <w:uiPriority w:val="0"/>
  </w:style>
  <w:style w:type="character" w:customStyle="1" w:styleId="185">
    <w:name w:val="纯文本 字符"/>
    <w:autoRedefine/>
    <w:qFormat/>
    <w:uiPriority w:val="0"/>
    <w:rPr>
      <w:rFonts w:ascii="宋体" w:hAnsi="Courier New" w:eastAsia="宋体" w:cs="Courier New"/>
      <w:kern w:val="2"/>
      <w:sz w:val="21"/>
      <w:szCs w:val="24"/>
    </w:rPr>
  </w:style>
  <w:style w:type="character" w:customStyle="1" w:styleId="186">
    <w:name w:val="*正文 Char"/>
    <w:link w:val="62"/>
    <w:autoRedefine/>
    <w:qFormat/>
    <w:uiPriority w:val="99"/>
    <w:rPr>
      <w:rFonts w:ascii="宋体" w:hAnsi="宋体"/>
      <w:sz w:val="24"/>
    </w:rPr>
  </w:style>
  <w:style w:type="character" w:customStyle="1" w:styleId="187">
    <w:name w:val="before"/>
    <w:basedOn w:val="51"/>
    <w:autoRedefine/>
    <w:qFormat/>
    <w:uiPriority w:val="0"/>
  </w:style>
  <w:style w:type="character" w:customStyle="1" w:styleId="188">
    <w:name w:val="font101"/>
    <w:autoRedefine/>
    <w:qFormat/>
    <w:uiPriority w:val="0"/>
    <w:rPr>
      <w:rFonts w:ascii="Times New Roman" w:hAnsi="Times New Roman" w:cs="Times New Roman"/>
      <w:color w:val="auto"/>
      <w:sz w:val="24"/>
      <w:szCs w:val="24"/>
      <w:u w:val="none"/>
    </w:rPr>
  </w:style>
  <w:style w:type="character" w:customStyle="1" w:styleId="189">
    <w:name w:val="font81"/>
    <w:autoRedefine/>
    <w:qFormat/>
    <w:uiPriority w:val="0"/>
    <w:rPr>
      <w:rFonts w:ascii="Times New Roman" w:hAnsi="Times New Roman" w:cs="Times New Roman"/>
      <w:color w:val="FF0000"/>
      <w:sz w:val="18"/>
      <w:szCs w:val="18"/>
      <w:u w:val="none"/>
    </w:rPr>
  </w:style>
  <w:style w:type="character" w:customStyle="1" w:styleId="190">
    <w:name w:val="正文文本缩进字符1"/>
    <w:autoRedefine/>
    <w:semiHidden/>
    <w:qFormat/>
    <w:uiPriority w:val="0"/>
    <w:rPr>
      <w:snapToGrid w:val="0"/>
      <w:sz w:val="21"/>
      <w:szCs w:val="21"/>
    </w:rPr>
  </w:style>
  <w:style w:type="character" w:customStyle="1" w:styleId="191">
    <w:name w:val="before1"/>
    <w:autoRedefine/>
    <w:qFormat/>
    <w:uiPriority w:val="0"/>
    <w:rPr>
      <w:shd w:val="clear" w:color="auto" w:fill="4178BE"/>
    </w:rPr>
  </w:style>
  <w:style w:type="character" w:customStyle="1" w:styleId="192">
    <w:name w:val="font51"/>
    <w:autoRedefine/>
    <w:qFormat/>
    <w:uiPriority w:val="0"/>
    <w:rPr>
      <w:rFonts w:hint="eastAsia" w:ascii="微软雅黑" w:hAnsi="微软雅黑" w:eastAsia="微软雅黑" w:cs="微软雅黑"/>
      <w:i/>
      <w:color w:val="FF0000"/>
      <w:sz w:val="18"/>
      <w:szCs w:val="18"/>
      <w:u w:val="none"/>
    </w:rPr>
  </w:style>
  <w:style w:type="character" w:customStyle="1" w:styleId="193">
    <w:name w:val="optnless"/>
    <w:autoRedefine/>
    <w:qFormat/>
    <w:uiPriority w:val="0"/>
    <w:rPr>
      <w:color w:val="5596E6"/>
    </w:rPr>
  </w:style>
  <w:style w:type="character" w:customStyle="1" w:styleId="194">
    <w:name w:val="font01"/>
    <w:autoRedefine/>
    <w:qFormat/>
    <w:uiPriority w:val="0"/>
    <w:rPr>
      <w:rFonts w:hint="eastAsia" w:ascii="微软雅黑" w:hAnsi="微软雅黑" w:eastAsia="微软雅黑" w:cs="微软雅黑"/>
      <w:color w:val="000000"/>
      <w:sz w:val="18"/>
      <w:szCs w:val="18"/>
      <w:u w:val="none"/>
    </w:rPr>
  </w:style>
  <w:style w:type="character" w:customStyle="1" w:styleId="195">
    <w:name w:val="列出段落 Char2"/>
    <w:link w:val="63"/>
    <w:autoRedefine/>
    <w:qFormat/>
    <w:uiPriority w:val="34"/>
    <w:rPr>
      <w:kern w:val="2"/>
      <w:sz w:val="21"/>
      <w:szCs w:val="22"/>
    </w:rPr>
  </w:style>
  <w:style w:type="character" w:customStyle="1" w:styleId="196">
    <w:name w:val="bookmark-item"/>
    <w:basedOn w:val="51"/>
    <w:autoRedefine/>
    <w:qFormat/>
    <w:uiPriority w:val="0"/>
  </w:style>
  <w:style w:type="character" w:customStyle="1" w:styleId="197">
    <w:name w:val="lotusalttext"/>
    <w:basedOn w:val="51"/>
    <w:autoRedefine/>
    <w:qFormat/>
    <w:uiPriority w:val="0"/>
  </w:style>
  <w:style w:type="character" w:customStyle="1" w:styleId="198">
    <w:name w:val="optnmore"/>
    <w:autoRedefine/>
    <w:qFormat/>
    <w:uiPriority w:val="0"/>
    <w:rPr>
      <w:color w:val="5596E6"/>
    </w:rPr>
  </w:style>
  <w:style w:type="character" w:customStyle="1" w:styleId="199">
    <w:name w:val="纯文本字符1"/>
    <w:autoRedefine/>
    <w:semiHidden/>
    <w:qFormat/>
    <w:uiPriority w:val="0"/>
    <w:rPr>
      <w:rFonts w:ascii="宋体" w:hAnsi="Courier"/>
      <w:snapToGrid w:val="0"/>
      <w:sz w:val="24"/>
      <w:szCs w:val="24"/>
    </w:rPr>
  </w:style>
  <w:style w:type="character" w:customStyle="1" w:styleId="200">
    <w:name w:val="GW-正文 Char"/>
    <w:link w:val="64"/>
    <w:autoRedefine/>
    <w:qFormat/>
    <w:uiPriority w:val="0"/>
    <w:rPr>
      <w:rFonts w:eastAsia="仿宋_GB2312"/>
      <w:sz w:val="24"/>
      <w:szCs w:val="24"/>
      <w:lang w:val="en-US" w:eastAsia="zh-CN" w:bidi="ar-SA"/>
    </w:rPr>
  </w:style>
  <w:style w:type="character" w:customStyle="1" w:styleId="201">
    <w:name w:val="optnsets"/>
    <w:autoRedefine/>
    <w:qFormat/>
    <w:uiPriority w:val="0"/>
    <w:rPr>
      <w:color w:val="5596E6"/>
    </w:rPr>
  </w:style>
  <w:style w:type="character" w:customStyle="1" w:styleId="202">
    <w:name w:val="批注文字 Char"/>
    <w:autoRedefine/>
    <w:qFormat/>
    <w:uiPriority w:val="99"/>
    <w:rPr>
      <w:kern w:val="2"/>
      <w:sz w:val="21"/>
      <w:szCs w:val="24"/>
    </w:rPr>
  </w:style>
  <w:style w:type="character" w:customStyle="1" w:styleId="203">
    <w:name w:val="标题 Char3"/>
    <w:autoRedefine/>
    <w:qFormat/>
    <w:uiPriority w:val="0"/>
    <w:rPr>
      <w:rFonts w:ascii="Calibri Light" w:hAnsi="Calibri Light"/>
      <w:b/>
      <w:bCs/>
      <w:kern w:val="2"/>
      <w:sz w:val="32"/>
      <w:szCs w:val="32"/>
    </w:rPr>
  </w:style>
  <w:style w:type="character" w:customStyle="1" w:styleId="204">
    <w:name w:val="样式二"/>
    <w:basedOn w:val="169"/>
    <w:autoRedefine/>
    <w:qFormat/>
    <w:uiPriority w:val="0"/>
    <w:rPr>
      <w:rFonts w:ascii="宋体" w:hAnsi="宋体"/>
      <w:color w:val="000000"/>
      <w:sz w:val="36"/>
    </w:rPr>
  </w:style>
  <w:style w:type="character" w:customStyle="1" w:styleId="205">
    <w:name w:val="after1"/>
    <w:basedOn w:val="51"/>
    <w:autoRedefine/>
    <w:qFormat/>
    <w:uiPriority w:val="0"/>
  </w:style>
  <w:style w:type="character" w:customStyle="1" w:styleId="206">
    <w:name w:val="after"/>
    <w:autoRedefine/>
    <w:qFormat/>
    <w:uiPriority w:val="0"/>
    <w:rPr>
      <w:shd w:val="clear" w:color="auto" w:fill="008571"/>
    </w:rPr>
  </w:style>
  <w:style w:type="character" w:customStyle="1" w:styleId="207">
    <w:name w:val="无间隔 Char"/>
    <w:link w:val="108"/>
    <w:autoRedefine/>
    <w:qFormat/>
    <w:uiPriority w:val="1"/>
    <w:rPr>
      <w:kern w:val="2"/>
      <w:sz w:val="21"/>
      <w:szCs w:val="22"/>
    </w:rPr>
  </w:style>
  <w:style w:type="character" w:customStyle="1" w:styleId="208">
    <w:name w:val="表格文字 Char"/>
    <w:link w:val="109"/>
    <w:autoRedefine/>
    <w:qFormat/>
    <w:uiPriority w:val="0"/>
    <w:rPr>
      <w:kern w:val="2"/>
      <w:sz w:val="18"/>
      <w:szCs w:val="24"/>
    </w:rPr>
  </w:style>
  <w:style w:type="character" w:customStyle="1" w:styleId="209">
    <w:name w:val="纯文本 Char4"/>
    <w:autoRedefine/>
    <w:qFormat/>
    <w:uiPriority w:val="0"/>
    <w:rPr>
      <w:rFonts w:ascii="宋体" w:hAnsi="Courier New" w:eastAsia="宋体" w:cs="Times New Roman"/>
      <w:kern w:val="2"/>
      <w:sz w:val="24"/>
      <w:szCs w:val="24"/>
      <w:lang w:val="en-US" w:eastAsia="zh-CN" w:bidi="ar-SA"/>
    </w:rPr>
  </w:style>
  <w:style w:type="character" w:customStyle="1" w:styleId="210">
    <w:name w:val="金保标题2 Char"/>
    <w:link w:val="110"/>
    <w:autoRedefine/>
    <w:qFormat/>
    <w:uiPriority w:val="0"/>
    <w:rPr>
      <w:rFonts w:ascii="宋体" w:hAnsi="宋体"/>
      <w:b/>
      <w:sz w:val="24"/>
      <w:szCs w:val="24"/>
    </w:rPr>
  </w:style>
  <w:style w:type="character" w:customStyle="1" w:styleId="211">
    <w:name w:val="long_text1"/>
    <w:autoRedefine/>
    <w:qFormat/>
    <w:uiPriority w:val="0"/>
    <w:rPr>
      <w:sz w:val="15"/>
      <w:szCs w:val="15"/>
    </w:rPr>
  </w:style>
  <w:style w:type="character" w:customStyle="1" w:styleId="212">
    <w:name w:val="List Paragraph Char"/>
    <w:link w:val="76"/>
    <w:autoRedefine/>
    <w:qFormat/>
    <w:uiPriority w:val="0"/>
    <w:rPr>
      <w:kern w:val="2"/>
      <w:sz w:val="21"/>
      <w:szCs w:val="21"/>
    </w:rPr>
  </w:style>
  <w:style w:type="character" w:customStyle="1" w:styleId="213">
    <w:name w:val="方案正文-样式 小四 行距: 1.5 倍行距 Char Char"/>
    <w:link w:val="112"/>
    <w:autoRedefine/>
    <w:qFormat/>
    <w:uiPriority w:val="0"/>
    <w:rPr>
      <w:kern w:val="2"/>
      <w:sz w:val="24"/>
    </w:rPr>
  </w:style>
  <w:style w:type="character" w:customStyle="1" w:styleId="214">
    <w:name w:val="正文JK Char"/>
    <w:link w:val="113"/>
    <w:autoRedefine/>
    <w:qFormat/>
    <w:uiPriority w:val="0"/>
    <w:rPr>
      <w:rFonts w:ascii="Calibri" w:hAnsi="Calibri"/>
      <w:kern w:val="2"/>
      <w:sz w:val="21"/>
      <w:szCs w:val="21"/>
    </w:rPr>
  </w:style>
  <w:style w:type="character" w:customStyle="1" w:styleId="215">
    <w:name w:val="投标书正文无序编号 Char Char"/>
    <w:link w:val="114"/>
    <w:autoRedefine/>
    <w:qFormat/>
    <w:uiPriority w:val="0"/>
    <w:rPr>
      <w:kern w:val="2"/>
      <w:sz w:val="24"/>
      <w:szCs w:val="24"/>
    </w:rPr>
  </w:style>
  <w:style w:type="character" w:customStyle="1" w:styleId="216">
    <w:name w:val="正文2 Char Char"/>
    <w:link w:val="75"/>
    <w:autoRedefine/>
    <w:qFormat/>
    <w:uiPriority w:val="0"/>
    <w:rPr>
      <w:kern w:val="2"/>
      <w:sz w:val="24"/>
    </w:rPr>
  </w:style>
  <w:style w:type="character" w:customStyle="1" w:styleId="217">
    <w:name w:val="投标书正文 Char Char"/>
    <w:link w:val="115"/>
    <w:autoRedefine/>
    <w:qFormat/>
    <w:uiPriority w:val="0"/>
    <w:rPr>
      <w:rFonts w:eastAsia="Times New Roman"/>
      <w:kern w:val="2"/>
      <w:sz w:val="24"/>
      <w:szCs w:val="24"/>
    </w:rPr>
  </w:style>
  <w:style w:type="character" w:customStyle="1" w:styleId="218">
    <w:name w:val="z-窗体顶端 Char"/>
    <w:basedOn w:val="51"/>
    <w:link w:val="118"/>
    <w:autoRedefine/>
    <w:qFormat/>
    <w:uiPriority w:val="0"/>
    <w:rPr>
      <w:rFonts w:ascii="Arial" w:hAnsi="Calibri"/>
      <w:vanish/>
      <w:kern w:val="2"/>
      <w:sz w:val="16"/>
      <w:szCs w:val="24"/>
    </w:rPr>
  </w:style>
  <w:style w:type="character" w:customStyle="1" w:styleId="219">
    <w:name w:val="z-窗体底端 Char"/>
    <w:basedOn w:val="51"/>
    <w:link w:val="125"/>
    <w:autoRedefine/>
    <w:qFormat/>
    <w:uiPriority w:val="0"/>
    <w:rPr>
      <w:rFonts w:ascii="Arial" w:hAnsi="Calibri"/>
      <w:vanish/>
      <w:kern w:val="2"/>
      <w:sz w:val="16"/>
      <w:szCs w:val="24"/>
    </w:rPr>
  </w:style>
  <w:style w:type="character" w:customStyle="1" w:styleId="220">
    <w:name w:val="正文2 Char"/>
    <w:autoRedefine/>
    <w:qFormat/>
    <w:uiPriority w:val="0"/>
    <w:rPr>
      <w:rFonts w:eastAsia="宋体"/>
      <w:kern w:val="2"/>
      <w:sz w:val="24"/>
      <w:lang w:val="en-US" w:eastAsia="zh-CN" w:bidi="ar-SA"/>
    </w:rPr>
  </w:style>
  <w:style w:type="table" w:customStyle="1" w:styleId="221">
    <w:name w:val="表样式"/>
    <w:basedOn w:val="48"/>
    <w:autoRedefine/>
    <w:qFormat/>
    <w:uiPriority w:val="0"/>
    <w:pPr>
      <w:jc w:val="both"/>
    </w:pPr>
    <w:rPr>
      <w:sz w:val="18"/>
      <w:szCs w:val="1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shd w:val="clear" w:color="auto" w:fill="auto"/>
      <w:vAlign w:val="center"/>
    </w:tcPr>
  </w:style>
  <w:style w:type="table" w:customStyle="1" w:styleId="222">
    <w:name w:val="浅色列表1"/>
    <w:basedOn w:val="48"/>
    <w:autoRedefine/>
    <w:qFormat/>
    <w:uiPriority w:val="61"/>
    <w:tblPr>
      <w:tblBorders>
        <w:top w:val="single" w:color="000000" w:sz="8" w:space="0"/>
        <w:left w:val="single" w:color="000000" w:sz="8" w:space="0"/>
        <w:bottom w:val="single" w:color="000000" w:sz="8" w:space="0"/>
        <w:right w:val="single" w:color="000000" w:sz="8" w:space="0"/>
      </w:tblBorders>
      <w:tblCellMar>
        <w:top w:w="0" w:type="dxa"/>
        <w:left w:w="108" w:type="dxa"/>
        <w:bottom w:w="0" w:type="dxa"/>
        <w:right w:w="108" w:type="dxa"/>
      </w:tblCellMar>
    </w:tblPr>
    <w:tblStylePr w:type="firstRow">
      <w:pPr>
        <w:spacing w:before="0" w:after="0" w:line="240" w:lineRule="auto"/>
      </w:pPr>
      <w:rPr>
        <w:b/>
        <w:bCs/>
        <w:color w:val="FFFFFF"/>
      </w:rPr>
      <w:tcPr>
        <w:shd w:val="clear" w:color="auto" w:fill="000000"/>
      </w:tcPr>
    </w:tblStylePr>
    <w:tblStylePr w:type="lastRow">
      <w:pPr>
        <w:spacing w:before="0" w:after="0" w:line="240" w:lineRule="auto"/>
      </w:pPr>
      <w:rPr>
        <w:b/>
        <w:bCs/>
      </w:rPr>
      <w:tcPr>
        <w:tcBorders>
          <w:top w:val="double" w:color="000000" w:sz="6" w:space="0"/>
          <w:left w:val="single" w:color="000000" w:sz="8" w:space="0"/>
          <w:bottom w:val="single" w:color="000000" w:sz="8" w:space="0"/>
          <w:right w:val="single" w:color="000000" w:sz="8" w:space="0"/>
          <w:insideH w:val="nil"/>
          <w:insideV w:val="nil"/>
          <w:tl2br w:val="nil"/>
          <w:tr2bl w:val="nil"/>
        </w:tcBorders>
      </w:tcPr>
    </w:tblStylePr>
    <w:tblStylePr w:type="firstCol">
      <w:rPr>
        <w:b/>
        <w:bCs/>
      </w:rPr>
    </w:tblStylePr>
    <w:tblStylePr w:type="lastCol">
      <w:rPr>
        <w:b/>
        <w:bCs/>
      </w:rPr>
    </w:tblStylePr>
    <w:tblStylePr w:type="band1Vert">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tblStylePr w:type="band1Horz">
      <w:tcPr>
        <w:tcBorders>
          <w:top w:val="single" w:color="000000" w:sz="8" w:space="0"/>
          <w:left w:val="single" w:color="000000" w:sz="8" w:space="0"/>
          <w:bottom w:val="single" w:color="000000" w:sz="8" w:space="0"/>
          <w:right w:val="single" w:color="000000" w:sz="8" w:space="0"/>
          <w:insideH w:val="nil"/>
          <w:insideV w:val="nil"/>
          <w:tl2br w:val="nil"/>
          <w:tr2bl w:val="nil"/>
        </w:tcBorders>
      </w:tcPr>
    </w:tblStylePr>
  </w:style>
  <w:style w:type="table" w:customStyle="1" w:styleId="223">
    <w:name w:val="Table Normal"/>
    <w:autoRedefine/>
    <w:qFormat/>
    <w:uiPriority w:val="0"/>
    <w:tblPr>
      <w:tblCellMar>
        <w:top w:w="0" w:type="dxa"/>
        <w:left w:w="0" w:type="dxa"/>
        <w:bottom w:w="0" w:type="dxa"/>
        <w:right w:w="0" w:type="dxa"/>
      </w:tblCellMar>
    </w:tblPr>
  </w:style>
  <w:style w:type="paragraph" w:styleId="224">
    <w:name w:val="List Paragraph"/>
    <w:basedOn w:val="1"/>
    <w:autoRedefine/>
    <w:qFormat/>
    <w:uiPriority w:val="99"/>
    <w:pPr>
      <w:spacing w:line="360" w:lineRule="auto"/>
      <w:ind w:firstLine="420" w:firstLineChars="200"/>
    </w:pPr>
    <w:rPr>
      <w:rFonts w:eastAsiaTheme="minorEastAsia" w:cstheme="minorBidi"/>
      <w:sz w:val="24"/>
      <w:szCs w:val="22"/>
    </w:rPr>
  </w:style>
  <w:style w:type="paragraph" w:customStyle="1" w:styleId="225">
    <w:name w:val="正文缩进2格"/>
    <w:basedOn w:val="1"/>
    <w:autoRedefine/>
    <w:qFormat/>
    <w:uiPriority w:val="0"/>
    <w:pPr>
      <w:widowControl/>
      <w:spacing w:line="600" w:lineRule="exact"/>
      <w:ind w:firstLine="639" w:firstLineChars="206"/>
      <w:jc w:val="left"/>
    </w:pPr>
    <w:rPr>
      <w:rFonts w:ascii="仿宋_GB2312" w:hAnsi="宋体" w:eastAsia="仿宋_GB2312"/>
      <w:kern w:val="0"/>
      <w:sz w:val="31"/>
      <w:szCs w:val="28"/>
    </w:rPr>
  </w:style>
  <w:style w:type="paragraph" w:customStyle="1" w:styleId="226">
    <w:name w:val="正文 A"/>
    <w:autoRedefine/>
    <w:qFormat/>
    <w:uiPriority w:val="0"/>
    <w:pPr>
      <w:widowControl w:val="0"/>
      <w:jc w:val="both"/>
    </w:pPr>
    <w:rPr>
      <w:rFonts w:ascii="Times New Roman" w:hAnsi="Times New Roman" w:eastAsia="宋体" w:cs="Times New Roman"/>
      <w:color w:val="000000"/>
      <w:kern w:val="2"/>
      <w:sz w:val="28"/>
      <w:szCs w:val="28"/>
      <w:u w:color="000000"/>
      <w:lang w:val="en-US" w:eastAsia="zh-CN" w:bidi="ar-SA"/>
    </w:rPr>
  </w:style>
  <w:style w:type="paragraph" w:customStyle="1" w:styleId="227">
    <w:name w:val="纯文本3"/>
    <w:basedOn w:val="1"/>
    <w:autoRedefine/>
    <w:qFormat/>
    <w:uiPriority w:val="0"/>
    <w:pPr>
      <w:adjustRightInd w:val="0"/>
      <w:textAlignment w:val="baseline"/>
    </w:pPr>
    <w:rPr>
      <w:rFonts w:ascii="宋体" w:hAnsi="Courier New" w:eastAsia="楷体_GB2312"/>
      <w:sz w:val="26"/>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4098"/>
    <customShpInfo spid="_x0000_s4099"/>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97B16-1527-4E82-B4DE-78CDBC02CC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56</Pages>
  <Words>31643</Words>
  <Characters>33187</Characters>
  <Lines>268</Lines>
  <Paragraphs>75</Paragraphs>
  <TotalTime>30</TotalTime>
  <ScaleCrop>false</ScaleCrop>
  <LinksUpToDate>false</LinksUpToDate>
  <CharactersWithSpaces>34614</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2024-09-27T07:07:00Z</dcterms:created>
  <dc:creator>微软用户</dc:creator>
  <cp:lastModifiedBy>Administrator</cp:lastModifiedBy>
  <cp:lastPrinted>2022-06-17T07:39:00Z</cp:lastPrinted>
  <dcterms:modified xsi:type="dcterms:W3CDTF">2024-10-15T08:43:32Z</dcterms:modified>
  <dc:title>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A117D4664A8747CC9F9B58D5D7EC0D93</vt:lpwstr>
  </property>
</Properties>
</file>