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EFBC1">
      <w:pPr>
        <w:spacing w:line="360" w:lineRule="auto"/>
        <w:rPr>
          <w:rFonts w:hint="eastAsia" w:ascii="宋体" w:hAnsi="宋体" w:eastAsia="宋体" w:cs="宋体"/>
          <w:color w:val="auto"/>
          <w:highlight w:val="none"/>
        </w:rPr>
      </w:pPr>
      <w:bookmarkStart w:id="269" w:name="_GoBack"/>
    </w:p>
    <w:p w14:paraId="77A322AE">
      <w:pPr>
        <w:spacing w:line="360" w:lineRule="auto"/>
        <w:rPr>
          <w:rFonts w:hint="eastAsia" w:ascii="宋体" w:hAnsi="宋体" w:eastAsia="宋体" w:cs="宋体"/>
          <w:color w:val="auto"/>
          <w:highlight w:val="none"/>
        </w:rPr>
      </w:pPr>
    </w:p>
    <w:p w14:paraId="402D11AA">
      <w:pPr>
        <w:spacing w:line="60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广东番禺中学九年一贯制学校（番禺中学附属学校）二期工程检测监测服务</w:t>
      </w:r>
    </w:p>
    <w:p w14:paraId="5C935069">
      <w:pPr>
        <w:pStyle w:val="14"/>
        <w:spacing w:after="0" w:line="600" w:lineRule="auto"/>
        <w:rPr>
          <w:rFonts w:hint="eastAsia" w:ascii="宋体" w:hAnsi="宋体" w:eastAsia="宋体" w:cs="宋体"/>
          <w:color w:val="auto"/>
          <w:highlight w:val="none"/>
        </w:rPr>
      </w:pPr>
    </w:p>
    <w:p w14:paraId="0A060A20">
      <w:pPr>
        <w:spacing w:line="360" w:lineRule="auto"/>
        <w:rPr>
          <w:rFonts w:hint="eastAsia" w:ascii="宋体" w:hAnsi="宋体" w:eastAsia="宋体" w:cs="宋体"/>
          <w:color w:val="auto"/>
          <w:sz w:val="36"/>
          <w:szCs w:val="36"/>
          <w:highlight w:val="none"/>
        </w:rPr>
      </w:pPr>
    </w:p>
    <w:p w14:paraId="140427C3">
      <w:pPr>
        <w:spacing w:line="360" w:lineRule="auto"/>
        <w:rPr>
          <w:rFonts w:hint="eastAsia" w:ascii="宋体" w:hAnsi="宋体" w:eastAsia="宋体" w:cs="宋体"/>
          <w:color w:val="auto"/>
          <w:sz w:val="36"/>
          <w:szCs w:val="36"/>
          <w:highlight w:val="none"/>
        </w:rPr>
      </w:pPr>
    </w:p>
    <w:p w14:paraId="1924B17D">
      <w:pPr>
        <w:spacing w:line="360" w:lineRule="auto"/>
        <w:rPr>
          <w:rFonts w:hint="eastAsia" w:ascii="宋体" w:hAnsi="宋体" w:eastAsia="宋体" w:cs="宋体"/>
          <w:color w:val="auto"/>
          <w:sz w:val="36"/>
          <w:szCs w:val="36"/>
          <w:highlight w:val="none"/>
        </w:rPr>
      </w:pPr>
    </w:p>
    <w:p w14:paraId="1137277D">
      <w:pPr>
        <w:spacing w:line="360" w:lineRule="auto"/>
        <w:rPr>
          <w:rFonts w:hint="eastAsia" w:ascii="宋体" w:hAnsi="宋体" w:eastAsia="宋体" w:cs="宋体"/>
          <w:color w:val="auto"/>
          <w:sz w:val="36"/>
          <w:szCs w:val="36"/>
          <w:highlight w:val="none"/>
        </w:rPr>
      </w:pPr>
    </w:p>
    <w:p w14:paraId="55A832C8">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招标文件</w:t>
      </w:r>
    </w:p>
    <w:p w14:paraId="06DEA031">
      <w:pPr>
        <w:spacing w:line="360" w:lineRule="auto"/>
        <w:rPr>
          <w:rFonts w:hint="eastAsia" w:ascii="宋体" w:hAnsi="宋体" w:eastAsia="宋体" w:cs="宋体"/>
          <w:color w:val="auto"/>
          <w:sz w:val="36"/>
          <w:szCs w:val="36"/>
          <w:highlight w:val="none"/>
        </w:rPr>
      </w:pPr>
    </w:p>
    <w:p w14:paraId="35D1AE73">
      <w:pPr>
        <w:spacing w:line="360" w:lineRule="auto"/>
        <w:rPr>
          <w:rFonts w:hint="eastAsia" w:ascii="宋体" w:hAnsi="宋体" w:eastAsia="宋体" w:cs="宋体"/>
          <w:color w:val="auto"/>
          <w:sz w:val="36"/>
          <w:szCs w:val="36"/>
          <w:highlight w:val="none"/>
        </w:rPr>
      </w:pPr>
    </w:p>
    <w:p w14:paraId="63ECECA3">
      <w:pPr>
        <w:spacing w:line="360" w:lineRule="auto"/>
        <w:rPr>
          <w:rFonts w:hint="eastAsia" w:ascii="宋体" w:hAnsi="宋体" w:eastAsia="宋体" w:cs="宋体"/>
          <w:color w:val="auto"/>
          <w:sz w:val="36"/>
          <w:szCs w:val="36"/>
          <w:highlight w:val="none"/>
        </w:rPr>
      </w:pPr>
    </w:p>
    <w:p w14:paraId="520FE5C2">
      <w:pPr>
        <w:spacing w:line="360" w:lineRule="auto"/>
        <w:rPr>
          <w:rFonts w:hint="eastAsia" w:ascii="宋体" w:hAnsi="宋体" w:eastAsia="宋体" w:cs="宋体"/>
          <w:color w:val="auto"/>
          <w:sz w:val="36"/>
          <w:szCs w:val="36"/>
          <w:highlight w:val="none"/>
        </w:rPr>
      </w:pPr>
    </w:p>
    <w:p w14:paraId="2CDF7978">
      <w:pPr>
        <w:spacing w:line="360" w:lineRule="auto"/>
        <w:rPr>
          <w:rFonts w:hint="eastAsia" w:ascii="宋体" w:hAnsi="宋体" w:eastAsia="宋体" w:cs="宋体"/>
          <w:color w:val="auto"/>
          <w:sz w:val="36"/>
          <w:szCs w:val="36"/>
          <w:highlight w:val="none"/>
        </w:rPr>
      </w:pPr>
    </w:p>
    <w:p w14:paraId="55EC21D9">
      <w:pPr>
        <w:spacing w:line="360" w:lineRule="auto"/>
        <w:rPr>
          <w:rFonts w:hint="eastAsia" w:ascii="宋体" w:hAnsi="宋体" w:eastAsia="宋体" w:cs="宋体"/>
          <w:color w:val="auto"/>
          <w:sz w:val="36"/>
          <w:szCs w:val="36"/>
          <w:highlight w:val="none"/>
        </w:rPr>
      </w:pPr>
    </w:p>
    <w:p w14:paraId="6303E71F">
      <w:pPr>
        <w:spacing w:line="360" w:lineRule="auto"/>
        <w:ind w:firstLine="964" w:firstLineChars="300"/>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招标单位：广州市番禺区基本建设投资管理中心</w:t>
      </w:r>
    </w:p>
    <w:p w14:paraId="0AB4D9DD">
      <w:pPr>
        <w:spacing w:line="360" w:lineRule="auto"/>
        <w:ind w:firstLine="945"/>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 xml:space="preserve">招标代理单位：广东粤能工程管理有限公司 </w:t>
      </w:r>
    </w:p>
    <w:p w14:paraId="3C9E64F9">
      <w:pPr>
        <w:spacing w:line="360" w:lineRule="auto"/>
        <w:ind w:firstLine="945"/>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日期：</w:t>
      </w:r>
      <w:r>
        <w:rPr>
          <w:rFonts w:ascii="宋体" w:hAnsi="宋体" w:eastAsia="宋体" w:cs="宋体"/>
          <w:b/>
          <w:bCs/>
          <w:color w:val="auto"/>
          <w:sz w:val="32"/>
          <w:szCs w:val="32"/>
          <w:highlight w:val="none"/>
        </w:rPr>
        <w:t>20</w:t>
      </w:r>
      <w:r>
        <w:rPr>
          <w:rFonts w:hint="eastAsia" w:ascii="宋体" w:hAnsi="宋体" w:eastAsia="宋体" w:cs="宋体"/>
          <w:b/>
          <w:bCs/>
          <w:color w:val="auto"/>
          <w:sz w:val="32"/>
          <w:szCs w:val="32"/>
          <w:highlight w:val="none"/>
        </w:rPr>
        <w:t>24年</w:t>
      </w: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rPr>
        <w:t>月</w:t>
      </w:r>
    </w:p>
    <w:p w14:paraId="735864B6">
      <w:pPr>
        <w:pStyle w:val="14"/>
        <w:spacing w:after="0" w:line="360" w:lineRule="auto"/>
        <w:rPr>
          <w:rFonts w:hint="eastAsia" w:ascii="宋体" w:hAnsi="宋体" w:eastAsia="宋体" w:cs="宋体"/>
          <w:color w:val="auto"/>
          <w:sz w:val="28"/>
          <w:highlight w:val="none"/>
        </w:rPr>
      </w:pPr>
    </w:p>
    <w:p w14:paraId="483157F5">
      <w:pPr>
        <w:pStyle w:val="14"/>
        <w:spacing w:after="0" w:line="360" w:lineRule="auto"/>
        <w:rPr>
          <w:rFonts w:hint="eastAsia" w:ascii="宋体" w:hAnsi="宋体" w:cs="宋体"/>
          <w:color w:val="auto"/>
          <w:sz w:val="28"/>
          <w:highlight w:val="none"/>
        </w:rPr>
        <w:sectPr>
          <w:footerReference r:id="rId3" w:type="default"/>
          <w:pgSz w:w="11905" w:h="16838"/>
          <w:pgMar w:top="1417" w:right="1417" w:bottom="1417" w:left="1417" w:header="851" w:footer="850" w:gutter="0"/>
          <w:cols w:space="720" w:num="1"/>
          <w:titlePg/>
          <w:docGrid w:type="lines" w:linePitch="312" w:charSpace="0"/>
        </w:sectPr>
      </w:pPr>
    </w:p>
    <w:p w14:paraId="12B583F7">
      <w:pPr>
        <w:spacing w:line="360" w:lineRule="auto"/>
        <w:jc w:val="center"/>
        <w:rPr>
          <w:rFonts w:hint="eastAsia" w:ascii="宋体" w:hAnsi="宋体" w:eastAsia="宋体" w:cs="宋体"/>
          <w:bCs/>
          <w:color w:val="auto"/>
          <w:sz w:val="52"/>
          <w:highlight w:val="none"/>
        </w:rPr>
      </w:pPr>
      <w:r>
        <w:rPr>
          <w:rFonts w:hint="eastAsia" w:ascii="宋体" w:hAnsi="宋体" w:eastAsia="宋体" w:cs="宋体"/>
          <w:bCs/>
          <w:color w:val="auto"/>
          <w:sz w:val="52"/>
          <w:highlight w:val="none"/>
        </w:rPr>
        <w:t>重要提示</w:t>
      </w:r>
    </w:p>
    <w:p w14:paraId="4C49A5D4">
      <w:pPr>
        <w:spacing w:line="360" w:lineRule="auto"/>
        <w:ind w:firstLine="537" w:firstLineChars="224"/>
        <w:jc w:val="center"/>
        <w:rPr>
          <w:rFonts w:hint="eastAsia" w:ascii="宋体" w:hAnsi="宋体" w:eastAsia="宋体" w:cs="宋体"/>
          <w:bCs/>
          <w:color w:val="auto"/>
          <w:sz w:val="24"/>
          <w:highlight w:val="none"/>
        </w:rPr>
      </w:pPr>
    </w:p>
    <w:p w14:paraId="08DD877C">
      <w:pPr>
        <w:spacing w:line="360" w:lineRule="auto"/>
        <w:ind w:firstLine="480" w:firstLineChars="200"/>
        <w:rPr>
          <w:rFonts w:hint="eastAsia" w:ascii="宋体" w:hAnsi="宋体" w:cs="宋体"/>
          <w:color w:val="auto"/>
          <w:sz w:val="24"/>
          <w:highlight w:val="none"/>
        </w:rPr>
        <w:sectPr>
          <w:pgSz w:w="11905" w:h="16838"/>
          <w:pgMar w:top="1418" w:right="1701" w:bottom="1418" w:left="1701" w:header="851" w:footer="794" w:gutter="0"/>
          <w:pgNumType w:start="1"/>
          <w:cols w:space="720" w:num="1"/>
          <w:docGrid w:type="lines" w:linePitch="312" w:charSpace="0"/>
        </w:sectPr>
      </w:pPr>
      <w:r>
        <w:rPr>
          <w:rFonts w:hint="eastAsia" w:ascii="宋体" w:hAnsi="宋体" w:eastAsia="宋体" w:cs="宋体"/>
          <w:color w:val="auto"/>
          <w:sz w:val="24"/>
          <w:highlight w:val="none"/>
        </w:rPr>
        <w:t>本项目实施电子招投标，投标人应先认真阅读《房屋建筑和市政基础设施工程全流程电子化项目专章》。</w:t>
      </w:r>
    </w:p>
    <w:p w14:paraId="7E8C1970">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目录</w:t>
      </w:r>
    </w:p>
    <w:p w14:paraId="41E2CB1B">
      <w:pPr>
        <w:pStyle w:val="12"/>
        <w:tabs>
          <w:tab w:val="right" w:leader="dot" w:pos="8503"/>
        </w:tabs>
        <w:spacing w:before="0" w:after="0" w:line="360" w:lineRule="auto"/>
        <w:rPr>
          <w:rFonts w:eastAsia="宋体" w:cs="Times New Roman"/>
          <w:color w:val="auto"/>
          <w:highlight w:val="none"/>
        </w:rPr>
      </w:pPr>
      <w:bookmarkStart w:id="0" w:name="_Toc377719897"/>
      <w:r>
        <w:rPr>
          <w:rFonts w:hint="eastAsia" w:ascii="宋体" w:hAnsi="宋体" w:eastAsia="宋体" w:cs="宋体"/>
          <w:b w:val="0"/>
          <w:bCs w:val="0"/>
          <w:color w:val="auto"/>
          <w:kern w:val="44"/>
          <w:sz w:val="21"/>
          <w:szCs w:val="21"/>
          <w:highlight w:val="none"/>
        </w:rPr>
        <w:fldChar w:fldCharType="begin"/>
      </w:r>
      <w:r>
        <w:rPr>
          <w:rFonts w:hint="eastAsia" w:ascii="宋体" w:hAnsi="宋体" w:eastAsia="宋体" w:cs="宋体"/>
          <w:b w:val="0"/>
          <w:bCs w:val="0"/>
          <w:color w:val="auto"/>
          <w:kern w:val="44"/>
          <w:sz w:val="21"/>
          <w:szCs w:val="21"/>
          <w:highlight w:val="none"/>
        </w:rPr>
        <w:instrText xml:space="preserve">TOC \o "1-2" \h \u </w:instrText>
      </w:r>
      <w:r>
        <w:rPr>
          <w:rFonts w:hint="eastAsia" w:ascii="宋体" w:hAnsi="宋体" w:eastAsia="宋体" w:cs="宋体"/>
          <w:b w:val="0"/>
          <w:bCs w:val="0"/>
          <w:color w:val="auto"/>
          <w:kern w:val="44"/>
          <w:sz w:val="21"/>
          <w:szCs w:val="21"/>
          <w:highlight w:val="none"/>
        </w:rPr>
        <w:fldChar w:fldCharType="separate"/>
      </w:r>
      <w:r>
        <w:rPr>
          <w:rFonts w:hint="eastAsia" w:ascii="宋体" w:hAnsi="宋体" w:eastAsia="宋体" w:cs="宋体"/>
          <w:bCs w:val="0"/>
          <w:color w:val="auto"/>
          <w:kern w:val="44"/>
          <w:szCs w:val="21"/>
          <w:highlight w:val="none"/>
        </w:rPr>
        <w:fldChar w:fldCharType="begin"/>
      </w:r>
      <w:r>
        <w:rPr>
          <w:rFonts w:hint="eastAsia" w:ascii="宋体" w:hAnsi="宋体" w:eastAsia="宋体" w:cs="宋体"/>
          <w:bCs w:val="0"/>
          <w:color w:val="auto"/>
          <w:kern w:val="44"/>
          <w:szCs w:val="21"/>
          <w:highlight w:val="none"/>
        </w:rPr>
        <w:instrText xml:space="preserve"> HYPERLINK \l _Toc3058 </w:instrText>
      </w:r>
      <w:r>
        <w:rPr>
          <w:rFonts w:hint="eastAsia" w:ascii="宋体" w:hAnsi="宋体" w:eastAsia="宋体" w:cs="宋体"/>
          <w:bCs w:val="0"/>
          <w:color w:val="auto"/>
          <w:kern w:val="44"/>
          <w:szCs w:val="21"/>
          <w:highlight w:val="none"/>
        </w:rPr>
        <w:fldChar w:fldCharType="separate"/>
      </w:r>
      <w:r>
        <w:rPr>
          <w:rFonts w:hint="eastAsia" w:ascii="宋体" w:hAnsi="宋体" w:eastAsia="宋体" w:cs="宋体"/>
          <w:color w:val="auto"/>
          <w:highlight w:val="none"/>
        </w:rPr>
        <w:t>第一章 招标公告</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_Toc3058 \h </w:instrText>
      </w:r>
      <w:r>
        <w:rPr>
          <w:rFonts w:eastAsia="宋体" w:cs="Times New Roman"/>
          <w:color w:val="auto"/>
          <w:highlight w:val="none"/>
        </w:rPr>
        <w:fldChar w:fldCharType="separate"/>
      </w:r>
      <w:r>
        <w:rPr>
          <w:rFonts w:eastAsia="宋体" w:cs="Times New Roman"/>
          <w:color w:val="auto"/>
          <w:highlight w:val="none"/>
        </w:rPr>
        <w:t>4</w:t>
      </w:r>
      <w:r>
        <w:rPr>
          <w:rFonts w:eastAsia="宋体" w:cs="Times New Roman"/>
          <w:color w:val="auto"/>
          <w:highlight w:val="none"/>
        </w:rPr>
        <w:fldChar w:fldCharType="end"/>
      </w:r>
      <w:r>
        <w:rPr>
          <w:rFonts w:hint="eastAsia" w:ascii="宋体" w:hAnsi="宋体" w:eastAsia="宋体" w:cs="宋体"/>
          <w:bCs w:val="0"/>
          <w:color w:val="auto"/>
          <w:kern w:val="44"/>
          <w:szCs w:val="21"/>
          <w:highlight w:val="none"/>
        </w:rPr>
        <w:fldChar w:fldCharType="end"/>
      </w:r>
    </w:p>
    <w:p w14:paraId="2957B610">
      <w:pPr>
        <w:pStyle w:val="12"/>
        <w:tabs>
          <w:tab w:val="right" w:leader="dot" w:pos="8503"/>
        </w:tabs>
        <w:spacing w:before="0" w:after="0"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_Toc11430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highlight w:val="none"/>
        </w:rPr>
        <w:t>第二章  投标人须知</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_Toc11430 \h </w:instrText>
      </w:r>
      <w:r>
        <w:rPr>
          <w:rFonts w:eastAsia="宋体" w:cs="Times New Roman"/>
          <w:color w:val="auto"/>
          <w:highlight w:val="none"/>
        </w:rPr>
        <w:fldChar w:fldCharType="separate"/>
      </w:r>
      <w:r>
        <w:rPr>
          <w:rFonts w:eastAsia="宋体" w:cs="Times New Roman"/>
          <w:color w:val="auto"/>
          <w:highlight w:val="none"/>
        </w:rPr>
        <w:t>5</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052B32B8">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_Toc25358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szCs w:val="36"/>
          <w:highlight w:val="none"/>
        </w:rPr>
        <w:t>投标人须知前附表</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_Toc25358 \h </w:instrText>
      </w:r>
      <w:r>
        <w:rPr>
          <w:rFonts w:eastAsia="宋体" w:cs="Times New Roman"/>
          <w:color w:val="auto"/>
          <w:highlight w:val="none"/>
        </w:rPr>
        <w:fldChar w:fldCharType="separate"/>
      </w:r>
      <w:r>
        <w:rPr>
          <w:rFonts w:eastAsia="宋体" w:cs="Times New Roman"/>
          <w:color w:val="auto"/>
          <w:highlight w:val="none"/>
        </w:rPr>
        <w:t>5</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0265CB4B">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_Toc12986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kern w:val="44"/>
          <w:szCs w:val="36"/>
          <w:highlight w:val="none"/>
        </w:rPr>
        <w:t>投标人须知</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_Toc12986 \h </w:instrText>
      </w:r>
      <w:r>
        <w:rPr>
          <w:rFonts w:eastAsia="宋体" w:cs="Times New Roman"/>
          <w:color w:val="auto"/>
          <w:highlight w:val="none"/>
        </w:rPr>
        <w:fldChar w:fldCharType="separate"/>
      </w:r>
      <w:r>
        <w:rPr>
          <w:rFonts w:eastAsia="宋体" w:cs="Times New Roman"/>
          <w:color w:val="auto"/>
          <w:highlight w:val="none"/>
        </w:rPr>
        <w:t>14</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16B3E78D">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_Toc30141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1.总则</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_Toc30141 \h </w:instrText>
      </w:r>
      <w:r>
        <w:rPr>
          <w:rFonts w:eastAsia="宋体" w:cs="Times New Roman"/>
          <w:color w:val="auto"/>
          <w:highlight w:val="none"/>
        </w:rPr>
        <w:fldChar w:fldCharType="separate"/>
      </w:r>
      <w:r>
        <w:rPr>
          <w:rFonts w:eastAsia="宋体" w:cs="Times New Roman"/>
          <w:color w:val="auto"/>
          <w:highlight w:val="none"/>
        </w:rPr>
        <w:t>14</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62D0F8D0">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_Toc13966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2.招标文件</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_Toc13966 \h </w:instrText>
      </w:r>
      <w:r>
        <w:rPr>
          <w:rFonts w:eastAsia="宋体" w:cs="Times New Roman"/>
          <w:color w:val="auto"/>
          <w:highlight w:val="none"/>
        </w:rPr>
        <w:fldChar w:fldCharType="separate"/>
      </w:r>
      <w:r>
        <w:rPr>
          <w:rFonts w:eastAsia="宋体" w:cs="Times New Roman"/>
          <w:color w:val="auto"/>
          <w:highlight w:val="none"/>
        </w:rPr>
        <w:t>17</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56B14CE8">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_Toc14013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3.投标文件</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_Toc14013 \h </w:instrText>
      </w:r>
      <w:r>
        <w:rPr>
          <w:rFonts w:eastAsia="宋体" w:cs="Times New Roman"/>
          <w:color w:val="auto"/>
          <w:highlight w:val="none"/>
        </w:rPr>
        <w:fldChar w:fldCharType="separate"/>
      </w:r>
      <w:r>
        <w:rPr>
          <w:rFonts w:eastAsia="宋体" w:cs="Times New Roman"/>
          <w:color w:val="auto"/>
          <w:highlight w:val="none"/>
        </w:rPr>
        <w:t>18</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2D88B7DA">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_Toc3516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4.投标</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_Toc3516 \h </w:instrText>
      </w:r>
      <w:r>
        <w:rPr>
          <w:rFonts w:eastAsia="宋体" w:cs="Times New Roman"/>
          <w:color w:val="auto"/>
          <w:highlight w:val="none"/>
        </w:rPr>
        <w:fldChar w:fldCharType="separate"/>
      </w:r>
      <w:r>
        <w:rPr>
          <w:rFonts w:eastAsia="宋体" w:cs="Times New Roman"/>
          <w:color w:val="auto"/>
          <w:highlight w:val="none"/>
        </w:rPr>
        <w:t>21</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3C8D7D8E">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_Toc25545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5.开标</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_Toc25545 \h </w:instrText>
      </w:r>
      <w:r>
        <w:rPr>
          <w:rFonts w:eastAsia="宋体" w:cs="Times New Roman"/>
          <w:color w:val="auto"/>
          <w:highlight w:val="none"/>
        </w:rPr>
        <w:fldChar w:fldCharType="separate"/>
      </w:r>
      <w:r>
        <w:rPr>
          <w:rFonts w:eastAsia="宋体" w:cs="Times New Roman"/>
          <w:color w:val="auto"/>
          <w:highlight w:val="none"/>
        </w:rPr>
        <w:t>22</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79AD7F83">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_Toc27507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6.评标</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_Toc27507 \h </w:instrText>
      </w:r>
      <w:r>
        <w:rPr>
          <w:rFonts w:eastAsia="宋体" w:cs="Times New Roman"/>
          <w:color w:val="auto"/>
          <w:highlight w:val="none"/>
        </w:rPr>
        <w:fldChar w:fldCharType="separate"/>
      </w:r>
      <w:r>
        <w:rPr>
          <w:rFonts w:eastAsia="宋体" w:cs="Times New Roman"/>
          <w:color w:val="auto"/>
          <w:highlight w:val="none"/>
        </w:rPr>
        <w:t>23</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58DF4B6F">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_Toc9775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7.合同授予</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_Toc9775 \h </w:instrText>
      </w:r>
      <w:r>
        <w:rPr>
          <w:rFonts w:eastAsia="宋体" w:cs="Times New Roman"/>
          <w:color w:val="auto"/>
          <w:highlight w:val="none"/>
        </w:rPr>
        <w:fldChar w:fldCharType="separate"/>
      </w:r>
      <w:r>
        <w:rPr>
          <w:rFonts w:eastAsia="宋体" w:cs="Times New Roman"/>
          <w:color w:val="auto"/>
          <w:highlight w:val="none"/>
        </w:rPr>
        <w:t>24</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44CC95D5">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_Toc29502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8.纪律和监督</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_Toc29502 \h </w:instrText>
      </w:r>
      <w:r>
        <w:rPr>
          <w:rFonts w:eastAsia="宋体" w:cs="Times New Roman"/>
          <w:color w:val="auto"/>
          <w:highlight w:val="none"/>
        </w:rPr>
        <w:fldChar w:fldCharType="separate"/>
      </w:r>
      <w:r>
        <w:rPr>
          <w:rFonts w:eastAsia="宋体" w:cs="Times New Roman"/>
          <w:color w:val="auto"/>
          <w:highlight w:val="none"/>
        </w:rPr>
        <w:t>25</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35C2DB79">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_Toc31993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9.是否采用电子招标投标</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_Toc31993 \h </w:instrText>
      </w:r>
      <w:r>
        <w:rPr>
          <w:rFonts w:eastAsia="宋体" w:cs="Times New Roman"/>
          <w:color w:val="auto"/>
          <w:highlight w:val="none"/>
        </w:rPr>
        <w:fldChar w:fldCharType="separate"/>
      </w:r>
      <w:r>
        <w:rPr>
          <w:rFonts w:eastAsia="宋体" w:cs="Times New Roman"/>
          <w:color w:val="auto"/>
          <w:highlight w:val="none"/>
        </w:rPr>
        <w:t>26</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01DBE6E7">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_Toc4862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10.需要补充的其他内容</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_Toc4862 \h </w:instrText>
      </w:r>
      <w:r>
        <w:rPr>
          <w:rFonts w:eastAsia="宋体" w:cs="Times New Roman"/>
          <w:color w:val="auto"/>
          <w:highlight w:val="none"/>
        </w:rPr>
        <w:fldChar w:fldCharType="separate"/>
      </w:r>
      <w:r>
        <w:rPr>
          <w:rFonts w:eastAsia="宋体" w:cs="Times New Roman"/>
          <w:color w:val="auto"/>
          <w:highlight w:val="none"/>
        </w:rPr>
        <w:t>26</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64483D86">
      <w:pPr>
        <w:pStyle w:val="12"/>
        <w:tabs>
          <w:tab w:val="right" w:leader="dot" w:pos="8503"/>
        </w:tabs>
        <w:spacing w:before="0" w:after="0"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_Toc25981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highlight w:val="none"/>
        </w:rPr>
        <w:t>第三章  评标办法（综合评分法）</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_Toc25981 \h </w:instrText>
      </w:r>
      <w:r>
        <w:rPr>
          <w:rFonts w:eastAsia="宋体" w:cs="Times New Roman"/>
          <w:color w:val="auto"/>
          <w:highlight w:val="none"/>
        </w:rPr>
        <w:fldChar w:fldCharType="separate"/>
      </w:r>
      <w:r>
        <w:rPr>
          <w:rFonts w:eastAsia="宋体" w:cs="Times New Roman"/>
          <w:color w:val="auto"/>
          <w:highlight w:val="none"/>
        </w:rPr>
        <w:t>27</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75B25D22">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_Toc26053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szCs w:val="36"/>
          <w:highlight w:val="none"/>
        </w:rPr>
        <w:t>评标办法前附表</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_Toc26053 \h </w:instrText>
      </w:r>
      <w:r>
        <w:rPr>
          <w:rFonts w:eastAsia="宋体" w:cs="Times New Roman"/>
          <w:color w:val="auto"/>
          <w:highlight w:val="none"/>
        </w:rPr>
        <w:fldChar w:fldCharType="separate"/>
      </w:r>
      <w:r>
        <w:rPr>
          <w:rFonts w:eastAsia="宋体" w:cs="Times New Roman"/>
          <w:color w:val="auto"/>
          <w:highlight w:val="none"/>
        </w:rPr>
        <w:t>27</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71EA7CF8">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_Toc7506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szCs w:val="36"/>
          <w:highlight w:val="none"/>
        </w:rPr>
        <w:t>评标方法</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_Toc7506 \h </w:instrText>
      </w:r>
      <w:r>
        <w:rPr>
          <w:rFonts w:eastAsia="宋体" w:cs="Times New Roman"/>
          <w:color w:val="auto"/>
          <w:highlight w:val="none"/>
        </w:rPr>
        <w:fldChar w:fldCharType="separate"/>
      </w:r>
      <w:r>
        <w:rPr>
          <w:rFonts w:eastAsia="宋体" w:cs="Times New Roman"/>
          <w:color w:val="auto"/>
          <w:highlight w:val="none"/>
        </w:rPr>
        <w:t>32</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74779CF1">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_Toc11888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1.评标方法</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_Toc11888 \h </w:instrText>
      </w:r>
      <w:r>
        <w:rPr>
          <w:rFonts w:eastAsia="宋体" w:cs="Times New Roman"/>
          <w:color w:val="auto"/>
          <w:highlight w:val="none"/>
        </w:rPr>
        <w:fldChar w:fldCharType="separate"/>
      </w:r>
      <w:r>
        <w:rPr>
          <w:rFonts w:eastAsia="宋体" w:cs="Times New Roman"/>
          <w:color w:val="auto"/>
          <w:highlight w:val="none"/>
        </w:rPr>
        <w:t>32</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66026BBA">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_Toc28918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2.评审标准</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_Toc28918 \h </w:instrText>
      </w:r>
      <w:r>
        <w:rPr>
          <w:rFonts w:eastAsia="宋体" w:cs="Times New Roman"/>
          <w:color w:val="auto"/>
          <w:highlight w:val="none"/>
        </w:rPr>
        <w:fldChar w:fldCharType="separate"/>
      </w:r>
      <w:r>
        <w:rPr>
          <w:rFonts w:eastAsia="宋体" w:cs="Times New Roman"/>
          <w:color w:val="auto"/>
          <w:highlight w:val="none"/>
        </w:rPr>
        <w:t>32</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0412CEB7">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_Toc12342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3. 评标程序</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_Toc12342 \h </w:instrText>
      </w:r>
      <w:r>
        <w:rPr>
          <w:rFonts w:eastAsia="宋体" w:cs="Times New Roman"/>
          <w:color w:val="auto"/>
          <w:highlight w:val="none"/>
        </w:rPr>
        <w:fldChar w:fldCharType="separate"/>
      </w:r>
      <w:r>
        <w:rPr>
          <w:rFonts w:eastAsia="宋体" w:cs="Times New Roman"/>
          <w:color w:val="auto"/>
          <w:highlight w:val="none"/>
        </w:rPr>
        <w:t>33</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5E98A8DF">
      <w:pPr>
        <w:pStyle w:val="12"/>
        <w:tabs>
          <w:tab w:val="right" w:leader="dot" w:pos="8503"/>
        </w:tabs>
        <w:spacing w:before="0" w:after="0"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_Toc25775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szCs w:val="44"/>
          <w:highlight w:val="none"/>
        </w:rPr>
        <w:t>第四章  合同条款及格式</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_Toc25775 \h </w:instrText>
      </w:r>
      <w:r>
        <w:rPr>
          <w:rFonts w:eastAsia="宋体" w:cs="Times New Roman"/>
          <w:color w:val="auto"/>
          <w:highlight w:val="none"/>
        </w:rPr>
        <w:fldChar w:fldCharType="separate"/>
      </w:r>
      <w:r>
        <w:rPr>
          <w:rFonts w:eastAsia="宋体" w:cs="Times New Roman"/>
          <w:color w:val="auto"/>
          <w:highlight w:val="none"/>
        </w:rPr>
        <w:t>35</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4781B3E3">
      <w:pPr>
        <w:pStyle w:val="12"/>
        <w:tabs>
          <w:tab w:val="right" w:leader="dot" w:pos="8503"/>
        </w:tabs>
        <w:spacing w:before="0" w:after="0"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_Toc7302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szCs w:val="32"/>
          <w:highlight w:val="none"/>
        </w:rPr>
        <w:t>（另册）</w:t>
      </w:r>
      <w:r>
        <w:rPr>
          <w:rFonts w:hint="eastAsia" w:ascii="宋体" w:hAnsi="宋体" w:eastAsia="宋体" w:cs="宋体"/>
          <w:color w:val="auto"/>
          <w:szCs w:val="44"/>
          <w:highlight w:val="none"/>
        </w:rPr>
        <w:t>第五章  招标人要求</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_Toc7302 \h </w:instrText>
      </w:r>
      <w:r>
        <w:rPr>
          <w:rFonts w:eastAsia="宋体" w:cs="Times New Roman"/>
          <w:color w:val="auto"/>
          <w:highlight w:val="none"/>
        </w:rPr>
        <w:fldChar w:fldCharType="separate"/>
      </w:r>
      <w:r>
        <w:rPr>
          <w:rFonts w:eastAsia="宋体" w:cs="Times New Roman"/>
          <w:color w:val="auto"/>
          <w:highlight w:val="none"/>
        </w:rPr>
        <w:t>35</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6CFCF825">
      <w:pPr>
        <w:pStyle w:val="12"/>
        <w:tabs>
          <w:tab w:val="right" w:leader="dot" w:pos="8503"/>
        </w:tabs>
        <w:spacing w:before="0" w:after="0"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_Toc12654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val="0"/>
          <w:color w:val="auto"/>
          <w:szCs w:val="44"/>
          <w:highlight w:val="none"/>
        </w:rPr>
        <w:t xml:space="preserve">第六章 </w:t>
      </w:r>
      <w:r>
        <w:rPr>
          <w:rFonts w:hint="eastAsia" w:ascii="宋体" w:hAnsi="宋体" w:eastAsia="宋体" w:cs="宋体"/>
          <w:color w:val="auto"/>
          <w:szCs w:val="44"/>
          <w:highlight w:val="none"/>
        </w:rPr>
        <w:t>工程量清单</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_Toc12654 \h </w:instrText>
      </w:r>
      <w:r>
        <w:rPr>
          <w:rFonts w:eastAsia="宋体" w:cs="Times New Roman"/>
          <w:color w:val="auto"/>
          <w:highlight w:val="none"/>
        </w:rPr>
        <w:fldChar w:fldCharType="separate"/>
      </w:r>
      <w:r>
        <w:rPr>
          <w:rFonts w:eastAsia="宋体" w:cs="Times New Roman"/>
          <w:color w:val="auto"/>
          <w:highlight w:val="none"/>
        </w:rPr>
        <w:t>37</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3351CE90">
      <w:pPr>
        <w:pStyle w:val="12"/>
        <w:tabs>
          <w:tab w:val="right" w:leader="dot" w:pos="8503"/>
        </w:tabs>
        <w:spacing w:before="0" w:after="0"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_Toc18657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highlight w:val="none"/>
        </w:rPr>
        <w:t>第七章  投标文件格式</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_Toc18657 \h </w:instrText>
      </w:r>
      <w:r>
        <w:rPr>
          <w:rFonts w:eastAsia="宋体" w:cs="Times New Roman"/>
          <w:color w:val="auto"/>
          <w:highlight w:val="none"/>
        </w:rPr>
        <w:fldChar w:fldCharType="separate"/>
      </w:r>
      <w:r>
        <w:rPr>
          <w:rFonts w:eastAsia="宋体" w:cs="Times New Roman"/>
          <w:color w:val="auto"/>
          <w:highlight w:val="none"/>
        </w:rPr>
        <w:t>39</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110F3D69">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_Toc7606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highlight w:val="none"/>
        </w:rPr>
        <w:t>一、</w:t>
      </w:r>
      <w:r>
        <w:rPr>
          <w:rFonts w:hint="eastAsia" w:ascii="宋体" w:hAnsi="宋体" w:eastAsia="宋体" w:cs="宋体"/>
          <w:bCs/>
          <w:color w:val="auto"/>
          <w:szCs w:val="32"/>
          <w:highlight w:val="none"/>
        </w:rPr>
        <w:t>投标函及投标函附录</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_Toc7606 \h </w:instrText>
      </w:r>
      <w:r>
        <w:rPr>
          <w:rFonts w:eastAsia="宋体" w:cs="Times New Roman"/>
          <w:color w:val="auto"/>
          <w:highlight w:val="none"/>
        </w:rPr>
        <w:fldChar w:fldCharType="separate"/>
      </w:r>
      <w:r>
        <w:rPr>
          <w:rFonts w:eastAsia="宋体" w:cs="Times New Roman"/>
          <w:color w:val="auto"/>
          <w:highlight w:val="none"/>
        </w:rPr>
        <w:t>41</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7314C524">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_Toc13471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二、法定代表人证明书及授权委托书</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_Toc13471 \h </w:instrText>
      </w:r>
      <w:r>
        <w:rPr>
          <w:rFonts w:eastAsia="宋体" w:cs="Times New Roman"/>
          <w:color w:val="auto"/>
          <w:highlight w:val="none"/>
        </w:rPr>
        <w:fldChar w:fldCharType="separate"/>
      </w:r>
      <w:r>
        <w:rPr>
          <w:rFonts w:eastAsia="宋体" w:cs="Times New Roman"/>
          <w:color w:val="auto"/>
          <w:highlight w:val="none"/>
        </w:rPr>
        <w:t>43</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7B239F7B">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_Toc15064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三、关于投标保证金的承诺</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_Toc15064 \h </w:instrText>
      </w:r>
      <w:r>
        <w:rPr>
          <w:rFonts w:eastAsia="宋体" w:cs="Times New Roman"/>
          <w:color w:val="auto"/>
          <w:highlight w:val="none"/>
        </w:rPr>
        <w:fldChar w:fldCharType="separate"/>
      </w:r>
      <w:r>
        <w:rPr>
          <w:rFonts w:eastAsia="宋体" w:cs="Times New Roman"/>
          <w:color w:val="auto"/>
          <w:highlight w:val="none"/>
        </w:rPr>
        <w:t>44</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3F6F5DB7">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_Toc26045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四、联合体协议书（如有）</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_Toc26045 \h </w:instrText>
      </w:r>
      <w:r>
        <w:rPr>
          <w:rFonts w:eastAsia="宋体" w:cs="Times New Roman"/>
          <w:color w:val="auto"/>
          <w:highlight w:val="none"/>
        </w:rPr>
        <w:fldChar w:fldCharType="separate"/>
      </w:r>
      <w:r>
        <w:rPr>
          <w:rFonts w:eastAsia="宋体" w:cs="Times New Roman"/>
          <w:color w:val="auto"/>
          <w:highlight w:val="none"/>
        </w:rPr>
        <w:t>45</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71568B8F">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_Toc4362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五、资格审查资料</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_Toc4362 \h </w:instrText>
      </w:r>
      <w:r>
        <w:rPr>
          <w:rFonts w:eastAsia="宋体" w:cs="Times New Roman"/>
          <w:color w:val="auto"/>
          <w:highlight w:val="none"/>
        </w:rPr>
        <w:fldChar w:fldCharType="separate"/>
      </w:r>
      <w:r>
        <w:rPr>
          <w:rFonts w:eastAsia="宋体" w:cs="Times New Roman"/>
          <w:color w:val="auto"/>
          <w:highlight w:val="none"/>
        </w:rPr>
        <w:t>46</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0BC90509">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_Toc7456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六、类似项目业绩表</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_Toc7456 \h </w:instrText>
      </w:r>
      <w:r>
        <w:rPr>
          <w:rFonts w:eastAsia="宋体" w:cs="Times New Roman"/>
          <w:color w:val="auto"/>
          <w:highlight w:val="none"/>
        </w:rPr>
        <w:fldChar w:fldCharType="separate"/>
      </w:r>
      <w:r>
        <w:rPr>
          <w:rFonts w:eastAsia="宋体" w:cs="Times New Roman"/>
          <w:color w:val="auto"/>
          <w:highlight w:val="none"/>
        </w:rPr>
        <w:t>48</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7DBD42F2">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_Toc22808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highlight w:val="none"/>
        </w:rPr>
        <w:t>七、拟投入本项目的人员一览表</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_Toc22808 \h </w:instrText>
      </w:r>
      <w:r>
        <w:rPr>
          <w:rFonts w:eastAsia="宋体" w:cs="Times New Roman"/>
          <w:color w:val="auto"/>
          <w:highlight w:val="none"/>
        </w:rPr>
        <w:fldChar w:fldCharType="separate"/>
      </w:r>
      <w:r>
        <w:rPr>
          <w:rFonts w:eastAsia="宋体" w:cs="Times New Roman"/>
          <w:color w:val="auto"/>
          <w:highlight w:val="none"/>
        </w:rPr>
        <w:t>49</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1555B28D">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_Toc9717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highlight w:val="none"/>
        </w:rPr>
        <w:t>八、拟投入本项目的人员简历表</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_Toc9717 \h </w:instrText>
      </w:r>
      <w:r>
        <w:rPr>
          <w:rFonts w:eastAsia="宋体" w:cs="Times New Roman"/>
          <w:color w:val="auto"/>
          <w:highlight w:val="none"/>
        </w:rPr>
        <w:fldChar w:fldCharType="separate"/>
      </w:r>
      <w:r>
        <w:rPr>
          <w:rFonts w:eastAsia="宋体" w:cs="Times New Roman"/>
          <w:color w:val="auto"/>
          <w:highlight w:val="none"/>
        </w:rPr>
        <w:t>50</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50B69502">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_Toc6338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color w:val="auto"/>
          <w:highlight w:val="none"/>
        </w:rPr>
        <w:t>九、拟投入本项目的主要仪器设备一览表</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_Toc6338 \h </w:instrText>
      </w:r>
      <w:r>
        <w:rPr>
          <w:rFonts w:eastAsia="宋体" w:cs="Times New Roman"/>
          <w:color w:val="auto"/>
          <w:highlight w:val="none"/>
        </w:rPr>
        <w:fldChar w:fldCharType="separate"/>
      </w:r>
      <w:r>
        <w:rPr>
          <w:rFonts w:eastAsia="宋体" w:cs="Times New Roman"/>
          <w:color w:val="auto"/>
          <w:highlight w:val="none"/>
        </w:rPr>
        <w:t>51</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4506EE60">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_Toc24856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十、检测监测技术方案</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_Toc24856 \h </w:instrText>
      </w:r>
      <w:r>
        <w:rPr>
          <w:rFonts w:eastAsia="宋体" w:cs="Times New Roman"/>
          <w:color w:val="auto"/>
          <w:highlight w:val="none"/>
        </w:rPr>
        <w:fldChar w:fldCharType="separate"/>
      </w:r>
      <w:r>
        <w:rPr>
          <w:rFonts w:eastAsia="宋体" w:cs="Times New Roman"/>
          <w:color w:val="auto"/>
          <w:highlight w:val="none"/>
        </w:rPr>
        <w:t>52</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7AE267E4">
      <w:pPr>
        <w:pStyle w:val="13"/>
        <w:tabs>
          <w:tab w:val="right" w:leader="dot" w:pos="8503"/>
        </w:tabs>
        <w:spacing w:line="360" w:lineRule="auto"/>
        <w:rPr>
          <w:rFonts w:eastAsia="宋体" w:cs="Times New Roman"/>
          <w:color w:val="auto"/>
          <w:highlight w:val="none"/>
        </w:rPr>
      </w:pPr>
      <w:r>
        <w:rPr>
          <w:rFonts w:hint="eastAsia" w:ascii="宋体" w:hAnsi="宋体" w:eastAsia="宋体" w:cs="宋体"/>
          <w:color w:val="auto"/>
          <w:kern w:val="44"/>
          <w:szCs w:val="21"/>
          <w:highlight w:val="none"/>
        </w:rPr>
        <w:fldChar w:fldCharType="begin"/>
      </w:r>
      <w:r>
        <w:rPr>
          <w:rFonts w:hint="eastAsia" w:ascii="宋体" w:hAnsi="宋体" w:eastAsia="宋体" w:cs="宋体"/>
          <w:color w:val="auto"/>
          <w:kern w:val="44"/>
          <w:szCs w:val="21"/>
          <w:highlight w:val="none"/>
        </w:rPr>
        <w:instrText xml:space="preserve"> HYPERLINK \l _Toc24338 </w:instrText>
      </w:r>
      <w:r>
        <w:rPr>
          <w:rFonts w:hint="eastAsia" w:ascii="宋体" w:hAnsi="宋体" w:eastAsia="宋体" w:cs="宋体"/>
          <w:color w:val="auto"/>
          <w:kern w:val="44"/>
          <w:szCs w:val="21"/>
          <w:highlight w:val="none"/>
        </w:rPr>
        <w:fldChar w:fldCharType="separate"/>
      </w:r>
      <w:r>
        <w:rPr>
          <w:rFonts w:hint="eastAsia" w:ascii="宋体" w:hAnsi="宋体" w:eastAsia="宋体" w:cs="宋体"/>
          <w:bCs/>
          <w:color w:val="auto"/>
          <w:szCs w:val="32"/>
          <w:highlight w:val="none"/>
        </w:rPr>
        <w:t>十一、投标人认为应该提供的其他资料</w:t>
      </w:r>
      <w:r>
        <w:rPr>
          <w:rFonts w:eastAsia="宋体" w:cs="Times New Roman"/>
          <w:color w:val="auto"/>
          <w:highlight w:val="none"/>
        </w:rPr>
        <w:tab/>
      </w:r>
      <w:r>
        <w:rPr>
          <w:rFonts w:eastAsia="宋体" w:cs="Times New Roman"/>
          <w:color w:val="auto"/>
          <w:highlight w:val="none"/>
        </w:rPr>
        <w:fldChar w:fldCharType="begin"/>
      </w:r>
      <w:r>
        <w:rPr>
          <w:rFonts w:eastAsia="宋体" w:cs="Times New Roman"/>
          <w:color w:val="auto"/>
          <w:highlight w:val="none"/>
        </w:rPr>
        <w:instrText xml:space="preserve"> PAGEREF _Toc24338 \h </w:instrText>
      </w:r>
      <w:r>
        <w:rPr>
          <w:rFonts w:eastAsia="宋体" w:cs="Times New Roman"/>
          <w:color w:val="auto"/>
          <w:highlight w:val="none"/>
        </w:rPr>
        <w:fldChar w:fldCharType="separate"/>
      </w:r>
      <w:r>
        <w:rPr>
          <w:rFonts w:eastAsia="宋体" w:cs="Times New Roman"/>
          <w:color w:val="auto"/>
          <w:highlight w:val="none"/>
        </w:rPr>
        <w:t>53</w:t>
      </w:r>
      <w:r>
        <w:rPr>
          <w:rFonts w:eastAsia="宋体" w:cs="Times New Roman"/>
          <w:color w:val="auto"/>
          <w:highlight w:val="none"/>
        </w:rPr>
        <w:fldChar w:fldCharType="end"/>
      </w:r>
      <w:r>
        <w:rPr>
          <w:rFonts w:hint="eastAsia" w:ascii="宋体" w:hAnsi="宋体" w:eastAsia="宋体" w:cs="宋体"/>
          <w:color w:val="auto"/>
          <w:kern w:val="44"/>
          <w:szCs w:val="21"/>
          <w:highlight w:val="none"/>
        </w:rPr>
        <w:fldChar w:fldCharType="end"/>
      </w:r>
    </w:p>
    <w:p w14:paraId="0685810B">
      <w:pPr>
        <w:spacing w:line="360" w:lineRule="auto"/>
        <w:rPr>
          <w:rFonts w:hint="eastAsia" w:ascii="宋体" w:hAnsi="宋体" w:cs="宋体"/>
          <w:b/>
          <w:bCs/>
          <w:color w:val="auto"/>
          <w:sz w:val="24"/>
          <w:szCs w:val="24"/>
          <w:highlight w:val="none"/>
        </w:rPr>
        <w:sectPr>
          <w:footerReference r:id="rId4" w:type="default"/>
          <w:pgSz w:w="11905" w:h="16838"/>
          <w:pgMar w:top="1418" w:right="1701" w:bottom="1418" w:left="1701" w:header="851" w:footer="794" w:gutter="0"/>
          <w:cols w:space="720" w:num="1"/>
          <w:docGrid w:type="lines" w:linePitch="312" w:charSpace="0"/>
        </w:sectPr>
      </w:pPr>
      <w:r>
        <w:rPr>
          <w:rFonts w:hint="eastAsia" w:ascii="宋体" w:hAnsi="宋体" w:eastAsia="宋体" w:cs="宋体"/>
          <w:color w:val="auto"/>
          <w:kern w:val="44"/>
          <w:szCs w:val="21"/>
          <w:highlight w:val="none"/>
        </w:rPr>
        <w:fldChar w:fldCharType="end"/>
      </w:r>
    </w:p>
    <w:p w14:paraId="12EDF58B">
      <w:pPr>
        <w:pStyle w:val="3"/>
        <w:keepNext w:val="0"/>
        <w:keepLines w:val="0"/>
        <w:numPr>
          <w:ilvl w:val="0"/>
          <w:numId w:val="1"/>
        </w:numPr>
        <w:spacing w:line="360" w:lineRule="auto"/>
        <w:jc w:val="center"/>
        <w:rPr>
          <w:rFonts w:hint="eastAsia" w:ascii="宋体" w:hAnsi="宋体" w:eastAsia="宋体" w:cs="宋体"/>
          <w:color w:val="auto"/>
          <w:highlight w:val="none"/>
        </w:rPr>
      </w:pPr>
      <w:bookmarkStart w:id="1" w:name="_Toc5050"/>
      <w:bookmarkStart w:id="2" w:name="_Toc17573"/>
      <w:bookmarkStart w:id="3" w:name="_Toc11832"/>
      <w:bookmarkStart w:id="4" w:name="_Toc8029"/>
      <w:bookmarkStart w:id="5" w:name="_Toc30437"/>
      <w:bookmarkStart w:id="6" w:name="_Toc525063243"/>
      <w:bookmarkStart w:id="7" w:name="_Toc3857"/>
      <w:bookmarkStart w:id="8" w:name="_Toc18030"/>
      <w:bookmarkStart w:id="9" w:name="_Toc532367869"/>
      <w:r>
        <w:rPr>
          <w:rFonts w:hint="eastAsia" w:ascii="宋体" w:hAnsi="宋体" w:eastAsia="宋体" w:cs="宋体"/>
          <w:color w:val="auto"/>
          <w:highlight w:val="none"/>
        </w:rPr>
        <w:t xml:space="preserve"> </w:t>
      </w:r>
      <w:bookmarkStart w:id="10" w:name="_Toc3058"/>
      <w:r>
        <w:rPr>
          <w:rFonts w:hint="eastAsia" w:ascii="宋体" w:hAnsi="宋体" w:eastAsia="宋体" w:cs="宋体"/>
          <w:color w:val="auto"/>
          <w:highlight w:val="none"/>
        </w:rPr>
        <w:t>招标公告</w:t>
      </w:r>
      <w:bookmarkEnd w:id="1"/>
      <w:bookmarkEnd w:id="2"/>
      <w:bookmarkEnd w:id="3"/>
      <w:bookmarkEnd w:id="4"/>
      <w:bookmarkEnd w:id="5"/>
      <w:bookmarkEnd w:id="6"/>
      <w:bookmarkEnd w:id="7"/>
      <w:bookmarkEnd w:id="8"/>
      <w:bookmarkEnd w:id="9"/>
      <w:bookmarkEnd w:id="10"/>
    </w:p>
    <w:p w14:paraId="277F3C3E">
      <w:pPr>
        <w:spacing w:line="360" w:lineRule="auto"/>
        <w:rPr>
          <w:rFonts w:hint="eastAsia" w:eastAsia="宋体" w:cs="Times New Roman"/>
          <w:color w:val="auto"/>
          <w:highlight w:val="none"/>
        </w:rPr>
      </w:pPr>
    </w:p>
    <w:p w14:paraId="1DA152C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广东番禺中学九年一贯制学校（番禺中学附属学校）二期工程检测监测服务招标公告（另册）</w:t>
      </w:r>
    </w:p>
    <w:p w14:paraId="4F772883">
      <w:pPr>
        <w:spacing w:line="360" w:lineRule="auto"/>
        <w:rPr>
          <w:rFonts w:hint="eastAsia" w:ascii="宋体" w:hAnsi="宋体" w:eastAsia="宋体" w:cs="宋体"/>
          <w:b/>
          <w:bCs/>
          <w:color w:val="auto"/>
          <w:sz w:val="44"/>
          <w:szCs w:val="44"/>
          <w:highlight w:val="none"/>
        </w:rPr>
      </w:pPr>
    </w:p>
    <w:p w14:paraId="0550E1CC">
      <w:pPr>
        <w:spacing w:line="360" w:lineRule="auto"/>
        <w:rPr>
          <w:rFonts w:hint="eastAsia" w:ascii="宋体" w:hAnsi="宋体" w:cs="宋体"/>
          <w:b/>
          <w:bCs/>
          <w:color w:val="auto"/>
          <w:sz w:val="44"/>
          <w:szCs w:val="44"/>
          <w:highlight w:val="none"/>
        </w:rPr>
        <w:sectPr>
          <w:footerReference r:id="rId5" w:type="default"/>
          <w:pgSz w:w="11905" w:h="16838"/>
          <w:pgMar w:top="1418" w:right="1701" w:bottom="1418" w:left="1701" w:header="851" w:footer="794" w:gutter="0"/>
          <w:cols w:space="720" w:num="1"/>
          <w:docGrid w:type="lines" w:linePitch="312" w:charSpace="0"/>
        </w:sectPr>
      </w:pPr>
    </w:p>
    <w:bookmarkEnd w:id="0"/>
    <w:p w14:paraId="796D6612">
      <w:pPr>
        <w:pStyle w:val="3"/>
        <w:keepNext w:val="0"/>
        <w:keepLines w:val="0"/>
        <w:spacing w:line="360" w:lineRule="auto"/>
        <w:jc w:val="center"/>
        <w:rPr>
          <w:rFonts w:hint="eastAsia" w:ascii="宋体" w:hAnsi="宋体" w:eastAsia="宋体" w:cs="宋体"/>
          <w:color w:val="auto"/>
          <w:highlight w:val="none"/>
        </w:rPr>
      </w:pPr>
      <w:bookmarkStart w:id="11" w:name="_Toc17191"/>
      <w:bookmarkStart w:id="12" w:name="_Toc525063244"/>
      <w:bookmarkStart w:id="13" w:name="_Toc11430"/>
      <w:bookmarkStart w:id="14" w:name="_Toc32023"/>
      <w:bookmarkStart w:id="15" w:name="_Toc8572"/>
      <w:bookmarkStart w:id="16" w:name="_Toc532367870"/>
      <w:bookmarkStart w:id="17" w:name="_Toc21577"/>
      <w:bookmarkStart w:id="18" w:name="_Toc25508"/>
      <w:bookmarkStart w:id="19" w:name="_Toc25716"/>
      <w:bookmarkStart w:id="20" w:name="_Toc10944"/>
      <w:r>
        <w:rPr>
          <w:rFonts w:hint="eastAsia" w:ascii="宋体" w:hAnsi="宋体" w:eastAsia="宋体" w:cs="宋体"/>
          <w:color w:val="auto"/>
          <w:highlight w:val="none"/>
        </w:rPr>
        <w:t>第二章  投标人须知</w:t>
      </w:r>
      <w:bookmarkEnd w:id="11"/>
      <w:bookmarkEnd w:id="12"/>
      <w:bookmarkEnd w:id="13"/>
      <w:bookmarkEnd w:id="14"/>
      <w:bookmarkEnd w:id="15"/>
      <w:bookmarkEnd w:id="16"/>
      <w:bookmarkEnd w:id="17"/>
      <w:bookmarkEnd w:id="18"/>
      <w:bookmarkEnd w:id="19"/>
      <w:bookmarkEnd w:id="20"/>
    </w:p>
    <w:p w14:paraId="4594B397">
      <w:pPr>
        <w:pStyle w:val="4"/>
        <w:keepNext w:val="0"/>
        <w:keepLines w:val="0"/>
        <w:spacing w:before="0" w:after="0" w:line="360" w:lineRule="auto"/>
        <w:jc w:val="center"/>
        <w:rPr>
          <w:rFonts w:hint="eastAsia" w:ascii="宋体" w:hAnsi="宋体" w:eastAsia="宋体" w:cs="宋体"/>
          <w:color w:val="auto"/>
          <w:sz w:val="36"/>
          <w:szCs w:val="36"/>
          <w:highlight w:val="none"/>
        </w:rPr>
      </w:pPr>
      <w:bookmarkStart w:id="21" w:name="_Toc532367871"/>
      <w:bookmarkStart w:id="22" w:name="_Toc16303"/>
      <w:bookmarkStart w:id="23" w:name="_Toc21151"/>
      <w:bookmarkStart w:id="24" w:name="_Toc32479"/>
      <w:bookmarkStart w:id="25" w:name="_Toc25024"/>
      <w:bookmarkStart w:id="26" w:name="_Toc25608"/>
      <w:bookmarkStart w:id="27" w:name="_Toc25358"/>
      <w:bookmarkStart w:id="28" w:name="_Toc390"/>
      <w:bookmarkStart w:id="29" w:name="_Toc525063245"/>
      <w:bookmarkStart w:id="30" w:name="_Toc24433"/>
      <w:r>
        <w:rPr>
          <w:rFonts w:hint="eastAsia" w:ascii="宋体" w:hAnsi="宋体" w:eastAsia="宋体" w:cs="宋体"/>
          <w:color w:val="auto"/>
          <w:sz w:val="36"/>
          <w:szCs w:val="36"/>
          <w:highlight w:val="none"/>
        </w:rPr>
        <w:t>投标人须知前附表</w:t>
      </w:r>
      <w:bookmarkEnd w:id="21"/>
      <w:bookmarkEnd w:id="22"/>
      <w:bookmarkEnd w:id="23"/>
      <w:bookmarkEnd w:id="24"/>
      <w:bookmarkEnd w:id="25"/>
      <w:bookmarkEnd w:id="26"/>
      <w:bookmarkEnd w:id="27"/>
      <w:bookmarkEnd w:id="28"/>
      <w:bookmarkEnd w:id="29"/>
      <w:bookmarkEnd w:id="30"/>
    </w:p>
    <w:tbl>
      <w:tblPr>
        <w:tblStyle w:val="16"/>
        <w:tblW w:w="93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2613"/>
        <w:gridCol w:w="5774"/>
      </w:tblGrid>
      <w:tr w14:paraId="12A279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tblHeader/>
          <w:jc w:val="center"/>
        </w:trPr>
        <w:tc>
          <w:tcPr>
            <w:tcW w:w="959" w:type="dxa"/>
            <w:noWrap w:val="0"/>
            <w:vAlign w:val="center"/>
          </w:tcPr>
          <w:p w14:paraId="40F2ACBE">
            <w:pPr>
              <w:snapToGri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613" w:type="dxa"/>
            <w:noWrap w:val="0"/>
            <w:vAlign w:val="center"/>
          </w:tcPr>
          <w:p w14:paraId="36012345">
            <w:pPr>
              <w:snapToGri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774" w:type="dxa"/>
            <w:noWrap w:val="0"/>
            <w:vAlign w:val="center"/>
          </w:tcPr>
          <w:p w14:paraId="05F32D1E">
            <w:pPr>
              <w:snapToGri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078ED1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2" w:hRule="atLeast"/>
          <w:jc w:val="center"/>
        </w:trPr>
        <w:tc>
          <w:tcPr>
            <w:tcW w:w="959" w:type="dxa"/>
            <w:noWrap w:val="0"/>
            <w:vAlign w:val="center"/>
          </w:tcPr>
          <w:p w14:paraId="567C203B">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613" w:type="dxa"/>
            <w:noWrap w:val="0"/>
            <w:vAlign w:val="center"/>
          </w:tcPr>
          <w:p w14:paraId="6D9E2C5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5774" w:type="dxa"/>
            <w:noWrap w:val="0"/>
            <w:vAlign w:val="center"/>
          </w:tcPr>
          <w:p w14:paraId="0F006A97">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广州市番禺区基本建设投资管理中心</w:t>
            </w:r>
          </w:p>
          <w:p w14:paraId="1823E67F">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广州市番禺区清河东路319号西副楼六楼</w:t>
            </w:r>
          </w:p>
          <w:p w14:paraId="65CDFDC4">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周工</w:t>
            </w:r>
          </w:p>
          <w:p w14:paraId="2B42E72C">
            <w:pPr>
              <w:snapToGrid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ascii="宋体" w:hAnsi="宋体" w:eastAsia="宋体" w:cs="宋体"/>
                <w:color w:val="auto"/>
                <w:szCs w:val="21"/>
                <w:highlight w:val="none"/>
                <w:u w:val="single"/>
              </w:rPr>
              <w:t>020-84612339</w:t>
            </w:r>
          </w:p>
        </w:tc>
      </w:tr>
      <w:tr w14:paraId="456C88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959" w:type="dxa"/>
            <w:noWrap w:val="0"/>
            <w:vAlign w:val="center"/>
          </w:tcPr>
          <w:p w14:paraId="38E3B6D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2613" w:type="dxa"/>
            <w:noWrap w:val="0"/>
            <w:vAlign w:val="center"/>
          </w:tcPr>
          <w:p w14:paraId="41F6D70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5774" w:type="dxa"/>
            <w:noWrap w:val="0"/>
            <w:vAlign w:val="center"/>
          </w:tcPr>
          <w:p w14:paraId="3A0CFDC3">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名称：广东粤能工程管理有限公司 </w:t>
            </w:r>
          </w:p>
          <w:p w14:paraId="5AEC269C">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地址：广州市天河区华观路明旭街1号自编B1-2栋12楼</w:t>
            </w:r>
          </w:p>
          <w:p w14:paraId="0F73DD3C">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联系人：李工</w:t>
            </w:r>
          </w:p>
          <w:p w14:paraId="14067F6C">
            <w:pPr>
              <w:snapToGrid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电话：020-38730932-8013</w:t>
            </w:r>
          </w:p>
        </w:tc>
      </w:tr>
      <w:tr w14:paraId="2A6C0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noWrap w:val="0"/>
            <w:vAlign w:val="center"/>
          </w:tcPr>
          <w:p w14:paraId="09C89ED9">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613" w:type="dxa"/>
            <w:noWrap w:val="0"/>
            <w:vAlign w:val="center"/>
          </w:tcPr>
          <w:p w14:paraId="6EA4F807">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招标项目名称</w:t>
            </w:r>
          </w:p>
        </w:tc>
        <w:tc>
          <w:tcPr>
            <w:tcW w:w="5774" w:type="dxa"/>
            <w:noWrap w:val="0"/>
            <w:vAlign w:val="center"/>
          </w:tcPr>
          <w:p w14:paraId="5C167529">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广东番禺中学九年一贯制学校（番禺中学附属学校）二期工程检测监测服务</w:t>
            </w:r>
          </w:p>
        </w:tc>
      </w:tr>
      <w:tr w14:paraId="77800E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noWrap w:val="0"/>
            <w:vAlign w:val="center"/>
          </w:tcPr>
          <w:p w14:paraId="09EE6DF2">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2613" w:type="dxa"/>
            <w:noWrap w:val="0"/>
            <w:vAlign w:val="center"/>
          </w:tcPr>
          <w:p w14:paraId="7AB107EA">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项目建设地点</w:t>
            </w:r>
          </w:p>
        </w:tc>
        <w:tc>
          <w:tcPr>
            <w:tcW w:w="5774" w:type="dxa"/>
            <w:noWrap w:val="0"/>
            <w:vAlign w:val="center"/>
          </w:tcPr>
          <w:p w14:paraId="1D9D36F8">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6EED56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noWrap w:val="0"/>
            <w:vAlign w:val="center"/>
          </w:tcPr>
          <w:p w14:paraId="6B54DFFF">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2613" w:type="dxa"/>
            <w:noWrap w:val="0"/>
            <w:vAlign w:val="center"/>
          </w:tcPr>
          <w:p w14:paraId="3315FB5A">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项目建设规模</w:t>
            </w:r>
          </w:p>
        </w:tc>
        <w:tc>
          <w:tcPr>
            <w:tcW w:w="5774" w:type="dxa"/>
            <w:noWrap w:val="0"/>
            <w:vAlign w:val="center"/>
          </w:tcPr>
          <w:p w14:paraId="2E3FBEFF">
            <w:pPr>
              <w:snapToGrid w:val="0"/>
              <w:spacing w:line="276" w:lineRule="auto"/>
              <w:ind w:right="106"/>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17F45A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6" w:hRule="atLeast"/>
          <w:jc w:val="center"/>
        </w:trPr>
        <w:tc>
          <w:tcPr>
            <w:tcW w:w="959" w:type="dxa"/>
            <w:noWrap w:val="0"/>
            <w:vAlign w:val="center"/>
          </w:tcPr>
          <w:p w14:paraId="5433436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1.1.7</w:t>
            </w:r>
          </w:p>
        </w:tc>
        <w:tc>
          <w:tcPr>
            <w:tcW w:w="2613" w:type="dxa"/>
            <w:noWrap w:val="0"/>
            <w:vAlign w:val="center"/>
          </w:tcPr>
          <w:p w14:paraId="748A46D0">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工程项目施工预计开工日期和建设周期</w:t>
            </w:r>
          </w:p>
        </w:tc>
        <w:tc>
          <w:tcPr>
            <w:tcW w:w="5774" w:type="dxa"/>
            <w:noWrap w:val="0"/>
            <w:vAlign w:val="center"/>
          </w:tcPr>
          <w:p w14:paraId="523D00A1">
            <w:pPr>
              <w:pStyle w:val="5"/>
              <w:spacing w:before="0" w:after="0" w:line="276" w:lineRule="auto"/>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工程项目施工预计开工日期：具体以招标人通知为准。</w:t>
            </w:r>
          </w:p>
          <w:p w14:paraId="589F7553">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建设周期为630日历天</w:t>
            </w:r>
            <w:r>
              <w:rPr>
                <w:rFonts w:hint="eastAsia" w:ascii="宋体" w:hAnsi="宋体" w:eastAsia="宋体" w:cs="宋体"/>
                <w:color w:val="auto"/>
                <w:szCs w:val="21"/>
                <w:highlight w:val="none"/>
              </w:rPr>
              <w:t>。服务期限：自招标人书面通知进场至项目完成竣工验收备案为止，服务周期必须满足实际施工要求和验收要求。</w:t>
            </w:r>
          </w:p>
        </w:tc>
      </w:tr>
      <w:tr w14:paraId="726050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959" w:type="dxa"/>
            <w:noWrap w:val="0"/>
            <w:vAlign w:val="center"/>
          </w:tcPr>
          <w:p w14:paraId="4FB121E0">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1.1.8</w:t>
            </w:r>
          </w:p>
        </w:tc>
        <w:tc>
          <w:tcPr>
            <w:tcW w:w="2613" w:type="dxa"/>
            <w:noWrap w:val="0"/>
            <w:vAlign w:val="center"/>
          </w:tcPr>
          <w:p w14:paraId="5F996E27">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建筑安装工程费/工程概算</w:t>
            </w:r>
          </w:p>
        </w:tc>
        <w:tc>
          <w:tcPr>
            <w:tcW w:w="5774" w:type="dxa"/>
            <w:noWrap w:val="0"/>
            <w:vAlign w:val="center"/>
          </w:tcPr>
          <w:p w14:paraId="08D97B74">
            <w:pPr>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423B75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noWrap w:val="0"/>
            <w:vAlign w:val="center"/>
          </w:tcPr>
          <w:p w14:paraId="4DF1C30A">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2613" w:type="dxa"/>
            <w:noWrap w:val="0"/>
            <w:vAlign w:val="center"/>
          </w:tcPr>
          <w:p w14:paraId="36835A1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5774" w:type="dxa"/>
            <w:noWrap w:val="0"/>
            <w:vAlign w:val="center"/>
          </w:tcPr>
          <w:p w14:paraId="5AFCAFF0">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4B078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noWrap w:val="0"/>
            <w:vAlign w:val="center"/>
          </w:tcPr>
          <w:p w14:paraId="09D74CAB">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613" w:type="dxa"/>
            <w:noWrap w:val="0"/>
            <w:vAlign w:val="center"/>
          </w:tcPr>
          <w:p w14:paraId="7188C6DE">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5774" w:type="dxa"/>
            <w:noWrap w:val="0"/>
            <w:vAlign w:val="center"/>
          </w:tcPr>
          <w:p w14:paraId="6350E4E4">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6EA656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noWrap w:val="0"/>
            <w:vAlign w:val="center"/>
          </w:tcPr>
          <w:p w14:paraId="4F2DE1D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613" w:type="dxa"/>
            <w:noWrap w:val="0"/>
            <w:vAlign w:val="center"/>
          </w:tcPr>
          <w:p w14:paraId="05811E69">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5774" w:type="dxa"/>
            <w:noWrap w:val="0"/>
            <w:vAlign w:val="center"/>
          </w:tcPr>
          <w:p w14:paraId="1B6FD9D3">
            <w:pPr>
              <w:snapToGrid w:val="0"/>
              <w:spacing w:line="276" w:lineRule="auto"/>
              <w:ind w:right="106"/>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5AD34F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59" w:type="dxa"/>
            <w:noWrap w:val="0"/>
            <w:vAlign w:val="center"/>
          </w:tcPr>
          <w:p w14:paraId="3111F952">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2613" w:type="dxa"/>
            <w:noWrap w:val="0"/>
            <w:vAlign w:val="center"/>
          </w:tcPr>
          <w:p w14:paraId="3B669C6C">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5774" w:type="dxa"/>
            <w:noWrap w:val="0"/>
            <w:vAlign w:val="center"/>
          </w:tcPr>
          <w:p w14:paraId="482D58A5">
            <w:pPr>
              <w:snapToGrid w:val="0"/>
              <w:spacing w:line="276" w:lineRule="auto"/>
              <w:ind w:right="106"/>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自招标人书面通知进场至项目完成竣工验收备案为止，服务周期必须满足实际施工要求和验收要求。</w:t>
            </w:r>
          </w:p>
        </w:tc>
      </w:tr>
      <w:tr w14:paraId="10C288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959" w:type="dxa"/>
            <w:noWrap w:val="0"/>
            <w:vAlign w:val="center"/>
          </w:tcPr>
          <w:p w14:paraId="1F74AC6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2613" w:type="dxa"/>
            <w:noWrap w:val="0"/>
            <w:vAlign w:val="center"/>
          </w:tcPr>
          <w:p w14:paraId="6FD6B6D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774" w:type="dxa"/>
            <w:noWrap w:val="0"/>
            <w:vAlign w:val="center"/>
          </w:tcPr>
          <w:p w14:paraId="0FC9A83A">
            <w:pPr>
              <w:pStyle w:val="14"/>
              <w:snapToGrid w:val="0"/>
              <w:spacing w:after="0" w:line="276"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符合国家和省、市检测和监测规范和规章制度要求。</w:t>
            </w:r>
          </w:p>
        </w:tc>
      </w:tr>
      <w:tr w14:paraId="3D03D4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959" w:type="dxa"/>
            <w:noWrap w:val="0"/>
            <w:vAlign w:val="center"/>
          </w:tcPr>
          <w:p w14:paraId="2F621E26">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2613" w:type="dxa"/>
            <w:noWrap w:val="0"/>
            <w:vAlign w:val="center"/>
          </w:tcPr>
          <w:p w14:paraId="5488A37F">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投标人资质条件、能力、信誉</w:t>
            </w:r>
          </w:p>
        </w:tc>
        <w:tc>
          <w:tcPr>
            <w:tcW w:w="5774" w:type="dxa"/>
            <w:noWrap w:val="0"/>
            <w:vAlign w:val="center"/>
          </w:tcPr>
          <w:p w14:paraId="7F58B9AB">
            <w:pPr>
              <w:snapToGrid w:val="0"/>
              <w:spacing w:line="276" w:lineRule="auto"/>
              <w:ind w:firstLine="29" w:firstLine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（1）资质要求：详见招标公告投标人资格要求。</w:t>
            </w:r>
          </w:p>
          <w:p w14:paraId="14ECC75F">
            <w:pPr>
              <w:snapToGrid w:val="0"/>
              <w:spacing w:line="276" w:lineRule="auto"/>
              <w:ind w:firstLine="29" w:firstLine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（2）财务要求：/（不作为资格审查内容）</w:t>
            </w:r>
          </w:p>
          <w:p w14:paraId="058A37E0">
            <w:pPr>
              <w:snapToGrid w:val="0"/>
              <w:spacing w:line="276" w:lineRule="auto"/>
              <w:ind w:right="106"/>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（3）业绩要求：/（不作为资格审查内容）</w:t>
            </w:r>
          </w:p>
          <w:p w14:paraId="7DFC5FA0">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（4）信誉要求：/（不作为资格审查内容）</w:t>
            </w:r>
          </w:p>
          <w:p w14:paraId="36730330">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（5）项目负责人的资格要求：详见招标公告投标人资格要求。</w:t>
            </w:r>
          </w:p>
          <w:p w14:paraId="45A9D368">
            <w:pPr>
              <w:snapToGrid w:val="0"/>
              <w:spacing w:line="276" w:lineRule="auto"/>
              <w:ind w:right="106"/>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（6）其他主要人员要求：/（不作为资格审查内容）</w:t>
            </w:r>
          </w:p>
          <w:p w14:paraId="36DF7344">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（7）试验仪器设备要求：/（不作为资格审查内容）</w:t>
            </w:r>
          </w:p>
          <w:p w14:paraId="70F23F19">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（8）其他要求：见招标公告投标人资格要求。</w:t>
            </w:r>
          </w:p>
        </w:tc>
      </w:tr>
      <w:tr w14:paraId="0A48B5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959" w:type="dxa"/>
            <w:noWrap w:val="0"/>
            <w:vAlign w:val="center"/>
          </w:tcPr>
          <w:p w14:paraId="1AE50C57">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2613" w:type="dxa"/>
            <w:noWrap w:val="0"/>
            <w:vAlign w:val="center"/>
          </w:tcPr>
          <w:p w14:paraId="2A8A58E7">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5774" w:type="dxa"/>
            <w:noWrap w:val="0"/>
            <w:vAlign w:val="center"/>
          </w:tcPr>
          <w:p w14:paraId="7F2DD925">
            <w:pPr>
              <w:topLinePunct/>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p w14:paraId="6EA93AC1">
            <w:pPr>
              <w:topLinePunct/>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■接受，应满足</w:t>
            </w:r>
            <w:r>
              <w:rPr>
                <w:rFonts w:hint="eastAsia" w:ascii="宋体" w:hAnsi="宋体" w:eastAsia="宋体" w:cs="宋体"/>
                <w:color w:val="auto"/>
                <w:szCs w:val="21"/>
                <w:highlight w:val="none"/>
                <w:u w:val="single"/>
              </w:rPr>
              <w:t>招标公告</w:t>
            </w:r>
            <w:r>
              <w:rPr>
                <w:rFonts w:hint="eastAsia" w:ascii="宋体" w:hAnsi="宋体" w:eastAsia="宋体" w:cs="宋体"/>
                <w:color w:val="auto"/>
                <w:szCs w:val="21"/>
                <w:highlight w:val="none"/>
              </w:rPr>
              <w:t>要求</w:t>
            </w:r>
          </w:p>
        </w:tc>
      </w:tr>
      <w:tr w14:paraId="76C674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959" w:type="dxa"/>
            <w:noWrap w:val="0"/>
            <w:vAlign w:val="center"/>
          </w:tcPr>
          <w:p w14:paraId="53FEC79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w:t>
            </w:r>
          </w:p>
        </w:tc>
        <w:tc>
          <w:tcPr>
            <w:tcW w:w="2613" w:type="dxa"/>
            <w:noWrap w:val="0"/>
            <w:vAlign w:val="center"/>
          </w:tcPr>
          <w:p w14:paraId="2329E7F7">
            <w:pPr>
              <w:snapToGrid w:val="0"/>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投标人不得存在的其他情形</w:t>
            </w:r>
          </w:p>
        </w:tc>
        <w:tc>
          <w:tcPr>
            <w:tcW w:w="5774" w:type="dxa"/>
            <w:noWrap w:val="0"/>
            <w:vAlign w:val="center"/>
          </w:tcPr>
          <w:p w14:paraId="422719CC">
            <w:pPr>
              <w:pStyle w:val="14"/>
              <w:spacing w:after="0" w:line="276"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507C7E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59" w:type="dxa"/>
            <w:noWrap w:val="0"/>
            <w:vAlign w:val="center"/>
          </w:tcPr>
          <w:p w14:paraId="46D212B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613" w:type="dxa"/>
            <w:noWrap w:val="0"/>
            <w:vAlign w:val="center"/>
          </w:tcPr>
          <w:p w14:paraId="16BC3439">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774" w:type="dxa"/>
            <w:noWrap w:val="0"/>
            <w:vAlign w:val="center"/>
          </w:tcPr>
          <w:p w14:paraId="557824FF">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■不组织</w:t>
            </w:r>
          </w:p>
          <w:p w14:paraId="0B8D9F9B">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□组织，踏勘时间：         踏勘集中地点：</w:t>
            </w:r>
          </w:p>
        </w:tc>
      </w:tr>
      <w:tr w14:paraId="61C2A7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959" w:type="dxa"/>
            <w:noWrap w:val="0"/>
            <w:vAlign w:val="center"/>
          </w:tcPr>
          <w:p w14:paraId="12DFC003">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w:t>
            </w:r>
          </w:p>
        </w:tc>
        <w:tc>
          <w:tcPr>
            <w:tcW w:w="2613" w:type="dxa"/>
            <w:noWrap w:val="0"/>
            <w:vAlign w:val="center"/>
          </w:tcPr>
          <w:p w14:paraId="0130B46C">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5774" w:type="dxa"/>
            <w:noWrap w:val="0"/>
            <w:vAlign w:val="center"/>
          </w:tcPr>
          <w:p w14:paraId="125A22C0">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■不召开</w:t>
            </w:r>
          </w:p>
          <w:p w14:paraId="5FF7FA7F">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□召开，召开时间：         召开地点：</w:t>
            </w:r>
          </w:p>
        </w:tc>
      </w:tr>
      <w:tr w14:paraId="5FA80A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959" w:type="dxa"/>
            <w:vMerge w:val="restart"/>
            <w:noWrap w:val="0"/>
            <w:vAlign w:val="center"/>
          </w:tcPr>
          <w:p w14:paraId="64EF8A3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w:t>
            </w:r>
          </w:p>
        </w:tc>
        <w:tc>
          <w:tcPr>
            <w:tcW w:w="2613" w:type="dxa"/>
            <w:vMerge w:val="restart"/>
            <w:noWrap w:val="0"/>
            <w:vAlign w:val="center"/>
          </w:tcPr>
          <w:p w14:paraId="0C87AE02">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投标人在投标预备会前提出问题</w:t>
            </w:r>
          </w:p>
        </w:tc>
        <w:tc>
          <w:tcPr>
            <w:tcW w:w="5774" w:type="dxa"/>
            <w:noWrap w:val="0"/>
            <w:vAlign w:val="center"/>
          </w:tcPr>
          <w:p w14:paraId="21A36346">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 xml:space="preserve"> / （本项目不召开投标预备会）</w:t>
            </w:r>
          </w:p>
        </w:tc>
      </w:tr>
      <w:tr w14:paraId="5C0417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959" w:type="dxa"/>
            <w:vMerge w:val="continue"/>
            <w:noWrap w:val="0"/>
            <w:vAlign w:val="center"/>
          </w:tcPr>
          <w:p w14:paraId="05973B38">
            <w:pPr>
              <w:keepNext/>
              <w:keepLines/>
              <w:snapToGrid w:val="0"/>
              <w:spacing w:line="276" w:lineRule="auto"/>
              <w:jc w:val="center"/>
              <w:outlineLvl w:val="2"/>
              <w:rPr>
                <w:rFonts w:hint="eastAsia" w:ascii="宋体" w:hAnsi="宋体" w:eastAsia="宋体" w:cs="宋体"/>
                <w:color w:val="auto"/>
                <w:szCs w:val="21"/>
                <w:highlight w:val="none"/>
              </w:rPr>
            </w:pPr>
          </w:p>
        </w:tc>
        <w:tc>
          <w:tcPr>
            <w:tcW w:w="2613" w:type="dxa"/>
            <w:vMerge w:val="continue"/>
            <w:noWrap w:val="0"/>
            <w:vAlign w:val="center"/>
          </w:tcPr>
          <w:p w14:paraId="1652C609">
            <w:pPr>
              <w:keepNext/>
              <w:keepLines/>
              <w:snapToGrid w:val="0"/>
              <w:spacing w:line="276" w:lineRule="auto"/>
              <w:jc w:val="center"/>
              <w:outlineLvl w:val="2"/>
              <w:rPr>
                <w:rFonts w:hint="eastAsia" w:ascii="宋体" w:hAnsi="宋体" w:eastAsia="宋体" w:cs="宋体"/>
                <w:color w:val="auto"/>
                <w:szCs w:val="21"/>
                <w:highlight w:val="none"/>
              </w:rPr>
            </w:pPr>
          </w:p>
        </w:tc>
        <w:tc>
          <w:tcPr>
            <w:tcW w:w="5774" w:type="dxa"/>
            <w:noWrap w:val="0"/>
            <w:vAlign w:val="center"/>
          </w:tcPr>
          <w:p w14:paraId="55CAD040">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 xml:space="preserve"> / （本项目不召开投标预备会）</w:t>
            </w:r>
          </w:p>
        </w:tc>
      </w:tr>
      <w:tr w14:paraId="4C622E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959" w:type="dxa"/>
            <w:noWrap w:val="0"/>
            <w:vAlign w:val="center"/>
          </w:tcPr>
          <w:p w14:paraId="3AD14AC0">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2613" w:type="dxa"/>
            <w:noWrap w:val="0"/>
            <w:vAlign w:val="center"/>
          </w:tcPr>
          <w:p w14:paraId="42186DF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5774" w:type="dxa"/>
            <w:noWrap w:val="0"/>
            <w:vAlign w:val="center"/>
          </w:tcPr>
          <w:p w14:paraId="58E43C1C">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  （不召开投标预备会，此为投标预备会的答疑澄清）</w:t>
            </w:r>
          </w:p>
        </w:tc>
      </w:tr>
      <w:tr w14:paraId="05A26D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959" w:type="dxa"/>
            <w:noWrap w:val="0"/>
            <w:vAlign w:val="center"/>
          </w:tcPr>
          <w:p w14:paraId="229B5044">
            <w:pPr>
              <w:snapToGrid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1.11</w:t>
            </w:r>
          </w:p>
        </w:tc>
        <w:tc>
          <w:tcPr>
            <w:tcW w:w="2613" w:type="dxa"/>
            <w:noWrap w:val="0"/>
            <w:vAlign w:val="center"/>
          </w:tcPr>
          <w:p w14:paraId="1FCEA507">
            <w:pPr>
              <w:snapToGrid w:val="0"/>
              <w:spacing w:line="276"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分包</w:t>
            </w:r>
          </w:p>
        </w:tc>
        <w:tc>
          <w:tcPr>
            <w:tcW w:w="5774" w:type="dxa"/>
            <w:noWrap w:val="0"/>
            <w:vAlign w:val="center"/>
          </w:tcPr>
          <w:p w14:paraId="6225D6C5">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 w:val="24"/>
                <w:szCs w:val="24"/>
                <w:highlight w:val="none"/>
                <w:u w:val="single"/>
              </w:rPr>
              <w:t>中标人需要独立完成本项目70%以上的检测工作（主要检测工作需要由中标人完成），剩余的非主要检测工作，如中标人不具备资质的，经招标人书面同意后可依法分包给具备相关资质的检测单位，但分包的检测工作不得再次分包。</w:t>
            </w:r>
            <w:r>
              <w:rPr>
                <w:rFonts w:hint="eastAsia" w:ascii="宋体" w:hAnsi="宋体" w:eastAsia="宋体" w:cs="宋体"/>
                <w:color w:val="auto"/>
                <w:sz w:val="24"/>
                <w:szCs w:val="24"/>
                <w:highlight w:val="none"/>
                <w:u w:val="single"/>
              </w:rPr>
              <w:t>分包</w:t>
            </w:r>
            <w:r>
              <w:rPr>
                <w:rFonts w:hint="eastAsia" w:ascii="宋体" w:hAnsi="宋体" w:eastAsia="宋体" w:cs="宋体"/>
                <w:color w:val="auto"/>
                <w:sz w:val="24"/>
                <w:szCs w:val="24"/>
                <w:highlight w:val="none"/>
                <w:u w:val="single"/>
              </w:rPr>
              <w:t>项目的检测质量和检测工期由中标单位负责。分包合同原则上由中标单位与另一方签订。该部分检测内容纳入中标单位合同一并进行结算。</w:t>
            </w:r>
          </w:p>
        </w:tc>
      </w:tr>
      <w:tr w14:paraId="293152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959" w:type="dxa"/>
            <w:noWrap w:val="0"/>
            <w:vAlign w:val="center"/>
          </w:tcPr>
          <w:p w14:paraId="525FF6E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w:t>
            </w:r>
          </w:p>
        </w:tc>
        <w:tc>
          <w:tcPr>
            <w:tcW w:w="2613" w:type="dxa"/>
            <w:noWrap w:val="0"/>
            <w:vAlign w:val="center"/>
          </w:tcPr>
          <w:p w14:paraId="01D033D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实质性要求和条件</w:t>
            </w:r>
          </w:p>
        </w:tc>
        <w:tc>
          <w:tcPr>
            <w:tcW w:w="5774" w:type="dxa"/>
            <w:noWrap w:val="0"/>
            <w:vAlign w:val="center"/>
          </w:tcPr>
          <w:p w14:paraId="783776B6">
            <w:pPr>
              <w:pStyle w:val="7"/>
              <w:topLinePunct/>
              <w:snapToGrid w:val="0"/>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u w:val="single"/>
              </w:rPr>
              <w:t xml:space="preserve">  /  </w:t>
            </w:r>
          </w:p>
        </w:tc>
      </w:tr>
      <w:tr w14:paraId="3BCC13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959" w:type="dxa"/>
            <w:noWrap w:val="0"/>
            <w:vAlign w:val="center"/>
          </w:tcPr>
          <w:p w14:paraId="64982E7A">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w:t>
            </w:r>
          </w:p>
        </w:tc>
        <w:tc>
          <w:tcPr>
            <w:tcW w:w="2613" w:type="dxa"/>
            <w:noWrap w:val="0"/>
            <w:vAlign w:val="center"/>
          </w:tcPr>
          <w:p w14:paraId="6E47BBAD">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w:t>
            </w:r>
          </w:p>
        </w:tc>
        <w:tc>
          <w:tcPr>
            <w:tcW w:w="5774" w:type="dxa"/>
            <w:noWrap w:val="0"/>
            <w:vAlign w:val="center"/>
          </w:tcPr>
          <w:p w14:paraId="360E7A76">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2E23F91D">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□允许，偏差范围：         偏差幅度：</w:t>
            </w:r>
          </w:p>
        </w:tc>
      </w:tr>
      <w:tr w14:paraId="7DAF04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959" w:type="dxa"/>
            <w:noWrap w:val="0"/>
            <w:vAlign w:val="center"/>
          </w:tcPr>
          <w:p w14:paraId="7758845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613" w:type="dxa"/>
            <w:noWrap w:val="0"/>
            <w:vAlign w:val="center"/>
          </w:tcPr>
          <w:p w14:paraId="7EEE5D13">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5774" w:type="dxa"/>
            <w:noWrap w:val="0"/>
            <w:vAlign w:val="center"/>
          </w:tcPr>
          <w:p w14:paraId="3B0BB220">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w:t>
            </w:r>
          </w:p>
        </w:tc>
      </w:tr>
      <w:tr w14:paraId="11A33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9" w:hRule="atLeast"/>
          <w:jc w:val="center"/>
        </w:trPr>
        <w:tc>
          <w:tcPr>
            <w:tcW w:w="959" w:type="dxa"/>
            <w:noWrap w:val="0"/>
            <w:vAlign w:val="center"/>
          </w:tcPr>
          <w:p w14:paraId="1E7A494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613" w:type="dxa"/>
            <w:noWrap w:val="0"/>
            <w:vAlign w:val="center"/>
          </w:tcPr>
          <w:p w14:paraId="4024C2F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投标人要求澄清招标文件</w:t>
            </w:r>
          </w:p>
        </w:tc>
        <w:tc>
          <w:tcPr>
            <w:tcW w:w="5774" w:type="dxa"/>
            <w:noWrap w:val="0"/>
            <w:vAlign w:val="center"/>
          </w:tcPr>
          <w:p w14:paraId="6FE40458">
            <w:pPr>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时间：提交投标文件截止时间18天前提出</w:t>
            </w:r>
          </w:p>
          <w:p w14:paraId="7B66EC9B">
            <w:pPr>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形式：投标人疑问通过网上提交。</w:t>
            </w:r>
          </w:p>
          <w:p w14:paraId="660FAE00">
            <w:pPr>
              <w:pStyle w:val="14"/>
              <w:snapToGrid w:val="0"/>
              <w:spacing w:after="0" w:line="276"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网上答疑的操作指南为：登陆广州公共资源交易中心新建设工程交易平台中“我是投标人”→“我的投标”→“招标答疑提问”通过项目编号或名称找到所需的项目→在上述的答疑时间内点击“答疑提问”→无记名或匿名提出问题以及查看所有的问题（提交问题时需插入投标人CA证书）。</w:t>
            </w:r>
          </w:p>
        </w:tc>
      </w:tr>
      <w:tr w14:paraId="48177D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noWrap w:val="0"/>
            <w:vAlign w:val="center"/>
          </w:tcPr>
          <w:p w14:paraId="0CB3C4FD">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2613" w:type="dxa"/>
            <w:noWrap w:val="0"/>
            <w:vAlign w:val="center"/>
          </w:tcPr>
          <w:p w14:paraId="0862BE4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5774" w:type="dxa"/>
            <w:noWrap w:val="0"/>
            <w:vAlign w:val="center"/>
          </w:tcPr>
          <w:p w14:paraId="2797DAEB">
            <w:pPr>
              <w:pStyle w:val="14"/>
              <w:snapToGrid w:val="0"/>
              <w:spacing w:after="0" w:line="276" w:lineRule="auto"/>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招标人应在投标截止时间15日前解答投标人对招标文件提出的疑问，在广州交易集团有限公司（广州公共资源交易中心）网站项目答疑专区发布。</w:t>
            </w:r>
          </w:p>
        </w:tc>
      </w:tr>
      <w:tr w14:paraId="5E3C5B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959" w:type="dxa"/>
            <w:vMerge w:val="restart"/>
            <w:noWrap w:val="0"/>
            <w:vAlign w:val="center"/>
          </w:tcPr>
          <w:p w14:paraId="10DB806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2613" w:type="dxa"/>
            <w:vMerge w:val="restart"/>
            <w:noWrap w:val="0"/>
            <w:vAlign w:val="center"/>
          </w:tcPr>
          <w:p w14:paraId="07DF444F">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投标人确认收到招标文件澄清</w:t>
            </w:r>
          </w:p>
        </w:tc>
        <w:tc>
          <w:tcPr>
            <w:tcW w:w="5774" w:type="dxa"/>
            <w:noWrap w:val="0"/>
            <w:vAlign w:val="center"/>
          </w:tcPr>
          <w:p w14:paraId="2F9D8AE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从招标文件澄清及答疑文件发布之日起即视为投标人已确认收到。</w:t>
            </w:r>
          </w:p>
        </w:tc>
      </w:tr>
      <w:tr w14:paraId="0F74B9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959" w:type="dxa"/>
            <w:vMerge w:val="continue"/>
            <w:noWrap w:val="0"/>
            <w:vAlign w:val="center"/>
          </w:tcPr>
          <w:p w14:paraId="403862B7">
            <w:pPr>
              <w:keepNext/>
              <w:keepLines/>
              <w:snapToGrid w:val="0"/>
              <w:spacing w:line="276" w:lineRule="auto"/>
              <w:jc w:val="center"/>
              <w:outlineLvl w:val="2"/>
              <w:rPr>
                <w:rFonts w:hint="eastAsia" w:ascii="宋体" w:hAnsi="宋体" w:eastAsia="宋体" w:cs="宋体"/>
                <w:color w:val="auto"/>
                <w:szCs w:val="21"/>
                <w:highlight w:val="none"/>
              </w:rPr>
            </w:pPr>
          </w:p>
        </w:tc>
        <w:tc>
          <w:tcPr>
            <w:tcW w:w="2613" w:type="dxa"/>
            <w:vMerge w:val="continue"/>
            <w:noWrap w:val="0"/>
            <w:vAlign w:val="center"/>
          </w:tcPr>
          <w:p w14:paraId="4F9FCA72">
            <w:pPr>
              <w:keepNext/>
              <w:keepLines/>
              <w:snapToGrid w:val="0"/>
              <w:spacing w:line="276" w:lineRule="auto"/>
              <w:jc w:val="center"/>
              <w:outlineLvl w:val="2"/>
              <w:rPr>
                <w:rFonts w:hint="eastAsia" w:ascii="宋体" w:hAnsi="宋体" w:eastAsia="宋体" w:cs="宋体"/>
                <w:color w:val="auto"/>
                <w:szCs w:val="21"/>
                <w:highlight w:val="none"/>
              </w:rPr>
            </w:pPr>
          </w:p>
        </w:tc>
        <w:tc>
          <w:tcPr>
            <w:tcW w:w="5774" w:type="dxa"/>
            <w:noWrap w:val="0"/>
            <w:vAlign w:val="center"/>
          </w:tcPr>
          <w:p w14:paraId="508F2DE8">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招标文件澄清（招标答疑纪要）一经在广州交易集团有限公司（广州公共资源交易中心）网站发布，视作已发放给所有投标人，无需确认。</w:t>
            </w:r>
          </w:p>
        </w:tc>
      </w:tr>
      <w:tr w14:paraId="22FF49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noWrap w:val="0"/>
            <w:vAlign w:val="center"/>
          </w:tcPr>
          <w:p w14:paraId="0793BA27">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2613" w:type="dxa"/>
            <w:noWrap w:val="0"/>
            <w:vAlign w:val="center"/>
          </w:tcPr>
          <w:p w14:paraId="07A098A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招标文件修改发出的形式</w:t>
            </w:r>
          </w:p>
        </w:tc>
        <w:tc>
          <w:tcPr>
            <w:tcW w:w="5774" w:type="dxa"/>
            <w:noWrap w:val="0"/>
            <w:vAlign w:val="center"/>
          </w:tcPr>
          <w:p w14:paraId="7EE214D3">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以补充公告或项目答疑澄清的方式在广州交易集团有限公司（广州公共资源交易中心）网站发布</w:t>
            </w:r>
          </w:p>
        </w:tc>
      </w:tr>
      <w:tr w14:paraId="78177B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vMerge w:val="restart"/>
            <w:noWrap w:val="0"/>
            <w:vAlign w:val="center"/>
          </w:tcPr>
          <w:p w14:paraId="7DA34D70">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2613" w:type="dxa"/>
            <w:vMerge w:val="restart"/>
            <w:noWrap w:val="0"/>
            <w:vAlign w:val="center"/>
          </w:tcPr>
          <w:p w14:paraId="1076326C">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投标人确认收到招标文件修改</w:t>
            </w:r>
          </w:p>
        </w:tc>
        <w:tc>
          <w:tcPr>
            <w:tcW w:w="5774" w:type="dxa"/>
            <w:noWrap w:val="0"/>
            <w:vAlign w:val="center"/>
          </w:tcPr>
          <w:p w14:paraId="251E72D8">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从招标文件澄清及答疑文件发布之日起即视为投标人已确认收到。</w:t>
            </w:r>
          </w:p>
        </w:tc>
      </w:tr>
      <w:tr w14:paraId="50FC50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5" w:hRule="atLeast"/>
          <w:jc w:val="center"/>
        </w:trPr>
        <w:tc>
          <w:tcPr>
            <w:tcW w:w="959" w:type="dxa"/>
            <w:vMerge w:val="continue"/>
            <w:noWrap w:val="0"/>
            <w:vAlign w:val="center"/>
          </w:tcPr>
          <w:p w14:paraId="0F8CCE1F">
            <w:pPr>
              <w:keepNext/>
              <w:keepLines/>
              <w:snapToGrid w:val="0"/>
              <w:spacing w:line="276" w:lineRule="auto"/>
              <w:jc w:val="center"/>
              <w:outlineLvl w:val="2"/>
              <w:rPr>
                <w:rFonts w:hint="eastAsia" w:ascii="宋体" w:hAnsi="宋体" w:eastAsia="宋体" w:cs="宋体"/>
                <w:color w:val="auto"/>
                <w:szCs w:val="21"/>
                <w:highlight w:val="none"/>
              </w:rPr>
            </w:pPr>
          </w:p>
        </w:tc>
        <w:tc>
          <w:tcPr>
            <w:tcW w:w="2613" w:type="dxa"/>
            <w:vMerge w:val="continue"/>
            <w:noWrap w:val="0"/>
            <w:vAlign w:val="center"/>
          </w:tcPr>
          <w:p w14:paraId="48901D9A">
            <w:pPr>
              <w:keepNext/>
              <w:keepLines/>
              <w:snapToGrid w:val="0"/>
              <w:spacing w:line="276" w:lineRule="auto"/>
              <w:jc w:val="center"/>
              <w:outlineLvl w:val="2"/>
              <w:rPr>
                <w:rFonts w:hint="eastAsia" w:ascii="宋体" w:hAnsi="宋体" w:eastAsia="宋体" w:cs="宋体"/>
                <w:color w:val="auto"/>
                <w:szCs w:val="21"/>
                <w:highlight w:val="none"/>
              </w:rPr>
            </w:pPr>
          </w:p>
        </w:tc>
        <w:tc>
          <w:tcPr>
            <w:tcW w:w="5774" w:type="dxa"/>
            <w:noWrap w:val="0"/>
            <w:vAlign w:val="center"/>
          </w:tcPr>
          <w:p w14:paraId="6D64ECE8">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14:paraId="669010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959" w:type="dxa"/>
            <w:noWrap w:val="0"/>
            <w:vAlign w:val="center"/>
          </w:tcPr>
          <w:p w14:paraId="176D707B">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2613" w:type="dxa"/>
            <w:noWrap w:val="0"/>
            <w:vAlign w:val="center"/>
          </w:tcPr>
          <w:p w14:paraId="4AF1E6C2">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5774" w:type="dxa"/>
            <w:noWrap w:val="0"/>
            <w:vAlign w:val="center"/>
          </w:tcPr>
          <w:p w14:paraId="7B6C4798">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满足本项目评审要求的其他资料。</w:t>
            </w:r>
          </w:p>
        </w:tc>
      </w:tr>
      <w:tr w14:paraId="206444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14:paraId="11B483D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2613" w:type="dxa"/>
            <w:noWrap w:val="0"/>
            <w:vAlign w:val="center"/>
          </w:tcPr>
          <w:p w14:paraId="6130CDEC">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增值税税金的计算方法</w:t>
            </w:r>
          </w:p>
        </w:tc>
        <w:tc>
          <w:tcPr>
            <w:tcW w:w="5774" w:type="dxa"/>
            <w:noWrap w:val="0"/>
            <w:vAlign w:val="center"/>
          </w:tcPr>
          <w:p w14:paraId="2CDE45C7">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按国家税务机关的规定执行。</w:t>
            </w:r>
          </w:p>
        </w:tc>
      </w:tr>
      <w:tr w14:paraId="0DBC91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14:paraId="1F3D7FC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2613" w:type="dxa"/>
            <w:noWrap w:val="0"/>
            <w:vAlign w:val="center"/>
          </w:tcPr>
          <w:p w14:paraId="5D8A763E">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报价方式</w:t>
            </w:r>
          </w:p>
        </w:tc>
        <w:tc>
          <w:tcPr>
            <w:tcW w:w="5774" w:type="dxa"/>
            <w:noWrap w:val="0"/>
            <w:vAlign w:val="center"/>
          </w:tcPr>
          <w:p w14:paraId="12B03779">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自行报价（以“元”为单位，精确到小数位后2位）。</w:t>
            </w:r>
          </w:p>
        </w:tc>
      </w:tr>
      <w:tr w14:paraId="3EF2E1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59" w:type="dxa"/>
            <w:noWrap w:val="0"/>
            <w:vAlign w:val="center"/>
          </w:tcPr>
          <w:p w14:paraId="2A5C6B34">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w:t>
            </w:r>
          </w:p>
        </w:tc>
        <w:tc>
          <w:tcPr>
            <w:tcW w:w="2613" w:type="dxa"/>
            <w:noWrap w:val="0"/>
            <w:vAlign w:val="center"/>
          </w:tcPr>
          <w:p w14:paraId="128F9630">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5774" w:type="dxa"/>
            <w:noWrap w:val="0"/>
            <w:vAlign w:val="center"/>
          </w:tcPr>
          <w:p w14:paraId="73FC58F7">
            <w:pPr>
              <w:tabs>
                <w:tab w:val="left" w:pos="7513"/>
              </w:tabs>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p w14:paraId="482A5498">
            <w:pPr>
              <w:tabs>
                <w:tab w:val="left" w:pos="7513"/>
              </w:tabs>
              <w:spacing w:line="276" w:lineRule="auto"/>
              <w:rPr>
                <w:rFonts w:hint="eastAsia" w:ascii="宋体" w:hAnsi="宋体" w:eastAsia="宋体" w:cs="Times New Roman"/>
                <w:color w:val="auto"/>
                <w:szCs w:val="21"/>
                <w:highlight w:val="none"/>
                <w:u w:val="single"/>
              </w:rPr>
            </w:pPr>
            <w:r>
              <w:rPr>
                <w:rFonts w:hint="eastAsia" w:ascii="宋体" w:hAnsi="宋体" w:eastAsia="宋体" w:cs="宋体"/>
                <w:color w:val="auto"/>
                <w:szCs w:val="21"/>
                <w:highlight w:val="none"/>
              </w:rPr>
              <w:t>■有，最高投标限价</w:t>
            </w:r>
            <w:bookmarkStart w:id="31" w:name="OLE_LINK1"/>
            <w:r>
              <w:rPr>
                <w:rFonts w:hint="eastAsia" w:ascii="宋体" w:hAnsi="宋体" w:eastAsia="宋体" w:cs="宋体"/>
                <w:color w:val="auto"/>
                <w:szCs w:val="21"/>
                <w:highlight w:val="none"/>
              </w:rPr>
              <w:t>（总价）</w:t>
            </w:r>
            <w:bookmarkEnd w:id="31"/>
            <w:r>
              <w:rPr>
                <w:rFonts w:hint="eastAsia" w:ascii="宋体" w:hAnsi="宋体" w:eastAsia="宋体" w:cs="宋体"/>
                <w:color w:val="auto"/>
                <w:szCs w:val="21"/>
                <w:highlight w:val="none"/>
              </w:rPr>
              <w:t>：</w:t>
            </w:r>
            <w:r>
              <w:rPr>
                <w:rFonts w:hint="eastAsia" w:ascii="宋体" w:hAnsi="宋体" w:eastAsia="宋体" w:cs="Times New Roman"/>
                <w:bCs/>
                <w:color w:val="auto"/>
                <w:sz w:val="24"/>
                <w:szCs w:val="24"/>
                <w:highlight w:val="none"/>
                <w:u w:val="single"/>
                <w:lang w:eastAsia="zh-CN"/>
              </w:rPr>
              <w:t>3264260.9</w:t>
            </w:r>
            <w:r>
              <w:rPr>
                <w:rFonts w:hint="eastAsia" w:ascii="宋体" w:hAnsi="宋体" w:eastAsia="宋体" w:cs="Times New Roman"/>
                <w:bCs/>
                <w:color w:val="auto"/>
                <w:sz w:val="24"/>
                <w:szCs w:val="24"/>
                <w:highlight w:val="none"/>
              </w:rPr>
              <w:t>元</w:t>
            </w:r>
            <w:r>
              <w:rPr>
                <w:rFonts w:hint="eastAsia" w:ascii="宋体" w:hAnsi="宋体" w:eastAsia="宋体" w:cs="Times New Roman"/>
                <w:color w:val="auto"/>
                <w:szCs w:val="21"/>
                <w:highlight w:val="none"/>
                <w:u w:val="single"/>
              </w:rPr>
              <w:t>。</w:t>
            </w:r>
          </w:p>
          <w:p w14:paraId="26FCEB4E">
            <w:pPr>
              <w:tabs>
                <w:tab w:val="left" w:pos="7513"/>
              </w:tabs>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注：结算价超过经财政评审的概算中对应的检测监测服务的审定金额或最高投标限价的，则按</w:t>
            </w:r>
            <w:r>
              <w:rPr>
                <w:rFonts w:hint="eastAsia" w:ascii="宋体" w:hAnsi="宋体" w:eastAsia="宋体" w:cs="宋体"/>
                <w:color w:val="auto"/>
                <w:szCs w:val="21"/>
                <w:highlight w:val="none"/>
                <w:u w:val="single"/>
                <w:lang w:eastAsia="zh-CN"/>
              </w:rPr>
              <w:t>概算</w:t>
            </w:r>
            <w:r>
              <w:rPr>
                <w:rFonts w:hint="eastAsia" w:ascii="宋体" w:hAnsi="宋体" w:eastAsia="宋体" w:cs="宋体"/>
                <w:color w:val="auto"/>
                <w:szCs w:val="21"/>
                <w:highlight w:val="none"/>
                <w:u w:val="single"/>
              </w:rPr>
              <w:t>评审审定金额和最高投标限价的低者为最终结算价（如有审计，以审计结果为准）。</w:t>
            </w:r>
          </w:p>
          <w:p w14:paraId="105D0E4B">
            <w:pPr>
              <w:tabs>
                <w:tab w:val="left" w:pos="7513"/>
              </w:tabs>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其中工程量清单清单详见招标文件第六章《工程量清单》。</w:t>
            </w:r>
          </w:p>
          <w:p w14:paraId="6BE48C9B">
            <w:pPr>
              <w:tabs>
                <w:tab w:val="left" w:pos="7513"/>
              </w:tabs>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投标人在</w:t>
            </w:r>
            <w:r>
              <w:rPr>
                <w:rFonts w:hint="eastAsia" w:ascii="宋体" w:hAnsi="宋体" w:eastAsia="宋体" w:cs="宋体"/>
                <w:color w:val="auto"/>
                <w:szCs w:val="21"/>
                <w:highlight w:val="none"/>
                <w:u w:val="single"/>
                <w:lang w:eastAsia="zh-CN"/>
              </w:rPr>
              <w:t>最高投标限价</w:t>
            </w:r>
            <w:r>
              <w:rPr>
                <w:rFonts w:hint="eastAsia" w:ascii="宋体" w:hAnsi="宋体" w:eastAsia="宋体" w:cs="宋体"/>
                <w:color w:val="auto"/>
                <w:szCs w:val="21"/>
                <w:highlight w:val="none"/>
                <w:u w:val="single"/>
              </w:rPr>
              <w:t>以内（含本数）自行填报投标价及投标下浮率，</w:t>
            </w:r>
            <w:r>
              <w:rPr>
                <w:rFonts w:hint="eastAsia" w:ascii="宋体" w:hAnsi="宋体" w:eastAsia="宋体" w:cs="宋体"/>
                <w:color w:val="auto"/>
                <w:szCs w:val="21"/>
                <w:highlight w:val="none"/>
                <w:u w:val="single"/>
              </w:rPr>
              <w:t>超出最高投标限价（总价）</w:t>
            </w:r>
            <w:r>
              <w:rPr>
                <w:rFonts w:hint="eastAsia" w:ascii="宋体" w:hAnsi="宋体" w:eastAsia="宋体" w:cs="宋体"/>
                <w:color w:val="auto"/>
                <w:szCs w:val="21"/>
                <w:highlight w:val="none"/>
                <w:u w:val="single"/>
              </w:rPr>
              <w:t>的报价做废标处理。</w:t>
            </w:r>
          </w:p>
          <w:p w14:paraId="3BA96F8B">
            <w:pPr>
              <w:tabs>
                <w:tab w:val="left" w:pos="7513"/>
              </w:tabs>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2F0379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0" w:hRule="atLeast"/>
          <w:jc w:val="center"/>
        </w:trPr>
        <w:tc>
          <w:tcPr>
            <w:tcW w:w="959" w:type="dxa"/>
            <w:noWrap w:val="0"/>
            <w:vAlign w:val="center"/>
          </w:tcPr>
          <w:p w14:paraId="24AA1932">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w:t>
            </w:r>
          </w:p>
        </w:tc>
        <w:tc>
          <w:tcPr>
            <w:tcW w:w="2613" w:type="dxa"/>
            <w:noWrap w:val="0"/>
            <w:vAlign w:val="center"/>
          </w:tcPr>
          <w:p w14:paraId="644E77A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5774" w:type="dxa"/>
            <w:noWrap w:val="0"/>
            <w:vAlign w:val="center"/>
          </w:tcPr>
          <w:p w14:paraId="6D840F38">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本项目报价投标价及下浮率：投标价以发布的项目控制价（详见招标文件）乘以中标人的投标报价下浮率计算，投标下浮率为中标人投标总报价相对于最高投标限价（招标控制价）的投标下浮率。</w:t>
            </w:r>
          </w:p>
          <w:p w14:paraId="3B103050">
            <w:pPr>
              <w:snapToGrid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3、采用单价包干，工程量以实际发生（</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eastAsia="zh-CN"/>
              </w:rPr>
              <w:t>发包人、</w:t>
            </w:r>
            <w:r>
              <w:rPr>
                <w:rFonts w:hint="eastAsia" w:ascii="宋体" w:hAnsi="宋体" w:eastAsia="宋体" w:cs="宋体"/>
                <w:color w:val="auto"/>
                <w:szCs w:val="21"/>
                <w:highlight w:val="none"/>
              </w:rPr>
              <w:t>监理人、受托人确认</w:t>
            </w:r>
            <w:r>
              <w:rPr>
                <w:rFonts w:hint="eastAsia" w:ascii="宋体" w:hAnsi="宋体" w:eastAsia="宋体" w:cs="宋体"/>
                <w:color w:val="auto"/>
                <w:szCs w:val="21"/>
                <w:highlight w:val="none"/>
              </w:rPr>
              <w:t>）进行计算，结算时依据实际工程量×</w:t>
            </w:r>
            <w:r>
              <w:rPr>
                <w:rFonts w:hint="eastAsia" w:ascii="宋体" w:hAnsi="宋体" w:eastAsia="宋体" w:cs="宋体"/>
                <w:color w:val="auto"/>
                <w:szCs w:val="21"/>
                <w:highlight w:val="none"/>
                <w:lang w:eastAsia="zh-CN"/>
              </w:rPr>
              <w:t>综合单价</w:t>
            </w:r>
            <w:r>
              <w:rPr>
                <w:rFonts w:hint="eastAsia" w:ascii="宋体" w:hAnsi="宋体" w:eastAsia="宋体" w:cs="宋体"/>
                <w:color w:val="auto"/>
                <w:szCs w:val="21"/>
                <w:highlight w:val="none"/>
              </w:rPr>
              <w:t>×（1-投标下浮率）结算。但最终结算价不得超过概算审定的</w:t>
            </w:r>
            <w:r>
              <w:rPr>
                <w:rFonts w:hint="eastAsia" w:ascii="宋体" w:hAnsi="宋体" w:eastAsia="宋体" w:cs="宋体"/>
                <w:color w:val="auto"/>
                <w:szCs w:val="21"/>
                <w:highlight w:val="none"/>
                <w:lang w:eastAsia="zh-CN"/>
              </w:rPr>
              <w:t>本招标范围内的</w:t>
            </w:r>
            <w:r>
              <w:rPr>
                <w:rFonts w:hint="eastAsia" w:ascii="宋体" w:hAnsi="宋体" w:eastAsia="宋体" w:cs="宋体"/>
                <w:color w:val="auto"/>
                <w:szCs w:val="21"/>
                <w:highlight w:val="none"/>
              </w:rPr>
              <w:t>检测费总价。</w:t>
            </w:r>
            <w:r>
              <w:rPr>
                <w:rFonts w:hint="eastAsia" w:ascii="宋体" w:hAnsi="宋体" w:eastAsia="宋体" w:cs="宋体"/>
                <w:color w:val="auto"/>
                <w:szCs w:val="21"/>
                <w:highlight w:val="none"/>
                <w:lang w:eastAsia="zh-CN"/>
              </w:rPr>
              <w:t>如</w:t>
            </w:r>
            <w:r>
              <w:rPr>
                <w:rFonts w:hint="eastAsia" w:ascii="宋体" w:hAnsi="宋体" w:eastAsia="宋体" w:cs="宋体"/>
                <w:color w:val="auto"/>
                <w:szCs w:val="21"/>
                <w:highlight w:val="none"/>
              </w:rPr>
              <w:t>实际工程量</w:t>
            </w:r>
            <w:r>
              <w:rPr>
                <w:rFonts w:hint="eastAsia" w:ascii="宋体" w:hAnsi="宋体" w:eastAsia="宋体" w:cs="宋体"/>
                <w:color w:val="auto"/>
                <w:szCs w:val="21"/>
                <w:highlight w:val="none"/>
                <w:lang w:eastAsia="zh-CN"/>
              </w:rPr>
              <w:t>超出招标人发布的清单工作量，当超出的</w:t>
            </w:r>
            <w:r>
              <w:rPr>
                <w:rFonts w:hint="eastAsia" w:ascii="宋体" w:hAnsi="宋体" w:eastAsia="宋体" w:cs="宋体"/>
                <w:color w:val="auto"/>
                <w:szCs w:val="21"/>
                <w:highlight w:val="none"/>
              </w:rPr>
              <w:t>工程量</w:t>
            </w:r>
            <w:r>
              <w:rPr>
                <w:rFonts w:hint="eastAsia" w:ascii="宋体" w:hAnsi="宋体" w:eastAsia="宋体" w:cs="宋体"/>
                <w:color w:val="auto"/>
                <w:szCs w:val="21"/>
                <w:highlight w:val="none"/>
                <w:lang w:eastAsia="zh-CN"/>
              </w:rPr>
              <w:t>小于等于</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eastAsia="zh-CN"/>
              </w:rPr>
              <w:t>时</w:t>
            </w:r>
            <w:r>
              <w:rPr>
                <w:rFonts w:hint="eastAsia" w:ascii="宋体" w:hAnsi="宋体" w:eastAsia="宋体" w:cs="宋体"/>
                <w:color w:val="auto"/>
                <w:szCs w:val="21"/>
                <w:highlight w:val="none"/>
              </w:rPr>
              <w:t>，工程量按招标发布的工程量结算；</w:t>
            </w:r>
            <w:r>
              <w:rPr>
                <w:rFonts w:hint="eastAsia" w:ascii="宋体" w:hAnsi="宋体" w:eastAsia="宋体" w:cs="宋体"/>
                <w:color w:val="auto"/>
                <w:szCs w:val="21"/>
                <w:highlight w:val="none"/>
                <w:lang w:eastAsia="zh-CN"/>
              </w:rPr>
              <w:t>当</w:t>
            </w:r>
            <w:r>
              <w:rPr>
                <w:rFonts w:hint="eastAsia" w:ascii="宋体" w:hAnsi="宋体" w:eastAsia="宋体" w:cs="宋体"/>
                <w:color w:val="auto"/>
                <w:szCs w:val="21"/>
                <w:highlight w:val="none"/>
              </w:rPr>
              <w:t>实际工程量</w:t>
            </w:r>
            <w:r>
              <w:rPr>
                <w:rFonts w:hint="eastAsia" w:ascii="宋体" w:hAnsi="宋体" w:eastAsia="宋体" w:cs="宋体"/>
                <w:color w:val="auto"/>
                <w:szCs w:val="21"/>
                <w:highlight w:val="none"/>
                <w:lang w:eastAsia="zh-CN"/>
              </w:rPr>
              <w:t>大于</w:t>
            </w:r>
            <w:r>
              <w:rPr>
                <w:rFonts w:hint="eastAsia" w:ascii="宋体" w:hAnsi="宋体" w:eastAsia="宋体" w:cs="宋体"/>
                <w:color w:val="auto"/>
                <w:szCs w:val="21"/>
                <w:highlight w:val="none"/>
              </w:rPr>
              <w:t>招标发布的工程量清单20%，</w:t>
            </w:r>
            <w:r>
              <w:rPr>
                <w:rFonts w:hint="eastAsia" w:ascii="宋体" w:hAnsi="宋体" w:eastAsia="宋体" w:cs="宋体"/>
                <w:color w:val="auto"/>
                <w:szCs w:val="21"/>
                <w:highlight w:val="none"/>
                <w:lang w:eastAsia="zh-CN"/>
              </w:rPr>
              <w:t>超出部分按实结算。</w:t>
            </w:r>
          </w:p>
          <w:p w14:paraId="35CBD1B8">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终结算价已包含了为完成本项目招标内容要求所产生的所有不可预见的费用,包括但不限于包工、包料、包设备设施、包工期、包质量、包安全、包文明作业、包与建设项目相关单位的协调以及本项目可能产生的风险等所有费用。</w:t>
            </w:r>
          </w:p>
          <w:p w14:paraId="58D7BAD5">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4、项目实际发生的工程量单价</w:t>
            </w:r>
            <w:r>
              <w:rPr>
                <w:rFonts w:hint="eastAsia" w:ascii="宋体" w:hAnsi="宋体" w:eastAsia="宋体" w:cs="宋体"/>
                <w:color w:val="auto"/>
                <w:szCs w:val="21"/>
                <w:highlight w:val="none"/>
                <w:lang w:eastAsia="zh-CN"/>
              </w:rPr>
              <w:t>按不超过</w:t>
            </w:r>
            <w:r>
              <w:rPr>
                <w:rFonts w:hint="eastAsia" w:ascii="宋体" w:hAnsi="宋体" w:eastAsia="宋体" w:cs="宋体"/>
                <w:color w:val="auto"/>
                <w:szCs w:val="21"/>
                <w:highlight w:val="none"/>
              </w:rPr>
              <w:t>《广东省房屋建筑和市政工程质量安全检测收费指导价（第一批）》（粤建检协〔2015〕8号）、《广东省既有房屋建筑安全性鉴定收费指导价》的通知（粤建检协〔2015〕8号）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《关于印发《广州市建设工程基坑监测、变形点监测收费项目及标准指导性意见》的通知》(穗建检协字(2013)12号)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《工程勘察设计收费管理规定》计价格[2002]10号的收费依据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基础上再结合</w:t>
            </w:r>
            <w:r>
              <w:rPr>
                <w:rFonts w:hint="eastAsia" w:ascii="宋体" w:hAnsi="宋体" w:eastAsia="宋体" w:cs="宋体"/>
                <w:color w:val="auto"/>
                <w:szCs w:val="21"/>
                <w:highlight w:val="none"/>
                <w:lang w:eastAsia="zh-CN"/>
              </w:rPr>
              <w:t>投标单价和</w:t>
            </w:r>
            <w:r>
              <w:rPr>
                <w:rFonts w:hint="eastAsia" w:ascii="宋体" w:hAnsi="宋体" w:eastAsia="宋体" w:cs="宋体"/>
                <w:color w:val="auto"/>
                <w:szCs w:val="21"/>
                <w:highlight w:val="none"/>
              </w:rPr>
              <w:t>投标下浮率计算的单价确定</w:t>
            </w:r>
            <w:r>
              <w:rPr>
                <w:rFonts w:hint="eastAsia" w:ascii="宋体" w:hAnsi="宋体" w:eastAsia="宋体" w:cs="宋体"/>
                <w:color w:val="auto"/>
                <w:szCs w:val="21"/>
                <w:highlight w:val="none"/>
                <w:lang w:eastAsia="zh-CN"/>
              </w:rPr>
              <w:t>收费标准和投标单价两者取低值</w:t>
            </w:r>
            <w:r>
              <w:rPr>
                <w:rFonts w:hint="eastAsia" w:ascii="宋体" w:hAnsi="宋体" w:eastAsia="宋体" w:cs="宋体"/>
                <w:color w:val="auto"/>
                <w:szCs w:val="21"/>
                <w:highlight w:val="none"/>
              </w:rPr>
              <w:t>，如上述相关收费标准没有的项目，按以下优先顺序参照《房屋建筑和市政基础设施工程设计收费导则》中所附的《工程勘察设计收费标准》（2002年修订本）、</w:t>
            </w:r>
            <w:r>
              <w:rPr>
                <w:rFonts w:hint="eastAsia" w:ascii="宋体" w:hAnsi="宋体" w:eastAsia="宋体" w:cs="宋体"/>
                <w:color w:val="auto"/>
                <w:szCs w:val="21"/>
                <w:highlight w:val="none"/>
                <w:lang w:eastAsia="zh-CN"/>
              </w:rPr>
              <w:t>《番禺区住房和建设局关于调整番禺区建设工程质量检测单位库检测收费标准的通知》、《关于发布&lt;广东省环境监测行业指导价&gt;的通知》（2021年修订稿）</w:t>
            </w:r>
            <w:r>
              <w:rPr>
                <w:rFonts w:hint="eastAsia" w:ascii="宋体" w:hAnsi="宋体" w:eastAsia="宋体" w:cs="宋体"/>
                <w:color w:val="auto"/>
                <w:szCs w:val="21"/>
                <w:highlight w:val="none"/>
              </w:rPr>
              <w:t>，上述计费文件均没有的单价，按由</w:t>
            </w:r>
            <w:r>
              <w:rPr>
                <w:rFonts w:hint="eastAsia" w:ascii="宋体" w:hAnsi="宋体" w:eastAsia="宋体" w:cs="宋体"/>
                <w:color w:val="auto"/>
                <w:szCs w:val="21"/>
                <w:highlight w:val="none"/>
                <w:lang w:eastAsia="zh-CN"/>
              </w:rPr>
              <w:t>委托人受托人</w:t>
            </w:r>
            <w:r>
              <w:rPr>
                <w:rFonts w:hint="eastAsia" w:ascii="宋体" w:hAnsi="宋体" w:eastAsia="宋体" w:cs="宋体"/>
                <w:color w:val="auto"/>
                <w:szCs w:val="21"/>
                <w:highlight w:val="none"/>
              </w:rPr>
              <w:t>双方参照市场价格协商确定，最终以评审审定为准，结算时按中标人投标时的下浮率结合合同相关条款进行结算，结算价超过经财政评审的概算中对应的检测服务的审定金额或最高投标限价的，则按评审审定金额和最高投标限价的低者为最终结算价（如有审计，以审计结果为准）。</w:t>
            </w:r>
          </w:p>
          <w:p w14:paraId="359DED82">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中标总价已包括但不限于人工费、材料费、设备使用费、设备进出场费、检测试验费、各项措施费（包括但不限于：安全文明施工、临水临电安装、临时道路铺设、机械设备进出场、工作面清理及整理、检测配载、桩头处理、试坑开挖、疏干排水、工作搭架、工作棚、锚桩及焊接等相关费用）、报告编写费、各项管理费、以及所有因工程质量检测应交纳的政府规费、利润、税金、风险费用等，不论实际费用有无发生，亦不论各项费用有无涨落，均不再调整。招标人现场不提供办公及住宿等条件，所有费用由中标人在投标报价中综合考虑。</w:t>
            </w:r>
          </w:p>
          <w:p w14:paraId="76AB6941">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检测监测服务的工作量根据经招标人批准的检测方案，并结合工程量清单、现场实际情况由招标人、监理人、中标人三方进行签证确认，中标人自行增加的额外工作量将不被承认，最终以番禺区财政评审机构审定为准结算。</w:t>
            </w:r>
          </w:p>
        </w:tc>
      </w:tr>
      <w:tr w14:paraId="197980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14:paraId="653AAC8C">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2613" w:type="dxa"/>
            <w:noWrap w:val="0"/>
            <w:vAlign w:val="center"/>
          </w:tcPr>
          <w:p w14:paraId="16D4961B">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774" w:type="dxa"/>
            <w:noWrap w:val="0"/>
            <w:vAlign w:val="center"/>
          </w:tcPr>
          <w:p w14:paraId="6DF427A5">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日历天（从投标截止之日算起）。</w:t>
            </w:r>
          </w:p>
        </w:tc>
      </w:tr>
      <w:tr w14:paraId="72D1F2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959" w:type="dxa"/>
            <w:noWrap w:val="0"/>
            <w:vAlign w:val="center"/>
          </w:tcPr>
          <w:p w14:paraId="4DDB7862">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613" w:type="dxa"/>
            <w:noWrap w:val="0"/>
            <w:vAlign w:val="center"/>
          </w:tcPr>
          <w:p w14:paraId="112A4D4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774" w:type="dxa"/>
            <w:noWrap w:val="0"/>
            <w:vAlign w:val="center"/>
          </w:tcPr>
          <w:p w14:paraId="1F2FB958">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是否要求投标人递交投标保证金：</w:t>
            </w:r>
          </w:p>
          <w:p w14:paraId="7FDEAB35">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sym w:font="Wingdings 2" w:char="00A3"/>
            </w:r>
            <w:r>
              <w:rPr>
                <w:rFonts w:hint="eastAsia" w:hAnsi="宋体" w:eastAsia="宋体" w:cs="宋体"/>
                <w:color w:val="auto"/>
                <w:sz w:val="21"/>
                <w:szCs w:val="21"/>
                <w:highlight w:val="none"/>
              </w:rPr>
              <w:t>要求</w:t>
            </w:r>
          </w:p>
          <w:p w14:paraId="122EE0C0">
            <w:pPr>
              <w:pStyle w:val="7"/>
              <w:topLinePunct/>
              <w:snapToGrid w:val="0"/>
              <w:spacing w:line="276" w:lineRule="auto"/>
              <w:rPr>
                <w:rFonts w:hAnsi="宋体" w:eastAsia="宋体" w:cs="宋体"/>
                <w:color w:val="auto"/>
                <w:sz w:val="21"/>
                <w:szCs w:val="21"/>
                <w:highlight w:val="none"/>
              </w:rPr>
            </w:pPr>
            <w:r>
              <w:rPr>
                <w:rFonts w:hint="eastAsia" w:hAnsi="宋体" w:eastAsia="宋体" w:cs="宋体"/>
                <w:b/>
                <w:color w:val="auto"/>
                <w:sz w:val="21"/>
                <w:szCs w:val="21"/>
                <w:highlight w:val="none"/>
              </w:rPr>
              <w:t>■</w:t>
            </w:r>
            <w:r>
              <w:rPr>
                <w:rFonts w:hint="eastAsia" w:hAnsi="宋体" w:eastAsia="宋体" w:cs="宋体"/>
                <w:color w:val="auto"/>
                <w:sz w:val="21"/>
                <w:szCs w:val="21"/>
                <w:highlight w:val="none"/>
              </w:rPr>
              <w:t>不要求</w:t>
            </w:r>
          </w:p>
          <w:p w14:paraId="3504154A">
            <w:pPr>
              <w:pStyle w:val="7"/>
              <w:topLinePunct/>
              <w:snapToGrid w:val="0"/>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1.本项目免收投标保证金，具体规定如下：提供《关于投标保证金的承诺》（详见投标文件格式三）。</w:t>
            </w:r>
          </w:p>
          <w:p w14:paraId="58B3CBDC">
            <w:pPr>
              <w:pStyle w:val="7"/>
              <w:topLinePunct/>
              <w:snapToGrid w:val="0"/>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2.对于投标人已提供《关于投标保证金的承诺》，若投标人存在3.4.4条款所列情形，该投标人应在发现存在3.4.4条款所列情形之日起5个工作日内补交</w:t>
            </w:r>
            <w:r>
              <w:rPr>
                <w:rFonts w:hint="eastAsia" w:hAnsi="宋体" w:eastAsia="宋体" w:cs="宋体"/>
                <w:color w:val="auto"/>
                <w:sz w:val="21"/>
                <w:szCs w:val="21"/>
                <w:highlight w:val="none"/>
              </w:rPr>
              <w:t>人民币</w:t>
            </w:r>
            <w:r>
              <w:rPr>
                <w:rFonts w:hint="eastAsia" w:hAnsi="宋体" w:eastAsia="宋体" w:cs="宋体"/>
                <w:color w:val="auto"/>
                <w:sz w:val="21"/>
                <w:szCs w:val="21"/>
                <w:highlight w:val="none"/>
              </w:rPr>
              <w:t>6</w:t>
            </w:r>
            <w:r>
              <w:rPr>
                <w:rFonts w:hint="eastAsia" w:hAnsi="宋体" w:eastAsia="宋体" w:cs="宋体"/>
                <w:color w:val="auto"/>
                <w:sz w:val="21"/>
                <w:szCs w:val="21"/>
                <w:highlight w:val="none"/>
              </w:rPr>
              <w:t>万元</w:t>
            </w:r>
            <w:r>
              <w:rPr>
                <w:rFonts w:hint="eastAsia" w:hAnsi="宋体" w:eastAsia="宋体" w:cs="宋体"/>
                <w:color w:val="auto"/>
                <w:sz w:val="21"/>
                <w:szCs w:val="21"/>
                <w:highlight w:val="none"/>
              </w:rPr>
              <w:t>投标保证金；若未按要求补交投标保证金的将暂停其参与招标人后续工程投标，直至完成补交手续为止。</w:t>
            </w:r>
          </w:p>
        </w:tc>
      </w:tr>
      <w:tr w14:paraId="1F2F0A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959" w:type="dxa"/>
            <w:noWrap w:val="0"/>
            <w:vAlign w:val="center"/>
          </w:tcPr>
          <w:p w14:paraId="29E43609">
            <w:pPr>
              <w:snapToGrid w:val="0"/>
              <w:spacing w:line="276" w:lineRule="auto"/>
              <w:jc w:val="center"/>
              <w:rPr>
                <w:rFonts w:hint="eastAsia" w:ascii="宋体" w:hAnsi="宋体" w:eastAsia="宋体" w:cs="宋体"/>
                <w:color w:val="auto"/>
                <w:szCs w:val="21"/>
                <w:highlight w:val="none"/>
              </w:rPr>
            </w:pPr>
            <w:r>
              <w:rPr>
                <w:rFonts w:ascii="宋体" w:hAnsi="宋体" w:eastAsia="宋体" w:cs="Times New Roman"/>
                <w:color w:val="auto"/>
                <w:szCs w:val="21"/>
                <w:highlight w:val="none"/>
              </w:rPr>
              <w:t>3.4.4</w:t>
            </w:r>
          </w:p>
        </w:tc>
        <w:tc>
          <w:tcPr>
            <w:tcW w:w="2613" w:type="dxa"/>
            <w:noWrap w:val="0"/>
            <w:vAlign w:val="center"/>
          </w:tcPr>
          <w:p w14:paraId="74248C94">
            <w:pPr>
              <w:snapToGrid w:val="0"/>
              <w:spacing w:line="276" w:lineRule="auto"/>
              <w:jc w:val="center"/>
              <w:rPr>
                <w:rFonts w:hint="eastAsia" w:ascii="宋体" w:hAnsi="宋体" w:eastAsia="宋体" w:cs="宋体"/>
                <w:color w:val="auto"/>
                <w:szCs w:val="21"/>
                <w:highlight w:val="none"/>
              </w:rPr>
            </w:pPr>
            <w:r>
              <w:rPr>
                <w:rFonts w:ascii="宋体" w:hAnsi="宋体" w:eastAsia="宋体" w:cs="Times New Roman"/>
                <w:color w:val="auto"/>
                <w:szCs w:val="21"/>
                <w:highlight w:val="none"/>
              </w:rPr>
              <w:t>其他可以不予退还投标保证金的情形</w:t>
            </w:r>
          </w:p>
        </w:tc>
        <w:tc>
          <w:tcPr>
            <w:tcW w:w="5774" w:type="dxa"/>
            <w:noWrap w:val="0"/>
            <w:vAlign w:val="center"/>
          </w:tcPr>
          <w:p w14:paraId="05A284BE">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（1）若在中标通知书发放后15个日历天内，中标人未提交履约担保且未征得招标人同意延期缴交的，招标人有权取消其中标资格并没收其投标保证金，并由其他中标候选人顺次序替补。</w:t>
            </w:r>
          </w:p>
          <w:p w14:paraId="2DD31DD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（2）中标通知书自广州公共资源交易中心交易平台发出之日，视作中标人确认收到。</w:t>
            </w:r>
          </w:p>
          <w:p w14:paraId="73AEA709">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（3）投标人采用不正当的手段，骗取中标，经查实的，招标人有权取消其中标资格，并由其他中标候选人顺次序替补。</w:t>
            </w:r>
          </w:p>
          <w:p w14:paraId="6BD5CF67">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（4）中标人在发放中标通知书后</w:t>
            </w:r>
            <w:r>
              <w:rPr>
                <w:rFonts w:hint="eastAsia" w:hAnsi="宋体" w:eastAsia="宋体" w:cs="宋体"/>
                <w:color w:val="auto"/>
                <w:sz w:val="21"/>
                <w:szCs w:val="21"/>
                <w:highlight w:val="none"/>
                <w:u w:val="single"/>
              </w:rPr>
              <w:t>30</w:t>
            </w:r>
            <w:r>
              <w:rPr>
                <w:rFonts w:hint="eastAsia" w:hAnsi="宋体" w:eastAsia="宋体" w:cs="宋体"/>
                <w:color w:val="auto"/>
                <w:sz w:val="21"/>
                <w:szCs w:val="21"/>
                <w:highlight w:val="none"/>
              </w:rPr>
              <w:t>个日历天内，无正当理由不与招标人订立合同，在签订合同时向招标人提出附加条件的，招标人有权取消其中标资格并没收其投标保证金，并由其他中标候选人顺次序替补。</w:t>
            </w:r>
          </w:p>
        </w:tc>
      </w:tr>
      <w:tr w14:paraId="3C9FFF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959" w:type="dxa"/>
            <w:noWrap w:val="0"/>
            <w:vAlign w:val="center"/>
          </w:tcPr>
          <w:p w14:paraId="0BF32A8D">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2613" w:type="dxa"/>
            <w:noWrap w:val="0"/>
            <w:vAlign w:val="center"/>
          </w:tcPr>
          <w:p w14:paraId="5ED20529">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资格审查资料的特殊要求</w:t>
            </w:r>
          </w:p>
        </w:tc>
        <w:tc>
          <w:tcPr>
            <w:tcW w:w="5774" w:type="dxa"/>
            <w:noWrap w:val="0"/>
            <w:vAlign w:val="center"/>
          </w:tcPr>
          <w:p w14:paraId="488C9766">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■无</w:t>
            </w:r>
          </w:p>
          <w:p w14:paraId="3845C037">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sym w:font="Wingdings 2" w:char="00A3"/>
            </w:r>
            <w:r>
              <w:rPr>
                <w:rFonts w:hint="eastAsia" w:hAnsi="宋体" w:eastAsia="宋体" w:cs="宋体"/>
                <w:color w:val="auto"/>
                <w:sz w:val="21"/>
                <w:szCs w:val="21"/>
                <w:highlight w:val="none"/>
              </w:rPr>
              <w:t>有，具体要求：</w:t>
            </w:r>
            <w:r>
              <w:rPr>
                <w:rFonts w:hint="eastAsia" w:hAnsi="宋体" w:eastAsia="宋体" w:cs="Times New Roman"/>
                <w:color w:val="auto"/>
                <w:spacing w:val="-1"/>
                <w:sz w:val="21"/>
                <w:szCs w:val="21"/>
                <w:highlight w:val="none"/>
              </w:rPr>
              <w:t>/</w:t>
            </w:r>
          </w:p>
        </w:tc>
      </w:tr>
      <w:tr w14:paraId="551682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959" w:type="dxa"/>
            <w:noWrap w:val="0"/>
            <w:vAlign w:val="center"/>
          </w:tcPr>
          <w:p w14:paraId="1A405974">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w:t>
            </w:r>
          </w:p>
        </w:tc>
        <w:tc>
          <w:tcPr>
            <w:tcW w:w="2613" w:type="dxa"/>
            <w:noWrap w:val="0"/>
            <w:vAlign w:val="center"/>
          </w:tcPr>
          <w:p w14:paraId="761BB5CC">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近年财务状况的年份要求</w:t>
            </w:r>
          </w:p>
        </w:tc>
        <w:tc>
          <w:tcPr>
            <w:tcW w:w="5774" w:type="dxa"/>
            <w:noWrap w:val="0"/>
            <w:vAlign w:val="center"/>
          </w:tcPr>
          <w:p w14:paraId="200F9C8D">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tc>
      </w:tr>
      <w:tr w14:paraId="241B2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59" w:type="dxa"/>
            <w:noWrap w:val="0"/>
            <w:vAlign w:val="center"/>
          </w:tcPr>
          <w:p w14:paraId="0E22F62B">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w:t>
            </w:r>
          </w:p>
        </w:tc>
        <w:tc>
          <w:tcPr>
            <w:tcW w:w="2613" w:type="dxa"/>
            <w:noWrap w:val="0"/>
            <w:vAlign w:val="center"/>
          </w:tcPr>
          <w:p w14:paraId="02B1CC9F">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近年完成的类似项目情况的时间要求</w:t>
            </w:r>
          </w:p>
        </w:tc>
        <w:tc>
          <w:tcPr>
            <w:tcW w:w="5774" w:type="dxa"/>
            <w:noWrap w:val="0"/>
            <w:vAlign w:val="center"/>
          </w:tcPr>
          <w:p w14:paraId="39725BA5">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p>
        </w:tc>
      </w:tr>
      <w:tr w14:paraId="2B366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959" w:type="dxa"/>
            <w:noWrap w:val="0"/>
            <w:vAlign w:val="center"/>
          </w:tcPr>
          <w:p w14:paraId="743CB6F9">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w:t>
            </w:r>
          </w:p>
        </w:tc>
        <w:tc>
          <w:tcPr>
            <w:tcW w:w="2613" w:type="dxa"/>
            <w:noWrap w:val="0"/>
            <w:vAlign w:val="center"/>
          </w:tcPr>
          <w:p w14:paraId="40B6AA74">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近年发生的诉讼及仲裁情况的时间要求</w:t>
            </w:r>
          </w:p>
        </w:tc>
        <w:tc>
          <w:tcPr>
            <w:tcW w:w="5774" w:type="dxa"/>
            <w:noWrap w:val="0"/>
            <w:vAlign w:val="center"/>
          </w:tcPr>
          <w:p w14:paraId="1C42CC92">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015DA0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959" w:type="dxa"/>
            <w:noWrap w:val="0"/>
            <w:vAlign w:val="center"/>
          </w:tcPr>
          <w:p w14:paraId="087DBE27">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613" w:type="dxa"/>
            <w:noWrap w:val="0"/>
            <w:vAlign w:val="center"/>
          </w:tcPr>
          <w:p w14:paraId="5902523E">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5774" w:type="dxa"/>
            <w:noWrap w:val="0"/>
            <w:vAlign w:val="center"/>
          </w:tcPr>
          <w:p w14:paraId="2768E79E">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■不允许</w:t>
            </w:r>
          </w:p>
          <w:p w14:paraId="19319FC2">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2B25D7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959" w:type="dxa"/>
            <w:noWrap w:val="0"/>
            <w:vAlign w:val="center"/>
          </w:tcPr>
          <w:p w14:paraId="52EA8AF2">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2613" w:type="dxa"/>
            <w:noWrap w:val="0"/>
            <w:vAlign w:val="center"/>
          </w:tcPr>
          <w:p w14:paraId="28309BBE">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投标文件所附证书证件要求</w:t>
            </w:r>
          </w:p>
        </w:tc>
        <w:tc>
          <w:tcPr>
            <w:tcW w:w="5774" w:type="dxa"/>
            <w:noWrap w:val="0"/>
            <w:vAlign w:val="center"/>
          </w:tcPr>
          <w:p w14:paraId="15196CA5">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证书证件需为原件清晰扫描件，并采用单位数字证书，按照招标文件要求在相应位置加盖电子印章。</w:t>
            </w:r>
          </w:p>
        </w:tc>
      </w:tr>
      <w:tr w14:paraId="013E0F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959" w:type="dxa"/>
            <w:noWrap w:val="0"/>
            <w:vAlign w:val="center"/>
          </w:tcPr>
          <w:p w14:paraId="64AC29ED">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2613" w:type="dxa"/>
            <w:noWrap w:val="0"/>
            <w:vAlign w:val="center"/>
          </w:tcPr>
          <w:p w14:paraId="59CE038A">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投标文件签字或盖章要求</w:t>
            </w:r>
          </w:p>
        </w:tc>
        <w:tc>
          <w:tcPr>
            <w:tcW w:w="5774" w:type="dxa"/>
            <w:noWrap w:val="0"/>
            <w:vAlign w:val="center"/>
          </w:tcPr>
          <w:p w14:paraId="7C2DEA59">
            <w:pPr>
              <w:pStyle w:val="7"/>
              <w:topLinePunct/>
              <w:snapToGrid w:val="0"/>
              <w:spacing w:line="276" w:lineRule="auto"/>
              <w:rPr>
                <w:rFonts w:hint="eastAsia" w:hAnsi="宋体" w:eastAsia="宋体" w:cs="宋体"/>
                <w:color w:val="auto"/>
                <w:sz w:val="21"/>
                <w:szCs w:val="21"/>
                <w:highlight w:val="none"/>
                <w:u w:val="single"/>
              </w:rPr>
            </w:pPr>
            <w:r>
              <w:rPr>
                <w:rFonts w:hint="eastAsia" w:hAnsi="宋体" w:eastAsia="宋体" w:cs="宋体"/>
                <w:color w:val="auto"/>
                <w:sz w:val="21"/>
                <w:szCs w:val="21"/>
                <w:highlight w:val="none"/>
                <w:u w:val="single"/>
              </w:rPr>
              <w:t>取消在招标文件中采用个人数字证书和加盖个人电子印章要求，投标文件中需个人签字或盖章的，应手签后扫描上传。投标文件按招标文件要求加盖单位电子印章。具体操作详见广州交易集团有限公司（广州公共资源交易中心）网站发布的最新版操作指引。</w:t>
            </w:r>
          </w:p>
          <w:p w14:paraId="3A0D7B62">
            <w:pPr>
              <w:pStyle w:val="7"/>
              <w:topLinePunct/>
              <w:snapToGrid w:val="0"/>
              <w:spacing w:line="276" w:lineRule="auto"/>
              <w:rPr>
                <w:rFonts w:hint="eastAsia" w:hAnsi="宋体" w:eastAsia="宋体" w:cs="宋体"/>
                <w:color w:val="auto"/>
                <w:szCs w:val="21"/>
                <w:highlight w:val="none"/>
                <w:u w:val="single"/>
              </w:rPr>
            </w:pPr>
            <w:r>
              <w:rPr>
                <w:rFonts w:hAnsi="宋体" w:eastAsia="宋体" w:cs="宋体"/>
                <w:color w:val="auto"/>
                <w:sz w:val="21"/>
                <w:szCs w:val="21"/>
                <w:highlight w:val="none"/>
                <w:u w:val="single"/>
              </w:rPr>
              <w:t>联合体投标时，除“联合体协议书”需由联合体各方分别按要求进行签字或盖章外，其他资料若需要签字或盖章的均可由联合体</w:t>
            </w:r>
            <w:r>
              <w:rPr>
                <w:rFonts w:hint="eastAsia" w:hAnsi="宋体" w:eastAsia="宋体" w:cs="宋体"/>
                <w:color w:val="auto"/>
                <w:sz w:val="21"/>
                <w:szCs w:val="21"/>
                <w:highlight w:val="none"/>
                <w:u w:val="single"/>
              </w:rPr>
              <w:t>牵头方</w:t>
            </w:r>
            <w:r>
              <w:rPr>
                <w:rFonts w:hAnsi="宋体" w:eastAsia="宋体" w:cs="宋体"/>
                <w:color w:val="auto"/>
                <w:sz w:val="21"/>
                <w:szCs w:val="21"/>
                <w:highlight w:val="none"/>
                <w:u w:val="single"/>
              </w:rPr>
              <w:t>签字或盖章即可；投标资料封面及其他内容及落款中的“</w:t>
            </w:r>
            <w:r>
              <w:rPr>
                <w:rFonts w:hint="eastAsia" w:hAnsi="宋体" w:eastAsia="宋体" w:cs="宋体"/>
                <w:color w:val="auto"/>
                <w:sz w:val="21"/>
                <w:szCs w:val="21"/>
                <w:highlight w:val="none"/>
                <w:u w:val="single"/>
              </w:rPr>
              <w:t>投标单位</w:t>
            </w:r>
            <w:r>
              <w:rPr>
                <w:rFonts w:hAnsi="宋体" w:eastAsia="宋体" w:cs="宋体"/>
                <w:color w:val="auto"/>
                <w:sz w:val="21"/>
                <w:szCs w:val="21"/>
                <w:highlight w:val="none"/>
                <w:u w:val="single"/>
              </w:rPr>
              <w:t>”应填写联合体各方的单位全称【格式示例为：（主）单位全称（成）单位全称】，由联合体</w:t>
            </w:r>
            <w:r>
              <w:rPr>
                <w:rFonts w:hint="eastAsia" w:hAnsi="宋体" w:eastAsia="宋体" w:cs="宋体"/>
                <w:color w:val="auto"/>
                <w:sz w:val="21"/>
                <w:szCs w:val="21"/>
                <w:highlight w:val="none"/>
                <w:u w:val="single"/>
              </w:rPr>
              <w:t>牵头方</w:t>
            </w:r>
            <w:r>
              <w:rPr>
                <w:rFonts w:hAnsi="宋体" w:eastAsia="宋体" w:cs="宋体"/>
                <w:color w:val="auto"/>
                <w:sz w:val="21"/>
                <w:szCs w:val="21"/>
                <w:highlight w:val="none"/>
                <w:u w:val="single"/>
              </w:rPr>
              <w:t>按要求签字或盖章即可。电子</w:t>
            </w:r>
            <w:r>
              <w:rPr>
                <w:rFonts w:hint="eastAsia" w:hAnsi="宋体" w:eastAsia="宋体" w:cs="宋体"/>
                <w:color w:val="auto"/>
                <w:sz w:val="21"/>
                <w:szCs w:val="21"/>
                <w:highlight w:val="none"/>
                <w:u w:val="single"/>
              </w:rPr>
              <w:t>印</w:t>
            </w:r>
            <w:r>
              <w:rPr>
                <w:rFonts w:hAnsi="宋体" w:eastAsia="宋体" w:cs="宋体"/>
                <w:color w:val="auto"/>
                <w:sz w:val="21"/>
                <w:szCs w:val="21"/>
                <w:highlight w:val="none"/>
                <w:u w:val="single"/>
              </w:rPr>
              <w:t>章由</w:t>
            </w:r>
            <w:r>
              <w:rPr>
                <w:rFonts w:hint="eastAsia" w:hAnsi="宋体" w:eastAsia="宋体" w:cs="宋体"/>
                <w:color w:val="auto"/>
                <w:sz w:val="21"/>
                <w:szCs w:val="21"/>
                <w:highlight w:val="none"/>
                <w:u w:val="single"/>
              </w:rPr>
              <w:t>牵头方</w:t>
            </w:r>
            <w:r>
              <w:rPr>
                <w:rFonts w:hAnsi="宋体" w:eastAsia="宋体" w:cs="宋体"/>
                <w:color w:val="auto"/>
                <w:sz w:val="21"/>
                <w:szCs w:val="21"/>
                <w:highlight w:val="none"/>
                <w:u w:val="single"/>
              </w:rPr>
              <w:t>进行签章即可。</w:t>
            </w:r>
          </w:p>
        </w:tc>
      </w:tr>
      <w:tr w14:paraId="6CEAF2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959" w:type="dxa"/>
            <w:noWrap w:val="0"/>
            <w:vAlign w:val="center"/>
          </w:tcPr>
          <w:p w14:paraId="3EA420BC">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2613" w:type="dxa"/>
            <w:noWrap w:val="0"/>
            <w:vAlign w:val="center"/>
          </w:tcPr>
          <w:p w14:paraId="5E8D0592">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投标文件加密要求</w:t>
            </w:r>
          </w:p>
        </w:tc>
        <w:tc>
          <w:tcPr>
            <w:tcW w:w="5774" w:type="dxa"/>
            <w:noWrap w:val="0"/>
            <w:vAlign w:val="center"/>
          </w:tcPr>
          <w:p w14:paraId="3FC46654">
            <w:pPr>
              <w:pStyle w:val="7"/>
              <w:topLinePunct/>
              <w:snapToGrid w:val="0"/>
              <w:spacing w:line="276" w:lineRule="auto"/>
              <w:rPr>
                <w:rFonts w:hint="eastAsia" w:hAnsi="宋体" w:eastAsia="宋体" w:cs="宋体"/>
                <w:color w:val="auto"/>
                <w:sz w:val="21"/>
                <w:szCs w:val="21"/>
                <w:highlight w:val="none"/>
                <w:u w:val="single"/>
              </w:rPr>
            </w:pPr>
            <w:r>
              <w:rPr>
                <w:rFonts w:hint="eastAsia" w:hAnsi="宋体" w:eastAsia="宋体" w:cs="宋体"/>
                <w:color w:val="auto"/>
                <w:sz w:val="21"/>
                <w:szCs w:val="21"/>
                <w:highlight w:val="none"/>
              </w:rPr>
              <w:t>网上递交的电子投标文件须进行加密。具体操作详见广州交易集团有限公司（广州公共资源交易中心）网站发布的最新版操作指引。</w:t>
            </w:r>
          </w:p>
        </w:tc>
      </w:tr>
      <w:tr w14:paraId="3438F1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69" w:hRule="atLeast"/>
          <w:jc w:val="center"/>
        </w:trPr>
        <w:tc>
          <w:tcPr>
            <w:tcW w:w="959" w:type="dxa"/>
            <w:noWrap w:val="0"/>
            <w:vAlign w:val="center"/>
          </w:tcPr>
          <w:p w14:paraId="37A5BD6F">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2613" w:type="dxa"/>
            <w:noWrap w:val="0"/>
            <w:vAlign w:val="center"/>
          </w:tcPr>
          <w:p w14:paraId="50C8F5C9">
            <w:pPr>
              <w:snapToGrid w:val="0"/>
              <w:spacing w:line="276" w:lineRule="auto"/>
              <w:jc w:val="center"/>
              <w:rPr>
                <w:rFonts w:hint="eastAsia" w:ascii="宋体" w:hAnsi="宋体" w:eastAsia="宋体" w:cs="宋体"/>
                <w:color w:val="auto"/>
                <w:szCs w:val="21"/>
                <w:highlight w:val="none"/>
                <w:shd w:val="clear" w:color="FFFFFF" w:fill="D9D9D9"/>
              </w:rPr>
            </w:pPr>
            <w:r>
              <w:rPr>
                <w:rFonts w:hint="eastAsia" w:ascii="宋体" w:hAnsi="宋体" w:eastAsia="宋体" w:cs="宋体"/>
                <w:color w:val="auto"/>
                <w:szCs w:val="21"/>
                <w:highlight w:val="none"/>
              </w:rPr>
              <w:t>封套上应载明的信息</w:t>
            </w:r>
          </w:p>
        </w:tc>
        <w:tc>
          <w:tcPr>
            <w:tcW w:w="5774" w:type="dxa"/>
            <w:noWrap w:val="0"/>
            <w:vAlign w:val="center"/>
          </w:tcPr>
          <w:p w14:paraId="13EA29DA">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对递交的备用投标文件电子光盘要求封装。</w:t>
            </w:r>
          </w:p>
          <w:p w14:paraId="5505104D">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招标人名称：广州市番禺区基本建设投资管理中心</w:t>
            </w:r>
          </w:p>
          <w:p w14:paraId="2E81F320">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招标人地址：广州市番禺区清河东路319号西副楼六楼</w:t>
            </w:r>
          </w:p>
          <w:p w14:paraId="34814FB1">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广东番禺中学九年一贯制学校（番禺中学附属学校）二期工程检测监测服务投标文件</w:t>
            </w:r>
          </w:p>
          <w:p w14:paraId="7A1715AC">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招标项目编号：</w:t>
            </w:r>
          </w:p>
          <w:p w14:paraId="64566401">
            <w:pPr>
              <w:pStyle w:val="7"/>
              <w:topLinePunct/>
              <w:snapToGrid w:val="0"/>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在</w:t>
            </w:r>
            <w:r>
              <w:rPr>
                <w:rFonts w:hint="eastAsia" w:hAnsi="宋体" w:cs="宋体"/>
                <w:color w:val="auto"/>
                <w:sz w:val="21"/>
                <w:szCs w:val="21"/>
                <w:highlight w:val="none"/>
                <w:lang w:val="en-US" w:eastAsia="zh-CN"/>
              </w:rPr>
              <w:t>2024</w:t>
            </w:r>
            <w:r>
              <w:rPr>
                <w:rFonts w:hint="eastAsia" w:hAnsi="宋体" w:eastAsia="宋体" w:cs="宋体"/>
                <w:color w:val="auto"/>
                <w:sz w:val="21"/>
                <w:szCs w:val="21"/>
                <w:highlight w:val="none"/>
              </w:rPr>
              <w:t>年</w:t>
            </w:r>
            <w:r>
              <w:rPr>
                <w:rFonts w:hint="eastAsia" w:hAnsi="宋体" w:cs="宋体"/>
                <w:color w:val="auto"/>
                <w:sz w:val="21"/>
                <w:szCs w:val="21"/>
                <w:highlight w:val="none"/>
                <w:lang w:val="en-US" w:eastAsia="zh-CN"/>
              </w:rPr>
              <w:t>11</w:t>
            </w:r>
            <w:r>
              <w:rPr>
                <w:rFonts w:hint="eastAsia" w:hAnsi="宋体" w:eastAsia="宋体" w:cs="宋体"/>
                <w:color w:val="auto"/>
                <w:sz w:val="21"/>
                <w:szCs w:val="21"/>
                <w:highlight w:val="none"/>
              </w:rPr>
              <w:t>月</w:t>
            </w:r>
            <w:r>
              <w:rPr>
                <w:rFonts w:hint="eastAsia" w:hAnsi="宋体" w:cs="宋体"/>
                <w:color w:val="auto"/>
                <w:sz w:val="21"/>
                <w:szCs w:val="21"/>
                <w:highlight w:val="none"/>
                <w:lang w:val="en-US" w:eastAsia="zh-CN"/>
              </w:rPr>
              <w:t>19</w:t>
            </w:r>
            <w:r>
              <w:rPr>
                <w:rFonts w:hint="eastAsia" w:hAnsi="宋体" w:eastAsia="宋体" w:cs="宋体"/>
                <w:color w:val="auto"/>
                <w:sz w:val="21"/>
                <w:szCs w:val="21"/>
                <w:highlight w:val="none"/>
              </w:rPr>
              <w:t>日   时前不得开启</w:t>
            </w:r>
          </w:p>
        </w:tc>
      </w:tr>
      <w:tr w14:paraId="1B6C09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959" w:type="dxa"/>
            <w:noWrap w:val="0"/>
            <w:vAlign w:val="center"/>
          </w:tcPr>
          <w:p w14:paraId="554AFBBE">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w:t>
            </w:r>
          </w:p>
        </w:tc>
        <w:tc>
          <w:tcPr>
            <w:tcW w:w="2613" w:type="dxa"/>
            <w:noWrap w:val="0"/>
            <w:vAlign w:val="center"/>
          </w:tcPr>
          <w:p w14:paraId="5C44D307">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5774" w:type="dxa"/>
            <w:noWrap w:val="0"/>
            <w:vAlign w:val="center"/>
          </w:tcPr>
          <w:p w14:paraId="6CA3B167">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2024年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eastAsia="宋体" w:cs="宋体"/>
                <w:color w:val="auto"/>
                <w:szCs w:val="21"/>
                <w:highlight w:val="none"/>
                <w:u w:val="single"/>
              </w:rPr>
              <w:t>日  时  分（北京时间）</w:t>
            </w:r>
          </w:p>
          <w:p w14:paraId="5354F9E5">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（详见广州交易集团有限公司（广州公共资源交易中心）网站信息）</w:t>
            </w:r>
          </w:p>
        </w:tc>
      </w:tr>
      <w:tr w14:paraId="3CC362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6" w:hRule="atLeast"/>
          <w:jc w:val="center"/>
        </w:trPr>
        <w:tc>
          <w:tcPr>
            <w:tcW w:w="959" w:type="dxa"/>
            <w:noWrap w:val="0"/>
            <w:vAlign w:val="center"/>
          </w:tcPr>
          <w:p w14:paraId="0EEA928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w:t>
            </w:r>
          </w:p>
        </w:tc>
        <w:tc>
          <w:tcPr>
            <w:tcW w:w="2613" w:type="dxa"/>
            <w:noWrap w:val="0"/>
            <w:vAlign w:val="center"/>
          </w:tcPr>
          <w:p w14:paraId="1F02BCB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递交电子投标文件交易平台</w:t>
            </w:r>
          </w:p>
        </w:tc>
        <w:tc>
          <w:tcPr>
            <w:tcW w:w="5774" w:type="dxa"/>
            <w:noWrap w:val="0"/>
            <w:vAlign w:val="center"/>
          </w:tcPr>
          <w:p w14:paraId="6981734C">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1.递交方式：网上递交投标文件</w:t>
            </w:r>
          </w:p>
          <w:p w14:paraId="32A7D259">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2.递交投标文件的起始时间：（详见广州交易集团有限公司（广州公共资源交易中心）网站信息）。</w:t>
            </w:r>
          </w:p>
          <w:p w14:paraId="6C739B31">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截止时间：（详见广州交易集团有限公司（广州公共资源交易中心）网站信息）</w:t>
            </w:r>
          </w:p>
          <w:p w14:paraId="5F296318">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3.地点：广州交易集团有限公司（广州公共资源交易中心）网站。</w:t>
            </w:r>
          </w:p>
          <w:p w14:paraId="37EEDED7">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4.上述时间及地点是否有改变，请密切留意招标答疑中的相关信息。也可登录广州交易集团有限公司（广州公共资源交易中心）网站首页，点击“服务指南”专栏中的“交易活动安排”，输入项目编号或项目名称查询最新信息。</w:t>
            </w:r>
          </w:p>
        </w:tc>
      </w:tr>
      <w:tr w14:paraId="6D0C31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959" w:type="dxa"/>
            <w:noWrap w:val="0"/>
            <w:vAlign w:val="center"/>
          </w:tcPr>
          <w:p w14:paraId="694D6A56">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p>
        </w:tc>
        <w:tc>
          <w:tcPr>
            <w:tcW w:w="2613" w:type="dxa"/>
            <w:noWrap w:val="0"/>
            <w:vAlign w:val="center"/>
          </w:tcPr>
          <w:p w14:paraId="514ED7AA">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投标文件是否退还</w:t>
            </w:r>
          </w:p>
        </w:tc>
        <w:tc>
          <w:tcPr>
            <w:tcW w:w="5774" w:type="dxa"/>
            <w:noWrap w:val="0"/>
            <w:vAlign w:val="center"/>
          </w:tcPr>
          <w:p w14:paraId="1E6AAED1">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■否</w:t>
            </w:r>
          </w:p>
          <w:p w14:paraId="57D5C449">
            <w:pPr>
              <w:pStyle w:val="7"/>
              <w:topLinePunct/>
              <w:spacing w:line="276"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□是，退还时间：</w:t>
            </w:r>
          </w:p>
        </w:tc>
      </w:tr>
      <w:tr w14:paraId="036A12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16" w:hRule="atLeast"/>
          <w:jc w:val="center"/>
        </w:trPr>
        <w:tc>
          <w:tcPr>
            <w:tcW w:w="959" w:type="dxa"/>
            <w:noWrap w:val="0"/>
            <w:vAlign w:val="center"/>
          </w:tcPr>
          <w:p w14:paraId="750DCDAE">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613" w:type="dxa"/>
            <w:noWrap w:val="0"/>
            <w:vAlign w:val="center"/>
          </w:tcPr>
          <w:p w14:paraId="4E45A11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5774" w:type="dxa"/>
            <w:noWrap w:val="0"/>
            <w:vAlign w:val="center"/>
          </w:tcPr>
          <w:p w14:paraId="2017238B">
            <w:pPr>
              <w:snapToGrid w:val="0"/>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招标人在本章第 4.2.1 项规定的投标截止时间（开标时间），通过电子招标投标交易平台公开开标；开标地点在广州公共资源交易中心，详见广州公共资源交易中心公布本项目的日程安排，投标人可登录广州公共资源交易中心网站首页，点击“交易业务-建设工程”专栏中的“项目查询（日程安排、答疑纪要）”，输入项目编号或项目名称查询最新信息。</w:t>
            </w:r>
          </w:p>
          <w:p w14:paraId="65673ED0">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开标时，投标人代表有权出席开标会，也可以自主决定不参加开标会。</w:t>
            </w:r>
          </w:p>
        </w:tc>
      </w:tr>
      <w:tr w14:paraId="18B770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959" w:type="dxa"/>
            <w:noWrap w:val="0"/>
            <w:vAlign w:val="center"/>
          </w:tcPr>
          <w:p w14:paraId="744A9D2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613" w:type="dxa"/>
            <w:noWrap w:val="0"/>
            <w:vAlign w:val="center"/>
          </w:tcPr>
          <w:p w14:paraId="2B4891FB">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5774" w:type="dxa"/>
            <w:noWrap w:val="0"/>
            <w:vAlign w:val="center"/>
          </w:tcPr>
          <w:p w14:paraId="6CBEC839">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电子招投标项目开标按下列程序进行：</w:t>
            </w:r>
          </w:p>
          <w:p w14:paraId="52D8CB11">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5.2.1主持人按下列程序进行开标：</w:t>
            </w:r>
          </w:p>
          <w:p w14:paraId="2A5CD9B5">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（1）宣布开标纪律；</w:t>
            </w:r>
          </w:p>
          <w:p w14:paraId="3754A829">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（2）公布在投标截止时间前递交投标文件的投标人名称；</w:t>
            </w:r>
          </w:p>
          <w:p w14:paraId="53CFEDD7">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（3）宣布开标人、唱标人、记录人、监标人等有关人员姓名；</w:t>
            </w:r>
          </w:p>
          <w:p w14:paraId="1A1FB339">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（4）投标人通过电子招标投标交易平台对已递交的电子投标文件进行解密，公布招标项目名称、投标人名称、投标总报价、服务期限及其他内容，并记录在案；</w:t>
            </w:r>
          </w:p>
          <w:p w14:paraId="15BE807A">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（5）投标人代表、招标人代表、监标人、记录人等有关人员在开标记录上签字确认；若有关人员不签字的，不影响开标程序；</w:t>
            </w:r>
          </w:p>
          <w:p w14:paraId="64FB436B">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（6）开标结束。</w:t>
            </w:r>
          </w:p>
          <w:p w14:paraId="3DDEBA72">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5.2.2投标截止时间前未完成投标文件传输的或因投标人之外的原因造成投标文件未解密的或未在投标截止时间后半小时解密的，视为投标人其撤回投标文件。因投标人原因造成投标文件未解密的，或因投标人之外原因解密失败且未递交电子光盘或递交的电子光盘不能读取的，视为撤销其投标文件。</w:t>
            </w:r>
          </w:p>
          <w:p w14:paraId="6315A7AA">
            <w:pPr>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5.2.3开标时，两个（含两个）以上的投标人加密打包投标文件电脑机器特征码一致的，不参与下一程序，并由评标委员会否决其投标。</w:t>
            </w:r>
          </w:p>
        </w:tc>
      </w:tr>
      <w:tr w14:paraId="4BD7C0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59" w:type="dxa"/>
            <w:noWrap w:val="0"/>
            <w:vAlign w:val="center"/>
          </w:tcPr>
          <w:p w14:paraId="7ADD17B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2613" w:type="dxa"/>
            <w:noWrap w:val="0"/>
            <w:vAlign w:val="center"/>
          </w:tcPr>
          <w:p w14:paraId="4217E744">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5774" w:type="dxa"/>
            <w:noWrap w:val="0"/>
            <w:vAlign w:val="center"/>
          </w:tcPr>
          <w:p w14:paraId="666CEBA7">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评标委员会由招标人依法组建。</w:t>
            </w:r>
          </w:p>
        </w:tc>
      </w:tr>
      <w:tr w14:paraId="53DEAC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5" w:hRule="atLeast"/>
          <w:jc w:val="center"/>
        </w:trPr>
        <w:tc>
          <w:tcPr>
            <w:tcW w:w="959" w:type="dxa"/>
            <w:noWrap w:val="0"/>
            <w:vAlign w:val="center"/>
          </w:tcPr>
          <w:p w14:paraId="3ABF5923">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w:t>
            </w:r>
          </w:p>
        </w:tc>
        <w:tc>
          <w:tcPr>
            <w:tcW w:w="2613" w:type="dxa"/>
            <w:noWrap w:val="0"/>
            <w:vAlign w:val="center"/>
          </w:tcPr>
          <w:p w14:paraId="62393D2F">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w:t>
            </w:r>
          </w:p>
        </w:tc>
        <w:tc>
          <w:tcPr>
            <w:tcW w:w="5774" w:type="dxa"/>
            <w:noWrap w:val="0"/>
            <w:vAlign w:val="center"/>
          </w:tcPr>
          <w:p w14:paraId="606DA610">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推荐中标候选人：</w:t>
            </w:r>
            <w:r>
              <w:rPr>
                <w:rFonts w:hint="eastAsia" w:ascii="宋体" w:hAnsi="宋体" w:eastAsia="宋体" w:cs="宋体"/>
                <w:color w:val="auto"/>
                <w:szCs w:val="21"/>
                <w:highlight w:val="none"/>
                <w:u w:val="single"/>
              </w:rPr>
              <w:t>3人</w:t>
            </w:r>
          </w:p>
        </w:tc>
      </w:tr>
      <w:tr w14:paraId="6105D2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5" w:hRule="atLeast"/>
          <w:jc w:val="center"/>
        </w:trPr>
        <w:tc>
          <w:tcPr>
            <w:tcW w:w="959" w:type="dxa"/>
            <w:noWrap w:val="0"/>
            <w:vAlign w:val="center"/>
          </w:tcPr>
          <w:p w14:paraId="7743A36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2613" w:type="dxa"/>
            <w:noWrap w:val="0"/>
            <w:vAlign w:val="center"/>
          </w:tcPr>
          <w:p w14:paraId="68C468C3">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中标候选人公示媒介及期限</w:t>
            </w:r>
          </w:p>
        </w:tc>
        <w:tc>
          <w:tcPr>
            <w:tcW w:w="5774" w:type="dxa"/>
            <w:noWrap w:val="0"/>
            <w:vAlign w:val="center"/>
          </w:tcPr>
          <w:p w14:paraId="03A603C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宋体"/>
                <w:color w:val="auto"/>
                <w:szCs w:val="21"/>
                <w:highlight w:val="none"/>
                <w:u w:val="single"/>
              </w:rPr>
              <w:t>广州交易集团有限公司（广州公共资源交易中心）网站、广东省招标投标监管网、中国招标投标公共服务平台</w:t>
            </w:r>
          </w:p>
          <w:p w14:paraId="7B61DD6B">
            <w:pPr>
              <w:snapToGrid w:val="0"/>
              <w:spacing w:line="276" w:lineRule="auto"/>
              <w:ind w:right="106"/>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公示期限：</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日</w:t>
            </w:r>
          </w:p>
        </w:tc>
      </w:tr>
      <w:tr w14:paraId="2F46DF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noWrap w:val="0"/>
            <w:vAlign w:val="center"/>
          </w:tcPr>
          <w:p w14:paraId="7AF2AF24">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7.4</w:t>
            </w:r>
          </w:p>
        </w:tc>
        <w:tc>
          <w:tcPr>
            <w:tcW w:w="2613" w:type="dxa"/>
            <w:noWrap w:val="0"/>
            <w:vAlign w:val="center"/>
          </w:tcPr>
          <w:p w14:paraId="32F8EEC3">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5774" w:type="dxa"/>
            <w:noWrap w:val="0"/>
            <w:vAlign w:val="center"/>
          </w:tcPr>
          <w:p w14:paraId="6DC9E76C">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07007DC3">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14:paraId="6DD4C0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959" w:type="dxa"/>
            <w:noWrap w:val="0"/>
            <w:vAlign w:val="center"/>
          </w:tcPr>
          <w:p w14:paraId="1F973D57">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7.6.1</w:t>
            </w:r>
          </w:p>
        </w:tc>
        <w:tc>
          <w:tcPr>
            <w:tcW w:w="2613" w:type="dxa"/>
            <w:noWrap w:val="0"/>
            <w:vAlign w:val="center"/>
          </w:tcPr>
          <w:p w14:paraId="080B0AF4">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5774" w:type="dxa"/>
            <w:noWrap w:val="0"/>
            <w:vAlign w:val="center"/>
          </w:tcPr>
          <w:p w14:paraId="0CA01AAA">
            <w:pPr>
              <w:pStyle w:val="7"/>
              <w:topLinePunct/>
              <w:spacing w:line="276" w:lineRule="auto"/>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是否要求中标人提交履约担保。</w:t>
            </w:r>
          </w:p>
          <w:p w14:paraId="2D4126F6">
            <w:pPr>
              <w:pStyle w:val="7"/>
              <w:topLinePunct/>
              <w:spacing w:line="276" w:lineRule="auto"/>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□否</w:t>
            </w:r>
          </w:p>
          <w:p w14:paraId="5BC62864">
            <w:pPr>
              <w:pStyle w:val="7"/>
              <w:topLinePunct/>
              <w:spacing w:line="276" w:lineRule="auto"/>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√要求</w:t>
            </w:r>
          </w:p>
          <w:p w14:paraId="45124E51">
            <w:pPr>
              <w:pStyle w:val="7"/>
              <w:topLinePunct/>
              <w:spacing w:line="276" w:lineRule="auto"/>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中标人提供的履约担保为中标价的10% ，中标通知书发放后15个日历天内,中标人须向招标人提交履约担保，履约担保可采用现金或支票或汇票等有效方式提交，若中标人以银行转账或银行保函方式提供的，可按以下方式提交：</w:t>
            </w:r>
          </w:p>
          <w:p w14:paraId="77B14B6D">
            <w:pPr>
              <w:pStyle w:val="7"/>
              <w:topLinePunct/>
              <w:spacing w:line="276" w:lineRule="auto"/>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方式一：从中标人开户银行帐户中转帐或汇款到招标人以下三个银行帐户﹙收款单位：广州市番禺区基本建设投资管理中心，银行帐号一：3602070119200076312，开户银行：工商银行广州番禺平康支行；银行帐号二：44001531416059000078，开户银行：中国建设银行番禺东区支行；银行帐号三：391160100100059844，开户银行：兴业银行番禺支行﹚中的任一个帐户内。</w:t>
            </w:r>
          </w:p>
          <w:p w14:paraId="1CB990AD">
            <w:pPr>
              <w:pStyle w:val="7"/>
              <w:topLinePunct/>
              <w:spacing w:line="276" w:lineRule="auto"/>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方式二：中标人按本合同附件中的格式1向发包人提供保证额为中标价款的10%的履约保证金银行保函，该银行保函应由在中国注册的银行开具。</w:t>
            </w:r>
          </w:p>
          <w:p w14:paraId="2B60DF71">
            <w:pPr>
              <w:pStyle w:val="7"/>
              <w:topLinePunct/>
              <w:spacing w:line="276" w:lineRule="auto"/>
              <w:rPr>
                <w:rFonts w:hint="eastAsia" w:hAnsi="宋体" w:eastAsia="宋体" w:cs="宋体"/>
                <w:color w:val="auto"/>
                <w:sz w:val="21"/>
                <w:szCs w:val="21"/>
                <w:highlight w:val="none"/>
              </w:rPr>
            </w:pPr>
            <w:r>
              <w:rPr>
                <w:rFonts w:hint="eastAsia" w:hAnsi="宋体" w:eastAsia="宋体" w:cs="宋体"/>
                <w:bCs/>
                <w:color w:val="auto"/>
                <w:sz w:val="21"/>
                <w:szCs w:val="21"/>
                <w:highlight w:val="none"/>
              </w:rPr>
              <w:t>若在中标通知书发放后15个日历天内，中标人未提交履约担保且未征得招标人同意延期缴交的，招标人有权取消其中标资格并没收补交的投标保证金，并由其他中标候选人顺次序替补。</w:t>
            </w:r>
          </w:p>
        </w:tc>
      </w:tr>
      <w:tr w14:paraId="422B35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8" w:hRule="atLeast"/>
          <w:jc w:val="center"/>
        </w:trPr>
        <w:tc>
          <w:tcPr>
            <w:tcW w:w="959" w:type="dxa"/>
            <w:noWrap w:val="0"/>
            <w:vAlign w:val="center"/>
          </w:tcPr>
          <w:p w14:paraId="0EBA285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613" w:type="dxa"/>
            <w:noWrap w:val="0"/>
            <w:vAlign w:val="center"/>
          </w:tcPr>
          <w:p w14:paraId="05BB504C">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是否采用电子招标投标</w:t>
            </w:r>
          </w:p>
        </w:tc>
        <w:tc>
          <w:tcPr>
            <w:tcW w:w="5774" w:type="dxa"/>
            <w:noWrap w:val="0"/>
            <w:vAlign w:val="center"/>
          </w:tcPr>
          <w:p w14:paraId="0B3A2B3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14:paraId="65A203E7">
            <w:pPr>
              <w:spacing w:line="276" w:lineRule="auto"/>
              <w:ind w:left="2099" w:leftChars="3" w:hanging="2093" w:hangingChars="9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■是，具体要求：</w:t>
            </w:r>
          </w:p>
          <w:p w14:paraId="6DA5793D">
            <w:pPr>
              <w:spacing w:line="276" w:lineRule="auto"/>
              <w:ind w:left="187" w:leftChars="8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1.具体操作详见广州交易集团有限公司（广州公共资源交易中心）网站发布的最新版操作指引。</w:t>
            </w:r>
          </w:p>
          <w:p w14:paraId="34FA3FBF">
            <w:pPr>
              <w:spacing w:line="276" w:lineRule="auto"/>
              <w:ind w:firstLine="210" w:firstLine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2.提交投标文件光盘备用</w:t>
            </w:r>
          </w:p>
          <w:p w14:paraId="672B3FCE">
            <w:pPr>
              <w:spacing w:line="276" w:lineRule="auto"/>
              <w:ind w:firstLine="210" w:firstLine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投标人可按广州交易集团有限公司（广州公共资源交易中心）网站发布的最新版操作指引的操作方法制作的非加密的电子投标文件刻入光盘（1份），</w:t>
            </w:r>
            <w:r>
              <w:rPr>
                <w:rFonts w:hint="eastAsia" w:ascii="宋体" w:hAnsi="宋体" w:eastAsia="宋体" w:cs="宋体"/>
                <w:color w:val="auto"/>
                <w:szCs w:val="21"/>
                <w:highlight w:val="none"/>
              </w:rPr>
              <w:t>在开标现场（投标截止时间前）</w:t>
            </w:r>
            <w:r>
              <w:rPr>
                <w:rFonts w:hint="eastAsia" w:ascii="宋体" w:hAnsi="宋体" w:eastAsia="宋体" w:cs="宋体"/>
                <w:color w:val="auto"/>
                <w:szCs w:val="21"/>
                <w:highlight w:val="none"/>
                <w:u w:val="single"/>
              </w:rPr>
              <w:t>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现场提交的光盘。</w:t>
            </w:r>
          </w:p>
          <w:p w14:paraId="3E6DEB2C">
            <w:pPr>
              <w:spacing w:line="276" w:lineRule="auto"/>
              <w:ind w:firstLine="210" w:firstLine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3.补救方案</w:t>
            </w:r>
          </w:p>
          <w:p w14:paraId="0430D589">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（1）投标文件解密失败的补救方案：</w:t>
            </w:r>
          </w:p>
          <w:p w14:paraId="5F8B39BD">
            <w:pPr>
              <w:spacing w:line="276"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093949C5">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（2）评标时突发情况的补救方案</w:t>
            </w:r>
          </w:p>
          <w:p w14:paraId="428B7AF3">
            <w:pPr>
              <w:spacing w:line="276"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若遇不可抗力发生（如：网络瘫痪、服务器损坏、交易系统故障短期无法恢复等因素），由评标委员会开启递交的全部投标文件光盘，并按光盘内容进行评审。</w:t>
            </w:r>
          </w:p>
          <w:p w14:paraId="0B51EFFA">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（3）除发生上述情况外，开标评标均以投标人通过交易平台网上递交的电子投标文件为准。</w:t>
            </w:r>
          </w:p>
        </w:tc>
      </w:tr>
      <w:tr w14:paraId="5C9BB1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959" w:type="dxa"/>
            <w:noWrap w:val="0"/>
            <w:vAlign w:val="center"/>
          </w:tcPr>
          <w:p w14:paraId="7882251E">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613" w:type="dxa"/>
            <w:noWrap w:val="0"/>
            <w:vAlign w:val="center"/>
          </w:tcPr>
          <w:p w14:paraId="58AB4184">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c>
          <w:tcPr>
            <w:tcW w:w="5774" w:type="dxa"/>
            <w:noWrap w:val="0"/>
            <w:vAlign w:val="center"/>
          </w:tcPr>
          <w:p w14:paraId="6F25D706">
            <w:pPr>
              <w:keepNext/>
              <w:keepLines/>
              <w:snapToGrid w:val="0"/>
              <w:spacing w:line="276" w:lineRule="auto"/>
              <w:outlineLvl w:val="0"/>
              <w:rPr>
                <w:rFonts w:hint="eastAsia" w:ascii="宋体" w:hAnsi="宋体" w:eastAsia="宋体" w:cs="宋体"/>
                <w:color w:val="auto"/>
                <w:szCs w:val="21"/>
                <w:highlight w:val="none"/>
              </w:rPr>
            </w:pPr>
          </w:p>
        </w:tc>
      </w:tr>
      <w:tr w14:paraId="4F8BD4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3" w:hRule="atLeast"/>
          <w:jc w:val="center"/>
        </w:trPr>
        <w:tc>
          <w:tcPr>
            <w:tcW w:w="959" w:type="dxa"/>
            <w:noWrap w:val="0"/>
            <w:vAlign w:val="center"/>
          </w:tcPr>
          <w:p w14:paraId="43DA8BA9">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2613" w:type="dxa"/>
            <w:noWrap w:val="0"/>
            <w:vAlign w:val="center"/>
          </w:tcPr>
          <w:p w14:paraId="410B27D9">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特别提示</w:t>
            </w:r>
          </w:p>
        </w:tc>
        <w:tc>
          <w:tcPr>
            <w:tcW w:w="5774" w:type="dxa"/>
            <w:noWrap w:val="0"/>
            <w:vAlign w:val="center"/>
          </w:tcPr>
          <w:p w14:paraId="73741F7D">
            <w:pPr>
              <w:widowControl/>
              <w:shd w:val="clear" w:color="auto" w:fill="FFFFFF"/>
              <w:spacing w:line="276"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14:paraId="520B290B">
            <w:pPr>
              <w:widowControl/>
              <w:shd w:val="clear" w:color="auto" w:fill="FFFFFF"/>
              <w:spacing w:line="276"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1.将中标工程转包或者违法分包的；</w:t>
            </w:r>
          </w:p>
          <w:p w14:paraId="59CB51AF">
            <w:pPr>
              <w:widowControl/>
              <w:shd w:val="clear" w:color="auto" w:fill="FFFFFF"/>
              <w:spacing w:line="276"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2.在中标工程中不执行质量、安全生产相关规定的，造成质量或安全事故的；</w:t>
            </w:r>
          </w:p>
          <w:p w14:paraId="431230CA">
            <w:pPr>
              <w:widowControl/>
              <w:shd w:val="clear" w:color="auto" w:fill="FFFFFF"/>
              <w:spacing w:line="276"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3.存在围标或串标情形的；</w:t>
            </w:r>
          </w:p>
          <w:p w14:paraId="146D126A">
            <w:pPr>
              <w:spacing w:line="276"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4.存在弄虚作假骗取中标情形的；</w:t>
            </w:r>
          </w:p>
        </w:tc>
      </w:tr>
      <w:tr w14:paraId="1B21B5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959" w:type="dxa"/>
            <w:noWrap w:val="0"/>
            <w:vAlign w:val="center"/>
          </w:tcPr>
          <w:p w14:paraId="0170D22C">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w:t>
            </w:r>
          </w:p>
        </w:tc>
        <w:tc>
          <w:tcPr>
            <w:tcW w:w="2613" w:type="dxa"/>
            <w:noWrap w:val="0"/>
            <w:vAlign w:val="center"/>
          </w:tcPr>
          <w:p w14:paraId="464F2C2C">
            <w:pPr>
              <w:widowControl/>
              <w:shd w:val="clear" w:color="auto" w:fill="FFFFFF"/>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招标失败情形</w:t>
            </w:r>
          </w:p>
        </w:tc>
        <w:tc>
          <w:tcPr>
            <w:tcW w:w="5774" w:type="dxa"/>
            <w:noWrap w:val="0"/>
            <w:vAlign w:val="center"/>
          </w:tcPr>
          <w:p w14:paraId="5ADE7577">
            <w:pPr>
              <w:pStyle w:val="6"/>
              <w:spacing w:line="276" w:lineRule="auto"/>
              <w:rPr>
                <w:rFonts w:hint="eastAsia" w:ascii="宋体" w:hAnsi="宋体" w:eastAsia="宋体" w:cs="宋体"/>
                <w:strike/>
                <w:color w:val="auto"/>
                <w:szCs w:val="21"/>
                <w:highlight w:val="none"/>
              </w:rPr>
            </w:pPr>
            <w:r>
              <w:rPr>
                <w:rFonts w:hint="eastAsia" w:ascii="宋体" w:hAnsi="宋体" w:eastAsia="宋体" w:cs="Times New Roman"/>
                <w:color w:val="auto"/>
                <w:szCs w:val="21"/>
                <w:highlight w:val="none"/>
              </w:rPr>
              <w:t>本项目采用资格后审方式，满足资格审查合格条件或通过初步评审的投标申请人不足3名时为招标失败。招标人分析招标失败原因，修正招标方案，报有关管理部门核准后，重新组织招标。</w:t>
            </w:r>
          </w:p>
        </w:tc>
      </w:tr>
      <w:tr w14:paraId="5BD4C0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9" w:hRule="atLeast"/>
          <w:jc w:val="center"/>
        </w:trPr>
        <w:tc>
          <w:tcPr>
            <w:tcW w:w="959" w:type="dxa"/>
            <w:noWrap w:val="0"/>
            <w:vAlign w:val="center"/>
          </w:tcPr>
          <w:p w14:paraId="3223D9F5">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2613" w:type="dxa"/>
            <w:noWrap w:val="0"/>
            <w:vAlign w:val="center"/>
          </w:tcPr>
          <w:p w14:paraId="443AC4BA">
            <w:pPr>
              <w:widowControl/>
              <w:shd w:val="clear" w:color="auto" w:fill="FFFFFF"/>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c>
          <w:tcPr>
            <w:tcW w:w="5774" w:type="dxa"/>
            <w:noWrap w:val="0"/>
            <w:vAlign w:val="center"/>
          </w:tcPr>
          <w:p w14:paraId="25D5FFED">
            <w:pPr>
              <w:pStyle w:val="6"/>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eastAsia="宋体" w:cs="Times New Roman"/>
                <w:color w:val="auto"/>
                <w:highlight w:val="none"/>
              </w:rPr>
              <w:t xml:space="preserve"> </w:t>
            </w:r>
            <w:r>
              <w:rPr>
                <w:rFonts w:hint="eastAsia" w:ascii="宋体" w:hAnsi="宋体" w:eastAsia="宋体" w:cs="Times New Roman"/>
                <w:color w:val="auto"/>
                <w:szCs w:val="21"/>
                <w:highlight w:val="none"/>
              </w:rPr>
              <w:t>在产生中标候选人后，招标人将中标候选人的投标文件商务部分的电子版（报价清单、方案等涉及商业秘密的内容除外）在广州公共资源交易中心网站公开。</w:t>
            </w:r>
          </w:p>
          <w:p w14:paraId="68675558">
            <w:pPr>
              <w:pStyle w:val="6"/>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2.中标人代缴广州公共资源交易中心交易服务费，其费用包含在中标人报价中，由广州公共资源交易中心向中标人开具增值税发票。</w:t>
            </w:r>
          </w:p>
          <w:p w14:paraId="1140C1D4">
            <w:pPr>
              <w:pStyle w:val="6"/>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发放中标通知书后3个工作日内投标人需到招标人处，在招标人、招标代理、投标人三方共同见证下，将在广州公共资源交易中心网站下载的投标文件打印，并三方签名确认，投标人加盖公章，然后再复印4套，合共5套投标文件提供给招标人，相关费用由投标人支付。</w:t>
            </w:r>
          </w:p>
        </w:tc>
      </w:tr>
    </w:tbl>
    <w:p w14:paraId="0A97821E">
      <w:pPr>
        <w:keepNext/>
        <w:keepLines/>
        <w:spacing w:line="360" w:lineRule="auto"/>
        <w:jc w:val="center"/>
        <w:outlineLvl w:val="1"/>
        <w:rPr>
          <w:rFonts w:hint="eastAsia" w:ascii="宋体" w:hAnsi="宋体" w:eastAsia="宋体" w:cs="宋体"/>
          <w:b/>
          <w:bCs/>
          <w:color w:val="auto"/>
          <w:kern w:val="44"/>
          <w:sz w:val="36"/>
          <w:szCs w:val="36"/>
          <w:highlight w:val="none"/>
        </w:rPr>
      </w:pPr>
      <w:r>
        <w:rPr>
          <w:rFonts w:hint="eastAsia" w:ascii="宋体" w:hAnsi="宋体" w:eastAsia="宋体" w:cs="宋体"/>
          <w:b/>
          <w:bCs/>
          <w:color w:val="auto"/>
          <w:kern w:val="44"/>
          <w:sz w:val="44"/>
          <w:szCs w:val="44"/>
          <w:highlight w:val="none"/>
        </w:rPr>
        <w:br w:type="page"/>
      </w:r>
      <w:bookmarkStart w:id="32" w:name="_Toc532367872"/>
      <w:bookmarkStart w:id="33" w:name="_Toc12986"/>
      <w:bookmarkStart w:id="34" w:name="_Toc21141"/>
      <w:bookmarkStart w:id="35" w:name="_Toc191"/>
      <w:bookmarkStart w:id="36" w:name="_Toc7730"/>
      <w:r>
        <w:rPr>
          <w:rFonts w:hint="eastAsia" w:ascii="宋体" w:hAnsi="宋体" w:eastAsia="宋体" w:cs="宋体"/>
          <w:b/>
          <w:bCs/>
          <w:color w:val="auto"/>
          <w:kern w:val="44"/>
          <w:sz w:val="36"/>
          <w:szCs w:val="36"/>
          <w:highlight w:val="none"/>
        </w:rPr>
        <w:t>投标人须知</w:t>
      </w:r>
      <w:bookmarkEnd w:id="32"/>
      <w:bookmarkEnd w:id="33"/>
      <w:bookmarkEnd w:id="34"/>
      <w:bookmarkEnd w:id="35"/>
      <w:bookmarkEnd w:id="36"/>
    </w:p>
    <w:p w14:paraId="62C898AB">
      <w:pPr>
        <w:keepNext/>
        <w:keepLines/>
        <w:spacing w:line="360" w:lineRule="auto"/>
        <w:jc w:val="left"/>
        <w:outlineLvl w:val="1"/>
        <w:rPr>
          <w:rFonts w:hint="eastAsia" w:ascii="宋体" w:hAnsi="宋体" w:eastAsia="宋体" w:cs="宋体"/>
          <w:b/>
          <w:bCs/>
          <w:color w:val="auto"/>
          <w:sz w:val="32"/>
          <w:szCs w:val="32"/>
          <w:highlight w:val="none"/>
        </w:rPr>
      </w:pPr>
      <w:bookmarkStart w:id="37" w:name="_Toc32719"/>
      <w:bookmarkStart w:id="38" w:name="_Toc13865"/>
      <w:bookmarkStart w:id="39" w:name="_Toc21041"/>
      <w:bookmarkStart w:id="40" w:name="_Toc29394"/>
      <w:bookmarkStart w:id="41" w:name="_Toc27896"/>
      <w:bookmarkStart w:id="42" w:name="_Toc7950"/>
      <w:bookmarkStart w:id="43" w:name="_Toc6964"/>
      <w:bookmarkStart w:id="44" w:name="_Toc532367873"/>
      <w:bookmarkStart w:id="45" w:name="_Toc31905"/>
      <w:bookmarkStart w:id="46" w:name="_Toc30141"/>
      <w:bookmarkStart w:id="47" w:name="_Toc377719900"/>
      <w:bookmarkStart w:id="48" w:name="_Toc8300"/>
      <w:bookmarkStart w:id="49" w:name="_Toc9352"/>
      <w:r>
        <w:rPr>
          <w:rFonts w:hint="eastAsia" w:ascii="宋体" w:hAnsi="宋体" w:eastAsia="宋体" w:cs="宋体"/>
          <w:b/>
          <w:bCs/>
          <w:color w:val="auto"/>
          <w:sz w:val="32"/>
          <w:szCs w:val="32"/>
          <w:highlight w:val="none"/>
        </w:rPr>
        <w:t>1.总则</w:t>
      </w:r>
      <w:bookmarkEnd w:id="37"/>
      <w:bookmarkEnd w:id="38"/>
      <w:bookmarkEnd w:id="39"/>
      <w:bookmarkEnd w:id="40"/>
      <w:bookmarkEnd w:id="41"/>
      <w:bookmarkEnd w:id="42"/>
      <w:bookmarkEnd w:id="43"/>
      <w:bookmarkEnd w:id="44"/>
      <w:bookmarkEnd w:id="45"/>
      <w:bookmarkEnd w:id="46"/>
      <w:bookmarkEnd w:id="47"/>
      <w:bookmarkEnd w:id="48"/>
      <w:bookmarkEnd w:id="49"/>
    </w:p>
    <w:p w14:paraId="7A876C41">
      <w:pPr>
        <w:keepNext/>
        <w:keepLines/>
        <w:spacing w:line="360" w:lineRule="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 招标项目概况</w:t>
      </w:r>
    </w:p>
    <w:p w14:paraId="69FA407A">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1.1.1根据《中华人民共和国招标投标法》、《中华人民共和国招标投标法实施条例》等有关法律、法规和规章的规定，本招标项目已具备招标条件，现对检测、监测服务进行招标。</w:t>
      </w:r>
    </w:p>
    <w:p w14:paraId="6B8C7960">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1.1.2招标人：见投标人须知前附表。</w:t>
      </w:r>
    </w:p>
    <w:p w14:paraId="7F667D29">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1.1.3招标代理机构：见投标人须知前附表。</w:t>
      </w:r>
    </w:p>
    <w:p w14:paraId="4ECCD229">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1.1.4招标项目名称：见投标人须知前附表。</w:t>
      </w:r>
    </w:p>
    <w:p w14:paraId="149F57F4">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1.1.5项目建设地点：见投标人须知前附表。</w:t>
      </w:r>
    </w:p>
    <w:p w14:paraId="7BAD6A5B">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1.1.6项目建设规模：见投标人须知前附表。</w:t>
      </w:r>
    </w:p>
    <w:p w14:paraId="16C8EC04">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1.1.7工程项目施工预计开工日期和建设周期：见投标人须知前附表。</w:t>
      </w:r>
    </w:p>
    <w:p w14:paraId="7A86AB47">
      <w:pPr>
        <w:spacing w:line="360" w:lineRule="auto"/>
        <w:ind w:firstLine="484" w:firstLineChars="202"/>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1.1.8建筑安装工程费/工程概算：见投标人须知前附表。</w:t>
      </w:r>
    </w:p>
    <w:p w14:paraId="199465B1">
      <w:pPr>
        <w:kinsoku w:val="0"/>
        <w:overflowPunct w:val="0"/>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1.2 招标项目的资金来源和落实情况</w:t>
      </w:r>
    </w:p>
    <w:p w14:paraId="1EC08928">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1.2.1资金来源及比例：见投标人须知前附表。</w:t>
      </w:r>
    </w:p>
    <w:p w14:paraId="6BA73F62">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1.2.2资金落实情况：见投标人须知前附表。</w:t>
      </w:r>
    </w:p>
    <w:p w14:paraId="50C4C048">
      <w:pPr>
        <w:kinsoku w:val="0"/>
        <w:overflowPunct w:val="0"/>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1.3 招标内容、服务期限和质量标准</w:t>
      </w:r>
    </w:p>
    <w:p w14:paraId="7702DC55">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1.3.1招标范围及内容：见投标人须知前附表。</w:t>
      </w:r>
    </w:p>
    <w:p w14:paraId="6FD4486D">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1.3.2服务期限：见投标人须知前附表。</w:t>
      </w:r>
    </w:p>
    <w:p w14:paraId="03CEB306">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1.3.3质量标准：见投标人须知前附表。</w:t>
      </w:r>
    </w:p>
    <w:p w14:paraId="06B35305">
      <w:pPr>
        <w:kinsoku w:val="0"/>
        <w:overflowPunct w:val="0"/>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1.4 投标人资格要求</w:t>
      </w:r>
    </w:p>
    <w:p w14:paraId="54144053">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1.4.1投标人应具备承担本招标项目资质条件、能力和信誉：</w:t>
      </w:r>
    </w:p>
    <w:p w14:paraId="0DCFAACD">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14:paraId="03B5C182">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（2）财务要求：见投标人须知前附表；</w:t>
      </w:r>
    </w:p>
    <w:p w14:paraId="7B5E3BB6">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（3）业绩要求：见投标人须知前附表；</w:t>
      </w:r>
    </w:p>
    <w:p w14:paraId="6DECE759">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（4）信誉要求：见投标人须知前附表；</w:t>
      </w:r>
    </w:p>
    <w:p w14:paraId="224F334E">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（5）项目负责人的资格要求：具体要求见投标人须知前附表；</w:t>
      </w:r>
    </w:p>
    <w:p w14:paraId="463E9C28">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（6）其他主要人员要求：见投标人须知前附表。</w:t>
      </w:r>
    </w:p>
    <w:p w14:paraId="3DE93379">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（7）试验检测及监测仪器设备要求：见投标人须知前附表。</w:t>
      </w:r>
    </w:p>
    <w:p w14:paraId="69C06D8C">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（8）其他要求：见投标人须知前附表。</w:t>
      </w:r>
    </w:p>
    <w:p w14:paraId="2706B497">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1.4.2投标人须知前附表规定接受联合体投标的，联合体除应符合本章第1.4.1项和投标人须知前附表的要求外，还应遵守以下规定：</w:t>
      </w:r>
    </w:p>
    <w:p w14:paraId="1110E8F9">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（1）联合体各方应按招标文件提供的格式签订联合体协议书，明确联合体牵头方和各方权利义务，并承诺就中标项目向招标人承担连带责任；</w:t>
      </w:r>
    </w:p>
    <w:p w14:paraId="4D3F4FDB">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（2）联合体各方不得再以自己名义单独或参加其他联合体在本招标项目中投标，否则各相关投标均无效。</w:t>
      </w:r>
    </w:p>
    <w:p w14:paraId="7B1C5206">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14:paraId="63905D0C">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（1）为招标人不具有独立法人资格的附属机构（单位）；</w:t>
      </w:r>
    </w:p>
    <w:p w14:paraId="32DF361C">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（2）与招标人存在利害关系且可能影响招标公正性；</w:t>
      </w:r>
    </w:p>
    <w:p w14:paraId="6FD06021">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（3）与本招标项目的其他投标人为同一个单位负责人；</w:t>
      </w:r>
    </w:p>
    <w:p w14:paraId="1CA52979">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（4）与本招标项目的其他投标人存在控股、管理关系；</w:t>
      </w:r>
    </w:p>
    <w:p w14:paraId="0CBAF920">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（5）为本招标项目的代建人；</w:t>
      </w:r>
    </w:p>
    <w:p w14:paraId="6B9DE0EF">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（6）为本招标项目的招标代理机构；</w:t>
      </w:r>
    </w:p>
    <w:p w14:paraId="428C821C">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（7）与本招标项目的代建人或招标代理机构同为一个法定代表人；</w:t>
      </w:r>
    </w:p>
    <w:p w14:paraId="3E0456F1">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（8）与本招标项目的代建人或招标代理机构存在控股或参股关系；</w:t>
      </w:r>
    </w:p>
    <w:p w14:paraId="5E19BF76">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（9）与本招标项目的施工承包人以及建筑材料、建筑构配件和设备供应商有隶属关系或者其他利害关系；</w:t>
      </w:r>
    </w:p>
    <w:p w14:paraId="3D913376">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（10）被依法暂停或者取消投标资格；</w:t>
      </w:r>
    </w:p>
    <w:p w14:paraId="55B1E70D">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（11）被责令停产停业、暂扣或者吊销许可证、暂扣或者吊销执照；</w:t>
      </w:r>
    </w:p>
    <w:p w14:paraId="6937AD40">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（12）进入清算程序，或被宣告破产，或其他丧失履约能力的情形；</w:t>
      </w:r>
    </w:p>
    <w:p w14:paraId="30CB7B4F">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（13）在最近两年内发生重大检测质量问题（以相关行业主管部门的行政处罚决定或司法机关出具的有关法律文书为准）；</w:t>
      </w:r>
    </w:p>
    <w:p w14:paraId="77F2EC6A">
      <w:pPr>
        <w:pStyle w:val="14"/>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（14）法律法规或投标人须知前附表规定的其他情形。</w:t>
      </w:r>
    </w:p>
    <w:p w14:paraId="0B2635A4">
      <w:pPr>
        <w:kinsoku w:val="0"/>
        <w:overflowPunct w:val="0"/>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1.5 费用承担</w:t>
      </w:r>
    </w:p>
    <w:p w14:paraId="3F7CF2D7">
      <w:pPr>
        <w:pStyle w:val="8"/>
        <w:kinsoku w:val="0"/>
        <w:overflowPunct w:val="0"/>
        <w:spacing w:after="0"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投标人准备和参加投标活动发生的费用自理。</w:t>
      </w:r>
    </w:p>
    <w:p w14:paraId="35B3E91B">
      <w:pPr>
        <w:kinsoku w:val="0"/>
        <w:overflowPunct w:val="0"/>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1.6 保密</w:t>
      </w:r>
    </w:p>
    <w:p w14:paraId="3EA036FC">
      <w:pPr>
        <w:pStyle w:val="8"/>
        <w:kinsoku w:val="0"/>
        <w:overflowPunct w:val="0"/>
        <w:spacing w:after="0"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参与招标投标活动的各方应对招标文件和投标文件中的商业和技术等秘密保密，否则应承担相应的法律责任。</w:t>
      </w:r>
    </w:p>
    <w:p w14:paraId="2A225C81">
      <w:pPr>
        <w:kinsoku w:val="0"/>
        <w:overflowPunct w:val="0"/>
        <w:spacing w:line="360" w:lineRule="auto"/>
        <w:outlineLvl w:val="2"/>
        <w:rPr>
          <w:rFonts w:hint="eastAsia" w:ascii="宋体" w:hAnsi="宋体" w:eastAsia="宋体" w:cs="宋体"/>
          <w:b/>
          <w:bCs/>
          <w:color w:val="auto"/>
          <w:sz w:val="28"/>
          <w:szCs w:val="32"/>
          <w:highlight w:val="none"/>
        </w:rPr>
      </w:pPr>
      <w:bookmarkStart w:id="50" w:name="bookmark27"/>
      <w:bookmarkEnd w:id="50"/>
      <w:r>
        <w:rPr>
          <w:rFonts w:hint="eastAsia" w:ascii="宋体" w:hAnsi="宋体" w:eastAsia="宋体" w:cs="宋体"/>
          <w:b/>
          <w:bCs/>
          <w:color w:val="auto"/>
          <w:sz w:val="28"/>
          <w:szCs w:val="32"/>
          <w:highlight w:val="none"/>
        </w:rPr>
        <w:t>1.7 语言文字</w:t>
      </w:r>
    </w:p>
    <w:p w14:paraId="70B1B5F0">
      <w:pPr>
        <w:pStyle w:val="8"/>
        <w:kinsoku w:val="0"/>
        <w:overflowPunct w:val="0"/>
        <w:spacing w:after="0"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招标投标文件使用的语言文字为中文。专用术语使用外文的，应附有中文注释。</w:t>
      </w:r>
    </w:p>
    <w:p w14:paraId="61426DFA">
      <w:pPr>
        <w:kinsoku w:val="0"/>
        <w:overflowPunct w:val="0"/>
        <w:spacing w:line="360" w:lineRule="auto"/>
        <w:outlineLvl w:val="2"/>
        <w:rPr>
          <w:rFonts w:hint="eastAsia" w:ascii="宋体" w:hAnsi="宋体" w:eastAsia="宋体" w:cs="宋体"/>
          <w:b/>
          <w:bCs/>
          <w:color w:val="auto"/>
          <w:sz w:val="28"/>
          <w:szCs w:val="32"/>
          <w:highlight w:val="none"/>
        </w:rPr>
      </w:pPr>
      <w:bookmarkStart w:id="51" w:name="bookmark28"/>
      <w:bookmarkEnd w:id="51"/>
      <w:r>
        <w:rPr>
          <w:rFonts w:hint="eastAsia" w:ascii="宋体" w:hAnsi="宋体" w:eastAsia="宋体" w:cs="宋体"/>
          <w:b/>
          <w:bCs/>
          <w:color w:val="auto"/>
          <w:sz w:val="28"/>
          <w:szCs w:val="32"/>
          <w:highlight w:val="none"/>
        </w:rPr>
        <w:t>1.8 计量单位</w:t>
      </w:r>
    </w:p>
    <w:p w14:paraId="4DD77C0E">
      <w:pPr>
        <w:pStyle w:val="8"/>
        <w:kinsoku w:val="0"/>
        <w:overflowPunct w:val="0"/>
        <w:spacing w:after="0" w:line="360" w:lineRule="auto"/>
        <w:ind w:firstLine="476"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所有计量均采用中华人民共和国法定计量单位。</w:t>
      </w:r>
    </w:p>
    <w:p w14:paraId="1BC1A44E">
      <w:pPr>
        <w:kinsoku w:val="0"/>
        <w:overflowPunct w:val="0"/>
        <w:spacing w:line="360" w:lineRule="auto"/>
        <w:outlineLvl w:val="2"/>
        <w:rPr>
          <w:rFonts w:hint="eastAsia" w:ascii="宋体" w:hAnsi="宋体" w:eastAsia="宋体" w:cs="宋体"/>
          <w:b/>
          <w:bCs/>
          <w:color w:val="auto"/>
          <w:sz w:val="28"/>
          <w:szCs w:val="32"/>
          <w:highlight w:val="none"/>
        </w:rPr>
      </w:pPr>
      <w:bookmarkStart w:id="52" w:name="bookmark29"/>
      <w:bookmarkEnd w:id="52"/>
      <w:r>
        <w:rPr>
          <w:rFonts w:hint="eastAsia" w:ascii="宋体" w:hAnsi="宋体" w:eastAsia="宋体" w:cs="宋体"/>
          <w:b/>
          <w:bCs/>
          <w:color w:val="auto"/>
          <w:sz w:val="28"/>
          <w:szCs w:val="32"/>
          <w:highlight w:val="none"/>
        </w:rPr>
        <w:t>1.9 踏勘现场</w:t>
      </w:r>
    </w:p>
    <w:p w14:paraId="5FA00C9E">
      <w:pPr>
        <w:pStyle w:val="8"/>
        <w:kinsoku w:val="0"/>
        <w:overflowPunct w:val="0"/>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1.9.1投标人须知前附表规定组织踏勘现场的，招标人按投标人须知前附表规定的时间、地点组织投标人踏勘项目现场。部分投标人未按时参加踏勘现场的，不影响踏勘现场的正常进行。</w:t>
      </w:r>
    </w:p>
    <w:p w14:paraId="67F195C4">
      <w:pPr>
        <w:pStyle w:val="8"/>
        <w:kinsoku w:val="0"/>
        <w:overflowPunct w:val="0"/>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1.9.2投标人踏勘现场发生的费用自理。</w:t>
      </w:r>
    </w:p>
    <w:p w14:paraId="557663EB">
      <w:pPr>
        <w:pStyle w:val="8"/>
        <w:kinsoku w:val="0"/>
        <w:overflowPunct w:val="0"/>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1.9.3除招标人的原因外，投标人自行负责在踏勘现场中所发生的人员伤亡和财产损失。</w:t>
      </w:r>
    </w:p>
    <w:p w14:paraId="3FA8EC97">
      <w:pPr>
        <w:pStyle w:val="8"/>
        <w:kinsoku w:val="0"/>
        <w:overflowPunct w:val="0"/>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1.9.4招标人在踏勘现场中介绍的工程场地和相关的周边环境情况，供投标人在编制投标文件时参考，招标人不对投标人据此作出的判断和决策负责。</w:t>
      </w:r>
    </w:p>
    <w:p w14:paraId="4504BC95">
      <w:pPr>
        <w:kinsoku w:val="0"/>
        <w:overflowPunct w:val="0"/>
        <w:spacing w:line="360" w:lineRule="auto"/>
        <w:outlineLvl w:val="2"/>
        <w:rPr>
          <w:rFonts w:hint="eastAsia" w:ascii="宋体" w:hAnsi="宋体" w:eastAsia="宋体" w:cs="宋体"/>
          <w:b/>
          <w:bCs/>
          <w:color w:val="auto"/>
          <w:sz w:val="28"/>
          <w:szCs w:val="32"/>
          <w:highlight w:val="none"/>
        </w:rPr>
      </w:pPr>
      <w:bookmarkStart w:id="53" w:name="bookmark30"/>
      <w:bookmarkEnd w:id="53"/>
      <w:r>
        <w:rPr>
          <w:rFonts w:hint="eastAsia" w:ascii="宋体" w:hAnsi="宋体" w:eastAsia="宋体" w:cs="宋体"/>
          <w:b/>
          <w:bCs/>
          <w:color w:val="auto"/>
          <w:sz w:val="28"/>
          <w:szCs w:val="32"/>
          <w:highlight w:val="none"/>
        </w:rPr>
        <w:t>1.10 投标预备会</w:t>
      </w:r>
    </w:p>
    <w:p w14:paraId="7F4B88DF">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1.10.1投标人须知前附表规定召开投标预备会的，招标人按投标人须知前附表规定的时间和地点召开投标预备会，澄清投标人提出的问题。</w:t>
      </w:r>
    </w:p>
    <w:p w14:paraId="7AD15C35">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1.10.2投标人应按投标人须知前附表规定的时间和形式将提出的问题送达招标人，以便招标人在会议期间澄清。</w:t>
      </w:r>
    </w:p>
    <w:p w14:paraId="77DDF09D">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1.10.3投标预备会后，招标人将对投标人所提问题的澄清，以投标人须知前附表规定的形式通知所有潜在投标人。该澄清内容为招标文件的组成部分。</w:t>
      </w:r>
      <w:bookmarkStart w:id="54" w:name="bookmark31"/>
      <w:bookmarkEnd w:id="54"/>
    </w:p>
    <w:p w14:paraId="1115D36A">
      <w:pPr>
        <w:kinsoku w:val="0"/>
        <w:overflowPunct w:val="0"/>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1.11 分包</w:t>
      </w:r>
    </w:p>
    <w:p w14:paraId="73489859">
      <w:pPr>
        <w:pStyle w:val="8"/>
        <w:kinsoku w:val="0"/>
        <w:overflowPunct w:val="0"/>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1.11.1中标人需要独立完成本项目70%以上的检测工作（主要检测工作需要由中标人完成），剩余的非主要检测工作，</w:t>
      </w:r>
      <w:r>
        <w:rPr>
          <w:rFonts w:hint="eastAsia" w:ascii="宋体" w:hAnsi="宋体" w:eastAsia="宋体" w:cs="宋体"/>
          <w:color w:val="auto"/>
          <w:sz w:val="24"/>
          <w:highlight w:val="none"/>
        </w:rPr>
        <w:t>如</w:t>
      </w:r>
      <w:r>
        <w:rPr>
          <w:rFonts w:hint="eastAsia" w:ascii="宋体" w:hAnsi="宋体" w:eastAsia="宋体" w:cs="宋体"/>
          <w:color w:val="auto"/>
          <w:sz w:val="24"/>
          <w:highlight w:val="none"/>
        </w:rPr>
        <w:t>中标人不具备资质的，经招标人</w:t>
      </w:r>
      <w:r>
        <w:rPr>
          <w:rFonts w:hint="eastAsia" w:ascii="宋体" w:hAnsi="宋体" w:eastAsia="宋体" w:cs="宋体"/>
          <w:color w:val="auto"/>
          <w:sz w:val="24"/>
          <w:highlight w:val="none"/>
        </w:rPr>
        <w:t>书面</w:t>
      </w:r>
      <w:r>
        <w:rPr>
          <w:rFonts w:hint="eastAsia" w:ascii="宋体" w:hAnsi="宋体" w:eastAsia="宋体" w:cs="宋体"/>
          <w:color w:val="auto"/>
          <w:sz w:val="24"/>
          <w:highlight w:val="none"/>
        </w:rPr>
        <w:t>同意后可依法分包给具备相关资质的检测单位，但分包的检测工作不得再次分包。具体约定按合同相应条款执行。</w:t>
      </w:r>
    </w:p>
    <w:p w14:paraId="1F3AF0A6">
      <w:pPr>
        <w:kinsoku w:val="0"/>
        <w:overflowPunct w:val="0"/>
        <w:spacing w:line="360" w:lineRule="auto"/>
        <w:outlineLvl w:val="2"/>
        <w:rPr>
          <w:rFonts w:hint="eastAsia" w:ascii="宋体" w:hAnsi="宋体" w:eastAsia="宋体" w:cs="宋体"/>
          <w:b/>
          <w:bCs/>
          <w:color w:val="auto"/>
          <w:sz w:val="28"/>
          <w:szCs w:val="32"/>
          <w:highlight w:val="none"/>
        </w:rPr>
      </w:pPr>
      <w:bookmarkStart w:id="55" w:name="bookmark32"/>
      <w:bookmarkEnd w:id="55"/>
      <w:r>
        <w:rPr>
          <w:rFonts w:hint="eastAsia" w:ascii="宋体" w:hAnsi="宋体" w:eastAsia="宋体" w:cs="宋体"/>
          <w:b/>
          <w:bCs/>
          <w:color w:val="auto"/>
          <w:sz w:val="28"/>
          <w:szCs w:val="32"/>
          <w:highlight w:val="none"/>
        </w:rPr>
        <w:t>1.12 响应和偏差</w:t>
      </w:r>
    </w:p>
    <w:p w14:paraId="687022C3">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1.12.1投标文件应当对招标文件的实质性要求和条件作出满足性或更有利于招标人的响应，否则，投标人的投标将被否决。实质性要求和条件见投标人须知前附表。</w:t>
      </w:r>
    </w:p>
    <w:p w14:paraId="454A7565">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1.12.2投标人应根据招标文件的要求提供技术方案等内容以对招标文件作出响应。</w:t>
      </w:r>
    </w:p>
    <w:p w14:paraId="2C4A6A64">
      <w:pPr>
        <w:kinsoku w:val="0"/>
        <w:overflowPunct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1.12.3投标人须知前附表允许投标文件偏离招标文件某些要求，偏差应当符合招标文件规定的偏差范围和幅度。</w:t>
      </w:r>
      <w:bookmarkStart w:id="56" w:name="_Toc8885"/>
      <w:bookmarkStart w:id="57" w:name="_Toc31365"/>
      <w:bookmarkStart w:id="58" w:name="_Toc377719901"/>
      <w:bookmarkStart w:id="59" w:name="_Toc3119"/>
      <w:bookmarkStart w:id="60" w:name="_Toc532367874"/>
      <w:bookmarkStart w:id="61" w:name="_Toc22910"/>
      <w:bookmarkStart w:id="62" w:name="_Toc8160"/>
      <w:bookmarkStart w:id="63" w:name="_Toc4330"/>
    </w:p>
    <w:p w14:paraId="5284B7BA">
      <w:pPr>
        <w:keepNext/>
        <w:keepLines/>
        <w:spacing w:line="360" w:lineRule="auto"/>
        <w:outlineLvl w:val="1"/>
        <w:rPr>
          <w:rFonts w:hint="eastAsia" w:ascii="宋体" w:hAnsi="宋体" w:eastAsia="宋体" w:cs="宋体"/>
          <w:b/>
          <w:bCs/>
          <w:color w:val="auto"/>
          <w:sz w:val="32"/>
          <w:szCs w:val="32"/>
          <w:highlight w:val="none"/>
        </w:rPr>
      </w:pPr>
      <w:bookmarkStart w:id="64" w:name="_Toc24924"/>
      <w:bookmarkStart w:id="65" w:name="_Toc31503"/>
      <w:bookmarkStart w:id="66" w:name="_Toc16602"/>
      <w:bookmarkStart w:id="67" w:name="_Toc32443"/>
      <w:bookmarkStart w:id="68" w:name="_Toc13966"/>
      <w:r>
        <w:rPr>
          <w:rFonts w:hint="eastAsia" w:ascii="宋体" w:hAnsi="宋体" w:eastAsia="宋体" w:cs="宋体"/>
          <w:b/>
          <w:bCs/>
          <w:color w:val="auto"/>
          <w:sz w:val="32"/>
          <w:szCs w:val="32"/>
          <w:highlight w:val="none"/>
        </w:rPr>
        <w:t>2.招标文件</w:t>
      </w:r>
      <w:bookmarkEnd w:id="56"/>
      <w:bookmarkEnd w:id="57"/>
      <w:bookmarkEnd w:id="58"/>
      <w:bookmarkEnd w:id="59"/>
      <w:bookmarkEnd w:id="60"/>
      <w:bookmarkEnd w:id="61"/>
      <w:bookmarkEnd w:id="62"/>
      <w:bookmarkEnd w:id="63"/>
      <w:bookmarkEnd w:id="64"/>
      <w:bookmarkEnd w:id="65"/>
      <w:bookmarkEnd w:id="66"/>
      <w:bookmarkEnd w:id="67"/>
      <w:bookmarkEnd w:id="68"/>
    </w:p>
    <w:p w14:paraId="13ECF1A1">
      <w:pPr>
        <w:keepNext/>
        <w:keepLines/>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2.1  招标文件的组成</w:t>
      </w:r>
    </w:p>
    <w:p w14:paraId="38E9AA3F">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4D6F51A6">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（1）招标公告（或投标邀请书）；</w:t>
      </w:r>
    </w:p>
    <w:p w14:paraId="6E47E1BA">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2A85E9A0">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14:paraId="5FAC92E5">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r>
        <w:rPr>
          <w:rFonts w:hint="eastAsia" w:ascii="宋体" w:hAnsi="宋体" w:eastAsia="宋体" w:cs="宋体"/>
          <w:color w:val="auto"/>
          <w:sz w:val="24"/>
          <w:szCs w:val="24"/>
          <w:highlight w:val="none"/>
          <w:u w:val="single"/>
        </w:rPr>
        <w:t>（另册）</w:t>
      </w:r>
      <w:r>
        <w:rPr>
          <w:rFonts w:hint="eastAsia" w:ascii="宋体" w:hAnsi="宋体" w:eastAsia="宋体" w:cs="宋体"/>
          <w:color w:val="auto"/>
          <w:sz w:val="24"/>
          <w:szCs w:val="24"/>
          <w:highlight w:val="none"/>
        </w:rPr>
        <w:t>；</w:t>
      </w:r>
    </w:p>
    <w:p w14:paraId="505FE624">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（5）招标人要求</w:t>
      </w:r>
    </w:p>
    <w:p w14:paraId="31BE4EF3">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（6）工程量清单</w:t>
      </w:r>
      <w:r>
        <w:rPr>
          <w:rFonts w:hint="eastAsia" w:ascii="宋体" w:hAnsi="宋体" w:eastAsia="宋体" w:cs="宋体"/>
          <w:color w:val="auto"/>
          <w:sz w:val="24"/>
          <w:szCs w:val="24"/>
          <w:highlight w:val="none"/>
          <w:u w:val="single"/>
        </w:rPr>
        <w:t>（另册）</w:t>
      </w:r>
      <w:r>
        <w:rPr>
          <w:rFonts w:hint="eastAsia" w:ascii="宋体" w:hAnsi="宋体" w:eastAsia="宋体" w:cs="宋体"/>
          <w:color w:val="auto"/>
          <w:sz w:val="24"/>
          <w:szCs w:val="24"/>
          <w:highlight w:val="none"/>
        </w:rPr>
        <w:t>；</w:t>
      </w:r>
    </w:p>
    <w:p w14:paraId="09DDD90D">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（7）投标文件格式；</w:t>
      </w:r>
    </w:p>
    <w:p w14:paraId="59D5042F">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（8）投标人须知前附表规定的其他资料。</w:t>
      </w:r>
    </w:p>
    <w:p w14:paraId="5DBC9AA9">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根据本章第1.10款、第2.2款和第2.3款对招标文件所作的澄清、修改，构成招标文件的组成部分。</w:t>
      </w:r>
    </w:p>
    <w:p w14:paraId="2D3A5D47">
      <w:pPr>
        <w:keepNext/>
        <w:keepLines/>
        <w:spacing w:line="360" w:lineRule="auto"/>
        <w:outlineLvl w:val="2"/>
        <w:rPr>
          <w:rFonts w:hint="eastAsia" w:ascii="宋体" w:hAnsi="宋体" w:eastAsia="宋体" w:cs="宋体"/>
          <w:b/>
          <w:bCs/>
          <w:color w:val="auto"/>
          <w:sz w:val="28"/>
          <w:szCs w:val="32"/>
          <w:highlight w:val="none"/>
        </w:rPr>
      </w:pPr>
      <w:bookmarkStart w:id="69" w:name="_Toc377719902"/>
      <w:r>
        <w:rPr>
          <w:rFonts w:hint="eastAsia" w:ascii="宋体" w:hAnsi="宋体" w:eastAsia="宋体" w:cs="宋体"/>
          <w:b/>
          <w:bCs/>
          <w:color w:val="auto"/>
          <w:sz w:val="28"/>
          <w:szCs w:val="32"/>
          <w:highlight w:val="none"/>
        </w:rPr>
        <w:t>2.2.招标文件的澄清</w:t>
      </w:r>
    </w:p>
    <w:p w14:paraId="264AD2AE">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ED2BF3E">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14:paraId="3DDC44C3">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投标人在收到澄清后，应按投标人须知前附表规定的时间和形式通知招标人，确认已收到该澄清。</w:t>
      </w:r>
    </w:p>
    <w:p w14:paraId="19C0BB57">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2.2.4除非招标人认为确有必要答复，否则，招标人有权拒绝回复投标人在本章第2.2.1项规定的时间后的任何澄清要求。</w:t>
      </w:r>
    </w:p>
    <w:p w14:paraId="171B2530">
      <w:pPr>
        <w:kinsoku w:val="0"/>
        <w:overflowPunct w:val="0"/>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2.3 招标文件的修改</w:t>
      </w:r>
    </w:p>
    <w:p w14:paraId="1F67F97F">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14:paraId="601BC75A">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2.3.2投标人收到修改内容后，应按投标人须知前附表规定的时间和形式通知招标人，确认已收到该修改。</w:t>
      </w:r>
    </w:p>
    <w:p w14:paraId="09254127">
      <w:pPr>
        <w:kinsoku w:val="0"/>
        <w:overflowPunct w:val="0"/>
        <w:spacing w:line="360" w:lineRule="auto"/>
        <w:outlineLvl w:val="2"/>
        <w:rPr>
          <w:rFonts w:hint="eastAsia" w:ascii="宋体" w:hAnsi="宋体" w:eastAsia="宋体" w:cs="宋体"/>
          <w:b/>
          <w:bCs/>
          <w:color w:val="auto"/>
          <w:sz w:val="28"/>
          <w:szCs w:val="32"/>
          <w:highlight w:val="none"/>
        </w:rPr>
      </w:pPr>
      <w:bookmarkStart w:id="70" w:name="bookmark37"/>
      <w:bookmarkEnd w:id="70"/>
      <w:r>
        <w:rPr>
          <w:rFonts w:hint="eastAsia" w:ascii="宋体" w:hAnsi="宋体" w:eastAsia="宋体" w:cs="宋体"/>
          <w:b/>
          <w:bCs/>
          <w:color w:val="auto"/>
          <w:sz w:val="28"/>
          <w:szCs w:val="32"/>
          <w:highlight w:val="none"/>
        </w:rPr>
        <w:t>2.4 招标文件的异议</w:t>
      </w:r>
    </w:p>
    <w:p w14:paraId="2A7C4ACA">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14:paraId="535B89E0">
      <w:pPr>
        <w:keepNext/>
        <w:keepLines/>
        <w:spacing w:line="360" w:lineRule="auto"/>
        <w:jc w:val="left"/>
        <w:outlineLvl w:val="1"/>
        <w:rPr>
          <w:rFonts w:hint="eastAsia" w:ascii="宋体" w:hAnsi="宋体" w:eastAsia="宋体" w:cs="宋体"/>
          <w:b/>
          <w:bCs/>
          <w:color w:val="auto"/>
          <w:sz w:val="32"/>
          <w:szCs w:val="32"/>
          <w:highlight w:val="none"/>
        </w:rPr>
      </w:pPr>
      <w:bookmarkStart w:id="71" w:name="_Toc6920"/>
      <w:bookmarkStart w:id="72" w:name="_Toc1157"/>
      <w:bookmarkStart w:id="73" w:name="_Toc532367875"/>
      <w:bookmarkStart w:id="74" w:name="_Toc3526"/>
      <w:bookmarkStart w:id="75" w:name="_Toc30380"/>
      <w:bookmarkStart w:id="76" w:name="_Toc25005"/>
      <w:bookmarkStart w:id="77" w:name="_Toc14848"/>
      <w:bookmarkStart w:id="78" w:name="_Toc29001"/>
      <w:bookmarkStart w:id="79" w:name="_Toc15723"/>
      <w:bookmarkStart w:id="80" w:name="_Toc14013"/>
      <w:bookmarkStart w:id="81" w:name="_Toc25907"/>
      <w:bookmarkStart w:id="82" w:name="_Toc23329"/>
      <w:r>
        <w:rPr>
          <w:rFonts w:hint="eastAsia" w:ascii="宋体" w:hAnsi="宋体" w:eastAsia="宋体" w:cs="宋体"/>
          <w:b/>
          <w:bCs/>
          <w:color w:val="auto"/>
          <w:sz w:val="32"/>
          <w:szCs w:val="32"/>
          <w:highlight w:val="none"/>
        </w:rPr>
        <w:t>3.投标文件</w:t>
      </w:r>
      <w:bookmarkEnd w:id="69"/>
      <w:bookmarkEnd w:id="71"/>
      <w:bookmarkEnd w:id="72"/>
      <w:bookmarkEnd w:id="73"/>
      <w:bookmarkEnd w:id="74"/>
      <w:bookmarkEnd w:id="75"/>
      <w:bookmarkEnd w:id="76"/>
      <w:bookmarkEnd w:id="77"/>
      <w:bookmarkEnd w:id="78"/>
      <w:bookmarkEnd w:id="79"/>
      <w:bookmarkEnd w:id="80"/>
      <w:bookmarkEnd w:id="81"/>
      <w:bookmarkEnd w:id="82"/>
    </w:p>
    <w:p w14:paraId="05744AE4">
      <w:pPr>
        <w:keepNext/>
        <w:keepLines/>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3.1  组成投标文件的文件</w:t>
      </w:r>
    </w:p>
    <w:p w14:paraId="76336D98">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3.1.1投标文件应包括下列内容：</w:t>
      </w:r>
    </w:p>
    <w:p w14:paraId="404A2343">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r>
        <w:rPr>
          <w:rFonts w:hint="eastAsia" w:ascii="宋体" w:hAnsi="宋体" w:eastAsia="宋体" w:cs="宋体"/>
          <w:color w:val="auto"/>
          <w:sz w:val="24"/>
          <w:szCs w:val="24"/>
          <w:highlight w:val="none"/>
        </w:rPr>
        <w:tab/>
      </w:r>
    </w:p>
    <w:p w14:paraId="3383A1D3">
      <w:pPr>
        <w:spacing w:line="360" w:lineRule="auto"/>
        <w:ind w:firstLine="484" w:firstLineChars="20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（2）法定代表人证明书及授权委托书</w:t>
      </w:r>
      <w:r>
        <w:rPr>
          <w:rFonts w:hint="eastAsia" w:ascii="宋体" w:hAnsi="宋体" w:eastAsia="宋体" w:cs="宋体"/>
          <w:color w:val="auto"/>
          <w:sz w:val="24"/>
          <w:szCs w:val="24"/>
          <w:highlight w:val="none"/>
        </w:rPr>
        <w:tab/>
      </w:r>
    </w:p>
    <w:p w14:paraId="774897D5">
      <w:pPr>
        <w:spacing w:line="360" w:lineRule="auto"/>
        <w:ind w:firstLine="484" w:firstLineChars="202"/>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（3）关于投标保证金的承诺；</w:t>
      </w:r>
    </w:p>
    <w:p w14:paraId="3328627F">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（4）联合体协议书（如有）</w:t>
      </w:r>
      <w:r>
        <w:rPr>
          <w:rFonts w:hint="eastAsia" w:ascii="宋体" w:hAnsi="宋体" w:eastAsia="宋体" w:cs="宋体"/>
          <w:color w:val="auto"/>
          <w:sz w:val="24"/>
          <w:szCs w:val="24"/>
          <w:highlight w:val="none"/>
          <w:u w:val="single"/>
        </w:rPr>
        <w:tab/>
      </w:r>
    </w:p>
    <w:p w14:paraId="73B4766D">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（5）资格审查资料</w:t>
      </w:r>
      <w:r>
        <w:rPr>
          <w:rFonts w:hint="eastAsia" w:ascii="宋体" w:hAnsi="宋体" w:eastAsia="宋体" w:cs="宋体"/>
          <w:color w:val="auto"/>
          <w:sz w:val="24"/>
          <w:szCs w:val="24"/>
          <w:highlight w:val="none"/>
        </w:rPr>
        <w:tab/>
      </w:r>
    </w:p>
    <w:p w14:paraId="716806DB">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（6）类似项目业绩表</w:t>
      </w:r>
      <w:r>
        <w:rPr>
          <w:rFonts w:hint="eastAsia" w:ascii="宋体" w:hAnsi="宋体" w:eastAsia="宋体" w:cs="宋体"/>
          <w:color w:val="auto"/>
          <w:sz w:val="24"/>
          <w:szCs w:val="24"/>
          <w:highlight w:val="none"/>
          <w:u w:val="single"/>
        </w:rPr>
        <w:tab/>
      </w:r>
    </w:p>
    <w:p w14:paraId="6F84B6DD">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（7）拟投入本项目的人员一览表</w:t>
      </w:r>
    </w:p>
    <w:p w14:paraId="21A76934">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（8）拟投入本项目的人员简历表</w:t>
      </w:r>
    </w:p>
    <w:p w14:paraId="7744CBE9">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（9）拟投入本项目的主要仪器设备一览表</w:t>
      </w:r>
    </w:p>
    <w:p w14:paraId="215C187D">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（10）投标人认为应该提供的其他资料</w:t>
      </w:r>
    </w:p>
    <w:p w14:paraId="55DE016D">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投标人在评标过程中作出的符合法律法规和招标文件规定的澄清确认，构成投标文件的组成部分。</w:t>
      </w:r>
    </w:p>
    <w:p w14:paraId="271F9C69">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3.1.2投标人须知前附表规定不接受联合体投标的，或投标人没有组成联合体的，投标文件不包括本章第3.1.1（3）所指的联合体协议书。</w:t>
      </w:r>
    </w:p>
    <w:p w14:paraId="52FE6EDC">
      <w:pPr>
        <w:keepNext/>
        <w:keepLines/>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3.2  投标价格</w:t>
      </w:r>
    </w:p>
    <w:p w14:paraId="6E4545E8">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3.2.1投标报价应包括国家规定的增值税税金，除投标人须知前附表另有规定外，增值税税金按一般计税方法计算。投标人应按第七章“投标文件格式”的要求在投标函中进行报价。</w:t>
      </w:r>
    </w:p>
    <w:p w14:paraId="2103A2EF">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3.2.2投标人应充分了解该项目的总体情况以及影响投标报价的其他要素。</w:t>
      </w:r>
    </w:p>
    <w:p w14:paraId="3C836F3F">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3.2.3本项目的报价方式见投标人须知前附表。投标人在投标截止时间前修改投标函中的投标报价总额。此修改须符合本章第4.3款的有关要求。</w:t>
      </w:r>
    </w:p>
    <w:p w14:paraId="6ED75952">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3.2.4招标人设有最高投标限价的，投标人的投标报价不得超过最高投标限价，最高投标限价在投标人须知前附表中载明。</w:t>
      </w:r>
    </w:p>
    <w:p w14:paraId="46B361F1">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3.2.5投标报价的其他要求见投标人须知前附表。</w:t>
      </w:r>
    </w:p>
    <w:p w14:paraId="0101C916">
      <w:pPr>
        <w:keepNext/>
        <w:keepLines/>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3.3 投标有效期</w:t>
      </w:r>
    </w:p>
    <w:p w14:paraId="60402273">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3.3.1除投标人须知前附表另有规定外，投标有效期为90天。</w:t>
      </w:r>
    </w:p>
    <w:p w14:paraId="6ED668D4">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3.3.2在投标有效期内，投标人撤销投标文件的，应承担招标文件和法律规定的责任。</w:t>
      </w:r>
    </w:p>
    <w:p w14:paraId="08069E3F">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出现特殊情况需要延长投标有效期的，招标人以书面形式通知所有投标人延长投标有效期。投标人应予以书面答复，同意延长的，</w:t>
      </w:r>
      <w:r>
        <w:rPr>
          <w:rFonts w:hint="eastAsia" w:ascii="宋体" w:hAnsi="宋体" w:eastAsia="宋体" w:cs="宋体"/>
          <w:strike/>
          <w:color w:val="auto"/>
          <w:sz w:val="24"/>
          <w:szCs w:val="24"/>
          <w:highlight w:val="none"/>
        </w:rPr>
        <w:t>应相应延长其投标保证金的有效期，但</w:t>
      </w:r>
      <w:r>
        <w:rPr>
          <w:rFonts w:hint="eastAsia" w:ascii="宋体" w:hAnsi="宋体" w:eastAsia="宋体" w:cs="宋体"/>
          <w:color w:val="auto"/>
          <w:sz w:val="24"/>
          <w:szCs w:val="24"/>
          <w:highlight w:val="none"/>
        </w:rPr>
        <w:t>不得要求或被允许修改其投标文件；投标人拒绝延长的，其投标失效</w:t>
      </w:r>
      <w:r>
        <w:rPr>
          <w:rFonts w:hint="eastAsia" w:ascii="宋体" w:hAnsi="宋体" w:eastAsia="宋体" w:cs="宋体"/>
          <w:strike/>
          <w:color w:val="auto"/>
          <w:sz w:val="24"/>
          <w:szCs w:val="24"/>
          <w:highlight w:val="none"/>
        </w:rPr>
        <w:t>，但投标人有权收回其投标保证金及以现金或者支票形式递交的投标保证金的银行同期存款利息</w:t>
      </w:r>
      <w:r>
        <w:rPr>
          <w:rFonts w:hint="eastAsia" w:ascii="宋体" w:hAnsi="宋体" w:eastAsia="宋体" w:cs="宋体"/>
          <w:color w:val="auto"/>
          <w:sz w:val="24"/>
          <w:szCs w:val="24"/>
          <w:highlight w:val="none"/>
        </w:rPr>
        <w:t>。</w:t>
      </w:r>
    </w:p>
    <w:p w14:paraId="31CC4504">
      <w:pPr>
        <w:keepNext/>
        <w:keepLines/>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3.4  投标保证金</w:t>
      </w:r>
    </w:p>
    <w:p w14:paraId="3D2CE28B">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3.4.1</w:t>
      </w:r>
      <w:r>
        <w:rPr>
          <w:rFonts w:hint="eastAsia" w:ascii="宋体" w:hAnsi="宋体" w:eastAsia="宋体" w:cs="宋体"/>
          <w:color w:val="auto"/>
          <w:sz w:val="24"/>
          <w:szCs w:val="24"/>
          <w:highlight w:val="none"/>
          <w:u w:val="single"/>
        </w:rPr>
        <w:t>本项目免收投标保证金，投标人提供《关于投标保证金的承诺》（详见投标文件格式）。</w:t>
      </w:r>
    </w:p>
    <w:p w14:paraId="7D45F7D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3.4.2对于投标人已提供《关于投标保证金的承诺》，若投标人存在3.4.4条款所列情形，该投标人应在发现存在3.4.4条款所列情形之日起5个工作日内按投标人须知前附表第3.4.1项所述金额补交投标保证金。若未按要求补交投标保证金的将暂停其参与招标人后续工程投标，直至完成补交手续为止。</w:t>
      </w:r>
    </w:p>
    <w:p w14:paraId="74895707">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3.4.3开标时投标人没有按招标文件要求提交符合免予提供投标保证金相关证明材料，且未提交投标保证金的投标人，视为未按要求提供投标保证金。</w:t>
      </w:r>
    </w:p>
    <w:p w14:paraId="4E8698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3.4.4如有下列情况之一的，招标人可以不予退还投标保证金（是否退还投标保证金由招标人在招标文件中规定）：</w:t>
      </w:r>
    </w:p>
    <w:p w14:paraId="5394BC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3.4.4.1因投标人原因造成投标文件未解密的；</w:t>
      </w:r>
    </w:p>
    <w:p w14:paraId="0B823D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3.4.4.2投标人在投标有效期内撤销投标文件；</w:t>
      </w:r>
    </w:p>
    <w:p w14:paraId="7975DE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3.4.4.3中标人未能在规定期限内按要求提交履约担保；</w:t>
      </w:r>
    </w:p>
    <w:p w14:paraId="51E849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3.4.4.4中标人未能在规定期限内签署合同协议。</w:t>
      </w:r>
    </w:p>
    <w:p w14:paraId="31FD96FE">
      <w:pPr>
        <w:keepNext/>
        <w:keepLines/>
        <w:spacing w:line="360" w:lineRule="auto"/>
        <w:jc w:val="left"/>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 xml:space="preserve">3.5  </w:t>
      </w:r>
      <w:bookmarkStart w:id="83" w:name="_Toc511383850"/>
      <w:r>
        <w:rPr>
          <w:rFonts w:hint="eastAsia" w:ascii="宋体" w:hAnsi="宋体" w:eastAsia="宋体" w:cs="宋体"/>
          <w:b/>
          <w:bCs/>
          <w:color w:val="auto"/>
          <w:sz w:val="28"/>
          <w:szCs w:val="32"/>
          <w:highlight w:val="none"/>
        </w:rPr>
        <w:t>资格审查资料（适用于未进行资格预审的）</w:t>
      </w:r>
      <w:bookmarkEnd w:id="83"/>
    </w:p>
    <w:p w14:paraId="6626F3FE">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除投标人须知前附表另有规定外，投标人应按下列规定提供资格审查资料，以证明其满足本章第1.4款规定的资质</w:t>
      </w:r>
      <w:r>
        <w:rPr>
          <w:rFonts w:hint="eastAsia" w:ascii="宋体" w:hAnsi="宋体" w:eastAsia="宋体" w:cs="宋体"/>
          <w:strike/>
          <w:color w:val="auto"/>
          <w:sz w:val="24"/>
          <w:szCs w:val="24"/>
          <w:highlight w:val="none"/>
        </w:rPr>
        <w:t>、财务、业绩、信誉等</w:t>
      </w:r>
      <w:r>
        <w:rPr>
          <w:rFonts w:hint="eastAsia" w:ascii="宋体" w:hAnsi="宋体" w:eastAsia="宋体" w:cs="宋体"/>
          <w:color w:val="auto"/>
          <w:sz w:val="24"/>
          <w:szCs w:val="24"/>
          <w:highlight w:val="none"/>
        </w:rPr>
        <w:t>要求。</w:t>
      </w:r>
    </w:p>
    <w:p w14:paraId="65964798">
      <w:pPr>
        <w:spacing w:line="360" w:lineRule="auto"/>
        <w:ind w:firstLine="484" w:firstLineChars="202"/>
        <w:jc w:val="left"/>
        <w:rPr>
          <w:rFonts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3.5.1“投标人基本情况表”应附投标人营业执照或事业单位法人证书、建设行政主管部门颁发的建设工程质量检测机构资质证书、质量技术监督部门颁发的CMA计量认证合格证书、建设行政主管部门颁发的工程勘察资质证书的</w:t>
      </w:r>
      <w:bookmarkStart w:id="84" w:name="_Hlk66956957"/>
      <w:r>
        <w:rPr>
          <w:rFonts w:hint="eastAsia" w:ascii="宋体" w:hAnsi="宋体" w:eastAsia="宋体" w:cs="宋体"/>
          <w:color w:val="auto"/>
          <w:sz w:val="24"/>
          <w:szCs w:val="24"/>
          <w:highlight w:val="none"/>
          <w:u w:val="single"/>
          <w:lang w:bidi="ar"/>
        </w:rPr>
        <w:t>原件清晰扫描件。</w:t>
      </w:r>
      <w:bookmarkEnd w:id="84"/>
    </w:p>
    <w:p w14:paraId="30DC54E5">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3.5.2其他满足本章第1.4.1项规定的要求的相关资料。</w:t>
      </w:r>
    </w:p>
    <w:p w14:paraId="20F6012B">
      <w:pPr>
        <w:keepNext/>
        <w:keepLines/>
        <w:spacing w:line="360" w:lineRule="auto"/>
        <w:jc w:val="left"/>
        <w:outlineLvl w:val="2"/>
        <w:rPr>
          <w:rFonts w:hint="eastAsia" w:ascii="宋体" w:hAnsi="宋体" w:eastAsia="宋体" w:cs="宋体"/>
          <w:b/>
          <w:bCs/>
          <w:color w:val="auto"/>
          <w:sz w:val="28"/>
          <w:szCs w:val="32"/>
          <w:highlight w:val="none"/>
        </w:rPr>
      </w:pP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
          <w:bCs/>
          <w:color w:val="auto"/>
          <w:sz w:val="28"/>
          <w:szCs w:val="32"/>
          <w:highlight w:val="none"/>
        </w:rPr>
        <w:t>3.6 备选投标方案</w:t>
      </w:r>
    </w:p>
    <w:p w14:paraId="5C0F0DC3">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3.6.1除投标人须知前附表规定允许外，投标人不得递交备选投标方案，否则其投标将被否决。</w:t>
      </w:r>
    </w:p>
    <w:p w14:paraId="2BF8979C">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99CD7DC">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3.6.3投标人提供两个或两个以上投标报价，或者在投标文件中提供一个报价，但同时提供两个或两个以上服务方案的，视为提供备选方案。</w:t>
      </w:r>
    </w:p>
    <w:p w14:paraId="67EC75EF">
      <w:pPr>
        <w:keepNext/>
        <w:keepLines/>
        <w:spacing w:line="360" w:lineRule="auto"/>
        <w:jc w:val="left"/>
        <w:outlineLvl w:val="2"/>
        <w:rPr>
          <w:rFonts w:hint="eastAsia" w:ascii="宋体" w:hAnsi="宋体" w:eastAsia="宋体" w:cs="宋体"/>
          <w:b/>
          <w:bCs/>
          <w:color w:val="auto"/>
          <w:sz w:val="28"/>
          <w:szCs w:val="32"/>
          <w:highlight w:val="none"/>
        </w:rPr>
      </w:pPr>
      <w:bookmarkStart w:id="85" w:name="bookmark46"/>
      <w:bookmarkEnd w:id="85"/>
      <w:r>
        <w:rPr>
          <w:rFonts w:hint="eastAsia" w:ascii="宋体" w:hAnsi="宋体" w:eastAsia="宋体" w:cs="宋体"/>
          <w:b/>
          <w:bCs/>
          <w:color w:val="auto"/>
          <w:sz w:val="28"/>
          <w:szCs w:val="32"/>
          <w:highlight w:val="none"/>
        </w:rPr>
        <w:t>3.7 投标文件的编制</w:t>
      </w:r>
    </w:p>
    <w:p w14:paraId="067772B8">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3.7.1投标文件应按第七章“投标文件格式”进行编写，如有必要，可以增加附页，作为投标文件的组成部分。</w:t>
      </w:r>
    </w:p>
    <w:p w14:paraId="284F73A4">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3.7.2投标文件应当对招标文件有关服务期限、投标有效期、招标人要求、招标范围等实质性内容作出响应。</w:t>
      </w:r>
    </w:p>
    <w:p w14:paraId="25E84939">
      <w:pPr>
        <w:spacing w:line="360" w:lineRule="auto"/>
        <w:ind w:firstLine="484" w:firstLineChars="202"/>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3.7.3</w:t>
      </w:r>
      <w:r>
        <w:rPr>
          <w:rFonts w:hint="eastAsia" w:ascii="宋体" w:hAnsi="宋体" w:eastAsia="宋体" w:cs="宋体"/>
          <w:color w:val="auto"/>
          <w:sz w:val="24"/>
          <w:szCs w:val="24"/>
          <w:highlight w:val="none"/>
          <w:u w:val="single"/>
        </w:rPr>
        <w:t>投标文件全部采用电子文档，投标文件所附证书证件均为原件扫描件，并采用单位数字证书（联合体投标的，由联合体主办方采用其单位数字证书），按招标文件要求在相应位置加盖电子印章。投标文件中需个人签字或盖章的，应加盖个人电子印章或在线下完成后扫描上传。按照交易平台关于全流程电子化项目的相关指南进行操作。相关操作详见广州公共资源交易中心网站最新发布的《房屋建筑和市政基础设施工程全流程电子化项目专章》。签字或盖章的具体要求见投标人须知前附表。</w:t>
      </w:r>
    </w:p>
    <w:p w14:paraId="6D24C4B2">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联合体投标时，除“联合体协议书”需由联合体各方分别按要求进行签字或盖章外，其他资料若需要签字或盖章的均可由联合体主办方签字或盖章即可；投标资料封面及其他内容及落款中的“投标人”、“投标单位”、“声明企业”应填写联合体各方的单位全称【格式示例为：（主）单位全称（成）单位全称】，由联合体主办方按要求签字或盖章即可。电子签章由主办方进行签章即可。</w:t>
      </w:r>
    </w:p>
    <w:p w14:paraId="2A3F49BB">
      <w:pPr>
        <w:keepNext/>
        <w:keepLines/>
        <w:spacing w:line="360" w:lineRule="auto"/>
        <w:jc w:val="left"/>
        <w:outlineLvl w:val="1"/>
        <w:rPr>
          <w:rFonts w:hint="eastAsia" w:ascii="宋体" w:hAnsi="宋体" w:eastAsia="宋体" w:cs="宋体"/>
          <w:b/>
          <w:bCs/>
          <w:color w:val="auto"/>
          <w:sz w:val="32"/>
          <w:szCs w:val="32"/>
          <w:highlight w:val="none"/>
        </w:rPr>
      </w:pPr>
      <w:bookmarkStart w:id="86" w:name="_Toc3516"/>
      <w:bookmarkStart w:id="87" w:name="_Toc23220"/>
      <w:bookmarkStart w:id="88" w:name="_Toc32552"/>
      <w:bookmarkStart w:id="89" w:name="_Toc23284"/>
      <w:bookmarkStart w:id="90" w:name="_Toc29593"/>
      <w:bookmarkStart w:id="91" w:name="_Toc532367876"/>
      <w:bookmarkStart w:id="92" w:name="_Toc21930"/>
      <w:bookmarkStart w:id="93" w:name="_Toc3554"/>
      <w:bookmarkStart w:id="94" w:name="_Toc377719903"/>
      <w:bookmarkStart w:id="95" w:name="_Toc24378"/>
      <w:bookmarkStart w:id="96" w:name="_Toc9342"/>
      <w:bookmarkStart w:id="97" w:name="_Toc25065"/>
      <w:bookmarkStart w:id="98" w:name="_Toc31557"/>
      <w:r>
        <w:rPr>
          <w:rFonts w:hint="eastAsia" w:ascii="宋体" w:hAnsi="宋体" w:eastAsia="宋体" w:cs="宋体"/>
          <w:b/>
          <w:bCs/>
          <w:color w:val="auto"/>
          <w:sz w:val="32"/>
          <w:szCs w:val="32"/>
          <w:highlight w:val="none"/>
        </w:rPr>
        <w:t>4.投标</w:t>
      </w:r>
      <w:bookmarkEnd w:id="86"/>
      <w:bookmarkEnd w:id="87"/>
      <w:bookmarkEnd w:id="88"/>
      <w:bookmarkEnd w:id="89"/>
      <w:bookmarkEnd w:id="90"/>
      <w:bookmarkEnd w:id="91"/>
      <w:bookmarkEnd w:id="92"/>
      <w:bookmarkEnd w:id="93"/>
      <w:bookmarkEnd w:id="94"/>
      <w:bookmarkEnd w:id="95"/>
      <w:bookmarkEnd w:id="96"/>
      <w:bookmarkEnd w:id="97"/>
      <w:bookmarkEnd w:id="98"/>
    </w:p>
    <w:p w14:paraId="4F475057">
      <w:pPr>
        <w:keepNext/>
        <w:keepLines/>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4.1  投标文件的密封和标记</w:t>
      </w:r>
    </w:p>
    <w:p w14:paraId="178F5941">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投标人应当按照招标文件和电子招标投标交易平台的要求加密投标文件，具体要求见投标人须知前附表。</w:t>
      </w:r>
    </w:p>
    <w:p w14:paraId="101A898D">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投标文件封套上应写明的内容见投标人须知前附表。</w:t>
      </w:r>
    </w:p>
    <w:p w14:paraId="6E983F1A">
      <w:pPr>
        <w:spacing w:line="360" w:lineRule="auto"/>
        <w:ind w:firstLine="484" w:firstLineChars="202"/>
        <w:jc w:val="left"/>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4.1.3 未按本章第 4.1.1 项要求密封的投标文件，招标人将予以拒收。</w:t>
      </w:r>
    </w:p>
    <w:p w14:paraId="07282401">
      <w:pPr>
        <w:keepNext/>
        <w:keepLines/>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4.2  投标文件的递交</w:t>
      </w:r>
    </w:p>
    <w:p w14:paraId="787FA96D">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投标人应在投标人须知前附表规定的投标截止时间前递交投标文件。</w:t>
      </w:r>
    </w:p>
    <w:p w14:paraId="3821F2BC">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投标人通过下载招标文件的电子招标投标交易平台递交电子投标文件。</w:t>
      </w:r>
    </w:p>
    <w:p w14:paraId="14D94F20">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除投标人须知前附表另有规定外，投标人所递交的投标文件不予退还。</w:t>
      </w:r>
    </w:p>
    <w:p w14:paraId="4BE99F13">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投标人完成电子投标文件上传后，电子招标投标交易平台即时向投标人发出递交回执通知。递交时间以递交回执通知载明的传输完成时间为准。</w:t>
      </w:r>
    </w:p>
    <w:p w14:paraId="2D467174">
      <w:pPr>
        <w:spacing w:line="360" w:lineRule="auto"/>
        <w:ind w:firstLine="484" w:firstLineChars="202"/>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4.2.5 逾期送达的投标文件，电子招标投标交易平台将予以拒收。</w:t>
      </w:r>
    </w:p>
    <w:p w14:paraId="13A4CC63">
      <w:pPr>
        <w:keepNext/>
        <w:keepLines/>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4.3  投标文件的修改与撤回</w:t>
      </w:r>
    </w:p>
    <w:p w14:paraId="3C72F203">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 在本章第 4.2.1 项规定的投标截止时间前，投标人可以修改或撤回已递交的投标文件，但应以书面形式通知招标人。</w:t>
      </w:r>
    </w:p>
    <w:p w14:paraId="7D13F9F8">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投标人修改或撤回已递交投标文件的通知，应按照本章第 3.7.3项的要求加盖电子印章。电子招标投标交易平台收到通知后，即时向投标人发出确认回执通知。</w:t>
      </w:r>
    </w:p>
    <w:p w14:paraId="488D2104">
      <w:pPr>
        <w:spacing w:line="360" w:lineRule="auto"/>
        <w:ind w:firstLine="484" w:firstLineChars="202"/>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4.3.3 修改的内容为投标文件的组成部分。修改的投标文件应按照本章第 3 条、第 4 条的规定进行编制、密封、标记和递交，并标明“修改”字样。</w:t>
      </w:r>
    </w:p>
    <w:p w14:paraId="7BB6AE04">
      <w:pPr>
        <w:keepNext/>
        <w:keepLines/>
        <w:spacing w:line="360" w:lineRule="auto"/>
        <w:outlineLvl w:val="1"/>
        <w:rPr>
          <w:rFonts w:hint="eastAsia" w:ascii="宋体" w:hAnsi="宋体" w:eastAsia="宋体" w:cs="宋体"/>
          <w:b/>
          <w:bCs/>
          <w:color w:val="auto"/>
          <w:sz w:val="32"/>
          <w:szCs w:val="32"/>
          <w:highlight w:val="none"/>
        </w:rPr>
      </w:pPr>
      <w:bookmarkStart w:id="99" w:name="_Toc111"/>
      <w:bookmarkStart w:id="100" w:name="_Toc10549"/>
      <w:bookmarkStart w:id="101" w:name="_Toc1684"/>
      <w:bookmarkStart w:id="102" w:name="_Toc17418"/>
      <w:bookmarkStart w:id="103" w:name="_Toc11066"/>
      <w:bookmarkStart w:id="104" w:name="_Toc17138"/>
      <w:bookmarkStart w:id="105" w:name="_Toc377719904"/>
      <w:bookmarkStart w:id="106" w:name="_Toc5302"/>
      <w:bookmarkStart w:id="107" w:name="_Toc532367877"/>
      <w:bookmarkStart w:id="108" w:name="_Toc31567"/>
      <w:bookmarkStart w:id="109" w:name="_Toc6570"/>
      <w:bookmarkStart w:id="110" w:name="_Toc19088"/>
      <w:bookmarkStart w:id="111" w:name="_Toc25545"/>
      <w:r>
        <w:rPr>
          <w:rFonts w:hint="eastAsia" w:ascii="宋体" w:hAnsi="宋体" w:eastAsia="宋体" w:cs="宋体"/>
          <w:b/>
          <w:bCs/>
          <w:color w:val="auto"/>
          <w:sz w:val="32"/>
          <w:szCs w:val="32"/>
          <w:highlight w:val="none"/>
        </w:rPr>
        <w:t>5.开标</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03088D00">
      <w:pPr>
        <w:keepNext/>
        <w:keepLines/>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5.1 开标时间和地点</w:t>
      </w:r>
    </w:p>
    <w:p w14:paraId="7CE1530B">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招标人在本章第 4.2.1 项规定的投标截止时间（开标时间）,通过电子招标投标交易平台公开开标，所有投标人的法定代表人或其委托代理人应当准时参加。</w:t>
      </w:r>
    </w:p>
    <w:p w14:paraId="7547A271">
      <w:pPr>
        <w:keepNext/>
        <w:keepLines/>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5.2 开标程序</w:t>
      </w:r>
    </w:p>
    <w:p w14:paraId="4ED52950">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5.2.1主持人按下列程序进行开标：</w:t>
      </w:r>
    </w:p>
    <w:p w14:paraId="1B027D2A">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（1）宣布开标纪律；</w:t>
      </w:r>
    </w:p>
    <w:p w14:paraId="40F46D2C">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（2）公布在投标截止时间前递交投标文件的投标人名称；</w:t>
      </w:r>
    </w:p>
    <w:p w14:paraId="4C3E296E">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（3）宣布开标人、唱标人、记录人、监标人等有关人员姓名；</w:t>
      </w:r>
    </w:p>
    <w:p w14:paraId="20926363">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（4）投标人通过电子招标投标交易平台对已递交的电子投标文件进行解密，公布招标项目名称、投标人名称、投标总报价、服务期限及其他内容，并记录在案；</w:t>
      </w:r>
    </w:p>
    <w:p w14:paraId="2F93EE85">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（5）投标人代表、招标人代表、监标人、记录人等有关人员使用本人的电子印章在开标记录上签字确认；若有关人员不签字的，不影响开标程序；</w:t>
      </w:r>
    </w:p>
    <w:p w14:paraId="4F750CA9">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（6）开标结束。</w:t>
      </w:r>
    </w:p>
    <w:p w14:paraId="07F07C68">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5.2.2投标截止时间前未完成投标文件传输的或因投标人之外的原因造成投标文件未解密的，视为投标人撤回投标文件。因投标人原因造成投标文件未解密的，视为撤销其投标文件。</w:t>
      </w:r>
    </w:p>
    <w:p w14:paraId="7AA13924">
      <w:pPr>
        <w:spacing w:line="360" w:lineRule="auto"/>
        <w:ind w:firstLine="484" w:firstLineChars="202"/>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5.2.3开标时，两个（含两个）以上的投标人加密打包投标文件电脑机器特征码一致的，不参与下一程序，并由评标委员会否决其投标。</w:t>
      </w:r>
    </w:p>
    <w:p w14:paraId="472FF553">
      <w:pPr>
        <w:keepNext/>
        <w:keepLines/>
        <w:spacing w:line="360" w:lineRule="auto"/>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5.3 开标异议</w:t>
      </w:r>
    </w:p>
    <w:p w14:paraId="7111BBA8">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4439CA4">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5.3.2参加现场开标的投标人对开标结果有异议的，应当在开标现场提出，该投标人代表须同时出示本人身份证原件，招标人当场作出答复，并制作记录。</w:t>
      </w:r>
    </w:p>
    <w:p w14:paraId="0B2E299A">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14:paraId="3839F532">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5.3.4投标人未参加开标或在规定的时间内未提出异议的，视为对开标无异议。</w:t>
      </w:r>
    </w:p>
    <w:p w14:paraId="0507D9A9">
      <w:pPr>
        <w:keepNext/>
        <w:keepLines/>
        <w:spacing w:line="360" w:lineRule="auto"/>
        <w:jc w:val="left"/>
        <w:outlineLvl w:val="1"/>
        <w:rPr>
          <w:rFonts w:hint="eastAsia" w:ascii="宋体" w:hAnsi="宋体" w:eastAsia="宋体" w:cs="宋体"/>
          <w:b/>
          <w:bCs/>
          <w:color w:val="auto"/>
          <w:sz w:val="32"/>
          <w:szCs w:val="32"/>
          <w:highlight w:val="none"/>
        </w:rPr>
      </w:pPr>
      <w:bookmarkStart w:id="112" w:name="_Toc27507"/>
      <w:bookmarkStart w:id="113" w:name="_Toc17328"/>
      <w:bookmarkStart w:id="114" w:name="_Toc5463"/>
      <w:bookmarkStart w:id="115" w:name="_Toc24608"/>
      <w:bookmarkStart w:id="116" w:name="_Toc532367878"/>
      <w:bookmarkStart w:id="117" w:name="_Toc11500"/>
      <w:r>
        <w:rPr>
          <w:rFonts w:hint="eastAsia" w:ascii="宋体" w:hAnsi="宋体" w:eastAsia="宋体" w:cs="宋体"/>
          <w:b/>
          <w:bCs/>
          <w:color w:val="auto"/>
          <w:sz w:val="32"/>
          <w:szCs w:val="32"/>
          <w:highlight w:val="none"/>
        </w:rPr>
        <w:t>6.评标</w:t>
      </w:r>
      <w:bookmarkEnd w:id="112"/>
      <w:bookmarkEnd w:id="113"/>
      <w:bookmarkEnd w:id="114"/>
      <w:bookmarkEnd w:id="115"/>
      <w:bookmarkEnd w:id="116"/>
      <w:bookmarkEnd w:id="117"/>
    </w:p>
    <w:p w14:paraId="07E2AF01">
      <w:pPr>
        <w:keepNext/>
        <w:keepLines/>
        <w:spacing w:line="360" w:lineRule="auto"/>
        <w:jc w:val="left"/>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6.1 评标委员会</w:t>
      </w:r>
    </w:p>
    <w:p w14:paraId="1CB39A97">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508BC15">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14:paraId="122FDEFA">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p>
    <w:p w14:paraId="7856A6D2">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068AF510">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（3）与投标人有经济利益关系，可能影响对投标公正评审的；</w:t>
      </w:r>
    </w:p>
    <w:p w14:paraId="206E4A16">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14:paraId="36683297">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（5）与投标人有其他利害关系。</w:t>
      </w:r>
    </w:p>
    <w:p w14:paraId="3895CB06">
      <w:pPr>
        <w:spacing w:line="360" w:lineRule="auto"/>
        <w:ind w:firstLine="484" w:firstLineChars="202"/>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719CB3E2">
      <w:pPr>
        <w:keepNext/>
        <w:keepLines/>
        <w:spacing w:line="360" w:lineRule="auto"/>
        <w:jc w:val="left"/>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6.2 评标原则</w:t>
      </w:r>
    </w:p>
    <w:p w14:paraId="71F7FF74">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3911F28C">
      <w:pPr>
        <w:keepNext/>
        <w:keepLines/>
        <w:spacing w:line="360" w:lineRule="auto"/>
        <w:jc w:val="left"/>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6.3 评标</w:t>
      </w:r>
    </w:p>
    <w:p w14:paraId="5370C508">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评标委员会按照第三章“评标办法”规定的方法、评审因素、标准和程序对投标文件进行评审。第三章“评标办法”没有规定的方法、评审因素和标准，不作为评标依据。</w:t>
      </w:r>
    </w:p>
    <w:p w14:paraId="3B1C8E7B">
      <w:pPr>
        <w:spacing w:line="360" w:lineRule="auto"/>
        <w:ind w:firstLine="484" w:firstLineChars="202"/>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6.3.2 评标完成后，评标委员会应当向招标人提交书面评标报告和中标候选人名单。评标委员会推荐中标候选人的人数见投标人须知前附表。</w:t>
      </w:r>
    </w:p>
    <w:p w14:paraId="496D5986">
      <w:pPr>
        <w:keepNext/>
        <w:keepLines/>
        <w:spacing w:line="360" w:lineRule="auto"/>
        <w:outlineLvl w:val="1"/>
        <w:rPr>
          <w:rFonts w:hint="eastAsia" w:ascii="宋体" w:hAnsi="宋体" w:eastAsia="宋体" w:cs="宋体"/>
          <w:b/>
          <w:bCs/>
          <w:color w:val="auto"/>
          <w:sz w:val="32"/>
          <w:szCs w:val="32"/>
          <w:highlight w:val="none"/>
        </w:rPr>
      </w:pPr>
      <w:bookmarkStart w:id="118" w:name="_Toc17606"/>
      <w:bookmarkStart w:id="119" w:name="_Toc27928"/>
      <w:bookmarkStart w:id="120" w:name="_Toc31080"/>
      <w:bookmarkStart w:id="121" w:name="_Toc15742"/>
      <w:bookmarkStart w:id="122" w:name="_Toc24971"/>
      <w:bookmarkStart w:id="123" w:name="_Toc377719905"/>
      <w:bookmarkStart w:id="124" w:name="_Toc23147"/>
      <w:bookmarkStart w:id="125" w:name="_Toc532367879"/>
      <w:bookmarkStart w:id="126" w:name="_Toc18237"/>
      <w:bookmarkStart w:id="127" w:name="_Toc22463"/>
      <w:bookmarkStart w:id="128" w:name="_Toc11665"/>
      <w:bookmarkStart w:id="129" w:name="_Toc21343"/>
      <w:bookmarkStart w:id="130" w:name="_Toc9775"/>
      <w:r>
        <w:rPr>
          <w:rFonts w:hint="eastAsia" w:ascii="宋体" w:hAnsi="宋体" w:eastAsia="宋体" w:cs="宋体"/>
          <w:b/>
          <w:bCs/>
          <w:color w:val="auto"/>
          <w:sz w:val="32"/>
          <w:szCs w:val="32"/>
          <w:highlight w:val="none"/>
        </w:rPr>
        <w:t>7.合同</w:t>
      </w:r>
      <w:bookmarkEnd w:id="118"/>
      <w:bookmarkEnd w:id="119"/>
      <w:bookmarkEnd w:id="120"/>
      <w:bookmarkEnd w:id="121"/>
      <w:bookmarkEnd w:id="122"/>
      <w:bookmarkEnd w:id="123"/>
      <w:bookmarkEnd w:id="124"/>
      <w:r>
        <w:rPr>
          <w:rFonts w:hint="eastAsia" w:ascii="宋体" w:hAnsi="宋体" w:eastAsia="宋体" w:cs="宋体"/>
          <w:b/>
          <w:bCs/>
          <w:color w:val="auto"/>
          <w:sz w:val="32"/>
          <w:szCs w:val="32"/>
          <w:highlight w:val="none"/>
        </w:rPr>
        <w:t>授予</w:t>
      </w:r>
      <w:bookmarkEnd w:id="125"/>
      <w:bookmarkEnd w:id="126"/>
      <w:bookmarkEnd w:id="127"/>
      <w:bookmarkEnd w:id="128"/>
      <w:bookmarkEnd w:id="129"/>
      <w:bookmarkEnd w:id="130"/>
    </w:p>
    <w:p w14:paraId="481D4BD9">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7.1 中标候选人公示</w:t>
      </w:r>
    </w:p>
    <w:p w14:paraId="14E90262">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招标人在收到评标报告之日起 3 日内，按照投标人须知前附表规定的公示媒介和期限公示中标候选人，公示期不得少于 3 天</w:t>
      </w:r>
      <w:r>
        <w:rPr>
          <w:rFonts w:hint="eastAsia" w:ascii="宋体" w:hAnsi="宋体" w:eastAsia="宋体" w:cs="宋体"/>
          <w:color w:val="auto"/>
          <w:sz w:val="24"/>
          <w:szCs w:val="24"/>
          <w:highlight w:val="none"/>
          <w:u w:val="single"/>
        </w:rPr>
        <w:t>，公示期限最后一天为工作日</w:t>
      </w:r>
      <w:r>
        <w:rPr>
          <w:rFonts w:hint="eastAsia" w:ascii="宋体" w:hAnsi="宋体" w:eastAsia="宋体" w:cs="宋体"/>
          <w:color w:val="auto"/>
          <w:sz w:val="24"/>
          <w:szCs w:val="24"/>
          <w:highlight w:val="none"/>
        </w:rPr>
        <w:t>。</w:t>
      </w:r>
    </w:p>
    <w:p w14:paraId="61D23EFB">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7.2 评标结果异议</w:t>
      </w:r>
    </w:p>
    <w:p w14:paraId="51365AAC">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投标人或者其他利害关系人对评标结果有异议的，应当在中标候选人公示期间提出。招标人将在收到异议之日起 3 日内作出答复；作出答复前，将暂停招标投标活动。</w:t>
      </w:r>
    </w:p>
    <w:p w14:paraId="057A2781">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7.3 中标候选人履约能力审查</w:t>
      </w:r>
    </w:p>
    <w:p w14:paraId="5E2DCD36">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335F67D">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7.4 定标</w:t>
      </w:r>
    </w:p>
    <w:p w14:paraId="2BCC075F">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按照投标人须知前附表的规定，招标人或招标人授权的评标委员会依法确定中标人。</w:t>
      </w:r>
    </w:p>
    <w:p w14:paraId="10B51B4C">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7.5 中标通知</w:t>
      </w:r>
    </w:p>
    <w:p w14:paraId="51094BA1">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在本章第 3.3 款规定的投标有效期内，</w:t>
      </w:r>
      <w:r>
        <w:rPr>
          <w:rFonts w:hint="eastAsia" w:ascii="宋体" w:hAnsi="宋体" w:eastAsia="宋体" w:cs="宋体"/>
          <w:color w:val="auto"/>
          <w:sz w:val="24"/>
          <w:szCs w:val="24"/>
          <w:highlight w:val="none"/>
          <w:u w:val="single"/>
        </w:rPr>
        <w:t>中标通知书及中标信息在广州公共资源交易中心交易平台发布，视为招标人已向中标人发出中标通知书，以及将中标结果通知未中标的投标人。</w:t>
      </w:r>
    </w:p>
    <w:p w14:paraId="1B891FA9">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7.6 履约保证金</w:t>
      </w:r>
    </w:p>
    <w:p w14:paraId="2DD360D1">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签订合同前，中标人应按“投标人须知前附表”规定的担保形式和招标文件第四章“合同条款及格式”规定的或者事先经过招标人书面认可的履约担保格式向招标人提交履约保证金。除投标人须知前附表另有规定外，履约保证金为中标合同金额的</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w:t>
      </w:r>
    </w:p>
    <w:p w14:paraId="02445EFD">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7.6.2 中标人不能按本章第7.6.1项要求提交履约保证金的，视为放弃中标，其补交的投标保证金不予退还，给招标人造成的损失超过投标保证金数额的，中标人还应当对超过部分予以赔偿。</w:t>
      </w:r>
    </w:p>
    <w:p w14:paraId="2A65E727">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7.7 签订合同</w:t>
      </w:r>
    </w:p>
    <w:p w14:paraId="63C4F98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7.7.1招标人和中标人应当在中标通知书发出之日起</w:t>
      </w:r>
      <w:r>
        <w:rPr>
          <w:rFonts w:hint="eastAsia" w:ascii="宋体" w:hAnsi="宋体" w:eastAsia="宋体" w:cs="宋体"/>
          <w:color w:val="auto"/>
          <w:sz w:val="24"/>
          <w:szCs w:val="24"/>
          <w:highlight w:val="none"/>
          <w:u w:val="single"/>
        </w:rPr>
        <w:t>30个</w:t>
      </w:r>
      <w:r>
        <w:rPr>
          <w:rFonts w:hint="eastAsia" w:ascii="宋体" w:hAnsi="宋体" w:eastAsia="宋体" w:cs="宋体"/>
          <w:color w:val="auto"/>
          <w:sz w:val="24"/>
          <w:szCs w:val="24"/>
          <w:highlight w:val="none"/>
        </w:rPr>
        <w:t>日历天内，根据招标文件和中标人的投标文件订立书面合同。中标人无正当理由拒签合同，在签订合同时向招标人提出附加条件，或者不按照招标文件要求提交履约保证金的，招标人有权取消其中标资格，其</w:t>
      </w:r>
      <w:r>
        <w:rPr>
          <w:rFonts w:hint="eastAsia" w:ascii="宋体" w:hAnsi="宋体" w:eastAsia="宋体" w:cs="宋体"/>
          <w:color w:val="auto"/>
          <w:sz w:val="24"/>
          <w:szCs w:val="24"/>
          <w:highlight w:val="none"/>
          <w:u w:val="single"/>
        </w:rPr>
        <w:t>补交的</w:t>
      </w:r>
      <w:r>
        <w:rPr>
          <w:rFonts w:hint="eastAsia" w:ascii="宋体" w:hAnsi="宋体" w:eastAsia="宋体" w:cs="宋体"/>
          <w:color w:val="auto"/>
          <w:sz w:val="24"/>
          <w:szCs w:val="24"/>
          <w:highlight w:val="none"/>
        </w:rPr>
        <w:t>投标保证金不予退还；给招标人造成的损失超过投标保证金数额的，中标人还应当对超过部分予以赔偿。对依法必须招标项目的中标人，由有关行政监督部门责令改正。</w:t>
      </w:r>
    </w:p>
    <w:p w14:paraId="66538219">
      <w:pPr>
        <w:pStyle w:val="8"/>
        <w:kinsoku w:val="0"/>
        <w:overflowPunct w:val="0"/>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7.7.2发出中标通知书后，招标人无正当理由拒签合同，或者在签订合同时向中标人提出附加条件的，招标人向中标人退还投标保证金；给中标人造成损失的，还应当赔偿损失。</w:t>
      </w:r>
    </w:p>
    <w:p w14:paraId="4735D38D">
      <w:pPr>
        <w:pStyle w:val="8"/>
        <w:kinsoku w:val="0"/>
        <w:overflowPunct w:val="0"/>
        <w:spacing w:after="0" w:line="360" w:lineRule="auto"/>
        <w:ind w:firstLine="480" w:firstLineChars="200"/>
        <w:rPr>
          <w:rFonts w:hint="eastAsia" w:ascii="宋体" w:hAnsi="宋体" w:eastAsia="宋体" w:cs="Times New Roman"/>
          <w:color w:val="auto"/>
          <w:sz w:val="24"/>
          <w:highlight w:val="none"/>
        </w:rPr>
      </w:pPr>
      <w:r>
        <w:rPr>
          <w:rFonts w:ascii="宋体" w:hAnsi="宋体" w:eastAsia="宋体" w:cs="Times New Roman"/>
          <w:color w:val="auto"/>
          <w:sz w:val="24"/>
          <w:highlight w:val="none"/>
        </w:rPr>
        <w:t>7.7.3</w:t>
      </w:r>
      <w:r>
        <w:rPr>
          <w:rFonts w:hint="eastAsia" w:ascii="宋体" w:hAnsi="宋体" w:eastAsia="宋体" w:cs="Times New Roman"/>
          <w:color w:val="auto"/>
          <w:sz w:val="24"/>
          <w:highlight w:val="none"/>
        </w:rPr>
        <w:t>联合体中标的，联合体各方应当共同与招标人签订合同，就中标项目向招标人承担连带责任</w:t>
      </w:r>
    </w:p>
    <w:p w14:paraId="3811DF9F">
      <w:pPr>
        <w:keepNext/>
        <w:keepLines/>
        <w:spacing w:line="360" w:lineRule="auto"/>
        <w:jc w:val="left"/>
        <w:outlineLvl w:val="1"/>
        <w:rPr>
          <w:rFonts w:hint="eastAsia" w:ascii="宋体" w:hAnsi="宋体" w:eastAsia="宋体" w:cs="宋体"/>
          <w:b/>
          <w:bCs/>
          <w:color w:val="auto"/>
          <w:sz w:val="32"/>
          <w:szCs w:val="32"/>
          <w:highlight w:val="none"/>
        </w:rPr>
      </w:pPr>
      <w:bookmarkStart w:id="131" w:name="_Toc15512"/>
      <w:bookmarkStart w:id="132" w:name="_Toc532367880"/>
      <w:bookmarkStart w:id="133" w:name="_Toc15378"/>
      <w:bookmarkStart w:id="134" w:name="_Toc19621"/>
      <w:bookmarkStart w:id="135" w:name="_Toc25746"/>
      <w:bookmarkStart w:id="136" w:name="_Toc29502"/>
      <w:r>
        <w:rPr>
          <w:rFonts w:hint="eastAsia" w:ascii="宋体" w:hAnsi="宋体" w:eastAsia="宋体" w:cs="宋体"/>
          <w:b/>
          <w:bCs/>
          <w:color w:val="auto"/>
          <w:sz w:val="32"/>
          <w:szCs w:val="32"/>
          <w:highlight w:val="none"/>
        </w:rPr>
        <w:t>8.纪律和监督</w:t>
      </w:r>
      <w:bookmarkEnd w:id="131"/>
      <w:bookmarkEnd w:id="132"/>
      <w:bookmarkEnd w:id="133"/>
      <w:bookmarkEnd w:id="134"/>
      <w:bookmarkEnd w:id="135"/>
      <w:bookmarkEnd w:id="136"/>
    </w:p>
    <w:p w14:paraId="1D572D29">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8.1 对招标人的纪律要求</w:t>
      </w:r>
    </w:p>
    <w:p w14:paraId="6D81894D">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招标人不得泄露招标投标活动中应当保密的情况和资料，不得与投标人串通损害国家利益、社会公共利益或者他人合法权益。</w:t>
      </w:r>
    </w:p>
    <w:p w14:paraId="288F9E22">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8.2 对投标人的纪律要求</w:t>
      </w:r>
    </w:p>
    <w:p w14:paraId="5B80AD14">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7E9127E">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8.3 对评标委员会成员的纪律要求</w:t>
      </w:r>
    </w:p>
    <w:p w14:paraId="562F9C5D">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21AE82A">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8.4 对与评标活动有关的工作人员的纪律要求</w:t>
      </w:r>
    </w:p>
    <w:p w14:paraId="3BE4B18E">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3DEC8EE">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8.5 投诉</w:t>
      </w:r>
    </w:p>
    <w:p w14:paraId="60C9C00E">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14:paraId="610E8482">
      <w:pPr>
        <w:spacing w:line="360" w:lineRule="auto"/>
        <w:ind w:firstLine="484" w:firstLineChars="202"/>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14:paraId="4D219821">
      <w:pPr>
        <w:keepNext/>
        <w:keepLines/>
        <w:spacing w:line="360" w:lineRule="auto"/>
        <w:jc w:val="left"/>
        <w:outlineLvl w:val="1"/>
        <w:rPr>
          <w:rFonts w:hint="eastAsia" w:ascii="宋体" w:hAnsi="宋体" w:eastAsia="宋体" w:cs="宋体"/>
          <w:b/>
          <w:bCs/>
          <w:color w:val="auto"/>
          <w:sz w:val="32"/>
          <w:szCs w:val="32"/>
          <w:highlight w:val="none"/>
        </w:rPr>
      </w:pPr>
      <w:bookmarkStart w:id="137" w:name="_Toc3441"/>
      <w:bookmarkStart w:id="138" w:name="_Toc31993"/>
      <w:r>
        <w:rPr>
          <w:rFonts w:hint="eastAsia" w:ascii="宋体" w:hAnsi="宋体" w:eastAsia="宋体" w:cs="宋体"/>
          <w:b/>
          <w:bCs/>
          <w:color w:val="auto"/>
          <w:sz w:val="32"/>
          <w:szCs w:val="32"/>
          <w:highlight w:val="none"/>
        </w:rPr>
        <w:t>9.是否采用电子招标投标</w:t>
      </w:r>
      <w:bookmarkEnd w:id="137"/>
      <w:bookmarkEnd w:id="138"/>
    </w:p>
    <w:p w14:paraId="4AA5D475">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本招标项目是否采用电子招标投标方式，见投标人须知前附表。</w:t>
      </w:r>
    </w:p>
    <w:p w14:paraId="1470794A">
      <w:pPr>
        <w:keepNext/>
        <w:keepLines/>
        <w:spacing w:line="360" w:lineRule="auto"/>
        <w:jc w:val="left"/>
        <w:outlineLvl w:val="1"/>
        <w:rPr>
          <w:rFonts w:hint="eastAsia" w:ascii="宋体" w:hAnsi="宋体" w:eastAsia="宋体" w:cs="宋体"/>
          <w:b/>
          <w:bCs/>
          <w:color w:val="auto"/>
          <w:sz w:val="32"/>
          <w:szCs w:val="32"/>
          <w:highlight w:val="none"/>
        </w:rPr>
      </w:pPr>
      <w:bookmarkStart w:id="139" w:name="_Toc4862"/>
      <w:bookmarkStart w:id="140" w:name="_Toc5234"/>
      <w:r>
        <w:rPr>
          <w:rFonts w:hint="eastAsia" w:ascii="宋体" w:hAnsi="宋体" w:eastAsia="宋体" w:cs="宋体"/>
          <w:b/>
          <w:bCs/>
          <w:color w:val="auto"/>
          <w:sz w:val="32"/>
          <w:szCs w:val="32"/>
          <w:highlight w:val="none"/>
        </w:rPr>
        <w:t>10.需要补充的其他内容</w:t>
      </w:r>
      <w:bookmarkEnd w:id="139"/>
      <w:bookmarkEnd w:id="140"/>
    </w:p>
    <w:p w14:paraId="1FF6030F">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需要补充的其他内容：见投标人须知前附表。</w:t>
      </w:r>
    </w:p>
    <w:p w14:paraId="2C59E509">
      <w:pPr>
        <w:keepNext/>
        <w:keepLines/>
        <w:spacing w:line="360" w:lineRule="auto"/>
        <w:rPr>
          <w:rFonts w:hint="eastAsia" w:ascii="宋体" w:hAnsi="宋体" w:cs="宋体"/>
          <w:b/>
          <w:bCs/>
          <w:color w:val="auto"/>
          <w:kern w:val="44"/>
          <w:sz w:val="32"/>
          <w:szCs w:val="32"/>
          <w:highlight w:val="none"/>
        </w:rPr>
        <w:sectPr>
          <w:pgSz w:w="11905" w:h="16838"/>
          <w:pgMar w:top="1418" w:right="1701" w:bottom="1418" w:left="1701" w:header="851" w:footer="794" w:gutter="0"/>
          <w:cols w:space="720" w:num="1"/>
          <w:docGrid w:type="lines" w:linePitch="312" w:charSpace="0"/>
        </w:sectPr>
      </w:pPr>
    </w:p>
    <w:p w14:paraId="12CAD9CB">
      <w:pPr>
        <w:pStyle w:val="3"/>
        <w:keepNext w:val="0"/>
        <w:keepLines w:val="0"/>
        <w:spacing w:line="360" w:lineRule="auto"/>
        <w:jc w:val="center"/>
        <w:rPr>
          <w:rFonts w:ascii="宋体" w:hAnsi="宋体" w:eastAsia="宋体" w:cs="宋体"/>
          <w:color w:val="auto"/>
          <w:highlight w:val="none"/>
        </w:rPr>
      </w:pPr>
      <w:bookmarkStart w:id="141" w:name="_Toc25981"/>
      <w:bookmarkStart w:id="142" w:name="_Toc525063255"/>
      <w:bookmarkStart w:id="143" w:name="_Toc31115"/>
      <w:bookmarkStart w:id="144" w:name="_Toc10395"/>
      <w:bookmarkStart w:id="145" w:name="_Toc5360"/>
      <w:bookmarkStart w:id="146" w:name="_Toc532367882"/>
      <w:bookmarkStart w:id="147" w:name="_Toc19559"/>
      <w:bookmarkStart w:id="148" w:name="_Toc30148"/>
      <w:bookmarkStart w:id="149" w:name="_Toc24355"/>
      <w:bookmarkStart w:id="150" w:name="_Toc2287"/>
      <w:r>
        <w:rPr>
          <w:rFonts w:hint="eastAsia" w:ascii="宋体" w:hAnsi="宋体" w:eastAsia="宋体" w:cs="宋体"/>
          <w:color w:val="auto"/>
          <w:highlight w:val="none"/>
        </w:rPr>
        <w:t>第三章  评标办法（综合评分法）</w:t>
      </w:r>
      <w:bookmarkEnd w:id="141"/>
    </w:p>
    <w:p w14:paraId="25D567E9">
      <w:pPr>
        <w:rPr>
          <w:rFonts w:hint="eastAsia" w:eastAsia="宋体" w:cs="Times New Roman"/>
          <w:color w:val="auto"/>
          <w:highlight w:val="none"/>
        </w:rPr>
      </w:pPr>
    </w:p>
    <w:p w14:paraId="0A1AC011">
      <w:pPr>
        <w:pStyle w:val="4"/>
        <w:keepNext w:val="0"/>
        <w:keepLines w:val="0"/>
        <w:spacing w:before="0" w:after="0" w:line="360" w:lineRule="auto"/>
        <w:jc w:val="center"/>
        <w:rPr>
          <w:rFonts w:hint="eastAsia" w:ascii="宋体" w:hAnsi="宋体" w:eastAsia="宋体" w:cs="宋体"/>
          <w:color w:val="auto"/>
          <w:sz w:val="36"/>
          <w:szCs w:val="36"/>
          <w:highlight w:val="none"/>
        </w:rPr>
      </w:pPr>
      <w:bookmarkStart w:id="151" w:name="_Toc26053"/>
      <w:r>
        <w:rPr>
          <w:rFonts w:hint="eastAsia" w:ascii="宋体" w:hAnsi="宋体" w:eastAsia="宋体" w:cs="宋体"/>
          <w:color w:val="auto"/>
          <w:sz w:val="36"/>
          <w:szCs w:val="36"/>
          <w:highlight w:val="none"/>
        </w:rPr>
        <w:t>评标办法前附表</w:t>
      </w:r>
      <w:bookmarkEnd w:id="142"/>
      <w:bookmarkEnd w:id="143"/>
      <w:bookmarkEnd w:id="144"/>
      <w:bookmarkEnd w:id="145"/>
      <w:bookmarkEnd w:id="146"/>
      <w:bookmarkEnd w:id="147"/>
      <w:bookmarkEnd w:id="148"/>
      <w:bookmarkEnd w:id="149"/>
      <w:bookmarkEnd w:id="150"/>
      <w:bookmarkEnd w:id="151"/>
    </w:p>
    <w:tbl>
      <w:tblPr>
        <w:tblStyle w:val="1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840"/>
        <w:gridCol w:w="30"/>
        <w:gridCol w:w="1408"/>
        <w:gridCol w:w="66"/>
        <w:gridCol w:w="5634"/>
      </w:tblGrid>
      <w:tr w14:paraId="63F05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23" w:type="pct"/>
            <w:gridSpan w:val="3"/>
            <w:tcBorders>
              <w:top w:val="single" w:color="auto" w:sz="4" w:space="0"/>
              <w:bottom w:val="single" w:color="auto" w:sz="4" w:space="0"/>
              <w:right w:val="single" w:color="auto" w:sz="4" w:space="0"/>
            </w:tcBorders>
            <w:noWrap w:val="0"/>
            <w:vAlign w:val="center"/>
          </w:tcPr>
          <w:p w14:paraId="7D634246">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4CEB691B">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4DF87861">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7D9E4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7" w:hRule="atLeast"/>
        </w:trPr>
        <w:tc>
          <w:tcPr>
            <w:tcW w:w="424" w:type="pct"/>
            <w:tcBorders>
              <w:top w:val="single" w:color="auto" w:sz="4" w:space="0"/>
              <w:left w:val="single" w:color="auto" w:sz="4" w:space="0"/>
              <w:bottom w:val="single" w:color="auto" w:sz="4" w:space="0"/>
              <w:right w:val="single" w:color="auto" w:sz="4" w:space="0"/>
            </w:tcBorders>
            <w:noWrap w:val="0"/>
            <w:vAlign w:val="center"/>
          </w:tcPr>
          <w:p w14:paraId="26113C8D">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98" w:type="pct"/>
            <w:gridSpan w:val="2"/>
            <w:tcBorders>
              <w:top w:val="single" w:color="auto" w:sz="4" w:space="0"/>
              <w:left w:val="single" w:color="auto" w:sz="4" w:space="0"/>
              <w:bottom w:val="single" w:color="auto" w:sz="4" w:space="0"/>
              <w:right w:val="single" w:color="auto" w:sz="4" w:space="0"/>
            </w:tcBorders>
            <w:noWrap w:val="0"/>
            <w:vAlign w:val="center"/>
          </w:tcPr>
          <w:p w14:paraId="650D657E">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1438791D">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11A0975F">
            <w:pPr>
              <w:spacing w:line="276"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投标人综合得分由高到低排序前3名作为第一、第二、第三中标候选人，但投标报价低于其成本的除外。投标人总得分相等时，以投标报价低的优先；投标报价也相等的，以检测监测技术方案得分高的优先；如果检测监测技术方案得分也相等，由评标委员会采用记名投票方式对其排序，记名投票的形式及排序依据（须书面列举排序依据）由评标委员会研定。</w:t>
            </w:r>
          </w:p>
        </w:tc>
      </w:tr>
      <w:tr w14:paraId="63D78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424" w:type="pct"/>
            <w:vMerge w:val="restart"/>
            <w:tcBorders>
              <w:top w:val="single" w:color="auto" w:sz="4" w:space="0"/>
              <w:right w:val="single" w:color="auto" w:sz="4" w:space="0"/>
            </w:tcBorders>
            <w:noWrap w:val="0"/>
            <w:vAlign w:val="center"/>
          </w:tcPr>
          <w:p w14:paraId="19F88C21">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498" w:type="pct"/>
            <w:gridSpan w:val="2"/>
            <w:vMerge w:val="restart"/>
            <w:tcBorders>
              <w:top w:val="single" w:color="auto" w:sz="4" w:space="0"/>
              <w:right w:val="single" w:color="auto" w:sz="4" w:space="0"/>
            </w:tcBorders>
            <w:noWrap w:val="0"/>
            <w:vAlign w:val="center"/>
          </w:tcPr>
          <w:p w14:paraId="6C8A96D3">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779FA636">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1261CBE6">
            <w:pPr>
              <w:spacing w:line="276"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与营业执照（或事业单位法人证书）、资质证书一致。</w:t>
            </w:r>
          </w:p>
        </w:tc>
      </w:tr>
      <w:tr w14:paraId="020A7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6" w:hRule="atLeast"/>
        </w:trPr>
        <w:tc>
          <w:tcPr>
            <w:tcW w:w="424" w:type="pct"/>
            <w:vMerge w:val="continue"/>
            <w:tcBorders>
              <w:right w:val="single" w:color="auto" w:sz="4" w:space="0"/>
            </w:tcBorders>
            <w:noWrap w:val="0"/>
            <w:vAlign w:val="center"/>
          </w:tcPr>
          <w:p w14:paraId="7BFCB17F">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right w:val="single" w:color="auto" w:sz="4" w:space="0"/>
            </w:tcBorders>
            <w:noWrap w:val="0"/>
            <w:vAlign w:val="center"/>
          </w:tcPr>
          <w:p w14:paraId="2FE4C297">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6BF12F49">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投标函及附录签字盖章</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2974A77E">
            <w:pPr>
              <w:spacing w:line="276"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投标函及附录格式及签字盖章符合招标文件要求，由法定代表人签字的，应附法定代表人证明书，由代理人签字的，应附法定代表人证明书及授权委托书。</w:t>
            </w:r>
          </w:p>
        </w:tc>
      </w:tr>
      <w:tr w14:paraId="49AE0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right w:val="single" w:color="auto" w:sz="4" w:space="0"/>
            </w:tcBorders>
            <w:noWrap w:val="0"/>
            <w:vAlign w:val="center"/>
          </w:tcPr>
          <w:p w14:paraId="5DCE948B">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right w:val="single" w:color="auto" w:sz="4" w:space="0"/>
            </w:tcBorders>
            <w:noWrap w:val="0"/>
            <w:vAlign w:val="center"/>
          </w:tcPr>
          <w:p w14:paraId="4E4A5587">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5EC2CF0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3D46F380">
            <w:pPr>
              <w:spacing w:line="276"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符合第六章“投标文件格式”的规定。</w:t>
            </w:r>
          </w:p>
        </w:tc>
      </w:tr>
      <w:tr w14:paraId="1385F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right w:val="single" w:color="auto" w:sz="4" w:space="0"/>
            </w:tcBorders>
            <w:noWrap w:val="0"/>
            <w:vAlign w:val="center"/>
          </w:tcPr>
          <w:p w14:paraId="14D7788A">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right w:val="single" w:color="auto" w:sz="4" w:space="0"/>
            </w:tcBorders>
            <w:noWrap w:val="0"/>
            <w:vAlign w:val="center"/>
          </w:tcPr>
          <w:p w14:paraId="66B650CE">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32B6158A">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28068D6D">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1.4.2 项规定</w:t>
            </w:r>
          </w:p>
        </w:tc>
      </w:tr>
      <w:tr w14:paraId="6898D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right w:val="single" w:color="auto" w:sz="4" w:space="0"/>
            </w:tcBorders>
            <w:noWrap w:val="0"/>
            <w:vAlign w:val="center"/>
          </w:tcPr>
          <w:p w14:paraId="36BFB9E1">
            <w:pPr>
              <w:spacing w:line="276" w:lineRule="auto"/>
              <w:rPr>
                <w:rFonts w:hint="eastAsia" w:ascii="宋体" w:hAnsi="宋体" w:eastAsia="宋体" w:cs="宋体"/>
                <w:color w:val="auto"/>
                <w:szCs w:val="21"/>
                <w:highlight w:val="none"/>
              </w:rPr>
            </w:pPr>
          </w:p>
        </w:tc>
        <w:tc>
          <w:tcPr>
            <w:tcW w:w="498" w:type="pct"/>
            <w:gridSpan w:val="2"/>
            <w:vMerge w:val="continue"/>
            <w:tcBorders>
              <w:right w:val="single" w:color="auto" w:sz="4" w:space="0"/>
            </w:tcBorders>
            <w:noWrap w:val="0"/>
            <w:vAlign w:val="center"/>
          </w:tcPr>
          <w:p w14:paraId="02A85276">
            <w:pPr>
              <w:spacing w:line="276" w:lineRule="auto"/>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5A2187D6">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备选投标方案</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06FB62DB">
            <w:pPr>
              <w:spacing w:line="276"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不允许。</w:t>
            </w:r>
          </w:p>
        </w:tc>
      </w:tr>
      <w:tr w14:paraId="7327C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bottom w:val="single" w:color="auto" w:sz="4" w:space="0"/>
              <w:right w:val="single" w:color="auto" w:sz="4" w:space="0"/>
            </w:tcBorders>
            <w:noWrap w:val="0"/>
            <w:vAlign w:val="center"/>
          </w:tcPr>
          <w:p w14:paraId="0B5D8276">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right w:val="single" w:color="auto" w:sz="4" w:space="0"/>
            </w:tcBorders>
            <w:noWrap w:val="0"/>
            <w:vAlign w:val="center"/>
          </w:tcPr>
          <w:p w14:paraId="79F867DA">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6430644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投标人机器码</w:t>
            </w:r>
          </w:p>
        </w:tc>
        <w:tc>
          <w:tcPr>
            <w:tcW w:w="3230" w:type="pct"/>
            <w:tcBorders>
              <w:top w:val="single" w:color="auto" w:sz="4" w:space="0"/>
              <w:left w:val="single" w:color="auto" w:sz="4" w:space="0"/>
              <w:bottom w:val="single" w:color="auto" w:sz="4" w:space="0"/>
              <w:right w:val="single" w:color="auto" w:sz="4" w:space="0"/>
            </w:tcBorders>
            <w:noWrap w:val="0"/>
            <w:vAlign w:val="top"/>
          </w:tcPr>
          <w:p w14:paraId="657114D7">
            <w:pPr>
              <w:spacing w:line="276" w:lineRule="auto"/>
              <w:jc w:val="left"/>
              <w:rPr>
                <w:rFonts w:hint="eastAsia" w:ascii="宋体" w:hAnsi="宋体" w:eastAsia="宋体" w:cs="宋体"/>
                <w:color w:val="auto"/>
                <w:szCs w:val="21"/>
                <w:highlight w:val="none"/>
              </w:rPr>
            </w:pPr>
            <w:r>
              <w:rPr>
                <w:rFonts w:ascii="宋体" w:hAnsi="宋体" w:eastAsia="宋体" w:cs="宋体"/>
                <w:color w:val="auto"/>
                <w:spacing w:val="6"/>
                <w:szCs w:val="21"/>
                <w:highlight w:val="none"/>
              </w:rPr>
              <w:t>投</w:t>
            </w:r>
            <w:r>
              <w:rPr>
                <w:rFonts w:ascii="宋体" w:hAnsi="宋体" w:eastAsia="宋体" w:cs="宋体"/>
                <w:color w:val="auto"/>
                <w:spacing w:val="5"/>
                <w:szCs w:val="21"/>
                <w:highlight w:val="none"/>
              </w:rPr>
              <w:t>标人与其他投标人加密打包投标文件电脑机器特征码一致</w:t>
            </w:r>
            <w:r>
              <w:rPr>
                <w:rFonts w:ascii="宋体" w:hAnsi="宋体" w:eastAsia="宋体" w:cs="宋体"/>
                <w:color w:val="auto"/>
                <w:spacing w:val="-1"/>
                <w:szCs w:val="21"/>
                <w:highlight w:val="none"/>
              </w:rPr>
              <w:t>的</w:t>
            </w:r>
            <w:r>
              <w:rPr>
                <w:rFonts w:hint="eastAsia" w:ascii="Times New Roman" w:hAnsi="Times New Roman" w:eastAsia="宋体" w:cs="Times New Roman"/>
                <w:color w:val="auto"/>
                <w:spacing w:val="-1"/>
                <w:szCs w:val="21"/>
                <w:highlight w:val="none"/>
              </w:rPr>
              <w:t>（</w:t>
            </w:r>
            <w:r>
              <w:rPr>
                <w:rFonts w:ascii="宋体" w:hAnsi="宋体" w:eastAsia="宋体" w:cs="宋体"/>
                <w:color w:val="auto"/>
                <w:spacing w:val="-1"/>
                <w:szCs w:val="21"/>
                <w:highlight w:val="none"/>
              </w:rPr>
              <w:t>以广州公共资源交</w:t>
            </w:r>
            <w:r>
              <w:rPr>
                <w:rFonts w:ascii="宋体" w:hAnsi="宋体" w:eastAsia="宋体" w:cs="宋体"/>
                <w:color w:val="auto"/>
                <w:szCs w:val="21"/>
                <w:highlight w:val="none"/>
              </w:rPr>
              <w:t>易中心评标系统的检索信息为准</w:t>
            </w:r>
            <w:r>
              <w:rPr>
                <w:rFonts w:hint="eastAsia" w:ascii="Times New Roman" w:hAnsi="Times New Roman" w:eastAsia="宋体" w:cs="Times New Roman"/>
                <w:color w:val="auto"/>
                <w:spacing w:val="-1"/>
                <w:szCs w:val="21"/>
                <w:highlight w:val="none"/>
              </w:rPr>
              <w:t>）</w:t>
            </w:r>
            <w:r>
              <w:rPr>
                <w:rFonts w:ascii="宋体" w:hAnsi="宋体" w:eastAsia="宋体" w:cs="宋体"/>
                <w:color w:val="auto"/>
                <w:szCs w:val="21"/>
                <w:highlight w:val="none"/>
              </w:rPr>
              <w:t>将被否</w:t>
            </w:r>
            <w:r>
              <w:rPr>
                <w:rFonts w:ascii="宋体" w:hAnsi="宋体" w:eastAsia="宋体" w:cs="宋体"/>
                <w:color w:val="auto"/>
                <w:spacing w:val="-12"/>
                <w:szCs w:val="21"/>
                <w:highlight w:val="none"/>
              </w:rPr>
              <w:t>决</w:t>
            </w:r>
            <w:r>
              <w:rPr>
                <w:rFonts w:ascii="宋体" w:hAnsi="宋体" w:eastAsia="宋体" w:cs="宋体"/>
                <w:color w:val="auto"/>
                <w:spacing w:val="-10"/>
                <w:szCs w:val="21"/>
                <w:highlight w:val="none"/>
              </w:rPr>
              <w:t>。</w:t>
            </w:r>
          </w:p>
        </w:tc>
      </w:tr>
      <w:tr w14:paraId="192E8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4" w:hRule="atLeast"/>
        </w:trPr>
        <w:tc>
          <w:tcPr>
            <w:tcW w:w="424" w:type="pct"/>
            <w:vMerge w:val="restart"/>
            <w:tcBorders>
              <w:top w:val="single" w:color="auto" w:sz="4" w:space="0"/>
              <w:bottom w:val="single" w:color="auto" w:sz="4" w:space="0"/>
              <w:right w:val="single" w:color="auto" w:sz="4" w:space="0"/>
            </w:tcBorders>
            <w:noWrap w:val="0"/>
            <w:vAlign w:val="center"/>
          </w:tcPr>
          <w:p w14:paraId="61C7C789">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49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30EFB226">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79366FEB">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r>
              <w:rPr>
                <w:rFonts w:hint="eastAsia" w:ascii="宋体" w:hAnsi="宋体" w:eastAsia="宋体" w:cs="宋体"/>
                <w:color w:val="auto"/>
                <w:szCs w:val="21"/>
                <w:highlight w:val="none"/>
                <w:u w:val="single"/>
              </w:rPr>
              <w:t>（或事业单位法人证书）</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74A9F2BB">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符合第二章“投标人须知”第3.5.1项规定。</w:t>
            </w:r>
          </w:p>
        </w:tc>
      </w:tr>
      <w:tr w14:paraId="46808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top w:val="single" w:color="auto" w:sz="4" w:space="0"/>
              <w:bottom w:val="single" w:color="auto" w:sz="4" w:space="0"/>
              <w:right w:val="single" w:color="auto" w:sz="4" w:space="0"/>
            </w:tcBorders>
            <w:noWrap w:val="0"/>
            <w:vAlign w:val="center"/>
          </w:tcPr>
          <w:p w14:paraId="6FA3FF5B">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D0A329F">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5A061F71">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41D13A02">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5DDA8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top w:val="single" w:color="auto" w:sz="4" w:space="0"/>
              <w:bottom w:val="single" w:color="auto" w:sz="4" w:space="0"/>
              <w:right w:val="single" w:color="auto" w:sz="4" w:space="0"/>
            </w:tcBorders>
            <w:noWrap w:val="0"/>
            <w:vAlign w:val="center"/>
          </w:tcPr>
          <w:p w14:paraId="6B5620FB">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7FE656F">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107C9C3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431ACA0F">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210BF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424" w:type="pct"/>
            <w:vMerge w:val="continue"/>
            <w:tcBorders>
              <w:top w:val="single" w:color="auto" w:sz="4" w:space="0"/>
              <w:bottom w:val="single" w:color="auto" w:sz="4" w:space="0"/>
              <w:right w:val="single" w:color="auto" w:sz="4" w:space="0"/>
            </w:tcBorders>
            <w:noWrap w:val="0"/>
            <w:vAlign w:val="center"/>
          </w:tcPr>
          <w:p w14:paraId="03A36E77">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69E13D2">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68DCA99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75151AFC">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4219B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4" w:hRule="atLeast"/>
        </w:trPr>
        <w:tc>
          <w:tcPr>
            <w:tcW w:w="424" w:type="pct"/>
            <w:vMerge w:val="continue"/>
            <w:tcBorders>
              <w:top w:val="single" w:color="auto" w:sz="4" w:space="0"/>
              <w:bottom w:val="single" w:color="auto" w:sz="4" w:space="0"/>
              <w:right w:val="single" w:color="auto" w:sz="4" w:space="0"/>
            </w:tcBorders>
            <w:noWrap w:val="0"/>
            <w:vAlign w:val="center"/>
          </w:tcPr>
          <w:p w14:paraId="5F30EE14">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981A64D">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14733B4A">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2FA942CC">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符合第二章“投标人须知”第1.4.2项规定。</w:t>
            </w:r>
          </w:p>
        </w:tc>
      </w:tr>
      <w:tr w14:paraId="67662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top w:val="single" w:color="auto" w:sz="4" w:space="0"/>
              <w:bottom w:val="single" w:color="auto" w:sz="4" w:space="0"/>
              <w:right w:val="single" w:color="auto" w:sz="4" w:space="0"/>
            </w:tcBorders>
            <w:noWrap w:val="0"/>
            <w:vAlign w:val="center"/>
          </w:tcPr>
          <w:p w14:paraId="289DA87E">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78E0EBB">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1745D0E6">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不存在禁止投标的情形</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4577667C">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不存在第二章“投标人须知”第 1.4.3 项规定的任何一种情形（以《投标申请人声明》为准）</w:t>
            </w:r>
          </w:p>
        </w:tc>
      </w:tr>
      <w:tr w14:paraId="09911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trPr>
        <w:tc>
          <w:tcPr>
            <w:tcW w:w="424" w:type="pct"/>
            <w:vMerge w:val="restart"/>
            <w:tcBorders>
              <w:top w:val="single" w:color="auto" w:sz="4" w:space="0"/>
              <w:right w:val="single" w:color="auto" w:sz="4" w:space="0"/>
            </w:tcBorders>
            <w:noWrap w:val="0"/>
            <w:vAlign w:val="center"/>
          </w:tcPr>
          <w:p w14:paraId="4C611AAE">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498" w:type="pct"/>
            <w:gridSpan w:val="2"/>
            <w:vMerge w:val="restart"/>
            <w:tcBorders>
              <w:top w:val="single" w:color="auto" w:sz="4" w:space="0"/>
              <w:left w:val="single" w:color="auto" w:sz="4" w:space="0"/>
              <w:right w:val="single" w:color="auto" w:sz="4" w:space="0"/>
            </w:tcBorders>
            <w:noWrap w:val="0"/>
            <w:vAlign w:val="center"/>
          </w:tcPr>
          <w:p w14:paraId="06B73833">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845" w:type="pct"/>
            <w:gridSpan w:val="2"/>
            <w:tcBorders>
              <w:top w:val="single" w:color="auto" w:sz="4" w:space="0"/>
              <w:left w:val="single" w:color="auto" w:sz="4" w:space="0"/>
              <w:right w:val="single" w:color="auto" w:sz="4" w:space="0"/>
            </w:tcBorders>
            <w:noWrap w:val="0"/>
            <w:vAlign w:val="center"/>
          </w:tcPr>
          <w:p w14:paraId="4CAD1C67">
            <w:pPr>
              <w:spacing w:line="276" w:lineRule="auto"/>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投标总报价</w:t>
            </w:r>
          </w:p>
        </w:tc>
        <w:tc>
          <w:tcPr>
            <w:tcW w:w="3230" w:type="pct"/>
            <w:tcBorders>
              <w:top w:val="single" w:color="auto" w:sz="4" w:space="0"/>
              <w:left w:val="single" w:color="auto" w:sz="4" w:space="0"/>
            </w:tcBorders>
            <w:noWrap w:val="0"/>
            <w:vAlign w:val="center"/>
          </w:tcPr>
          <w:p w14:paraId="70C5586C">
            <w:pPr>
              <w:spacing w:line="276" w:lineRule="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符合第二章“投标人须知”第3.2款规定进行投标报价；</w:t>
            </w:r>
          </w:p>
        </w:tc>
      </w:tr>
      <w:tr w14:paraId="7E483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4" w:hRule="atLeast"/>
        </w:trPr>
        <w:tc>
          <w:tcPr>
            <w:tcW w:w="424" w:type="pct"/>
            <w:vMerge w:val="continue"/>
            <w:tcBorders>
              <w:right w:val="single" w:color="auto" w:sz="4" w:space="0"/>
            </w:tcBorders>
            <w:noWrap w:val="0"/>
            <w:vAlign w:val="center"/>
          </w:tcPr>
          <w:p w14:paraId="526EE637">
            <w:pPr>
              <w:keepNext/>
              <w:keepLines/>
              <w:spacing w:line="276" w:lineRule="auto"/>
              <w:jc w:val="center"/>
              <w:outlineLvl w:val="2"/>
              <w:rPr>
                <w:rFonts w:hint="eastAsia" w:ascii="宋体" w:hAnsi="宋体" w:eastAsia="宋体" w:cs="宋体"/>
                <w:color w:val="auto"/>
                <w:szCs w:val="21"/>
                <w:highlight w:val="none"/>
              </w:rPr>
            </w:pPr>
          </w:p>
        </w:tc>
        <w:tc>
          <w:tcPr>
            <w:tcW w:w="498" w:type="pct"/>
            <w:gridSpan w:val="2"/>
            <w:vMerge w:val="continue"/>
            <w:tcBorders>
              <w:left w:val="single" w:color="auto" w:sz="4" w:space="0"/>
              <w:right w:val="single" w:color="auto" w:sz="4" w:space="0"/>
            </w:tcBorders>
            <w:noWrap w:val="0"/>
            <w:vAlign w:val="center"/>
          </w:tcPr>
          <w:p w14:paraId="55343190">
            <w:pPr>
              <w:keepNext/>
              <w:keepLines/>
              <w:spacing w:line="276" w:lineRule="auto"/>
              <w:jc w:val="center"/>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1532B9E7">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3230" w:type="pct"/>
            <w:tcBorders>
              <w:top w:val="single" w:color="auto" w:sz="4" w:space="0"/>
              <w:left w:val="single" w:color="auto" w:sz="4" w:space="0"/>
              <w:bottom w:val="single" w:color="auto" w:sz="4" w:space="0"/>
            </w:tcBorders>
            <w:noWrap w:val="0"/>
            <w:vAlign w:val="center"/>
          </w:tcPr>
          <w:p w14:paraId="623D130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1.3.1项规定；</w:t>
            </w:r>
            <w:r>
              <w:rPr>
                <w:rFonts w:hint="eastAsia" w:ascii="宋体" w:hAnsi="宋体" w:eastAsia="宋体" w:cs="宋体"/>
                <w:color w:val="auto"/>
                <w:szCs w:val="21"/>
                <w:highlight w:val="none"/>
                <w:u w:val="single"/>
              </w:rPr>
              <w:t>投标文件按规定的格式填写，内容齐全或关键字迹清晰、容易辩认；</w:t>
            </w:r>
          </w:p>
        </w:tc>
      </w:tr>
      <w:tr w14:paraId="69EAC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trPr>
        <w:tc>
          <w:tcPr>
            <w:tcW w:w="424" w:type="pct"/>
            <w:vMerge w:val="continue"/>
            <w:tcBorders>
              <w:right w:val="single" w:color="auto" w:sz="4" w:space="0"/>
            </w:tcBorders>
            <w:noWrap w:val="0"/>
            <w:vAlign w:val="center"/>
          </w:tcPr>
          <w:p w14:paraId="08606E6B">
            <w:pPr>
              <w:spacing w:line="276" w:lineRule="auto"/>
              <w:jc w:val="center"/>
              <w:rPr>
                <w:rFonts w:hint="eastAsia" w:ascii="宋体" w:hAnsi="宋体" w:eastAsia="宋体" w:cs="宋体"/>
                <w:color w:val="auto"/>
                <w:szCs w:val="21"/>
                <w:highlight w:val="none"/>
              </w:rPr>
            </w:pPr>
          </w:p>
        </w:tc>
        <w:tc>
          <w:tcPr>
            <w:tcW w:w="498" w:type="pct"/>
            <w:gridSpan w:val="2"/>
            <w:vMerge w:val="continue"/>
            <w:tcBorders>
              <w:left w:val="single" w:color="auto" w:sz="4" w:space="0"/>
              <w:right w:val="single" w:color="auto" w:sz="4" w:space="0"/>
            </w:tcBorders>
            <w:noWrap w:val="0"/>
            <w:vAlign w:val="center"/>
          </w:tcPr>
          <w:p w14:paraId="0A73F381">
            <w:pPr>
              <w:spacing w:line="276" w:lineRule="auto"/>
              <w:jc w:val="center"/>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1640B490">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3230" w:type="pct"/>
            <w:tcBorders>
              <w:top w:val="single" w:color="auto" w:sz="4" w:space="0"/>
              <w:left w:val="single" w:color="auto" w:sz="4" w:space="0"/>
              <w:bottom w:val="single" w:color="auto" w:sz="4" w:space="0"/>
            </w:tcBorders>
            <w:noWrap w:val="0"/>
            <w:vAlign w:val="center"/>
          </w:tcPr>
          <w:p w14:paraId="607ED3DB">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符合第二章“投标人须知前附表”第1.3.2项规定</w:t>
            </w:r>
          </w:p>
        </w:tc>
      </w:tr>
      <w:tr w14:paraId="2B49A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424" w:type="pct"/>
            <w:vMerge w:val="continue"/>
            <w:tcBorders>
              <w:right w:val="single" w:color="auto" w:sz="4" w:space="0"/>
            </w:tcBorders>
            <w:noWrap w:val="0"/>
            <w:vAlign w:val="center"/>
          </w:tcPr>
          <w:p w14:paraId="2283BB48">
            <w:pPr>
              <w:keepNext/>
              <w:keepLines/>
              <w:spacing w:line="276" w:lineRule="auto"/>
              <w:jc w:val="center"/>
              <w:outlineLvl w:val="2"/>
              <w:rPr>
                <w:rFonts w:hint="eastAsia" w:ascii="宋体" w:hAnsi="宋体" w:eastAsia="宋体" w:cs="宋体"/>
                <w:color w:val="auto"/>
                <w:szCs w:val="21"/>
                <w:highlight w:val="none"/>
              </w:rPr>
            </w:pPr>
          </w:p>
        </w:tc>
        <w:tc>
          <w:tcPr>
            <w:tcW w:w="498" w:type="pct"/>
            <w:gridSpan w:val="2"/>
            <w:vMerge w:val="continue"/>
            <w:tcBorders>
              <w:left w:val="single" w:color="auto" w:sz="4" w:space="0"/>
              <w:right w:val="single" w:color="auto" w:sz="4" w:space="0"/>
            </w:tcBorders>
            <w:noWrap w:val="0"/>
            <w:vAlign w:val="center"/>
          </w:tcPr>
          <w:p w14:paraId="7FB7EF1C">
            <w:pPr>
              <w:keepNext/>
              <w:keepLines/>
              <w:spacing w:line="276" w:lineRule="auto"/>
              <w:jc w:val="center"/>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22A581E0">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230" w:type="pct"/>
            <w:tcBorders>
              <w:top w:val="single" w:color="auto" w:sz="4" w:space="0"/>
              <w:left w:val="single" w:color="auto" w:sz="4" w:space="0"/>
              <w:bottom w:val="single" w:color="auto" w:sz="4" w:space="0"/>
            </w:tcBorders>
            <w:noWrap w:val="0"/>
            <w:vAlign w:val="center"/>
          </w:tcPr>
          <w:p w14:paraId="050B603E">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符合第二章“投标人须知前附表”第 1.3.3 项规定</w:t>
            </w:r>
          </w:p>
        </w:tc>
      </w:tr>
      <w:tr w14:paraId="264DD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424" w:type="pct"/>
            <w:vMerge w:val="continue"/>
            <w:tcBorders>
              <w:right w:val="single" w:color="auto" w:sz="4" w:space="0"/>
            </w:tcBorders>
            <w:noWrap w:val="0"/>
            <w:vAlign w:val="center"/>
          </w:tcPr>
          <w:p w14:paraId="23887247">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left w:val="single" w:color="auto" w:sz="4" w:space="0"/>
              <w:right w:val="single" w:color="auto" w:sz="4" w:space="0"/>
            </w:tcBorders>
            <w:noWrap w:val="0"/>
            <w:vAlign w:val="center"/>
          </w:tcPr>
          <w:p w14:paraId="01F5E64C">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26B0FCEE">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230" w:type="pct"/>
            <w:tcBorders>
              <w:top w:val="single" w:color="auto" w:sz="4" w:space="0"/>
              <w:left w:val="single" w:color="auto" w:sz="4" w:space="0"/>
              <w:bottom w:val="single" w:color="auto" w:sz="4" w:space="0"/>
            </w:tcBorders>
            <w:noWrap w:val="0"/>
            <w:vAlign w:val="center"/>
          </w:tcPr>
          <w:p w14:paraId="1DF32161">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符合第二章“投标人须知前附表”第 3.3.1 项规定</w:t>
            </w:r>
          </w:p>
        </w:tc>
      </w:tr>
      <w:tr w14:paraId="43F56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 w:hRule="atLeast"/>
        </w:trPr>
        <w:tc>
          <w:tcPr>
            <w:tcW w:w="424" w:type="pct"/>
            <w:vMerge w:val="continue"/>
            <w:tcBorders>
              <w:right w:val="single" w:color="auto" w:sz="4" w:space="0"/>
            </w:tcBorders>
            <w:noWrap w:val="0"/>
            <w:vAlign w:val="center"/>
          </w:tcPr>
          <w:p w14:paraId="0DD463EE">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left w:val="single" w:color="auto" w:sz="4" w:space="0"/>
              <w:right w:val="single" w:color="auto" w:sz="4" w:space="0"/>
            </w:tcBorders>
            <w:noWrap w:val="0"/>
            <w:vAlign w:val="center"/>
          </w:tcPr>
          <w:p w14:paraId="4114F8A4">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top"/>
          </w:tcPr>
          <w:p w14:paraId="32BA6B2C">
            <w:pPr>
              <w:spacing w:line="276" w:lineRule="auto"/>
              <w:jc w:val="center"/>
              <w:rPr>
                <w:rFonts w:hint="eastAsia" w:ascii="宋体" w:hAnsi="宋体" w:eastAsia="宋体" w:cs="宋体"/>
                <w:color w:val="auto"/>
                <w:szCs w:val="21"/>
                <w:highlight w:val="none"/>
              </w:rPr>
            </w:pPr>
            <w:r>
              <w:rPr>
                <w:rFonts w:ascii="宋体" w:hAnsi="宋体" w:eastAsia="宋体" w:cs="Times New Roman"/>
                <w:color w:val="auto"/>
                <w:highlight w:val="none"/>
              </w:rPr>
              <w:t>投标保证金</w:t>
            </w:r>
          </w:p>
        </w:tc>
        <w:tc>
          <w:tcPr>
            <w:tcW w:w="3230" w:type="pct"/>
            <w:tcBorders>
              <w:top w:val="single" w:color="auto" w:sz="4" w:space="0"/>
              <w:left w:val="single" w:color="auto" w:sz="4" w:space="0"/>
              <w:bottom w:val="single" w:color="auto" w:sz="4" w:space="0"/>
            </w:tcBorders>
            <w:noWrap w:val="0"/>
            <w:vAlign w:val="top"/>
          </w:tcPr>
          <w:p w14:paraId="2B56CF65">
            <w:pPr>
              <w:spacing w:line="276" w:lineRule="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按规定的格式及内容要求签署《关于投标保证金的承诺》</w:t>
            </w:r>
          </w:p>
        </w:tc>
      </w:tr>
      <w:tr w14:paraId="04EF4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trPr>
        <w:tc>
          <w:tcPr>
            <w:tcW w:w="424" w:type="pct"/>
            <w:vMerge w:val="continue"/>
            <w:tcBorders>
              <w:bottom w:val="single" w:color="auto" w:sz="4" w:space="0"/>
              <w:right w:val="single" w:color="auto" w:sz="4" w:space="0"/>
            </w:tcBorders>
            <w:noWrap w:val="0"/>
            <w:vAlign w:val="center"/>
          </w:tcPr>
          <w:p w14:paraId="4C1178B2">
            <w:pPr>
              <w:keepNext/>
              <w:keepLines/>
              <w:spacing w:line="276" w:lineRule="auto"/>
              <w:outlineLvl w:val="2"/>
              <w:rPr>
                <w:rFonts w:hint="eastAsia" w:ascii="宋体" w:hAnsi="宋体" w:eastAsia="宋体" w:cs="宋体"/>
                <w:color w:val="auto"/>
                <w:szCs w:val="21"/>
                <w:highlight w:val="none"/>
              </w:rPr>
            </w:pPr>
          </w:p>
        </w:tc>
        <w:tc>
          <w:tcPr>
            <w:tcW w:w="498" w:type="pct"/>
            <w:gridSpan w:val="2"/>
            <w:vMerge w:val="continue"/>
            <w:tcBorders>
              <w:left w:val="single" w:color="auto" w:sz="4" w:space="0"/>
              <w:bottom w:val="single" w:color="auto" w:sz="4" w:space="0"/>
              <w:right w:val="single" w:color="auto" w:sz="4" w:space="0"/>
            </w:tcBorders>
            <w:noWrap w:val="0"/>
            <w:vAlign w:val="center"/>
          </w:tcPr>
          <w:p w14:paraId="0E23851E">
            <w:pPr>
              <w:keepNext/>
              <w:keepLines/>
              <w:spacing w:line="276" w:lineRule="auto"/>
              <w:outlineLvl w:val="2"/>
              <w:rPr>
                <w:rFonts w:hint="eastAsia" w:ascii="宋体" w:hAnsi="宋体" w:eastAsia="宋体" w:cs="宋体"/>
                <w:color w:val="auto"/>
                <w:szCs w:val="21"/>
                <w:highlight w:val="none"/>
              </w:rPr>
            </w:pP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5AA8E19B">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串通投标情形</w:t>
            </w:r>
          </w:p>
        </w:tc>
        <w:tc>
          <w:tcPr>
            <w:tcW w:w="3230" w:type="pct"/>
            <w:tcBorders>
              <w:top w:val="single" w:color="auto" w:sz="4" w:space="0"/>
              <w:left w:val="single" w:color="auto" w:sz="4" w:space="0"/>
              <w:bottom w:val="single" w:color="auto" w:sz="4" w:space="0"/>
            </w:tcBorders>
            <w:noWrap w:val="0"/>
            <w:vAlign w:val="center"/>
          </w:tcPr>
          <w:p w14:paraId="279C9EBA">
            <w:pPr>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投标人之间不存在《广东省实施&lt;中华人民共和国招标投标法&gt;办法》第十六条所禁止的情形的</w:t>
            </w:r>
            <w:r>
              <w:rPr>
                <w:rFonts w:hint="eastAsia" w:ascii="宋体" w:hAnsi="宋体" w:cs="宋体"/>
                <w:color w:val="auto"/>
                <w:szCs w:val="21"/>
                <w:highlight w:val="none"/>
                <w:u w:val="single"/>
                <w:lang w:eastAsia="zh-CN"/>
              </w:rPr>
              <w:t>；</w:t>
            </w:r>
          </w:p>
        </w:tc>
      </w:tr>
      <w:tr w14:paraId="5BCAF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923" w:type="pct"/>
            <w:gridSpan w:val="3"/>
            <w:tcBorders>
              <w:top w:val="single" w:color="auto" w:sz="4" w:space="0"/>
              <w:bottom w:val="single" w:color="auto" w:sz="4" w:space="0"/>
              <w:right w:val="single" w:color="auto" w:sz="4" w:space="0"/>
            </w:tcBorders>
            <w:noWrap w:val="0"/>
            <w:vAlign w:val="center"/>
          </w:tcPr>
          <w:p w14:paraId="2808A431">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64E14C49">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4D2087C2">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3E534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923" w:type="pct"/>
            <w:gridSpan w:val="3"/>
            <w:tcBorders>
              <w:bottom w:val="single" w:color="auto" w:sz="4" w:space="0"/>
              <w:right w:val="single" w:color="auto" w:sz="4" w:space="0"/>
            </w:tcBorders>
            <w:noWrap w:val="0"/>
            <w:vAlign w:val="center"/>
          </w:tcPr>
          <w:p w14:paraId="480EB9D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2A10467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5E0C6F52">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66356C3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A资信业绩部分：65分</w:t>
            </w:r>
          </w:p>
          <w:p w14:paraId="1A1BF0F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B检测监测方案：25分</w:t>
            </w:r>
          </w:p>
          <w:p w14:paraId="124D50F7">
            <w:pPr>
              <w:rPr>
                <w:rFonts w:ascii="宋体" w:hAnsi="宋体" w:eastAsia="宋体" w:cs="宋体"/>
                <w:color w:val="auto"/>
                <w:szCs w:val="21"/>
                <w:highlight w:val="none"/>
              </w:rPr>
            </w:pPr>
            <w:r>
              <w:rPr>
                <w:rFonts w:hint="eastAsia" w:ascii="宋体" w:hAnsi="宋体" w:eastAsia="宋体" w:cs="宋体"/>
                <w:color w:val="auto"/>
                <w:szCs w:val="21"/>
                <w:highlight w:val="none"/>
              </w:rPr>
              <w:t>C投标报价：10分</w:t>
            </w:r>
          </w:p>
          <w:p w14:paraId="797CE740">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投标人总得分=A+B+C投标人总得分=A+B+C，A、B、C得分为各评委的评分汇总后去掉一个最高分和一个最低分后计取的算术平均分。分数出现小数点时，保留小数点后二位，第三位小数四舍五入）；</w:t>
            </w:r>
          </w:p>
        </w:tc>
      </w:tr>
      <w:tr w14:paraId="541BC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3" w:hRule="atLeast"/>
        </w:trPr>
        <w:tc>
          <w:tcPr>
            <w:tcW w:w="923" w:type="pct"/>
            <w:gridSpan w:val="3"/>
            <w:tcBorders>
              <w:top w:val="single" w:color="auto" w:sz="4" w:space="0"/>
              <w:bottom w:val="single" w:color="auto" w:sz="4" w:space="0"/>
              <w:right w:val="single" w:color="auto" w:sz="4" w:space="0"/>
            </w:tcBorders>
            <w:noWrap w:val="0"/>
            <w:vAlign w:val="center"/>
          </w:tcPr>
          <w:p w14:paraId="1C4EDF5D">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760CE21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0E5E73AF">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通过初步评审且经算术校核投标总报价位于[投标总报价最高投标限价×90%,投标总报价最高投标限价]区间的投标人家数N≥5时，去掉该区间一个最高价和一个最低价后，取该区间余下有效投标人(指通过初步评审的投标人)的投标总报价的算术平均值为评标基准价。当通过初步评审且经算术校核投标总报价位于[投标总报价最高投标限价×90%,投标总报价最高投标限价]区间的投标人家数N&lt;5时，取该区间所有有效投标人(指通过初步评审的投标人)的投标总报价的算术平均值为评标基准价。评标基准价保留到小数点后两位，第三位四舍五入。当通过初步评审且经算术校核投标总报价位于[投标总报价最高投标限价×90%,投标总报价最高投标限价]区间的投标人家数N=0时，由招标人依法重新招标。</w:t>
            </w:r>
          </w:p>
        </w:tc>
      </w:tr>
      <w:tr w14:paraId="6F3A6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3" w:type="pct"/>
            <w:gridSpan w:val="3"/>
            <w:tcBorders>
              <w:top w:val="single" w:color="auto" w:sz="4" w:space="0"/>
              <w:bottom w:val="single" w:color="auto" w:sz="4" w:space="0"/>
              <w:right w:val="single" w:color="auto" w:sz="4" w:space="0"/>
            </w:tcBorders>
            <w:noWrap w:val="0"/>
            <w:vAlign w:val="center"/>
          </w:tcPr>
          <w:p w14:paraId="3CC8AD0A">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845" w:type="pct"/>
            <w:gridSpan w:val="2"/>
            <w:tcBorders>
              <w:top w:val="single" w:color="auto" w:sz="4" w:space="0"/>
              <w:left w:val="single" w:color="auto" w:sz="4" w:space="0"/>
              <w:bottom w:val="single" w:color="auto" w:sz="4" w:space="0"/>
              <w:right w:val="single" w:color="auto" w:sz="4" w:space="0"/>
            </w:tcBorders>
            <w:noWrap w:val="0"/>
            <w:vAlign w:val="center"/>
          </w:tcPr>
          <w:p w14:paraId="7823DE03">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投标报价的偏差率计算公式</w:t>
            </w:r>
          </w:p>
        </w:tc>
        <w:tc>
          <w:tcPr>
            <w:tcW w:w="3230" w:type="pct"/>
            <w:tcBorders>
              <w:top w:val="single" w:color="auto" w:sz="4" w:space="0"/>
              <w:left w:val="single" w:color="auto" w:sz="4" w:space="0"/>
              <w:bottom w:val="single" w:color="auto" w:sz="4" w:space="0"/>
              <w:right w:val="single" w:color="auto" w:sz="4" w:space="0"/>
            </w:tcBorders>
            <w:noWrap w:val="0"/>
            <w:vAlign w:val="center"/>
          </w:tcPr>
          <w:p w14:paraId="1CC2CFA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偏差率=∣投标总报价—评标基准价∣/评标基准价*100%（偏差率四舍五入保留2位小数）</w:t>
            </w:r>
          </w:p>
        </w:tc>
      </w:tr>
      <w:tr w14:paraId="23F6C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24" w:type="pct"/>
            <w:vMerge w:val="restart"/>
            <w:tcBorders>
              <w:top w:val="single" w:color="auto" w:sz="4" w:space="0"/>
              <w:right w:val="single" w:color="auto" w:sz="4" w:space="0"/>
            </w:tcBorders>
            <w:noWrap w:val="0"/>
            <w:vAlign w:val="center"/>
          </w:tcPr>
          <w:p w14:paraId="4B726BB0">
            <w:pPr>
              <w:spacing w:line="276" w:lineRule="auto"/>
              <w:jc w:val="center"/>
              <w:rPr>
                <w:rFonts w:hint="eastAsia" w:ascii="宋体" w:hAnsi="宋体" w:eastAsia="宋体" w:cs="宋体"/>
                <w:color w:val="auto"/>
                <w:szCs w:val="21"/>
                <w:highlight w:val="none"/>
              </w:rPr>
            </w:pPr>
            <w:bookmarkStart w:id="152" w:name="_Toc525063256"/>
            <w:bookmarkStart w:id="153" w:name="_Toc25831"/>
            <w:bookmarkStart w:id="154" w:name="_Toc16761"/>
            <w:bookmarkStart w:id="155" w:name="_Toc27844"/>
            <w:bookmarkStart w:id="156" w:name="_Toc6317"/>
            <w:bookmarkStart w:id="157" w:name="_Toc532367883"/>
            <w:bookmarkStart w:id="158" w:name="_Toc26875"/>
            <w:bookmarkStart w:id="159" w:name="_Toc28853"/>
            <w:bookmarkStart w:id="160" w:name="_Toc12458"/>
            <w:r>
              <w:rPr>
                <w:rFonts w:hint="eastAsia" w:ascii="宋体" w:hAnsi="宋体" w:eastAsia="宋体" w:cs="宋体"/>
                <w:color w:val="auto"/>
                <w:szCs w:val="21"/>
                <w:highlight w:val="none"/>
              </w:rPr>
              <w:t>2.2.4</w:t>
            </w:r>
          </w:p>
          <w:p w14:paraId="33D047F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82" w:type="pct"/>
            <w:vMerge w:val="restart"/>
            <w:tcBorders>
              <w:top w:val="single" w:color="auto" w:sz="4" w:space="0"/>
              <w:right w:val="single" w:color="auto" w:sz="4" w:space="0"/>
            </w:tcBorders>
            <w:noWrap w:val="0"/>
            <w:vAlign w:val="center"/>
          </w:tcPr>
          <w:p w14:paraId="7DA472E0">
            <w:pPr>
              <w:spacing w:line="276"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资信业绩部分评分标准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65分</w:t>
            </w:r>
            <w:r>
              <w:rPr>
                <w:rFonts w:hint="eastAsia" w:ascii="宋体" w:hAnsi="宋体" w:eastAsia="宋体" w:cs="宋体"/>
                <w:color w:val="auto"/>
                <w:szCs w:val="21"/>
                <w:highlight w:val="none"/>
                <w:lang w:eastAsia="zh-CN"/>
              </w:rPr>
              <w:t>）</w:t>
            </w:r>
          </w:p>
        </w:tc>
        <w:tc>
          <w:tcPr>
            <w:tcW w:w="824" w:type="pct"/>
            <w:gridSpan w:val="2"/>
            <w:tcBorders>
              <w:top w:val="single" w:color="auto" w:sz="4" w:space="0"/>
              <w:left w:val="single" w:color="auto" w:sz="4" w:space="0"/>
              <w:right w:val="single" w:color="auto" w:sz="4" w:space="0"/>
            </w:tcBorders>
            <w:noWrap w:val="0"/>
            <w:vAlign w:val="center"/>
          </w:tcPr>
          <w:p w14:paraId="3B12EB40">
            <w:pPr>
              <w:widowControl/>
              <w:spacing w:line="276" w:lineRule="auto"/>
              <w:jc w:val="center"/>
              <w:textAlignment w:val="center"/>
              <w:rPr>
                <w:rFonts w:hint="eastAsia" w:ascii="宋体" w:hAnsi="宋体" w:eastAsia="宋体" w:cs="宋体"/>
                <w:color w:val="auto"/>
                <w:szCs w:val="21"/>
                <w:highlight w:val="none"/>
              </w:rPr>
            </w:pPr>
            <w:r>
              <w:rPr>
                <w:rFonts w:hint="eastAsia" w:eastAsia="宋体" w:cs="宋体"/>
                <w:color w:val="auto"/>
                <w:szCs w:val="21"/>
                <w:highlight w:val="none"/>
              </w:rPr>
              <w:t>类似项目业绩（1</w:t>
            </w:r>
            <w:r>
              <w:rPr>
                <w:rFonts w:hint="eastAsia" w:eastAsia="宋体" w:cs="宋体"/>
                <w:color w:val="auto"/>
                <w:szCs w:val="21"/>
                <w:highlight w:val="none"/>
                <w:lang w:val="en-US" w:eastAsia="zh-CN"/>
              </w:rPr>
              <w:t>5</w:t>
            </w:r>
            <w:r>
              <w:rPr>
                <w:rFonts w:hint="eastAsia" w:eastAsia="宋体" w:cs="宋体"/>
                <w:color w:val="auto"/>
                <w:szCs w:val="21"/>
                <w:highlight w:val="none"/>
              </w:rPr>
              <w:t>分）</w:t>
            </w:r>
          </w:p>
        </w:tc>
        <w:tc>
          <w:tcPr>
            <w:tcW w:w="3268" w:type="pct"/>
            <w:gridSpan w:val="2"/>
            <w:tcBorders>
              <w:top w:val="single" w:color="auto" w:sz="4" w:space="0"/>
              <w:left w:val="single" w:color="auto" w:sz="4" w:space="0"/>
              <w:bottom w:val="single" w:color="auto" w:sz="4" w:space="0"/>
              <w:right w:val="single" w:color="auto" w:sz="4" w:space="0"/>
            </w:tcBorders>
            <w:noWrap w:val="0"/>
            <w:vAlign w:val="center"/>
          </w:tcPr>
          <w:p w14:paraId="312826F1">
            <w:pPr>
              <w:widowControl/>
              <w:numPr>
                <w:ilvl w:val="0"/>
                <w:numId w:val="0"/>
              </w:numPr>
              <w:spacing w:line="240" w:lineRule="exact"/>
              <w:jc w:val="left"/>
              <w:textAlignment w:val="center"/>
              <w:rPr>
                <w:rFonts w:hint="eastAsia" w:eastAsia="宋体" w:cs="Times New Roman"/>
                <w:color w:val="auto"/>
                <w:highlight w:val="none"/>
              </w:rPr>
            </w:pPr>
            <w:r>
              <w:rPr>
                <w:rFonts w:hint="eastAsia" w:ascii="宋体" w:hAnsi="宋体" w:eastAsia="宋体" w:cs="宋体"/>
                <w:color w:val="auto"/>
                <w:kern w:val="0"/>
                <w:szCs w:val="21"/>
                <w:highlight w:val="none"/>
                <w:lang w:bidi="ar"/>
              </w:rPr>
              <w:t>自20</w:t>
            </w:r>
            <w:r>
              <w:rPr>
                <w:rFonts w:hint="eastAsia" w:ascii="宋体" w:hAnsi="宋体" w:eastAsia="宋体" w:cs="宋体"/>
                <w:color w:val="auto"/>
                <w:kern w:val="0"/>
                <w:szCs w:val="21"/>
                <w:highlight w:val="none"/>
                <w:lang w:val="en-US" w:eastAsia="zh-CN" w:bidi="ar"/>
              </w:rPr>
              <w:t>19</w:t>
            </w:r>
            <w:r>
              <w:rPr>
                <w:rFonts w:hint="eastAsia" w:ascii="宋体" w:hAnsi="宋体" w:eastAsia="宋体" w:cs="宋体"/>
                <w:color w:val="auto"/>
                <w:kern w:val="0"/>
                <w:szCs w:val="21"/>
                <w:highlight w:val="none"/>
                <w:lang w:bidi="ar"/>
              </w:rPr>
              <w:t>年1月1日至投标截止时间止，投标人承接过的合同金额280万元或以上类似检</w:t>
            </w:r>
            <w:r>
              <w:rPr>
                <w:rFonts w:hint="eastAsia" w:ascii="宋体" w:hAnsi="宋体" w:eastAsia="宋体" w:cs="宋体"/>
                <w:color w:val="auto"/>
                <w:kern w:val="0"/>
                <w:szCs w:val="21"/>
                <w:highlight w:val="none"/>
                <w:lang w:val="en-US" w:eastAsia="zh-CN" w:bidi="ar"/>
              </w:rPr>
              <w:t>/监</w:t>
            </w:r>
            <w:r>
              <w:rPr>
                <w:rFonts w:hint="eastAsia" w:ascii="宋体" w:hAnsi="宋体" w:eastAsia="宋体" w:cs="宋体"/>
                <w:color w:val="auto"/>
                <w:kern w:val="0"/>
                <w:szCs w:val="21"/>
                <w:highlight w:val="none"/>
                <w:lang w:bidi="ar"/>
              </w:rPr>
              <w:t>测项目业绩，每项得</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分，本项最高得1</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w:t>
            </w:r>
          </w:p>
          <w:p w14:paraId="73128513">
            <w:pPr>
              <w:widowControl/>
              <w:spacing w:line="24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注：1、类似项目业绩：是指包含本次招标内容中的一项或多项的建设工程质量检测或监测类业绩</w:t>
            </w:r>
          </w:p>
          <w:p w14:paraId="2BD09EE2">
            <w:pPr>
              <w:widowControl/>
              <w:spacing w:line="24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2、需提供服务合同证明材料扫描件，类似业绩时间及金额均以合同为准。</w:t>
            </w:r>
          </w:p>
          <w:p w14:paraId="79E3B3E3">
            <w:pPr>
              <w:widowControl/>
              <w:spacing w:line="276"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3、若以联合体方式参与投标的，本项评分内容联合体各成员可以累计加分。</w:t>
            </w:r>
          </w:p>
        </w:tc>
      </w:tr>
      <w:tr w14:paraId="762E9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24" w:type="pct"/>
            <w:vMerge w:val="continue"/>
            <w:tcBorders>
              <w:right w:val="single" w:color="auto" w:sz="4" w:space="0"/>
            </w:tcBorders>
            <w:noWrap w:val="0"/>
            <w:vAlign w:val="center"/>
          </w:tcPr>
          <w:p w14:paraId="4C97A428">
            <w:pPr>
              <w:spacing w:line="276" w:lineRule="auto"/>
              <w:jc w:val="center"/>
              <w:rPr>
                <w:rFonts w:hint="eastAsia" w:ascii="宋体" w:hAnsi="宋体" w:eastAsia="宋体" w:cs="宋体"/>
                <w:color w:val="auto"/>
                <w:szCs w:val="21"/>
                <w:highlight w:val="none"/>
              </w:rPr>
            </w:pPr>
          </w:p>
        </w:tc>
        <w:tc>
          <w:tcPr>
            <w:tcW w:w="482" w:type="pct"/>
            <w:vMerge w:val="continue"/>
            <w:tcBorders>
              <w:right w:val="single" w:color="auto" w:sz="4" w:space="0"/>
            </w:tcBorders>
            <w:noWrap w:val="0"/>
            <w:vAlign w:val="center"/>
          </w:tcPr>
          <w:p w14:paraId="38AC24F5">
            <w:pPr>
              <w:spacing w:line="276" w:lineRule="auto"/>
              <w:jc w:val="center"/>
              <w:rPr>
                <w:rFonts w:hint="eastAsia" w:ascii="宋体" w:hAnsi="宋体" w:eastAsia="宋体" w:cs="宋体"/>
                <w:color w:val="auto"/>
                <w:szCs w:val="21"/>
                <w:highlight w:val="none"/>
              </w:rPr>
            </w:pPr>
          </w:p>
        </w:tc>
        <w:tc>
          <w:tcPr>
            <w:tcW w:w="824" w:type="pct"/>
            <w:gridSpan w:val="2"/>
            <w:vMerge w:val="restart"/>
            <w:tcBorders>
              <w:top w:val="single" w:color="auto" w:sz="4" w:space="0"/>
              <w:left w:val="single" w:color="auto" w:sz="4" w:space="0"/>
              <w:right w:val="single" w:color="auto" w:sz="4" w:space="0"/>
            </w:tcBorders>
            <w:noWrap w:val="0"/>
            <w:vAlign w:val="center"/>
          </w:tcPr>
          <w:p w14:paraId="4EE730AA">
            <w:pPr>
              <w:widowControl/>
              <w:spacing w:line="276" w:lineRule="auto"/>
              <w:jc w:val="center"/>
              <w:textAlignment w:val="center"/>
              <w:rPr>
                <w:rFonts w:hint="eastAsia" w:ascii="宋体" w:hAnsi="宋体" w:eastAsia="宋体" w:cs="宋体"/>
                <w:color w:val="auto"/>
                <w:szCs w:val="21"/>
                <w:highlight w:val="none"/>
              </w:rPr>
            </w:pPr>
            <w:r>
              <w:rPr>
                <w:rFonts w:hint="eastAsia" w:eastAsia="宋体" w:cs="宋体"/>
                <w:color w:val="auto"/>
                <w:szCs w:val="21"/>
                <w:highlight w:val="none"/>
              </w:rPr>
              <w:t>投标人信誉综合评价（</w:t>
            </w:r>
            <w:r>
              <w:rPr>
                <w:rFonts w:hint="eastAsia" w:eastAsia="宋体" w:cs="宋体"/>
                <w:color w:val="auto"/>
                <w:szCs w:val="21"/>
                <w:highlight w:val="none"/>
                <w:lang w:val="en-US" w:eastAsia="zh-CN"/>
              </w:rPr>
              <w:t>25</w:t>
            </w:r>
            <w:r>
              <w:rPr>
                <w:rFonts w:hint="eastAsia" w:eastAsia="宋体" w:cs="宋体"/>
                <w:color w:val="auto"/>
                <w:szCs w:val="21"/>
                <w:highlight w:val="none"/>
              </w:rPr>
              <w:t>分）</w:t>
            </w:r>
          </w:p>
        </w:tc>
        <w:tc>
          <w:tcPr>
            <w:tcW w:w="3268" w:type="pct"/>
            <w:gridSpan w:val="2"/>
            <w:tcBorders>
              <w:top w:val="single" w:color="auto" w:sz="4" w:space="0"/>
              <w:left w:val="single" w:color="auto" w:sz="4" w:space="0"/>
              <w:bottom w:val="single" w:color="auto" w:sz="4" w:space="0"/>
              <w:right w:val="single" w:color="auto" w:sz="4" w:space="0"/>
            </w:tcBorders>
            <w:noWrap w:val="0"/>
            <w:vAlign w:val="center"/>
          </w:tcPr>
          <w:p w14:paraId="5BA7EA86">
            <w:pPr>
              <w:widowControl/>
              <w:spacing w:line="276" w:lineRule="auto"/>
              <w:jc w:val="left"/>
              <w:textAlignment w:val="center"/>
              <w:rPr>
                <w:rFonts w:hint="eastAsia" w:eastAsia="宋体" w:cs="Times New Roman"/>
                <w:color w:val="auto"/>
                <w:highlight w:val="none"/>
              </w:rPr>
            </w:pPr>
            <w:r>
              <w:rPr>
                <w:rFonts w:hint="eastAsia" w:eastAsia="宋体" w:cs="Times New Roman"/>
                <w:color w:val="auto"/>
                <w:highlight w:val="none"/>
              </w:rPr>
              <w:t>投标人同时具备中国合格评定国家认可委员会检验机构证书（CNAS）和中国合格评定国家认可委员会实验室认可证（CNAS），且在有效期内的，得</w:t>
            </w:r>
            <w:r>
              <w:rPr>
                <w:rFonts w:hint="eastAsia" w:eastAsia="宋体" w:cs="Times New Roman"/>
                <w:color w:val="auto"/>
                <w:highlight w:val="none"/>
                <w:lang w:val="en-US" w:eastAsia="zh-CN"/>
              </w:rPr>
              <w:t>8</w:t>
            </w:r>
            <w:r>
              <w:rPr>
                <w:rFonts w:hint="eastAsia" w:eastAsia="宋体" w:cs="Times New Roman"/>
                <w:color w:val="auto"/>
                <w:highlight w:val="none"/>
              </w:rPr>
              <w:t>分；具备其中一个证书的，得</w:t>
            </w:r>
            <w:r>
              <w:rPr>
                <w:rFonts w:hint="eastAsia" w:eastAsia="宋体" w:cs="Times New Roman"/>
                <w:color w:val="auto"/>
                <w:highlight w:val="none"/>
                <w:lang w:val="en-US" w:eastAsia="zh-CN"/>
              </w:rPr>
              <w:t>4</w:t>
            </w:r>
            <w:r>
              <w:rPr>
                <w:rFonts w:hint="eastAsia" w:eastAsia="宋体" w:cs="Times New Roman"/>
                <w:color w:val="auto"/>
                <w:highlight w:val="none"/>
              </w:rPr>
              <w:t>分；没有证书不得分。本项最多得</w:t>
            </w:r>
            <w:r>
              <w:rPr>
                <w:rFonts w:hint="eastAsia" w:eastAsia="宋体" w:cs="Times New Roman"/>
                <w:color w:val="auto"/>
                <w:highlight w:val="none"/>
                <w:lang w:val="en-US" w:eastAsia="zh-CN"/>
              </w:rPr>
              <w:t>8</w:t>
            </w:r>
            <w:r>
              <w:rPr>
                <w:rFonts w:hint="eastAsia" w:eastAsia="宋体" w:cs="Times New Roman"/>
                <w:color w:val="auto"/>
                <w:highlight w:val="none"/>
              </w:rPr>
              <w:t>分。</w:t>
            </w:r>
          </w:p>
          <w:p w14:paraId="1C470ECD">
            <w:pPr>
              <w:pStyle w:val="2"/>
              <w:rPr>
                <w:rFonts w:hint="eastAsia" w:ascii="Times New Roman" w:hAnsi="Times New Roman" w:eastAsia="宋体" w:cs="Times New Roman"/>
                <w:color w:val="auto"/>
                <w:highlight w:val="none"/>
              </w:rPr>
            </w:pPr>
            <w:r>
              <w:rPr>
                <w:rFonts w:hint="eastAsia" w:ascii="宋体" w:hAnsi="宋体" w:eastAsia="宋体" w:cs="宋体"/>
                <w:color w:val="auto"/>
                <w:kern w:val="0"/>
                <w:szCs w:val="21"/>
                <w:highlight w:val="none"/>
                <w:lang w:bidi="ar"/>
              </w:rPr>
              <w:t>注：须提供相关证书的扫描件。若以联合体方式投标的，本项评分内容以牵头方提供资料为准，成员单位提供不计分。</w:t>
            </w:r>
          </w:p>
        </w:tc>
      </w:tr>
      <w:tr w14:paraId="2CB80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424" w:type="pct"/>
            <w:vMerge w:val="continue"/>
            <w:tcBorders>
              <w:right w:val="single" w:color="auto" w:sz="4" w:space="0"/>
            </w:tcBorders>
            <w:noWrap w:val="0"/>
            <w:vAlign w:val="center"/>
          </w:tcPr>
          <w:p w14:paraId="517C1A85">
            <w:pPr>
              <w:spacing w:line="276" w:lineRule="auto"/>
              <w:jc w:val="center"/>
              <w:rPr>
                <w:rFonts w:hint="eastAsia" w:ascii="宋体" w:hAnsi="宋体" w:eastAsia="宋体" w:cs="宋体"/>
                <w:color w:val="auto"/>
                <w:szCs w:val="21"/>
                <w:highlight w:val="none"/>
              </w:rPr>
            </w:pPr>
          </w:p>
        </w:tc>
        <w:tc>
          <w:tcPr>
            <w:tcW w:w="482" w:type="pct"/>
            <w:vMerge w:val="continue"/>
            <w:tcBorders>
              <w:right w:val="single" w:color="auto" w:sz="4" w:space="0"/>
            </w:tcBorders>
            <w:noWrap w:val="0"/>
            <w:vAlign w:val="center"/>
          </w:tcPr>
          <w:p w14:paraId="43C09E20">
            <w:pPr>
              <w:spacing w:line="276" w:lineRule="auto"/>
              <w:jc w:val="center"/>
              <w:rPr>
                <w:rFonts w:hint="eastAsia" w:ascii="宋体" w:hAnsi="宋体" w:eastAsia="宋体" w:cs="宋体"/>
                <w:color w:val="auto"/>
                <w:szCs w:val="21"/>
                <w:highlight w:val="none"/>
              </w:rPr>
            </w:pPr>
          </w:p>
        </w:tc>
        <w:tc>
          <w:tcPr>
            <w:tcW w:w="824" w:type="pct"/>
            <w:gridSpan w:val="2"/>
            <w:vMerge w:val="continue"/>
            <w:tcBorders>
              <w:left w:val="single" w:color="auto" w:sz="4" w:space="0"/>
              <w:right w:val="single" w:color="auto" w:sz="4" w:space="0"/>
            </w:tcBorders>
            <w:noWrap w:val="0"/>
            <w:vAlign w:val="center"/>
          </w:tcPr>
          <w:p w14:paraId="1621F687">
            <w:pPr>
              <w:spacing w:line="276" w:lineRule="auto"/>
              <w:jc w:val="center"/>
              <w:rPr>
                <w:rFonts w:hint="eastAsia" w:ascii="宋体" w:hAnsi="宋体" w:eastAsia="宋体" w:cs="宋体"/>
                <w:color w:val="auto"/>
                <w:szCs w:val="21"/>
                <w:highlight w:val="none"/>
              </w:rPr>
            </w:pPr>
          </w:p>
        </w:tc>
        <w:tc>
          <w:tcPr>
            <w:tcW w:w="3268" w:type="pct"/>
            <w:gridSpan w:val="2"/>
            <w:tcBorders>
              <w:top w:val="single" w:color="auto" w:sz="4" w:space="0"/>
              <w:left w:val="single" w:color="auto" w:sz="4" w:space="0"/>
              <w:bottom w:val="single" w:color="auto" w:sz="4" w:space="0"/>
              <w:right w:val="single" w:color="auto" w:sz="4" w:space="0"/>
            </w:tcBorders>
            <w:noWrap w:val="0"/>
            <w:vAlign w:val="center"/>
          </w:tcPr>
          <w:p w14:paraId="2D2441EB">
            <w:pPr>
              <w:pStyle w:val="2"/>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投标人具有有效期内的 “环境管理体系、职业健康安全管理体系、质量管理体系、知识产权管理体系、信息技术服务管理体系、</w:t>
            </w:r>
            <w:r>
              <w:rPr>
                <w:rFonts w:hint="eastAsia" w:ascii="宋体" w:hAnsi="宋体" w:eastAsia="宋体" w:cs="宋体"/>
                <w:color w:val="auto"/>
                <w:kern w:val="0"/>
                <w:szCs w:val="21"/>
                <w:highlight w:val="none"/>
                <w:lang w:eastAsia="zh-CN" w:bidi="ar"/>
              </w:rPr>
              <w:t>安全生产标准化体系</w:t>
            </w:r>
            <w:r>
              <w:rPr>
                <w:rFonts w:hint="eastAsia" w:ascii="宋体" w:hAnsi="宋体" w:eastAsia="宋体" w:cs="宋体"/>
                <w:color w:val="auto"/>
                <w:kern w:val="0"/>
                <w:szCs w:val="21"/>
                <w:highlight w:val="none"/>
                <w:lang w:bidi="ar"/>
              </w:rPr>
              <w:t>”认证证书的，每个证书得1分，本项最高得6分。</w:t>
            </w:r>
          </w:p>
          <w:p w14:paraId="42A7C721">
            <w:pPr>
              <w:pStyle w:val="2"/>
              <w:rPr>
                <w:rFonts w:hint="eastAsia" w:ascii="Times New Roman" w:hAnsi="Times New Roman" w:eastAsia="宋体" w:cs="Times New Roman"/>
                <w:color w:val="auto"/>
                <w:highlight w:val="none"/>
              </w:rPr>
            </w:pPr>
            <w:r>
              <w:rPr>
                <w:rFonts w:hint="eastAsia" w:ascii="宋体" w:hAnsi="宋体" w:eastAsia="宋体" w:cs="宋体"/>
                <w:color w:val="auto"/>
                <w:kern w:val="0"/>
                <w:szCs w:val="21"/>
                <w:highlight w:val="none"/>
                <w:lang w:bidi="ar"/>
              </w:rPr>
              <w:t>注：须提供相关证书的扫描件，没有提供的不得分。若以联合体方式投标的，本项评分内容以牵头方提供资料为准，成员单位提供不计分。</w:t>
            </w:r>
          </w:p>
        </w:tc>
      </w:tr>
      <w:tr w14:paraId="23DEE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24" w:type="pct"/>
            <w:vMerge w:val="continue"/>
            <w:tcBorders>
              <w:right w:val="single" w:color="auto" w:sz="4" w:space="0"/>
            </w:tcBorders>
            <w:noWrap w:val="0"/>
            <w:vAlign w:val="center"/>
          </w:tcPr>
          <w:p w14:paraId="048F831E">
            <w:pPr>
              <w:spacing w:line="276" w:lineRule="auto"/>
              <w:jc w:val="center"/>
              <w:rPr>
                <w:rFonts w:hint="eastAsia" w:ascii="宋体" w:hAnsi="宋体" w:eastAsia="宋体" w:cs="宋体"/>
                <w:color w:val="auto"/>
                <w:szCs w:val="21"/>
                <w:highlight w:val="none"/>
              </w:rPr>
            </w:pPr>
          </w:p>
        </w:tc>
        <w:tc>
          <w:tcPr>
            <w:tcW w:w="482" w:type="pct"/>
            <w:vMerge w:val="continue"/>
            <w:tcBorders>
              <w:right w:val="single" w:color="auto" w:sz="4" w:space="0"/>
            </w:tcBorders>
            <w:noWrap w:val="0"/>
            <w:vAlign w:val="center"/>
          </w:tcPr>
          <w:p w14:paraId="70718613">
            <w:pPr>
              <w:spacing w:line="276" w:lineRule="auto"/>
              <w:jc w:val="center"/>
              <w:rPr>
                <w:rFonts w:hint="eastAsia" w:ascii="宋体" w:hAnsi="宋体" w:eastAsia="宋体" w:cs="宋体"/>
                <w:color w:val="auto"/>
                <w:szCs w:val="21"/>
                <w:highlight w:val="none"/>
              </w:rPr>
            </w:pPr>
          </w:p>
        </w:tc>
        <w:tc>
          <w:tcPr>
            <w:tcW w:w="824" w:type="pct"/>
            <w:gridSpan w:val="2"/>
            <w:vMerge w:val="continue"/>
            <w:tcBorders>
              <w:left w:val="single" w:color="auto" w:sz="4" w:space="0"/>
              <w:right w:val="single" w:color="auto" w:sz="4" w:space="0"/>
            </w:tcBorders>
            <w:noWrap w:val="0"/>
            <w:vAlign w:val="center"/>
          </w:tcPr>
          <w:p w14:paraId="53626557">
            <w:pPr>
              <w:spacing w:line="276" w:lineRule="auto"/>
              <w:jc w:val="center"/>
              <w:rPr>
                <w:rFonts w:hint="eastAsia" w:ascii="宋体" w:hAnsi="宋体" w:eastAsia="宋体" w:cs="宋体"/>
                <w:color w:val="auto"/>
                <w:szCs w:val="21"/>
                <w:highlight w:val="none"/>
              </w:rPr>
            </w:pPr>
          </w:p>
        </w:tc>
        <w:tc>
          <w:tcPr>
            <w:tcW w:w="3268" w:type="pct"/>
            <w:gridSpan w:val="2"/>
            <w:tcBorders>
              <w:top w:val="single" w:color="auto" w:sz="4" w:space="0"/>
              <w:left w:val="single" w:color="auto" w:sz="4" w:space="0"/>
              <w:bottom w:val="single" w:color="auto" w:sz="4" w:space="0"/>
              <w:right w:val="single" w:color="auto" w:sz="4" w:space="0"/>
            </w:tcBorders>
            <w:noWrap w:val="0"/>
            <w:vAlign w:val="center"/>
          </w:tcPr>
          <w:p w14:paraId="03610197">
            <w:pPr>
              <w:pStyle w:val="2"/>
              <w:spacing w:line="240" w:lineRule="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投标人获得过</w:t>
            </w:r>
            <w:r>
              <w:rPr>
                <w:rFonts w:hint="eastAsia" w:ascii="Times New Roman" w:hAnsi="Times New Roman" w:eastAsia="宋体" w:cs="Times New Roman"/>
                <w:color w:val="auto"/>
                <w:highlight w:val="none"/>
                <w:lang w:val="en-US" w:eastAsia="zh-CN"/>
              </w:rPr>
              <w:t>省级或以上</w:t>
            </w:r>
            <w:r>
              <w:rPr>
                <w:rFonts w:hint="default" w:ascii="Times New Roman" w:hAnsi="Times New Roman" w:eastAsia="宋体" w:cs="Times New Roman"/>
                <w:color w:val="auto"/>
                <w:highlight w:val="none"/>
                <w:lang w:val="en-US" w:eastAsia="zh-CN"/>
              </w:rPr>
              <w:t>行业</w:t>
            </w:r>
            <w:r>
              <w:rPr>
                <w:rFonts w:hint="eastAsia" w:ascii="Times New Roman" w:hAnsi="Times New Roman" w:eastAsia="宋体" w:cs="Times New Roman"/>
                <w:color w:val="auto"/>
                <w:highlight w:val="none"/>
                <w:lang w:val="en-US" w:eastAsia="zh-CN"/>
              </w:rPr>
              <w:t>协会</w:t>
            </w:r>
            <w:r>
              <w:rPr>
                <w:rFonts w:hint="default" w:ascii="Times New Roman" w:hAnsi="Times New Roman" w:eastAsia="宋体" w:cs="Times New Roman"/>
                <w:color w:val="auto"/>
                <w:highlight w:val="none"/>
                <w:lang w:val="en-US" w:eastAsia="zh-CN"/>
              </w:rPr>
              <w:t xml:space="preserve">先进单位”表彰，一次得 </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分；本项最多得</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 xml:space="preserve"> 分。</w:t>
            </w:r>
          </w:p>
          <w:p w14:paraId="19B362B7">
            <w:pPr>
              <w:pStyle w:val="2"/>
              <w:spacing w:line="240" w:lineRule="auto"/>
              <w:rPr>
                <w:rFonts w:hint="default" w:ascii="Times New Roman" w:hAnsi="Times New Roman" w:eastAsia="宋体" w:cs="Times New Roman"/>
                <w:color w:val="auto"/>
                <w:highlight w:val="none"/>
                <w:lang w:val="en-US" w:eastAsia="zh-CN"/>
              </w:rPr>
            </w:pPr>
            <w:r>
              <w:rPr>
                <w:rFonts w:hint="eastAsia" w:ascii="宋体" w:hAnsi="宋体" w:eastAsia="宋体" w:cs="宋体"/>
                <w:b w:val="0"/>
                <w:bCs w:val="0"/>
                <w:color w:val="auto"/>
                <w:highlight w:val="none"/>
                <w:u w:val="none"/>
                <w:lang w:val="en-US" w:eastAsia="zh-CN"/>
              </w:rPr>
              <w:t>注：</w:t>
            </w:r>
            <w:r>
              <w:rPr>
                <w:rFonts w:hint="eastAsia" w:ascii="宋体" w:hAnsi="宋体" w:eastAsia="宋体" w:cs="宋体"/>
                <w:color w:val="auto"/>
                <w:kern w:val="0"/>
                <w:szCs w:val="21"/>
                <w:highlight w:val="none"/>
                <w:lang w:bidi="ar"/>
              </w:rPr>
              <w:t>须提供相关证书的清晰扫描件，没有提供的不得分。若以联合体方式投标的，本项评分内容以牵头方提供资料为准，成员单位提供不计分。</w:t>
            </w:r>
          </w:p>
        </w:tc>
      </w:tr>
      <w:tr w14:paraId="4A3BB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24" w:type="pct"/>
            <w:vMerge w:val="continue"/>
            <w:tcBorders>
              <w:right w:val="single" w:color="auto" w:sz="4" w:space="0"/>
            </w:tcBorders>
            <w:noWrap w:val="0"/>
            <w:vAlign w:val="center"/>
          </w:tcPr>
          <w:p w14:paraId="45353467">
            <w:pPr>
              <w:spacing w:line="276" w:lineRule="auto"/>
              <w:jc w:val="center"/>
              <w:rPr>
                <w:rFonts w:hint="eastAsia" w:ascii="宋体" w:hAnsi="宋体" w:eastAsia="宋体" w:cs="宋体"/>
                <w:color w:val="auto"/>
                <w:szCs w:val="21"/>
                <w:highlight w:val="none"/>
              </w:rPr>
            </w:pPr>
          </w:p>
        </w:tc>
        <w:tc>
          <w:tcPr>
            <w:tcW w:w="482" w:type="pct"/>
            <w:vMerge w:val="continue"/>
            <w:tcBorders>
              <w:right w:val="single" w:color="auto" w:sz="4" w:space="0"/>
            </w:tcBorders>
            <w:noWrap w:val="0"/>
            <w:vAlign w:val="center"/>
          </w:tcPr>
          <w:p w14:paraId="5E24E8E8">
            <w:pPr>
              <w:spacing w:line="276" w:lineRule="auto"/>
              <w:jc w:val="center"/>
              <w:rPr>
                <w:rFonts w:hint="eastAsia" w:ascii="宋体" w:hAnsi="宋体" w:eastAsia="宋体" w:cs="宋体"/>
                <w:color w:val="auto"/>
                <w:szCs w:val="21"/>
                <w:highlight w:val="none"/>
              </w:rPr>
            </w:pPr>
          </w:p>
        </w:tc>
        <w:tc>
          <w:tcPr>
            <w:tcW w:w="824" w:type="pct"/>
            <w:gridSpan w:val="2"/>
            <w:vMerge w:val="continue"/>
            <w:tcBorders>
              <w:left w:val="single" w:color="auto" w:sz="4" w:space="0"/>
              <w:right w:val="single" w:color="auto" w:sz="4" w:space="0"/>
            </w:tcBorders>
            <w:noWrap w:val="0"/>
            <w:vAlign w:val="center"/>
          </w:tcPr>
          <w:p w14:paraId="7395DDBC">
            <w:pPr>
              <w:spacing w:line="276" w:lineRule="auto"/>
              <w:jc w:val="center"/>
              <w:rPr>
                <w:rFonts w:hint="eastAsia" w:ascii="宋体" w:hAnsi="宋体" w:eastAsia="宋体" w:cs="宋体"/>
                <w:color w:val="auto"/>
                <w:szCs w:val="21"/>
                <w:highlight w:val="none"/>
              </w:rPr>
            </w:pPr>
          </w:p>
        </w:tc>
        <w:tc>
          <w:tcPr>
            <w:tcW w:w="3268" w:type="pct"/>
            <w:gridSpan w:val="2"/>
            <w:tcBorders>
              <w:top w:val="single" w:color="auto" w:sz="4" w:space="0"/>
              <w:left w:val="single" w:color="auto" w:sz="4" w:space="0"/>
              <w:bottom w:val="single" w:color="auto" w:sz="4" w:space="0"/>
              <w:right w:val="single" w:color="auto" w:sz="4" w:space="0"/>
            </w:tcBorders>
            <w:noWrap w:val="0"/>
            <w:vAlign w:val="center"/>
          </w:tcPr>
          <w:p w14:paraId="1A4D501C">
            <w:pPr>
              <w:pStyle w:val="18"/>
              <w:spacing w:line="276" w:lineRule="auto"/>
              <w:rPr>
                <w:rFonts w:hint="eastAsia" w:eastAsia="宋体" w:cs="Times New Roman"/>
                <w:color w:val="auto"/>
                <w:highlight w:val="none"/>
                <w:lang w:eastAsia="zh-CN"/>
              </w:rPr>
            </w:pPr>
            <w:r>
              <w:rPr>
                <w:rFonts w:hint="eastAsia" w:eastAsia="宋体" w:cs="Times New Roman"/>
                <w:color w:val="auto"/>
                <w:highlight w:val="none"/>
              </w:rPr>
              <w:t>投标人获得过“科学技术奖励证书”：</w:t>
            </w:r>
            <w:r>
              <w:rPr>
                <w:rFonts w:hint="eastAsia" w:eastAsia="宋体" w:cs="Times New Roman"/>
                <w:color w:val="auto"/>
                <w:highlight w:val="none"/>
                <w:lang w:eastAsia="zh-CN"/>
              </w:rPr>
              <w:t>（本项最高得</w:t>
            </w:r>
            <w:r>
              <w:rPr>
                <w:rFonts w:hint="eastAsia" w:eastAsia="宋体" w:cs="Times New Roman"/>
                <w:color w:val="auto"/>
                <w:highlight w:val="none"/>
                <w:lang w:val="en-US" w:eastAsia="zh-CN"/>
              </w:rPr>
              <w:t>8分</w:t>
            </w:r>
            <w:r>
              <w:rPr>
                <w:rFonts w:hint="eastAsia" w:eastAsia="宋体" w:cs="Times New Roman"/>
                <w:color w:val="auto"/>
                <w:highlight w:val="none"/>
                <w:lang w:eastAsia="zh-CN"/>
              </w:rPr>
              <w:t>）</w:t>
            </w:r>
          </w:p>
          <w:p w14:paraId="4CE8B751">
            <w:pPr>
              <w:spacing w:line="276" w:lineRule="auto"/>
              <w:rPr>
                <w:rFonts w:eastAsia="宋体" w:cs="Times New Roman"/>
                <w:color w:val="auto"/>
                <w:highlight w:val="none"/>
              </w:rPr>
            </w:pPr>
            <w:r>
              <w:rPr>
                <w:rFonts w:hint="eastAsia" w:eastAsia="宋体" w:cs="Times New Roman"/>
                <w:color w:val="auto"/>
                <w:highlight w:val="none"/>
              </w:rPr>
              <w:t>（1）国家政府部门颁发的国家级科学技术奖励证书（不限等级），或获得省级人民政府颁发的科学技术奖励证书（特等奖或一等奖）的，得</w:t>
            </w:r>
            <w:r>
              <w:rPr>
                <w:rFonts w:hint="eastAsia" w:eastAsia="宋体" w:cs="Times New Roman"/>
                <w:color w:val="auto"/>
                <w:highlight w:val="none"/>
                <w:lang w:val="en-US" w:eastAsia="zh-CN"/>
              </w:rPr>
              <w:t>8</w:t>
            </w:r>
            <w:r>
              <w:rPr>
                <w:rFonts w:hint="eastAsia" w:eastAsia="宋体" w:cs="Times New Roman"/>
                <w:color w:val="auto"/>
                <w:highlight w:val="none"/>
              </w:rPr>
              <w:t>分；</w:t>
            </w:r>
          </w:p>
          <w:p w14:paraId="4FA73EDF">
            <w:pPr>
              <w:spacing w:line="276" w:lineRule="auto"/>
              <w:rPr>
                <w:rFonts w:eastAsia="宋体" w:cs="Times New Roman"/>
                <w:color w:val="auto"/>
                <w:highlight w:val="none"/>
              </w:rPr>
            </w:pPr>
            <w:r>
              <w:rPr>
                <w:rFonts w:hint="eastAsia" w:eastAsia="宋体" w:cs="Times New Roman"/>
                <w:color w:val="auto"/>
                <w:highlight w:val="none"/>
              </w:rPr>
              <w:t>（2）获得省级人民政府颁发的科学技术奖励证书（二等奖）的，得</w:t>
            </w:r>
            <w:r>
              <w:rPr>
                <w:rFonts w:hint="eastAsia" w:eastAsia="宋体" w:cs="Times New Roman"/>
                <w:color w:val="auto"/>
                <w:highlight w:val="none"/>
                <w:lang w:val="en-US" w:eastAsia="zh-CN"/>
              </w:rPr>
              <w:t>6</w:t>
            </w:r>
            <w:r>
              <w:rPr>
                <w:rFonts w:hint="eastAsia" w:eastAsia="宋体" w:cs="Times New Roman"/>
                <w:color w:val="auto"/>
                <w:highlight w:val="none"/>
              </w:rPr>
              <w:t>分；</w:t>
            </w:r>
          </w:p>
          <w:p w14:paraId="567E8D04">
            <w:pPr>
              <w:spacing w:line="276" w:lineRule="auto"/>
              <w:rPr>
                <w:rFonts w:eastAsia="宋体" w:cs="Times New Roman"/>
                <w:color w:val="auto"/>
                <w:highlight w:val="none"/>
              </w:rPr>
            </w:pPr>
            <w:r>
              <w:rPr>
                <w:rFonts w:hint="eastAsia" w:eastAsia="宋体" w:cs="Times New Roman"/>
                <w:color w:val="auto"/>
                <w:highlight w:val="none"/>
              </w:rPr>
              <w:t>（3）获得省级人民政府颁发的科学技术奖励证书（三等奖）的，得</w:t>
            </w:r>
            <w:r>
              <w:rPr>
                <w:rFonts w:hint="eastAsia" w:eastAsia="宋体" w:cs="Times New Roman"/>
                <w:color w:val="auto"/>
                <w:highlight w:val="none"/>
                <w:lang w:val="en-US" w:eastAsia="zh-CN"/>
              </w:rPr>
              <w:t>4</w:t>
            </w:r>
            <w:r>
              <w:rPr>
                <w:rFonts w:hint="eastAsia" w:eastAsia="宋体" w:cs="Times New Roman"/>
                <w:color w:val="auto"/>
                <w:highlight w:val="none"/>
              </w:rPr>
              <w:t>分。</w:t>
            </w:r>
          </w:p>
          <w:p w14:paraId="05BD09F8">
            <w:pPr>
              <w:spacing w:line="276" w:lineRule="auto"/>
              <w:rPr>
                <w:rFonts w:eastAsia="宋体" w:cs="Times New Roman"/>
                <w:color w:val="auto"/>
                <w:highlight w:val="none"/>
              </w:rPr>
            </w:pPr>
            <w:r>
              <w:rPr>
                <w:rFonts w:hint="eastAsia" w:eastAsia="宋体" w:cs="Times New Roman"/>
                <w:color w:val="auto"/>
                <w:highlight w:val="none"/>
              </w:rPr>
              <w:t>（4）获得市级人民政府颁发的科学技术奖励证书（不限等级）的，得</w:t>
            </w:r>
            <w:r>
              <w:rPr>
                <w:rFonts w:hint="eastAsia" w:eastAsia="宋体" w:cs="Times New Roman"/>
                <w:color w:val="auto"/>
                <w:highlight w:val="none"/>
                <w:lang w:val="en-US" w:eastAsia="zh-CN"/>
              </w:rPr>
              <w:t>2</w:t>
            </w:r>
            <w:r>
              <w:rPr>
                <w:rFonts w:hint="eastAsia" w:eastAsia="宋体" w:cs="Times New Roman"/>
                <w:color w:val="auto"/>
                <w:highlight w:val="none"/>
              </w:rPr>
              <w:t>分。</w:t>
            </w:r>
          </w:p>
          <w:p w14:paraId="60599013">
            <w:pPr>
              <w:spacing w:line="276" w:lineRule="auto"/>
              <w:rPr>
                <w:rFonts w:hint="eastAsia" w:eastAsia="宋体" w:cs="Times New Roman"/>
                <w:color w:val="auto"/>
                <w:highlight w:val="none"/>
              </w:rPr>
            </w:pPr>
            <w:r>
              <w:rPr>
                <w:rFonts w:hint="eastAsia" w:eastAsia="宋体" w:cs="Times New Roman"/>
                <w:color w:val="auto"/>
                <w:highlight w:val="none"/>
              </w:rPr>
              <w:t>（5）没有不得分。</w:t>
            </w:r>
          </w:p>
          <w:p w14:paraId="14F653D5">
            <w:pPr>
              <w:widowControl/>
              <w:spacing w:line="276" w:lineRule="auto"/>
              <w:jc w:val="left"/>
              <w:textAlignment w:val="center"/>
              <w:rPr>
                <w:rFonts w:hint="eastAsia" w:eastAsia="宋体" w:cs="Times New Roman"/>
                <w:color w:val="auto"/>
                <w:highlight w:val="none"/>
              </w:rPr>
            </w:pPr>
            <w:r>
              <w:rPr>
                <w:rFonts w:hint="eastAsia" w:ascii="宋体" w:hAnsi="宋体" w:eastAsia="宋体" w:cs="宋体"/>
                <w:color w:val="auto"/>
                <w:kern w:val="0"/>
                <w:szCs w:val="21"/>
                <w:highlight w:val="none"/>
                <w:lang w:bidi="ar"/>
              </w:rPr>
              <w:t>注：同一项目获得多个奖项的，按最高奖项计取，不重复计算。需提供获奖证书等相关证明材料扫描件，科学技术奖励证书颁发部门须为国家或省、市人民政府，个人奖项不得分。若以联合体方式投标的，本项评分内容以牵头方提供资料为准，成员单位提供不计分。</w:t>
            </w:r>
          </w:p>
        </w:tc>
      </w:tr>
      <w:tr w14:paraId="19634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424" w:type="pct"/>
            <w:vMerge w:val="continue"/>
            <w:tcBorders>
              <w:right w:val="single" w:color="auto" w:sz="4" w:space="0"/>
            </w:tcBorders>
            <w:noWrap w:val="0"/>
            <w:vAlign w:val="center"/>
          </w:tcPr>
          <w:p w14:paraId="4C721BB5">
            <w:pPr>
              <w:spacing w:line="276" w:lineRule="auto"/>
              <w:jc w:val="center"/>
              <w:rPr>
                <w:rFonts w:hint="eastAsia" w:ascii="宋体" w:hAnsi="宋体" w:eastAsia="宋体" w:cs="宋体"/>
                <w:color w:val="auto"/>
                <w:szCs w:val="21"/>
                <w:highlight w:val="none"/>
              </w:rPr>
            </w:pPr>
          </w:p>
        </w:tc>
        <w:tc>
          <w:tcPr>
            <w:tcW w:w="482" w:type="pct"/>
            <w:vMerge w:val="continue"/>
            <w:tcBorders>
              <w:right w:val="single" w:color="auto" w:sz="4" w:space="0"/>
            </w:tcBorders>
            <w:noWrap w:val="0"/>
            <w:vAlign w:val="center"/>
          </w:tcPr>
          <w:p w14:paraId="1203DFDE">
            <w:pPr>
              <w:spacing w:line="276" w:lineRule="auto"/>
              <w:jc w:val="center"/>
              <w:rPr>
                <w:rFonts w:hint="eastAsia" w:ascii="宋体" w:hAnsi="宋体" w:eastAsia="宋体" w:cs="宋体"/>
                <w:color w:val="auto"/>
                <w:szCs w:val="21"/>
                <w:highlight w:val="none"/>
              </w:rPr>
            </w:pPr>
          </w:p>
        </w:tc>
        <w:tc>
          <w:tcPr>
            <w:tcW w:w="824" w:type="pct"/>
            <w:gridSpan w:val="2"/>
            <w:vMerge w:val="restart"/>
            <w:tcBorders>
              <w:top w:val="single" w:color="auto" w:sz="4" w:space="0"/>
              <w:left w:val="single" w:color="auto" w:sz="4" w:space="0"/>
              <w:right w:val="single" w:color="auto" w:sz="4" w:space="0"/>
            </w:tcBorders>
            <w:noWrap w:val="0"/>
            <w:vAlign w:val="center"/>
          </w:tcPr>
          <w:p w14:paraId="0C14223B">
            <w:pPr>
              <w:widowControl/>
              <w:spacing w:line="276" w:lineRule="auto"/>
              <w:jc w:val="center"/>
              <w:textAlignment w:val="center"/>
              <w:rPr>
                <w:rFonts w:hint="eastAsia" w:ascii="宋体" w:hAnsi="宋体" w:eastAsia="宋体" w:cs="宋体"/>
                <w:color w:val="auto"/>
                <w:szCs w:val="21"/>
                <w:highlight w:val="none"/>
              </w:rPr>
            </w:pPr>
            <w:r>
              <w:rPr>
                <w:rFonts w:hint="eastAsia" w:eastAsia="宋体" w:cs="宋体"/>
                <w:color w:val="auto"/>
                <w:szCs w:val="21"/>
                <w:highlight w:val="none"/>
              </w:rPr>
              <w:t>拟投入人员综合水平（</w:t>
            </w:r>
            <w:r>
              <w:rPr>
                <w:rFonts w:hint="eastAsia" w:eastAsia="宋体" w:cs="宋体"/>
                <w:color w:val="auto"/>
                <w:szCs w:val="21"/>
                <w:highlight w:val="none"/>
                <w:lang w:val="en-US" w:eastAsia="zh-CN"/>
              </w:rPr>
              <w:t>25</w:t>
            </w:r>
            <w:r>
              <w:rPr>
                <w:rFonts w:hint="eastAsia" w:eastAsia="宋体" w:cs="宋体"/>
                <w:color w:val="auto"/>
                <w:szCs w:val="21"/>
                <w:highlight w:val="none"/>
              </w:rPr>
              <w:t>分）</w:t>
            </w:r>
          </w:p>
        </w:tc>
        <w:tc>
          <w:tcPr>
            <w:tcW w:w="3268" w:type="pct"/>
            <w:gridSpan w:val="2"/>
            <w:tcBorders>
              <w:top w:val="single" w:color="auto" w:sz="4" w:space="0"/>
              <w:left w:val="single" w:color="auto" w:sz="4" w:space="0"/>
              <w:bottom w:val="single" w:color="auto" w:sz="4" w:space="0"/>
              <w:right w:val="single" w:color="auto" w:sz="4" w:space="0"/>
            </w:tcBorders>
            <w:noWrap w:val="0"/>
            <w:vAlign w:val="center"/>
          </w:tcPr>
          <w:p w14:paraId="3E641271">
            <w:pPr>
              <w:spacing w:line="276" w:lineRule="auto"/>
              <w:rPr>
                <w:rFonts w:ascii="宋体" w:hAnsi="宋体" w:eastAsia="宋体" w:cs="宋体"/>
                <w:color w:val="auto"/>
                <w:highlight w:val="none"/>
              </w:rPr>
            </w:pPr>
            <w:r>
              <w:rPr>
                <w:rFonts w:hint="eastAsia" w:ascii="宋体" w:hAnsi="宋体" w:eastAsia="宋体" w:cs="宋体"/>
                <w:color w:val="auto"/>
                <w:highlight w:val="none"/>
              </w:rPr>
              <w:t>项目负责人:</w:t>
            </w:r>
            <w:r>
              <w:rPr>
                <w:rFonts w:hint="eastAsia" w:eastAsia="宋体" w:cs="Times New Roman"/>
                <w:color w:val="auto"/>
                <w:highlight w:val="none"/>
              </w:rPr>
              <w:t>（</w:t>
            </w:r>
            <w:r>
              <w:rPr>
                <w:rFonts w:hint="eastAsia" w:eastAsia="宋体" w:cs="Times New Roman"/>
                <w:color w:val="auto"/>
                <w:highlight w:val="none"/>
                <w:lang w:eastAsia="zh-CN"/>
              </w:rPr>
              <w:t>本项最高</w:t>
            </w:r>
            <w:r>
              <w:rPr>
                <w:rFonts w:hint="eastAsia" w:eastAsia="宋体" w:cs="Times New Roman"/>
                <w:color w:val="auto"/>
                <w:highlight w:val="none"/>
              </w:rPr>
              <w:t xml:space="preserve">得 </w:t>
            </w:r>
            <w:r>
              <w:rPr>
                <w:rFonts w:hint="eastAsia" w:eastAsia="宋体" w:cs="Times New Roman"/>
                <w:color w:val="auto"/>
                <w:highlight w:val="none"/>
                <w:lang w:val="en-US" w:eastAsia="zh-CN"/>
              </w:rPr>
              <w:t>7</w:t>
            </w:r>
            <w:r>
              <w:rPr>
                <w:rFonts w:hint="eastAsia" w:eastAsia="宋体" w:cs="Times New Roman"/>
                <w:color w:val="auto"/>
                <w:highlight w:val="none"/>
              </w:rPr>
              <w:t xml:space="preserve"> 分）：</w:t>
            </w:r>
          </w:p>
          <w:p w14:paraId="627AB26C">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具有工程类相关专业</w:t>
            </w:r>
            <w:r>
              <w:rPr>
                <w:rFonts w:hint="eastAsia" w:ascii="宋体" w:hAnsi="宋体" w:eastAsia="宋体" w:cs="宋体"/>
                <w:color w:val="auto"/>
                <w:sz w:val="21"/>
                <w:szCs w:val="21"/>
                <w:highlight w:val="none"/>
                <w:lang w:val="en-US" w:eastAsia="zh-CN"/>
              </w:rPr>
              <w:t>副</w:t>
            </w:r>
            <w:r>
              <w:rPr>
                <w:rFonts w:hint="eastAsia" w:ascii="宋体" w:hAnsi="宋体" w:eastAsia="宋体" w:cs="宋体"/>
                <w:color w:val="auto"/>
                <w:sz w:val="21"/>
                <w:szCs w:val="21"/>
                <w:highlight w:val="none"/>
              </w:rPr>
              <w:t>高级工程师或以上职称，得</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分，其他不得分。</w:t>
            </w:r>
          </w:p>
          <w:p w14:paraId="6F1681DC">
            <w:pPr>
              <w:numPr>
                <w:ilvl w:val="0"/>
                <w:numId w:val="2"/>
              </w:numPr>
              <w:spacing w:line="360" w:lineRule="auto"/>
              <w:rPr>
                <w:rFonts w:hint="eastAsia" w:ascii="宋体" w:hAnsi="宋体" w:eastAsia="宋体" w:cs="宋体"/>
                <w:color w:val="auto"/>
                <w:sz w:val="21"/>
                <w:szCs w:val="21"/>
                <w:highlight w:val="none"/>
              </w:rPr>
            </w:pPr>
            <w:r>
              <w:rPr>
                <w:rFonts w:hint="eastAsia" w:ascii="宋体" w:hAnsi="宋体" w:eastAsia="宋体" w:cs="Times New Roman"/>
                <w:bCs/>
                <w:color w:val="auto"/>
                <w:szCs w:val="21"/>
                <w:highlight w:val="none"/>
              </w:rPr>
              <w:t>具有</w:t>
            </w:r>
            <w:r>
              <w:rPr>
                <w:rFonts w:hint="eastAsia" w:ascii="宋体" w:hAnsi="宋体" w:eastAsia="宋体" w:cs="Times New Roman"/>
                <w:color w:val="auto"/>
                <w:szCs w:val="21"/>
                <w:highlight w:val="none"/>
              </w:rPr>
              <w:t>建设行政主管部门或其委托的机构、行业协会颁发的检测员证或检测鉴定培训合格证的</w:t>
            </w:r>
            <w:r>
              <w:rPr>
                <w:rFonts w:hint="eastAsia" w:ascii="宋体" w:hAnsi="宋体" w:eastAsia="宋体" w:cs="Times New Roman"/>
                <w:bCs/>
                <w:color w:val="auto"/>
                <w:szCs w:val="21"/>
                <w:highlight w:val="none"/>
              </w:rPr>
              <w:t>（检测项目包括：</w:t>
            </w:r>
            <w:r>
              <w:rPr>
                <w:rFonts w:hint="eastAsia" w:ascii="宋体" w:hAnsi="宋体" w:eastAsia="宋体" w:cs="宋体"/>
                <w:color w:val="auto"/>
                <w:szCs w:val="21"/>
                <w:highlight w:val="none"/>
              </w:rPr>
              <w:t>地基与基桩承载力检测(静载荷试验)、桩身完整性检测 (低应变) 、桩身完整性检测(声波透射)、桩身完整性检测(钻孔取芯[编审]) 、基桩承载力与完整性检测(高应变)、岩土工程原位测试、混凝土结构实体检测、</w:t>
            </w:r>
            <w:r>
              <w:rPr>
                <w:rFonts w:hint="eastAsia" w:ascii="宋体" w:hAnsi="宋体" w:eastAsia="宋体" w:cs="宋体"/>
                <w:color w:val="auto"/>
                <w:sz w:val="21"/>
                <w:szCs w:val="21"/>
                <w:highlight w:val="none"/>
              </w:rPr>
              <w:t>常用金属材料检测、建筑节能</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检测、民用建筑室内环境检测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分；每缺少1项</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扣0.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分，最多扣至0分，没有不得分。</w:t>
            </w:r>
          </w:p>
          <w:p w14:paraId="65E5FBED">
            <w:pPr>
              <w:widowControl/>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bidi="ar"/>
              </w:rPr>
              <w:t>注：项目负责人与技术负责人不可兼任。须提供身份证、职称证书、检测员证或合格证等扫描件，提供投标截止前1月在本单位的社保证明材料，并加盖公章，否则不得分。若以联合体方式投标的，本项评分内容以牵头方提供资料为准，成员单位提供不计分。</w:t>
            </w:r>
          </w:p>
        </w:tc>
      </w:tr>
      <w:tr w14:paraId="705C9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424" w:type="pct"/>
            <w:vMerge w:val="continue"/>
            <w:tcBorders>
              <w:right w:val="single" w:color="auto" w:sz="4" w:space="0"/>
            </w:tcBorders>
            <w:noWrap w:val="0"/>
            <w:vAlign w:val="center"/>
          </w:tcPr>
          <w:p w14:paraId="3FF0043B">
            <w:pPr>
              <w:spacing w:line="276" w:lineRule="auto"/>
              <w:jc w:val="center"/>
              <w:rPr>
                <w:rFonts w:hint="eastAsia" w:ascii="宋体" w:hAnsi="宋体" w:eastAsia="宋体" w:cs="宋体"/>
                <w:color w:val="auto"/>
                <w:szCs w:val="21"/>
                <w:highlight w:val="none"/>
              </w:rPr>
            </w:pPr>
          </w:p>
        </w:tc>
        <w:tc>
          <w:tcPr>
            <w:tcW w:w="482" w:type="pct"/>
            <w:vMerge w:val="continue"/>
            <w:tcBorders>
              <w:right w:val="single" w:color="auto" w:sz="4" w:space="0"/>
            </w:tcBorders>
            <w:noWrap w:val="0"/>
            <w:vAlign w:val="center"/>
          </w:tcPr>
          <w:p w14:paraId="17DF56AA">
            <w:pPr>
              <w:spacing w:line="276" w:lineRule="auto"/>
              <w:jc w:val="center"/>
              <w:rPr>
                <w:rFonts w:hint="eastAsia" w:ascii="宋体" w:hAnsi="宋体" w:eastAsia="宋体" w:cs="宋体"/>
                <w:color w:val="auto"/>
                <w:szCs w:val="21"/>
                <w:highlight w:val="none"/>
              </w:rPr>
            </w:pPr>
          </w:p>
        </w:tc>
        <w:tc>
          <w:tcPr>
            <w:tcW w:w="824" w:type="pct"/>
            <w:gridSpan w:val="2"/>
            <w:vMerge w:val="continue"/>
            <w:tcBorders>
              <w:left w:val="single" w:color="auto" w:sz="4" w:space="0"/>
              <w:right w:val="single" w:color="auto" w:sz="4" w:space="0"/>
            </w:tcBorders>
            <w:noWrap w:val="0"/>
            <w:vAlign w:val="center"/>
          </w:tcPr>
          <w:p w14:paraId="016EDE49">
            <w:pPr>
              <w:widowControl/>
              <w:spacing w:line="276" w:lineRule="auto"/>
              <w:contextualSpacing/>
              <w:jc w:val="center"/>
              <w:rPr>
                <w:rFonts w:hint="eastAsia" w:ascii="宋体" w:hAnsi="宋体" w:eastAsia="宋体" w:cs="宋体"/>
                <w:color w:val="auto"/>
                <w:szCs w:val="21"/>
                <w:highlight w:val="none"/>
              </w:rPr>
            </w:pPr>
          </w:p>
        </w:tc>
        <w:tc>
          <w:tcPr>
            <w:tcW w:w="3268" w:type="pct"/>
            <w:gridSpan w:val="2"/>
            <w:tcBorders>
              <w:top w:val="single" w:color="auto" w:sz="4" w:space="0"/>
              <w:left w:val="single" w:color="auto" w:sz="4" w:space="0"/>
              <w:bottom w:val="single" w:color="auto" w:sz="4" w:space="0"/>
              <w:right w:val="single" w:color="auto" w:sz="4" w:space="0"/>
            </w:tcBorders>
            <w:noWrap w:val="0"/>
            <w:vAlign w:val="center"/>
          </w:tcPr>
          <w:p w14:paraId="13DEBD40">
            <w:pPr>
              <w:spacing w:line="276" w:lineRule="auto"/>
              <w:rPr>
                <w:rFonts w:eastAsia="宋体" w:cs="Times New Roman"/>
                <w:color w:val="auto"/>
                <w:highlight w:val="none"/>
              </w:rPr>
            </w:pPr>
            <w:r>
              <w:rPr>
                <w:rFonts w:hint="eastAsia" w:eastAsia="宋体" w:cs="Times New Roman"/>
                <w:color w:val="auto"/>
                <w:highlight w:val="none"/>
              </w:rPr>
              <w:t>技术负责人（</w:t>
            </w:r>
            <w:r>
              <w:rPr>
                <w:rFonts w:hint="eastAsia" w:eastAsia="宋体" w:cs="Times New Roman"/>
                <w:color w:val="auto"/>
                <w:highlight w:val="none"/>
                <w:lang w:eastAsia="zh-CN"/>
              </w:rPr>
              <w:t>本项最高</w:t>
            </w:r>
            <w:r>
              <w:rPr>
                <w:rFonts w:hint="eastAsia" w:eastAsia="宋体" w:cs="Times New Roman"/>
                <w:color w:val="auto"/>
                <w:highlight w:val="none"/>
              </w:rPr>
              <w:t>得</w:t>
            </w:r>
            <w:r>
              <w:rPr>
                <w:rFonts w:hint="eastAsia" w:eastAsia="宋体" w:cs="Times New Roman"/>
                <w:color w:val="auto"/>
                <w:highlight w:val="none"/>
                <w:u w:val="none"/>
              </w:rPr>
              <w:t xml:space="preserve"> </w:t>
            </w:r>
            <w:r>
              <w:rPr>
                <w:rFonts w:hint="eastAsia" w:eastAsia="宋体" w:cs="Times New Roman"/>
                <w:color w:val="auto"/>
                <w:highlight w:val="none"/>
                <w:u w:val="none"/>
                <w:lang w:val="en-US" w:eastAsia="zh-CN"/>
              </w:rPr>
              <w:t>8</w:t>
            </w:r>
            <w:r>
              <w:rPr>
                <w:rFonts w:hint="eastAsia" w:eastAsia="宋体" w:cs="Times New Roman"/>
                <w:color w:val="auto"/>
                <w:highlight w:val="none"/>
                <w:u w:val="none"/>
              </w:rPr>
              <w:t xml:space="preserve"> </w:t>
            </w:r>
            <w:r>
              <w:rPr>
                <w:rFonts w:hint="eastAsia" w:eastAsia="宋体" w:cs="Times New Roman"/>
                <w:color w:val="auto"/>
                <w:highlight w:val="none"/>
              </w:rPr>
              <w:t>分）：</w:t>
            </w:r>
          </w:p>
          <w:p w14:paraId="0C5E45A1">
            <w:pPr>
              <w:spacing w:line="360" w:lineRule="auto"/>
              <w:rPr>
                <w:rFonts w:eastAsia="宋体" w:cs="Times New Roman"/>
                <w:color w:val="auto"/>
                <w:highlight w:val="none"/>
              </w:rPr>
            </w:pPr>
            <w:r>
              <w:rPr>
                <w:rFonts w:hint="eastAsia" w:eastAsia="宋体" w:cs="Times New Roman"/>
                <w:color w:val="auto"/>
                <w:highlight w:val="none"/>
              </w:rPr>
              <w:t>1.具有工程类相关专业</w:t>
            </w:r>
            <w:r>
              <w:rPr>
                <w:rFonts w:hint="eastAsia" w:ascii="宋体" w:hAnsi="宋体" w:eastAsia="宋体" w:cs="宋体"/>
                <w:color w:val="auto"/>
                <w:sz w:val="21"/>
                <w:szCs w:val="21"/>
                <w:highlight w:val="none"/>
                <w:lang w:val="en-US" w:eastAsia="zh-CN"/>
              </w:rPr>
              <w:t>副</w:t>
            </w:r>
            <w:r>
              <w:rPr>
                <w:rFonts w:hint="eastAsia" w:eastAsia="宋体" w:cs="Times New Roman"/>
                <w:color w:val="auto"/>
                <w:highlight w:val="none"/>
              </w:rPr>
              <w:t>高级工程师</w:t>
            </w:r>
            <w:r>
              <w:rPr>
                <w:rFonts w:hint="eastAsia" w:cs="Times New Roman"/>
                <w:color w:val="auto"/>
                <w:highlight w:val="none"/>
                <w:lang w:val="en-US" w:eastAsia="zh-CN"/>
              </w:rPr>
              <w:t>或以上</w:t>
            </w:r>
            <w:r>
              <w:rPr>
                <w:rFonts w:hint="eastAsia" w:eastAsia="宋体" w:cs="Times New Roman"/>
                <w:color w:val="auto"/>
                <w:highlight w:val="none"/>
              </w:rPr>
              <w:t>职称得</w:t>
            </w:r>
            <w:r>
              <w:rPr>
                <w:rFonts w:hint="eastAsia" w:cs="Times New Roman"/>
                <w:color w:val="auto"/>
                <w:highlight w:val="none"/>
                <w:u w:val="single"/>
                <w:lang w:val="en-US" w:eastAsia="zh-CN"/>
              </w:rPr>
              <w:t xml:space="preserve"> </w:t>
            </w:r>
            <w:r>
              <w:rPr>
                <w:rFonts w:hint="eastAsia" w:eastAsia="宋体" w:cs="Times New Roman"/>
                <w:color w:val="auto"/>
                <w:highlight w:val="none"/>
                <w:u w:val="single"/>
              </w:rPr>
              <w:t xml:space="preserve">2 </w:t>
            </w:r>
            <w:r>
              <w:rPr>
                <w:rFonts w:hint="eastAsia" w:eastAsia="宋体" w:cs="Times New Roman"/>
                <w:color w:val="auto"/>
                <w:highlight w:val="none"/>
              </w:rPr>
              <w:t>分；具有工程类相关专业工程师职称得</w:t>
            </w:r>
            <w:r>
              <w:rPr>
                <w:rFonts w:hint="eastAsia" w:eastAsia="宋体" w:cs="Times New Roman"/>
                <w:color w:val="auto"/>
                <w:highlight w:val="none"/>
                <w:u w:val="single"/>
              </w:rPr>
              <w:t xml:space="preserve"> 1 </w:t>
            </w:r>
            <w:r>
              <w:rPr>
                <w:rFonts w:hint="eastAsia" w:eastAsia="宋体" w:cs="Times New Roman"/>
                <w:color w:val="auto"/>
                <w:highlight w:val="none"/>
              </w:rPr>
              <w:t>分，其他不得分。</w:t>
            </w:r>
          </w:p>
          <w:p w14:paraId="6D618206">
            <w:pPr>
              <w:widowControl/>
              <w:spacing w:line="360" w:lineRule="auto"/>
              <w:jc w:val="left"/>
              <w:textAlignment w:val="center"/>
              <w:rPr>
                <w:rFonts w:hint="eastAsia" w:ascii="宋体" w:hAnsi="宋体" w:eastAsia="宋体" w:cs="宋体"/>
                <w:color w:val="auto"/>
                <w:sz w:val="21"/>
                <w:szCs w:val="21"/>
                <w:highlight w:val="none"/>
                <w:lang w:eastAsia="zh-CN"/>
              </w:rPr>
            </w:pPr>
            <w:r>
              <w:rPr>
                <w:rFonts w:hint="eastAsia" w:eastAsia="宋体" w:cs="Times New Roman"/>
                <w:color w:val="auto"/>
                <w:highlight w:val="none"/>
                <w:lang w:val="en-US" w:eastAsia="zh-CN"/>
              </w:rPr>
              <w:t>2.</w:t>
            </w:r>
            <w:r>
              <w:rPr>
                <w:rFonts w:hint="eastAsia" w:ascii="宋体" w:hAnsi="宋体" w:eastAsia="宋体" w:cs="Times New Roman"/>
                <w:bCs/>
                <w:color w:val="auto"/>
                <w:szCs w:val="21"/>
                <w:highlight w:val="none"/>
              </w:rPr>
              <w:t>具有</w:t>
            </w:r>
            <w:r>
              <w:rPr>
                <w:rFonts w:hint="eastAsia" w:ascii="宋体" w:hAnsi="宋体" w:eastAsia="宋体" w:cs="Times New Roman"/>
                <w:color w:val="auto"/>
                <w:szCs w:val="21"/>
                <w:highlight w:val="none"/>
              </w:rPr>
              <w:t>建设行政主管部门或其委托的机构、行业协会颁发的检测员证或检测鉴定培训合格证的</w:t>
            </w:r>
            <w:r>
              <w:rPr>
                <w:rFonts w:hint="eastAsia" w:ascii="宋体" w:hAnsi="宋体" w:eastAsia="宋体" w:cs="Times New Roman"/>
                <w:bCs/>
                <w:color w:val="auto"/>
                <w:szCs w:val="21"/>
                <w:highlight w:val="none"/>
              </w:rPr>
              <w:t>（检测项目包括：</w:t>
            </w:r>
            <w:r>
              <w:rPr>
                <w:rFonts w:hint="eastAsia" w:ascii="宋体" w:hAnsi="宋体" w:eastAsia="宋体" w:cs="宋体"/>
                <w:color w:val="auto"/>
                <w:szCs w:val="21"/>
                <w:highlight w:val="none"/>
              </w:rPr>
              <w:t>地基与基桩承载力检测(静载荷试验)、桩身完整性检测 (低应变) 、桩身完整性检测(声波透射)、桩身完整性检测(钻孔取芯[编审]) 、基桩承载力与完整性检测(高应变)、岩土工程原位测试、混凝土结构实体检测、</w:t>
            </w:r>
            <w:r>
              <w:rPr>
                <w:rFonts w:hint="eastAsia" w:ascii="宋体" w:hAnsi="宋体" w:eastAsia="宋体" w:cs="宋体"/>
                <w:color w:val="auto"/>
                <w:sz w:val="21"/>
                <w:szCs w:val="21"/>
                <w:highlight w:val="none"/>
              </w:rPr>
              <w:t>常用金属材料检测、建筑节能</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检测、民用建筑室内环境检测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分；每缺少1项</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扣0.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分，最多扣至0分</w:t>
            </w:r>
            <w:r>
              <w:rPr>
                <w:rFonts w:hint="eastAsia" w:ascii="宋体" w:hAnsi="宋体" w:eastAsia="宋体" w:cs="宋体"/>
                <w:color w:val="auto"/>
                <w:sz w:val="21"/>
                <w:szCs w:val="21"/>
                <w:highlight w:val="none"/>
                <w:lang w:eastAsia="zh-CN"/>
              </w:rPr>
              <w:t>；</w:t>
            </w:r>
          </w:p>
          <w:p w14:paraId="238FC155">
            <w:pPr>
              <w:widowControl/>
              <w:spacing w:line="276" w:lineRule="auto"/>
              <w:jc w:val="left"/>
              <w:textAlignment w:val="center"/>
              <w:rPr>
                <w:rFonts w:hint="eastAsia" w:eastAsia="宋体" w:cs="Times New Roman"/>
                <w:color w:val="auto"/>
                <w:highlight w:val="none"/>
              </w:rPr>
            </w:pPr>
            <w:r>
              <w:rPr>
                <w:rFonts w:hint="eastAsia" w:eastAsia="宋体" w:cs="Times New Roman"/>
                <w:color w:val="auto"/>
                <w:highlight w:val="none"/>
              </w:rPr>
              <w:t xml:space="preserve">3.具有注册土木工程师（岩土）证书的（注册单位与投标单位一致），得2分； </w:t>
            </w:r>
          </w:p>
          <w:p w14:paraId="2C2E6835">
            <w:pPr>
              <w:pStyle w:val="2"/>
              <w:rPr>
                <w:rFonts w:hint="eastAsia" w:ascii="Times New Roman" w:hAnsi="Times New Roman" w:eastAsia="宋体" w:cs="Times New Roman"/>
                <w:color w:val="auto"/>
                <w:highlight w:val="none"/>
              </w:rPr>
            </w:pPr>
            <w:r>
              <w:rPr>
                <w:rFonts w:hint="eastAsia" w:ascii="宋体" w:hAnsi="宋体" w:eastAsia="宋体" w:cs="宋体"/>
                <w:color w:val="auto"/>
                <w:kern w:val="0"/>
                <w:szCs w:val="21"/>
                <w:highlight w:val="none"/>
                <w:lang w:bidi="ar"/>
              </w:rPr>
              <w:t>注：项目负责人与技术负责人不可兼任。须提供身份证、职称证书、</w:t>
            </w:r>
            <w:r>
              <w:rPr>
                <w:rFonts w:hint="eastAsia" w:ascii="宋体" w:hAnsi="宋体" w:eastAsia="宋体" w:cs="宋体"/>
                <w:color w:val="auto"/>
                <w:kern w:val="0"/>
                <w:szCs w:val="21"/>
                <w:highlight w:val="none"/>
                <w:lang w:val="en-US" w:eastAsia="zh-CN" w:bidi="ar"/>
              </w:rPr>
              <w:t>注册证、</w:t>
            </w:r>
            <w:r>
              <w:rPr>
                <w:rFonts w:hint="eastAsia" w:ascii="宋体" w:hAnsi="宋体" w:eastAsia="宋体" w:cs="宋体"/>
                <w:color w:val="auto"/>
                <w:kern w:val="0"/>
                <w:szCs w:val="21"/>
                <w:highlight w:val="none"/>
                <w:lang w:bidi="ar"/>
              </w:rPr>
              <w:t>检测员证或合格证等扫描件，提供投标截止前1月在本单位的社保证明材料，并加盖公章，否则不得分。若以联合体方式投标的，本项评分内容以牵头方提供资料为准，成员单位提供不计分。</w:t>
            </w:r>
          </w:p>
        </w:tc>
      </w:tr>
      <w:tr w14:paraId="0A5E8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5" w:hRule="atLeast"/>
        </w:trPr>
        <w:tc>
          <w:tcPr>
            <w:tcW w:w="424" w:type="pct"/>
            <w:vMerge w:val="continue"/>
            <w:tcBorders>
              <w:bottom w:val="single" w:color="auto" w:sz="4" w:space="0"/>
              <w:right w:val="single" w:color="auto" w:sz="4" w:space="0"/>
            </w:tcBorders>
            <w:noWrap w:val="0"/>
            <w:vAlign w:val="center"/>
          </w:tcPr>
          <w:p w14:paraId="5119CE69">
            <w:pPr>
              <w:spacing w:line="276" w:lineRule="auto"/>
              <w:jc w:val="center"/>
              <w:rPr>
                <w:rFonts w:hint="eastAsia" w:ascii="宋体" w:hAnsi="宋体" w:eastAsia="宋体" w:cs="宋体"/>
                <w:color w:val="auto"/>
                <w:szCs w:val="21"/>
                <w:highlight w:val="none"/>
              </w:rPr>
            </w:pPr>
          </w:p>
        </w:tc>
        <w:tc>
          <w:tcPr>
            <w:tcW w:w="482" w:type="pct"/>
            <w:vMerge w:val="continue"/>
            <w:tcBorders>
              <w:bottom w:val="single" w:color="auto" w:sz="4" w:space="0"/>
              <w:right w:val="single" w:color="auto" w:sz="4" w:space="0"/>
            </w:tcBorders>
            <w:noWrap w:val="0"/>
            <w:vAlign w:val="center"/>
          </w:tcPr>
          <w:p w14:paraId="06EB101C">
            <w:pPr>
              <w:spacing w:line="276" w:lineRule="auto"/>
              <w:jc w:val="center"/>
              <w:rPr>
                <w:rFonts w:hint="eastAsia" w:ascii="宋体" w:hAnsi="宋体" w:eastAsia="宋体" w:cs="宋体"/>
                <w:color w:val="auto"/>
                <w:szCs w:val="21"/>
                <w:highlight w:val="none"/>
              </w:rPr>
            </w:pPr>
          </w:p>
        </w:tc>
        <w:tc>
          <w:tcPr>
            <w:tcW w:w="824" w:type="pct"/>
            <w:gridSpan w:val="2"/>
            <w:vMerge w:val="continue"/>
            <w:tcBorders>
              <w:left w:val="single" w:color="auto" w:sz="4" w:space="0"/>
              <w:bottom w:val="single" w:color="auto" w:sz="4" w:space="0"/>
              <w:right w:val="single" w:color="auto" w:sz="4" w:space="0"/>
            </w:tcBorders>
            <w:noWrap w:val="0"/>
            <w:vAlign w:val="center"/>
          </w:tcPr>
          <w:p w14:paraId="0305C6C3">
            <w:pPr>
              <w:spacing w:line="276" w:lineRule="auto"/>
              <w:jc w:val="center"/>
              <w:rPr>
                <w:rFonts w:hint="eastAsia" w:ascii="宋体" w:hAnsi="宋体" w:eastAsia="宋体" w:cs="宋体"/>
                <w:color w:val="auto"/>
                <w:szCs w:val="21"/>
                <w:highlight w:val="none"/>
              </w:rPr>
            </w:pPr>
          </w:p>
        </w:tc>
        <w:tc>
          <w:tcPr>
            <w:tcW w:w="3268" w:type="pct"/>
            <w:gridSpan w:val="2"/>
            <w:tcBorders>
              <w:top w:val="single" w:color="auto" w:sz="4" w:space="0"/>
              <w:left w:val="single" w:color="auto" w:sz="4" w:space="0"/>
              <w:right w:val="single" w:color="auto" w:sz="4" w:space="0"/>
            </w:tcBorders>
            <w:noWrap w:val="0"/>
            <w:vAlign w:val="center"/>
          </w:tcPr>
          <w:p w14:paraId="4FC48CC5">
            <w:pPr>
              <w:spacing w:line="276" w:lineRule="auto"/>
              <w:rPr>
                <w:rFonts w:eastAsia="宋体" w:cs="Times New Roman"/>
                <w:color w:val="auto"/>
                <w:highlight w:val="none"/>
              </w:rPr>
            </w:pPr>
            <w:r>
              <w:rPr>
                <w:rFonts w:hint="eastAsia" w:eastAsia="宋体" w:cs="Times New Roman"/>
                <w:color w:val="auto"/>
                <w:highlight w:val="none"/>
              </w:rPr>
              <w:t>主要技术人员（</w:t>
            </w:r>
            <w:r>
              <w:rPr>
                <w:rFonts w:hint="eastAsia" w:eastAsia="宋体" w:cs="Times New Roman"/>
                <w:color w:val="auto"/>
                <w:highlight w:val="none"/>
                <w:lang w:eastAsia="zh-CN"/>
              </w:rPr>
              <w:t>本项最高</w:t>
            </w:r>
            <w:r>
              <w:rPr>
                <w:rFonts w:hint="eastAsia" w:eastAsia="宋体" w:cs="Times New Roman"/>
                <w:color w:val="auto"/>
                <w:highlight w:val="none"/>
              </w:rPr>
              <w:t xml:space="preserve">得 </w:t>
            </w:r>
            <w:r>
              <w:rPr>
                <w:rFonts w:hint="eastAsia" w:eastAsia="宋体" w:cs="Times New Roman"/>
                <w:color w:val="auto"/>
                <w:highlight w:val="none"/>
                <w:lang w:val="en-US" w:eastAsia="zh-CN"/>
              </w:rPr>
              <w:t>10</w:t>
            </w:r>
            <w:r>
              <w:rPr>
                <w:rFonts w:hint="eastAsia" w:eastAsia="宋体" w:cs="Times New Roman"/>
                <w:color w:val="auto"/>
                <w:highlight w:val="none"/>
              </w:rPr>
              <w:t>分）：</w:t>
            </w:r>
          </w:p>
          <w:p w14:paraId="31861529">
            <w:pPr>
              <w:spacing w:line="276" w:lineRule="auto"/>
              <w:rPr>
                <w:rFonts w:eastAsia="宋体" w:cs="Times New Roman"/>
                <w:color w:val="auto"/>
                <w:highlight w:val="none"/>
              </w:rPr>
            </w:pPr>
            <w:r>
              <w:rPr>
                <w:rFonts w:hint="eastAsia" w:eastAsia="宋体" w:cs="Times New Roman"/>
                <w:color w:val="auto"/>
                <w:highlight w:val="none"/>
              </w:rPr>
              <w:t>拟投入本项目技术人员（除项目负责人、技术负责人外）中：</w:t>
            </w:r>
          </w:p>
          <w:p w14:paraId="2E7239EA">
            <w:pPr>
              <w:spacing w:line="276" w:lineRule="auto"/>
              <w:rPr>
                <w:rFonts w:eastAsia="宋体" w:cs="Times New Roman"/>
                <w:color w:val="auto"/>
                <w:highlight w:val="none"/>
              </w:rPr>
            </w:pPr>
            <w:r>
              <w:rPr>
                <w:rFonts w:hint="eastAsia" w:eastAsia="宋体" w:cs="Times New Roman"/>
                <w:color w:val="auto"/>
                <w:highlight w:val="none"/>
              </w:rPr>
              <w:t>（1）持有建设行政主管部门或其委托的机构、行业协会颁发的检测员证或检测鉴定培训合格证，每一人得0.5分，最多得</w:t>
            </w:r>
            <w:r>
              <w:rPr>
                <w:rFonts w:hint="eastAsia" w:eastAsia="宋体" w:cs="Times New Roman"/>
                <w:color w:val="auto"/>
                <w:highlight w:val="none"/>
                <w:lang w:val="en-US" w:eastAsia="zh-CN"/>
              </w:rPr>
              <w:t>5</w:t>
            </w:r>
            <w:r>
              <w:rPr>
                <w:rFonts w:hint="eastAsia" w:eastAsia="宋体" w:cs="Times New Roman"/>
                <w:color w:val="auto"/>
                <w:highlight w:val="none"/>
              </w:rPr>
              <w:t>分。</w:t>
            </w:r>
          </w:p>
          <w:p w14:paraId="297030C5">
            <w:pPr>
              <w:widowControl/>
              <w:spacing w:line="276" w:lineRule="auto"/>
              <w:jc w:val="left"/>
              <w:textAlignment w:val="center"/>
              <w:rPr>
                <w:rFonts w:hint="eastAsia" w:eastAsia="宋体" w:cs="Times New Roman"/>
                <w:color w:val="auto"/>
                <w:highlight w:val="none"/>
              </w:rPr>
            </w:pPr>
            <w:r>
              <w:rPr>
                <w:rFonts w:hint="eastAsia" w:eastAsia="宋体" w:cs="Times New Roman"/>
                <w:color w:val="auto"/>
                <w:highlight w:val="none"/>
              </w:rPr>
              <w:t>（2）上述持有检测员证的人员中，具有工程类相关专业</w:t>
            </w:r>
            <w:r>
              <w:rPr>
                <w:rFonts w:hint="eastAsia" w:eastAsia="宋体" w:cs="Times New Roman"/>
                <w:color w:val="auto"/>
                <w:highlight w:val="none"/>
                <w:lang w:val="en-US" w:eastAsia="zh-CN"/>
              </w:rPr>
              <w:t>副</w:t>
            </w:r>
            <w:r>
              <w:rPr>
                <w:rFonts w:hint="eastAsia" w:eastAsia="宋体" w:cs="Times New Roman"/>
                <w:color w:val="auto"/>
                <w:highlight w:val="none"/>
              </w:rPr>
              <w:t>高级工程师或以上职称，每一人加1分，具有工程类相关专业工程师职称，每一人加0.5分，最多得</w:t>
            </w:r>
            <w:r>
              <w:rPr>
                <w:rFonts w:hint="eastAsia" w:eastAsia="宋体" w:cs="Times New Roman"/>
                <w:color w:val="auto"/>
                <w:highlight w:val="none"/>
                <w:lang w:val="en-US" w:eastAsia="zh-CN"/>
              </w:rPr>
              <w:t>5</w:t>
            </w:r>
            <w:r>
              <w:rPr>
                <w:rFonts w:hint="eastAsia" w:eastAsia="宋体" w:cs="Times New Roman"/>
                <w:color w:val="auto"/>
                <w:highlight w:val="none"/>
              </w:rPr>
              <w:t>分。（每个人员只按最高级别职称加分）。</w:t>
            </w:r>
          </w:p>
          <w:p w14:paraId="09ACCA95">
            <w:pPr>
              <w:pStyle w:val="2"/>
              <w:rPr>
                <w:rFonts w:hint="eastAsia" w:ascii="Times New Roman" w:hAnsi="Times New Roman" w:eastAsia="宋体" w:cs="Times New Roman"/>
                <w:color w:val="auto"/>
                <w:highlight w:val="none"/>
              </w:rPr>
            </w:pPr>
            <w:r>
              <w:rPr>
                <w:rFonts w:hint="eastAsia" w:ascii="宋体" w:hAnsi="宋体" w:eastAsia="宋体" w:cs="宋体"/>
                <w:color w:val="auto"/>
                <w:kern w:val="0"/>
                <w:szCs w:val="21"/>
                <w:highlight w:val="none"/>
                <w:lang w:bidi="ar"/>
              </w:rPr>
              <w:t>注：以上检测技术人员须具有检测员岗位证或检测鉴定培训合格证，须提供身份证、职称证书、检测员证或合格证扫描件，提供投标截止前1月在本单位的社保证明材料，并加盖公章，否则不得分。若以联合体方式投标的，本项评分内容联合体各成员可以累计加分。</w:t>
            </w:r>
          </w:p>
        </w:tc>
      </w:tr>
      <w:tr w14:paraId="59E01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4" w:hRule="atLeast"/>
        </w:trPr>
        <w:tc>
          <w:tcPr>
            <w:tcW w:w="424" w:type="pct"/>
            <w:vMerge w:val="restart"/>
            <w:tcBorders>
              <w:top w:val="single" w:color="auto" w:sz="4" w:space="0"/>
              <w:bottom w:val="single" w:color="auto" w:sz="4" w:space="0"/>
              <w:right w:val="single" w:color="auto" w:sz="4" w:space="0"/>
            </w:tcBorders>
            <w:noWrap w:val="0"/>
            <w:vAlign w:val="center"/>
          </w:tcPr>
          <w:p w14:paraId="54660480">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w:t>
            </w:r>
          </w:p>
          <w:p w14:paraId="404DF8A4">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82" w:type="pct"/>
            <w:vMerge w:val="restart"/>
            <w:tcBorders>
              <w:top w:val="single" w:color="auto" w:sz="4" w:space="0"/>
              <w:bottom w:val="single" w:color="auto" w:sz="4" w:space="0"/>
              <w:right w:val="single" w:color="auto" w:sz="4" w:space="0"/>
            </w:tcBorders>
            <w:noWrap w:val="0"/>
            <w:vAlign w:val="center"/>
          </w:tcPr>
          <w:p w14:paraId="68A76CC1">
            <w:pPr>
              <w:spacing w:line="276" w:lineRule="auto"/>
              <w:jc w:val="center"/>
              <w:rPr>
                <w:rFonts w:hint="eastAsia" w:eastAsia="宋体" w:cs="宋体"/>
                <w:color w:val="auto"/>
                <w:szCs w:val="21"/>
                <w:highlight w:val="none"/>
                <w:lang w:eastAsia="zh-CN"/>
              </w:rPr>
            </w:pPr>
            <w:r>
              <w:rPr>
                <w:rFonts w:hint="eastAsia" w:eastAsia="宋体" w:cs="宋体"/>
                <w:color w:val="auto"/>
                <w:szCs w:val="21"/>
                <w:highlight w:val="none"/>
              </w:rPr>
              <w:t>技术方案评分标准</w:t>
            </w:r>
            <w:r>
              <w:rPr>
                <w:rFonts w:hint="eastAsia" w:eastAsia="宋体" w:cs="宋体"/>
                <w:color w:val="auto"/>
                <w:szCs w:val="21"/>
                <w:highlight w:val="none"/>
                <w:lang w:eastAsia="zh-CN"/>
              </w:rPr>
              <w:t>（</w:t>
            </w:r>
            <w:r>
              <w:rPr>
                <w:rFonts w:hint="eastAsia" w:eastAsia="宋体" w:cs="宋体"/>
                <w:color w:val="auto"/>
                <w:szCs w:val="21"/>
                <w:highlight w:val="none"/>
                <w:lang w:val="en-US" w:eastAsia="zh-CN"/>
              </w:rPr>
              <w:t>25分</w:t>
            </w:r>
            <w:r>
              <w:rPr>
                <w:rFonts w:hint="eastAsia" w:eastAsia="宋体" w:cs="宋体"/>
                <w:color w:val="auto"/>
                <w:szCs w:val="21"/>
                <w:highlight w:val="none"/>
                <w:lang w:eastAsia="zh-CN"/>
              </w:rPr>
              <w:t>）</w:t>
            </w:r>
          </w:p>
        </w:tc>
        <w:tc>
          <w:tcPr>
            <w:tcW w:w="824" w:type="pct"/>
            <w:gridSpan w:val="2"/>
            <w:tcBorders>
              <w:top w:val="single" w:color="auto" w:sz="4" w:space="0"/>
              <w:left w:val="single" w:color="auto" w:sz="4" w:space="0"/>
              <w:bottom w:val="single" w:color="auto" w:sz="4" w:space="0"/>
              <w:right w:val="single" w:color="auto" w:sz="4" w:space="0"/>
            </w:tcBorders>
            <w:noWrap w:val="0"/>
            <w:vAlign w:val="center"/>
          </w:tcPr>
          <w:p w14:paraId="7E6C7B39">
            <w:pPr>
              <w:widowControl/>
              <w:spacing w:line="276" w:lineRule="auto"/>
              <w:jc w:val="center"/>
              <w:textAlignment w:val="center"/>
              <w:rPr>
                <w:rFonts w:hint="eastAsia" w:eastAsia="宋体" w:cs="宋体"/>
                <w:color w:val="auto"/>
                <w:szCs w:val="21"/>
                <w:highlight w:val="none"/>
              </w:rPr>
            </w:pPr>
            <w:r>
              <w:rPr>
                <w:rFonts w:hint="eastAsia" w:eastAsia="宋体" w:cs="宋体"/>
                <w:color w:val="auto"/>
                <w:szCs w:val="21"/>
                <w:highlight w:val="none"/>
              </w:rPr>
              <w:t>拟投入本项目设备计划（10分）</w:t>
            </w:r>
          </w:p>
        </w:tc>
        <w:tc>
          <w:tcPr>
            <w:tcW w:w="3268" w:type="pct"/>
            <w:gridSpan w:val="2"/>
            <w:tcBorders>
              <w:top w:val="single" w:color="auto" w:sz="4" w:space="0"/>
              <w:left w:val="single" w:color="auto" w:sz="4" w:space="0"/>
              <w:bottom w:val="single" w:color="auto" w:sz="4" w:space="0"/>
              <w:right w:val="single" w:color="auto" w:sz="4" w:space="0"/>
            </w:tcBorders>
            <w:noWrap w:val="0"/>
            <w:vAlign w:val="top"/>
          </w:tcPr>
          <w:p w14:paraId="74E89E8F">
            <w:pPr>
              <w:pStyle w:val="14"/>
              <w:adjustRightInd w:val="0"/>
              <w:snapToGrid w:val="0"/>
              <w:spacing w:after="0" w:line="276" w:lineRule="auto"/>
              <w:ind w:firstLine="210"/>
              <w:rPr>
                <w:rFonts w:eastAsia="宋体" w:cs="Times New Roman"/>
                <w:color w:val="auto"/>
                <w:highlight w:val="none"/>
              </w:rPr>
            </w:pPr>
            <w:r>
              <w:rPr>
                <w:rFonts w:hint="eastAsia" w:eastAsia="宋体" w:cs="Times New Roman"/>
                <w:color w:val="auto"/>
                <w:highlight w:val="none"/>
              </w:rPr>
              <w:t>【优】拟投入检测设备先进、配备合理，完全满足检测和服务期要求，得8-10分；</w:t>
            </w:r>
          </w:p>
          <w:p w14:paraId="0C3E0C4A">
            <w:pPr>
              <w:pStyle w:val="14"/>
              <w:adjustRightInd w:val="0"/>
              <w:snapToGrid w:val="0"/>
              <w:spacing w:after="0" w:line="276" w:lineRule="auto"/>
              <w:ind w:firstLine="210"/>
              <w:rPr>
                <w:rFonts w:eastAsia="宋体" w:cs="Times New Roman"/>
                <w:color w:val="auto"/>
                <w:highlight w:val="none"/>
              </w:rPr>
            </w:pPr>
            <w:r>
              <w:rPr>
                <w:rFonts w:hint="eastAsia" w:eastAsia="宋体" w:cs="Times New Roman"/>
                <w:color w:val="auto"/>
                <w:highlight w:val="none"/>
              </w:rPr>
              <w:t>【良】拟投入检测设备先进、配备合理，能较好满足检测和服务期要求，得4-7分；</w:t>
            </w:r>
          </w:p>
          <w:p w14:paraId="40819CE8">
            <w:pPr>
              <w:pStyle w:val="14"/>
              <w:adjustRightInd w:val="0"/>
              <w:snapToGrid w:val="0"/>
              <w:spacing w:after="0" w:line="276" w:lineRule="auto"/>
              <w:ind w:firstLine="210"/>
              <w:rPr>
                <w:rFonts w:eastAsia="宋体" w:cs="Times New Roman"/>
                <w:color w:val="auto"/>
                <w:highlight w:val="none"/>
              </w:rPr>
            </w:pPr>
            <w:r>
              <w:rPr>
                <w:rFonts w:hint="eastAsia" w:eastAsia="宋体" w:cs="Times New Roman"/>
                <w:color w:val="auto"/>
                <w:highlight w:val="none"/>
              </w:rPr>
              <w:t>【中】拟投入检测设备先进、配备基本合理，能基本满足检测和服务期要求，得1-3分；</w:t>
            </w:r>
          </w:p>
          <w:p w14:paraId="6955F4C6">
            <w:pPr>
              <w:pStyle w:val="14"/>
              <w:adjustRightInd w:val="0"/>
              <w:snapToGrid w:val="0"/>
              <w:spacing w:after="0" w:line="276" w:lineRule="auto"/>
              <w:ind w:firstLine="210"/>
              <w:rPr>
                <w:rFonts w:hint="eastAsia" w:eastAsia="宋体" w:cs="Times New Roman"/>
                <w:color w:val="auto"/>
                <w:highlight w:val="none"/>
              </w:rPr>
            </w:pPr>
            <w:r>
              <w:rPr>
                <w:rFonts w:hint="eastAsia" w:eastAsia="宋体" w:cs="Times New Roman"/>
                <w:color w:val="auto"/>
                <w:highlight w:val="none"/>
              </w:rPr>
              <w:t>【差】设备不能满足检测需要和服务期要求，得0分。</w:t>
            </w:r>
          </w:p>
          <w:p w14:paraId="3FFC20A2">
            <w:pPr>
              <w:widowControl/>
              <w:spacing w:line="276"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注：1、要求投标人同时提供发票（或租赁合同）和检定校准证书扫描件；</w:t>
            </w:r>
          </w:p>
          <w:p w14:paraId="1338A5ED">
            <w:pPr>
              <w:widowControl/>
              <w:spacing w:line="276"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2、仪器发票开具发票单位或租赁使用单位如果和投标人不一致时，开具发票单位或租赁使用单位必须与投标人同为一个相同的法人单位，并附单位营业执照等相关证明文件；</w:t>
            </w:r>
          </w:p>
          <w:p w14:paraId="4299EDF7">
            <w:pPr>
              <w:widowControl/>
              <w:spacing w:line="276"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3、检定证书送检单位必须与投标人一致，否则不予认可。</w:t>
            </w:r>
          </w:p>
          <w:p w14:paraId="4A35D609">
            <w:pPr>
              <w:widowControl/>
              <w:spacing w:line="276" w:lineRule="auto"/>
              <w:jc w:val="left"/>
              <w:rPr>
                <w:rFonts w:hint="eastAsia" w:eastAsia="宋体" w:cs="Times New Roman"/>
                <w:color w:val="auto"/>
                <w:highlight w:val="none"/>
              </w:rPr>
            </w:pPr>
            <w:r>
              <w:rPr>
                <w:rFonts w:hint="eastAsia" w:ascii="宋体" w:hAnsi="宋体" w:eastAsia="宋体" w:cs="宋体"/>
                <w:color w:val="auto"/>
                <w:kern w:val="0"/>
                <w:szCs w:val="21"/>
                <w:highlight w:val="none"/>
                <w:lang w:bidi="ar"/>
              </w:rPr>
              <w:t>4、本项评分内容联合体各成员可以累计加分。</w:t>
            </w:r>
          </w:p>
        </w:tc>
      </w:tr>
      <w:tr w14:paraId="25865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6" w:hRule="atLeast"/>
        </w:trPr>
        <w:tc>
          <w:tcPr>
            <w:tcW w:w="424" w:type="pct"/>
            <w:vMerge w:val="continue"/>
            <w:tcBorders>
              <w:top w:val="single" w:color="auto" w:sz="4" w:space="0"/>
              <w:bottom w:val="single" w:color="auto" w:sz="4" w:space="0"/>
              <w:right w:val="single" w:color="auto" w:sz="4" w:space="0"/>
            </w:tcBorders>
            <w:noWrap w:val="0"/>
            <w:vAlign w:val="center"/>
          </w:tcPr>
          <w:p w14:paraId="3AF969EC">
            <w:pPr>
              <w:spacing w:line="276" w:lineRule="auto"/>
              <w:jc w:val="center"/>
              <w:rPr>
                <w:rFonts w:hint="eastAsia" w:ascii="宋体" w:hAnsi="宋体" w:eastAsia="宋体" w:cs="宋体"/>
                <w:color w:val="auto"/>
                <w:szCs w:val="21"/>
                <w:highlight w:val="none"/>
              </w:rPr>
            </w:pPr>
          </w:p>
        </w:tc>
        <w:tc>
          <w:tcPr>
            <w:tcW w:w="482" w:type="pct"/>
            <w:vMerge w:val="continue"/>
            <w:tcBorders>
              <w:top w:val="single" w:color="auto" w:sz="4" w:space="0"/>
              <w:bottom w:val="single" w:color="auto" w:sz="4" w:space="0"/>
              <w:right w:val="single" w:color="auto" w:sz="4" w:space="0"/>
            </w:tcBorders>
            <w:noWrap w:val="0"/>
            <w:vAlign w:val="center"/>
          </w:tcPr>
          <w:p w14:paraId="009AF7DF">
            <w:pPr>
              <w:spacing w:line="276" w:lineRule="auto"/>
              <w:jc w:val="center"/>
              <w:rPr>
                <w:rFonts w:hint="eastAsia" w:eastAsia="宋体" w:cs="宋体"/>
                <w:color w:val="auto"/>
                <w:szCs w:val="21"/>
                <w:highlight w:val="none"/>
              </w:rPr>
            </w:pPr>
          </w:p>
        </w:tc>
        <w:tc>
          <w:tcPr>
            <w:tcW w:w="824" w:type="pct"/>
            <w:gridSpan w:val="2"/>
            <w:tcBorders>
              <w:top w:val="single" w:color="auto" w:sz="4" w:space="0"/>
              <w:left w:val="single" w:color="auto" w:sz="4" w:space="0"/>
              <w:bottom w:val="single" w:color="auto" w:sz="4" w:space="0"/>
              <w:right w:val="single" w:color="auto" w:sz="4" w:space="0"/>
            </w:tcBorders>
            <w:noWrap w:val="0"/>
            <w:vAlign w:val="center"/>
          </w:tcPr>
          <w:p w14:paraId="5E82C2C6">
            <w:pPr>
              <w:widowControl/>
              <w:spacing w:line="276" w:lineRule="auto"/>
              <w:jc w:val="center"/>
              <w:textAlignment w:val="center"/>
              <w:rPr>
                <w:rFonts w:eastAsia="宋体" w:cs="宋体"/>
                <w:color w:val="auto"/>
                <w:szCs w:val="21"/>
                <w:highlight w:val="none"/>
              </w:rPr>
            </w:pPr>
            <w:r>
              <w:rPr>
                <w:rFonts w:hint="eastAsia" w:eastAsia="宋体" w:cs="宋体"/>
                <w:color w:val="auto"/>
                <w:szCs w:val="21"/>
                <w:highlight w:val="none"/>
              </w:rPr>
              <w:t>检测方案（</w:t>
            </w:r>
            <w:r>
              <w:rPr>
                <w:rFonts w:hint="eastAsia" w:eastAsia="宋体" w:cs="宋体"/>
                <w:color w:val="auto"/>
                <w:szCs w:val="21"/>
                <w:highlight w:val="none"/>
                <w:lang w:val="en-US" w:eastAsia="zh-CN"/>
              </w:rPr>
              <w:t>15</w:t>
            </w:r>
            <w:r>
              <w:rPr>
                <w:rFonts w:hint="eastAsia" w:eastAsia="宋体" w:cs="宋体"/>
                <w:color w:val="auto"/>
                <w:szCs w:val="21"/>
                <w:highlight w:val="none"/>
              </w:rPr>
              <w:t>分）</w:t>
            </w:r>
          </w:p>
        </w:tc>
        <w:tc>
          <w:tcPr>
            <w:tcW w:w="3268" w:type="pct"/>
            <w:gridSpan w:val="2"/>
            <w:tcBorders>
              <w:top w:val="single" w:color="auto" w:sz="4" w:space="0"/>
              <w:left w:val="single" w:color="auto" w:sz="4" w:space="0"/>
              <w:bottom w:val="single" w:color="auto" w:sz="4" w:space="0"/>
              <w:right w:val="single" w:color="auto" w:sz="4" w:space="0"/>
            </w:tcBorders>
            <w:noWrap w:val="0"/>
            <w:vAlign w:val="top"/>
          </w:tcPr>
          <w:p w14:paraId="58874C1A">
            <w:pPr>
              <w:pStyle w:val="14"/>
              <w:adjustRightInd w:val="0"/>
              <w:snapToGrid w:val="0"/>
              <w:spacing w:after="0" w:line="276" w:lineRule="auto"/>
              <w:ind w:firstLine="210"/>
              <w:rPr>
                <w:rFonts w:ascii="Calibri" w:hAnsi="Calibri" w:eastAsia="宋体" w:cs="宋体"/>
                <w:color w:val="auto"/>
                <w:szCs w:val="21"/>
                <w:highlight w:val="none"/>
              </w:rPr>
            </w:pPr>
            <w:r>
              <w:rPr>
                <w:rFonts w:hint="eastAsia" w:ascii="Calibri" w:hAnsi="Calibri" w:eastAsia="宋体" w:cs="宋体"/>
                <w:color w:val="auto"/>
                <w:szCs w:val="21"/>
                <w:highlight w:val="none"/>
              </w:rPr>
              <w:t>【优】检测方案详细、具体，内容齐全，方法合理可行，能满足本工程提出的所有项目，有合理可行的保证通过相关验收、满足工程进度、质量和安全确保措施，得</w:t>
            </w:r>
            <w:r>
              <w:rPr>
                <w:rFonts w:hint="eastAsia" w:ascii="Calibri" w:hAnsi="Calibri" w:eastAsia="宋体" w:cs="宋体"/>
                <w:color w:val="auto"/>
                <w:szCs w:val="21"/>
                <w:highlight w:val="none"/>
                <w:lang w:val="en-US" w:eastAsia="zh-CN"/>
              </w:rPr>
              <w:t>12-15</w:t>
            </w:r>
            <w:r>
              <w:rPr>
                <w:rFonts w:hint="eastAsia" w:ascii="Calibri" w:hAnsi="Calibri" w:eastAsia="宋体" w:cs="宋体"/>
                <w:color w:val="auto"/>
                <w:szCs w:val="21"/>
                <w:highlight w:val="none"/>
              </w:rPr>
              <w:t>分。</w:t>
            </w:r>
          </w:p>
          <w:p w14:paraId="4494ED9A">
            <w:pPr>
              <w:pStyle w:val="14"/>
              <w:adjustRightInd w:val="0"/>
              <w:snapToGrid w:val="0"/>
              <w:spacing w:after="0" w:line="276" w:lineRule="auto"/>
              <w:ind w:firstLine="210"/>
              <w:rPr>
                <w:rFonts w:ascii="Calibri" w:hAnsi="Calibri" w:eastAsia="宋体" w:cs="宋体"/>
                <w:color w:val="auto"/>
                <w:szCs w:val="21"/>
                <w:highlight w:val="none"/>
              </w:rPr>
            </w:pPr>
            <w:r>
              <w:rPr>
                <w:rFonts w:hint="eastAsia" w:ascii="Calibri" w:hAnsi="Calibri" w:eastAsia="宋体" w:cs="宋体"/>
                <w:color w:val="auto"/>
                <w:szCs w:val="21"/>
                <w:highlight w:val="none"/>
              </w:rPr>
              <w:t>【良】检测方案较详细、较具体，内容较齐全，方法较合理可行，有比较可行的保证通过相关验收、满足工程进度、质量和安全确保措施，得</w:t>
            </w:r>
            <w:r>
              <w:rPr>
                <w:rFonts w:hint="eastAsia" w:ascii="Calibri" w:hAnsi="Calibri" w:eastAsia="宋体" w:cs="宋体"/>
                <w:color w:val="auto"/>
                <w:szCs w:val="21"/>
                <w:highlight w:val="none"/>
                <w:lang w:val="en-US" w:eastAsia="zh-CN"/>
              </w:rPr>
              <w:t>8-11</w:t>
            </w:r>
            <w:r>
              <w:rPr>
                <w:rFonts w:hint="eastAsia" w:ascii="Calibri" w:hAnsi="Calibri" w:eastAsia="宋体" w:cs="宋体"/>
                <w:color w:val="auto"/>
                <w:szCs w:val="21"/>
                <w:highlight w:val="none"/>
              </w:rPr>
              <w:t>分；</w:t>
            </w:r>
          </w:p>
          <w:p w14:paraId="30F65EFE">
            <w:pPr>
              <w:pStyle w:val="14"/>
              <w:adjustRightInd w:val="0"/>
              <w:snapToGrid w:val="0"/>
              <w:spacing w:after="0" w:line="276" w:lineRule="auto"/>
              <w:ind w:firstLine="210"/>
              <w:rPr>
                <w:rFonts w:ascii="Calibri" w:hAnsi="Calibri" w:eastAsia="宋体" w:cs="宋体"/>
                <w:color w:val="auto"/>
                <w:szCs w:val="21"/>
                <w:highlight w:val="none"/>
              </w:rPr>
            </w:pPr>
            <w:r>
              <w:rPr>
                <w:rFonts w:hint="eastAsia" w:ascii="Calibri" w:hAnsi="Calibri" w:eastAsia="宋体" w:cs="宋体"/>
                <w:color w:val="auto"/>
                <w:szCs w:val="21"/>
                <w:highlight w:val="none"/>
              </w:rPr>
              <w:t>【中】检测方案基本内容满足要求，方法基本符合规范要求，有基本能通过相关验收、满足工程进度、质量和安全的确保措施，得</w:t>
            </w:r>
            <w:r>
              <w:rPr>
                <w:rFonts w:hint="eastAsia" w:ascii="Calibri" w:hAnsi="Calibri" w:eastAsia="宋体" w:cs="宋体"/>
                <w:color w:val="auto"/>
                <w:szCs w:val="21"/>
                <w:highlight w:val="none"/>
                <w:lang w:val="en-US" w:eastAsia="zh-CN"/>
              </w:rPr>
              <w:t>4-7</w:t>
            </w:r>
            <w:r>
              <w:rPr>
                <w:rFonts w:hint="eastAsia" w:ascii="Calibri" w:hAnsi="Calibri" w:eastAsia="宋体" w:cs="宋体"/>
                <w:color w:val="auto"/>
                <w:szCs w:val="21"/>
                <w:highlight w:val="none"/>
              </w:rPr>
              <w:t>分。</w:t>
            </w:r>
          </w:p>
          <w:p w14:paraId="1B4FEF39">
            <w:pPr>
              <w:widowControl/>
              <w:spacing w:line="276" w:lineRule="auto"/>
              <w:ind w:firstLine="210" w:firstLineChars="100"/>
              <w:jc w:val="left"/>
              <w:textAlignment w:val="center"/>
              <w:rPr>
                <w:rFonts w:hint="eastAsia" w:eastAsia="宋体" w:cs="宋体"/>
                <w:color w:val="auto"/>
                <w:szCs w:val="21"/>
                <w:highlight w:val="none"/>
              </w:rPr>
            </w:pPr>
            <w:r>
              <w:rPr>
                <w:rFonts w:hint="eastAsia" w:ascii="Calibri" w:hAnsi="Calibri" w:eastAsia="宋体" w:cs="宋体"/>
                <w:color w:val="auto"/>
                <w:kern w:val="2"/>
                <w:sz w:val="21"/>
                <w:szCs w:val="21"/>
                <w:highlight w:val="none"/>
                <w:lang w:val="en-US" w:eastAsia="zh-CN" w:bidi="ar-SA"/>
              </w:rPr>
              <w:t>【差】检测方案基本内容阐述缺项，方法基本不能满足检测要求，得1-3分。</w:t>
            </w:r>
          </w:p>
        </w:tc>
      </w:tr>
      <w:tr w14:paraId="685AE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424" w:type="pct"/>
            <w:tcBorders>
              <w:top w:val="single" w:color="auto" w:sz="4" w:space="0"/>
              <w:bottom w:val="single" w:color="auto" w:sz="4" w:space="0"/>
              <w:right w:val="single" w:color="auto" w:sz="4" w:space="0"/>
            </w:tcBorders>
            <w:noWrap w:val="0"/>
            <w:vAlign w:val="center"/>
          </w:tcPr>
          <w:p w14:paraId="1C2C30AA">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w:t>
            </w:r>
          </w:p>
          <w:p w14:paraId="2A2F9BB6">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82" w:type="pct"/>
            <w:tcBorders>
              <w:top w:val="single" w:color="auto" w:sz="4" w:space="0"/>
              <w:bottom w:val="single" w:color="auto" w:sz="4" w:space="0"/>
              <w:right w:val="single" w:color="auto" w:sz="4" w:space="0"/>
            </w:tcBorders>
            <w:noWrap w:val="0"/>
            <w:vAlign w:val="center"/>
          </w:tcPr>
          <w:p w14:paraId="1ED4EB78">
            <w:pPr>
              <w:spacing w:line="276" w:lineRule="auto"/>
              <w:jc w:val="center"/>
              <w:rPr>
                <w:rFonts w:hint="eastAsia" w:eastAsia="宋体" w:cs="宋体"/>
                <w:color w:val="auto"/>
                <w:szCs w:val="21"/>
                <w:highlight w:val="none"/>
                <w:lang w:eastAsia="zh-CN"/>
              </w:rPr>
            </w:pPr>
            <w:r>
              <w:rPr>
                <w:rFonts w:hint="eastAsia" w:eastAsia="宋体" w:cs="宋体"/>
                <w:color w:val="auto"/>
                <w:szCs w:val="21"/>
                <w:highlight w:val="none"/>
              </w:rPr>
              <w:t>投标报价评分标准</w:t>
            </w:r>
            <w:r>
              <w:rPr>
                <w:rFonts w:hint="eastAsia" w:eastAsia="宋体" w:cs="宋体"/>
                <w:color w:val="auto"/>
                <w:szCs w:val="21"/>
                <w:highlight w:val="none"/>
                <w:lang w:eastAsia="zh-CN"/>
              </w:rPr>
              <w:t>（</w:t>
            </w:r>
            <w:r>
              <w:rPr>
                <w:rFonts w:hint="eastAsia" w:eastAsia="宋体" w:cs="宋体"/>
                <w:color w:val="auto"/>
                <w:szCs w:val="21"/>
                <w:highlight w:val="none"/>
                <w:lang w:val="en-US" w:eastAsia="zh-CN"/>
              </w:rPr>
              <w:t>10分</w:t>
            </w:r>
            <w:r>
              <w:rPr>
                <w:rFonts w:hint="eastAsia" w:eastAsia="宋体" w:cs="宋体"/>
                <w:color w:val="auto"/>
                <w:szCs w:val="21"/>
                <w:highlight w:val="none"/>
                <w:lang w:eastAsia="zh-CN"/>
              </w:rPr>
              <w:t>）</w:t>
            </w:r>
          </w:p>
        </w:tc>
        <w:tc>
          <w:tcPr>
            <w:tcW w:w="824" w:type="pct"/>
            <w:gridSpan w:val="2"/>
            <w:tcBorders>
              <w:top w:val="single" w:color="auto" w:sz="4" w:space="0"/>
              <w:left w:val="single" w:color="auto" w:sz="4" w:space="0"/>
              <w:bottom w:val="single" w:color="auto" w:sz="4" w:space="0"/>
              <w:right w:val="single" w:color="auto" w:sz="4" w:space="0"/>
            </w:tcBorders>
            <w:noWrap w:val="0"/>
            <w:vAlign w:val="center"/>
          </w:tcPr>
          <w:p w14:paraId="38045AAA">
            <w:pPr>
              <w:spacing w:line="276" w:lineRule="auto"/>
              <w:jc w:val="center"/>
              <w:rPr>
                <w:rFonts w:hint="eastAsia" w:eastAsia="宋体" w:cs="宋体"/>
                <w:color w:val="auto"/>
                <w:szCs w:val="21"/>
                <w:highlight w:val="none"/>
              </w:rPr>
            </w:pPr>
            <w:r>
              <w:rPr>
                <w:rFonts w:hint="eastAsia" w:eastAsia="宋体" w:cs="宋体"/>
                <w:color w:val="auto"/>
                <w:szCs w:val="21"/>
                <w:highlight w:val="none"/>
              </w:rPr>
              <w:t>投标报价（</w:t>
            </w:r>
            <w:r>
              <w:rPr>
                <w:rFonts w:hint="eastAsia" w:eastAsia="宋体" w:cs="宋体"/>
                <w:color w:val="auto"/>
                <w:szCs w:val="21"/>
                <w:highlight w:val="none"/>
                <w:lang w:val="en-US" w:eastAsia="zh-CN"/>
              </w:rPr>
              <w:t>10</w:t>
            </w:r>
            <w:r>
              <w:rPr>
                <w:rFonts w:hint="eastAsia" w:eastAsia="宋体" w:cs="宋体"/>
                <w:color w:val="auto"/>
                <w:szCs w:val="21"/>
                <w:highlight w:val="none"/>
              </w:rPr>
              <w:t>分）</w:t>
            </w:r>
          </w:p>
        </w:tc>
        <w:tc>
          <w:tcPr>
            <w:tcW w:w="3268" w:type="pct"/>
            <w:gridSpan w:val="2"/>
            <w:tcBorders>
              <w:top w:val="single" w:color="auto" w:sz="4" w:space="0"/>
              <w:left w:val="single" w:color="auto" w:sz="4" w:space="0"/>
              <w:bottom w:val="single" w:color="auto" w:sz="4" w:space="0"/>
              <w:right w:val="single" w:color="auto" w:sz="4" w:space="0"/>
            </w:tcBorders>
            <w:noWrap w:val="0"/>
            <w:vAlign w:val="center"/>
          </w:tcPr>
          <w:p w14:paraId="497D2354">
            <w:pPr>
              <w:widowControl/>
              <w:spacing w:line="276" w:lineRule="auto"/>
              <w:jc w:val="left"/>
              <w:textAlignment w:val="center"/>
              <w:rPr>
                <w:rFonts w:hint="eastAsia" w:eastAsia="宋体" w:cs="宋体"/>
                <w:color w:val="auto"/>
                <w:szCs w:val="21"/>
                <w:highlight w:val="none"/>
              </w:rPr>
            </w:pPr>
            <w:r>
              <w:rPr>
                <w:rFonts w:hint="eastAsia" w:eastAsia="宋体" w:cs="宋体"/>
                <w:color w:val="auto"/>
                <w:szCs w:val="21"/>
                <w:highlight w:val="none"/>
              </w:rPr>
              <w:t>以评标基准价作为计算各有效投标价得分的基础，当有效投标报价等于评标基准价时得</w:t>
            </w:r>
            <w:r>
              <w:rPr>
                <w:rFonts w:hint="eastAsia" w:eastAsia="宋体" w:cs="宋体"/>
                <w:color w:val="auto"/>
                <w:szCs w:val="21"/>
                <w:highlight w:val="none"/>
                <w:lang w:val="en-US" w:eastAsia="zh-CN"/>
              </w:rPr>
              <w:t>1</w:t>
            </w:r>
            <w:r>
              <w:rPr>
                <w:rFonts w:hint="eastAsia" w:eastAsia="宋体" w:cs="宋体"/>
                <w:color w:val="auto"/>
                <w:szCs w:val="21"/>
                <w:highlight w:val="none"/>
              </w:rPr>
              <w:t>0分；投标有效报价与评标基准价之差，每上偏1%扣1分，下偏1%扣0.5分，本项最高分为</w:t>
            </w:r>
            <w:r>
              <w:rPr>
                <w:rFonts w:hint="eastAsia" w:eastAsia="宋体" w:cs="宋体"/>
                <w:color w:val="auto"/>
                <w:szCs w:val="21"/>
                <w:highlight w:val="none"/>
                <w:lang w:val="en-US" w:eastAsia="zh-CN"/>
              </w:rPr>
              <w:t>1</w:t>
            </w:r>
            <w:r>
              <w:rPr>
                <w:rFonts w:hint="eastAsia" w:eastAsia="宋体" w:cs="宋体"/>
                <w:color w:val="auto"/>
                <w:szCs w:val="21"/>
                <w:highlight w:val="none"/>
              </w:rPr>
              <w:t>0分，最低分为0分。</w:t>
            </w:r>
          </w:p>
        </w:tc>
      </w:tr>
    </w:tbl>
    <w:p w14:paraId="73BEEA14">
      <w:pPr>
        <w:spacing w:line="360" w:lineRule="auto"/>
        <w:rPr>
          <w:rFonts w:hint="eastAsia" w:eastAsia="宋体" w:cs="Times New Roman"/>
          <w:color w:val="auto"/>
          <w:highlight w:val="none"/>
        </w:rPr>
      </w:pPr>
    </w:p>
    <w:p w14:paraId="7EA82177">
      <w:pPr>
        <w:spacing w:line="360" w:lineRule="auto"/>
        <w:rPr>
          <w:rFonts w:hint="eastAsia" w:eastAsia="宋体" w:cs="Times New Roman"/>
          <w:color w:val="auto"/>
          <w:highlight w:val="none"/>
        </w:rPr>
      </w:pPr>
    </w:p>
    <w:p w14:paraId="39E5F2E6">
      <w:pPr>
        <w:pStyle w:val="4"/>
        <w:keepNext w:val="0"/>
        <w:keepLines w:val="0"/>
        <w:spacing w:before="0" w:after="0" w:line="360" w:lineRule="auto"/>
        <w:jc w:val="center"/>
        <w:rPr>
          <w:rFonts w:hint="eastAsia" w:ascii="宋体" w:hAnsi="宋体" w:eastAsia="宋体" w:cs="宋体"/>
          <w:color w:val="auto"/>
          <w:sz w:val="36"/>
          <w:szCs w:val="36"/>
          <w:highlight w:val="none"/>
        </w:rPr>
      </w:pPr>
      <w:bookmarkStart w:id="161" w:name="_Toc7506"/>
      <w:bookmarkStart w:id="162" w:name="_Toc4534"/>
      <w:bookmarkStart w:id="163" w:name="_Toc20848"/>
      <w:r>
        <w:rPr>
          <w:rFonts w:hint="eastAsia" w:ascii="宋体" w:hAnsi="宋体" w:eastAsia="宋体" w:cs="宋体"/>
          <w:color w:val="auto"/>
          <w:sz w:val="36"/>
          <w:szCs w:val="36"/>
          <w:highlight w:val="none"/>
        </w:rPr>
        <w:t>评标方法</w:t>
      </w:r>
      <w:bookmarkEnd w:id="152"/>
      <w:bookmarkEnd w:id="153"/>
      <w:bookmarkEnd w:id="154"/>
      <w:bookmarkEnd w:id="155"/>
      <w:bookmarkEnd w:id="156"/>
      <w:bookmarkEnd w:id="157"/>
      <w:bookmarkEnd w:id="158"/>
      <w:bookmarkEnd w:id="159"/>
      <w:bookmarkEnd w:id="160"/>
      <w:bookmarkEnd w:id="161"/>
      <w:bookmarkEnd w:id="162"/>
      <w:bookmarkEnd w:id="163"/>
    </w:p>
    <w:p w14:paraId="5161797E">
      <w:pPr>
        <w:keepNext/>
        <w:keepLines/>
        <w:spacing w:line="360" w:lineRule="auto"/>
        <w:jc w:val="left"/>
        <w:outlineLvl w:val="1"/>
        <w:rPr>
          <w:rFonts w:hint="eastAsia" w:ascii="宋体" w:hAnsi="宋体" w:eastAsia="宋体" w:cs="宋体"/>
          <w:b/>
          <w:bCs/>
          <w:color w:val="auto"/>
          <w:sz w:val="32"/>
          <w:szCs w:val="32"/>
          <w:highlight w:val="none"/>
        </w:rPr>
      </w:pPr>
      <w:bookmarkStart w:id="164" w:name="_Toc5223"/>
      <w:bookmarkStart w:id="165" w:name="_Toc11888"/>
      <w:r>
        <w:rPr>
          <w:rFonts w:hint="eastAsia" w:ascii="宋体" w:hAnsi="宋体" w:eastAsia="宋体" w:cs="宋体"/>
          <w:b/>
          <w:bCs/>
          <w:color w:val="auto"/>
          <w:sz w:val="32"/>
          <w:szCs w:val="32"/>
          <w:highlight w:val="none"/>
        </w:rPr>
        <w:t>1.评标方法</w:t>
      </w:r>
      <w:bookmarkEnd w:id="164"/>
      <w:bookmarkEnd w:id="165"/>
    </w:p>
    <w:p w14:paraId="12FE548E">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rPr>
        <w:t>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总得分相等时，以投标报价低的优先；投标报价也相等的，按照评标办法前附表的规定确定中标候选人顺序。</w:t>
      </w:r>
    </w:p>
    <w:p w14:paraId="6D7BE877">
      <w:pPr>
        <w:keepNext/>
        <w:keepLines/>
        <w:spacing w:line="360" w:lineRule="auto"/>
        <w:jc w:val="left"/>
        <w:outlineLvl w:val="1"/>
        <w:rPr>
          <w:rFonts w:hint="eastAsia" w:ascii="宋体" w:hAnsi="宋体" w:eastAsia="宋体" w:cs="宋体"/>
          <w:b/>
          <w:bCs/>
          <w:color w:val="auto"/>
          <w:sz w:val="32"/>
          <w:szCs w:val="32"/>
          <w:highlight w:val="none"/>
        </w:rPr>
      </w:pPr>
      <w:bookmarkStart w:id="166" w:name="_Toc28918"/>
      <w:r>
        <w:rPr>
          <w:rFonts w:hint="eastAsia" w:ascii="宋体" w:hAnsi="宋体" w:eastAsia="宋体" w:cs="宋体"/>
          <w:b/>
          <w:bCs/>
          <w:color w:val="auto"/>
          <w:sz w:val="32"/>
          <w:szCs w:val="32"/>
          <w:highlight w:val="none"/>
        </w:rPr>
        <w:t>2.评审标准</w:t>
      </w:r>
      <w:bookmarkEnd w:id="166"/>
    </w:p>
    <w:p w14:paraId="6A6CF09B">
      <w:pPr>
        <w:keepNext/>
        <w:keepLines/>
        <w:spacing w:line="360" w:lineRule="auto"/>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 初步评审标准</w:t>
      </w:r>
    </w:p>
    <w:p w14:paraId="55B12687">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形式评审标准：见评标办法前附表。</w:t>
      </w:r>
    </w:p>
    <w:p w14:paraId="5C9D03B6">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151B061A">
      <w:pPr>
        <w:spacing w:line="360" w:lineRule="auto"/>
        <w:ind w:firstLine="484" w:firstLineChars="202"/>
        <w:jc w:val="left"/>
        <w:rPr>
          <w:rFonts w:hint="eastAsia" w:ascii="宋体" w:hAnsi="宋体" w:eastAsia="宋体" w:cs="宋体"/>
          <w:color w:val="auto"/>
          <w:sz w:val="24"/>
          <w:szCs w:val="24"/>
          <w:highlight w:val="none"/>
        </w:rPr>
      </w:pPr>
      <w:bookmarkStart w:id="167" w:name="_Toc23335"/>
      <w:r>
        <w:rPr>
          <w:rFonts w:hint="eastAsia" w:ascii="宋体" w:hAnsi="宋体" w:eastAsia="宋体" w:cs="宋体"/>
          <w:color w:val="auto"/>
          <w:sz w:val="24"/>
          <w:szCs w:val="24"/>
          <w:highlight w:val="none"/>
        </w:rPr>
        <w:t xml:space="preserve">2.1.3 </w:t>
      </w:r>
      <w:bookmarkEnd w:id="167"/>
      <w:r>
        <w:rPr>
          <w:rFonts w:hint="eastAsia" w:ascii="宋体" w:hAnsi="宋体" w:eastAsia="宋体" w:cs="宋体"/>
          <w:color w:val="auto"/>
          <w:sz w:val="24"/>
          <w:szCs w:val="24"/>
          <w:highlight w:val="none"/>
        </w:rPr>
        <w:t>响应性评审标准：见评标办法前附表。</w:t>
      </w:r>
    </w:p>
    <w:p w14:paraId="45D29791">
      <w:pPr>
        <w:keepNext/>
        <w:keepLines/>
        <w:spacing w:line="360" w:lineRule="auto"/>
        <w:jc w:val="left"/>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2.2 分值构成与评分标准</w:t>
      </w:r>
    </w:p>
    <w:p w14:paraId="3260C9D7">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3C4D3B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14:paraId="0A6A24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检测监测技术方案</w:t>
      </w:r>
      <w:r>
        <w:rPr>
          <w:rFonts w:hint="eastAsia" w:ascii="宋体" w:hAnsi="宋体" w:eastAsia="宋体" w:cs="宋体"/>
          <w:color w:val="auto"/>
          <w:sz w:val="24"/>
          <w:szCs w:val="24"/>
          <w:highlight w:val="none"/>
        </w:rPr>
        <w:t>部分：见评标办法前附表；</w:t>
      </w:r>
    </w:p>
    <w:p w14:paraId="66E31E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590AD427">
      <w:pPr>
        <w:spacing w:line="360" w:lineRule="auto"/>
        <w:ind w:firstLine="484" w:firstLineChars="202"/>
        <w:jc w:val="left"/>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（4）其他评分因素：见评标办法前附表。</w:t>
      </w:r>
    </w:p>
    <w:p w14:paraId="6CD7E6A9">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w:t>
      </w:r>
    </w:p>
    <w:p w14:paraId="026263FD">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054DC936">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投标报价的计算</w:t>
      </w:r>
    </w:p>
    <w:p w14:paraId="7E9FFCC9">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投标报价的计算公式：见评标办法前附表。</w:t>
      </w:r>
    </w:p>
    <w:p w14:paraId="6D13331D">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14:paraId="50C0B836">
      <w:pPr>
        <w:spacing w:line="360" w:lineRule="auto"/>
        <w:ind w:left="7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（1）资信业绩部分评分标准：见评标办法前附表；</w:t>
      </w:r>
    </w:p>
    <w:p w14:paraId="23687630">
      <w:pPr>
        <w:spacing w:line="360" w:lineRule="auto"/>
        <w:ind w:left="7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检测监测技术</w:t>
      </w:r>
      <w:r>
        <w:rPr>
          <w:rFonts w:hint="eastAsia" w:ascii="宋体" w:hAnsi="宋体" w:eastAsia="宋体" w:cs="宋体"/>
          <w:color w:val="auto"/>
          <w:sz w:val="24"/>
          <w:szCs w:val="24"/>
          <w:highlight w:val="none"/>
        </w:rPr>
        <w:t>方案部分评分标准：见评标办法前附表；</w:t>
      </w:r>
    </w:p>
    <w:p w14:paraId="16260C15">
      <w:pPr>
        <w:spacing w:line="360" w:lineRule="auto"/>
        <w:ind w:left="7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126B0493">
      <w:pPr>
        <w:spacing w:line="360" w:lineRule="auto"/>
        <w:ind w:left="78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（4）其他因素评分标准：见评标办法前附表。</w:t>
      </w:r>
    </w:p>
    <w:p w14:paraId="2B70FC5D">
      <w:pPr>
        <w:keepNext/>
        <w:keepLines/>
        <w:spacing w:line="360" w:lineRule="auto"/>
        <w:jc w:val="left"/>
        <w:outlineLvl w:val="1"/>
        <w:rPr>
          <w:rFonts w:hint="eastAsia" w:ascii="宋体" w:hAnsi="宋体" w:eastAsia="宋体" w:cs="宋体"/>
          <w:b/>
          <w:bCs/>
          <w:color w:val="auto"/>
          <w:sz w:val="32"/>
          <w:szCs w:val="32"/>
          <w:highlight w:val="none"/>
        </w:rPr>
      </w:pPr>
      <w:bookmarkStart w:id="168" w:name="_Toc12342"/>
      <w:r>
        <w:rPr>
          <w:rFonts w:hint="eastAsia" w:ascii="宋体" w:hAnsi="宋体" w:eastAsia="宋体" w:cs="宋体"/>
          <w:b/>
          <w:bCs/>
          <w:color w:val="auto"/>
          <w:sz w:val="32"/>
          <w:szCs w:val="32"/>
          <w:highlight w:val="none"/>
        </w:rPr>
        <w:t>3. 评标程序</w:t>
      </w:r>
      <w:bookmarkEnd w:id="168"/>
    </w:p>
    <w:p w14:paraId="22C43ADD">
      <w:pPr>
        <w:keepNext/>
        <w:keepLines/>
        <w:spacing w:line="360" w:lineRule="auto"/>
        <w:jc w:val="left"/>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3.1 初步评审</w:t>
      </w:r>
    </w:p>
    <w:p w14:paraId="6F4B0493">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评标委员会可以要求投标人提交第二章“投标人须知”规定的有关证明和证件的原件，以便核</w:t>
      </w:r>
      <w:bookmarkStart w:id="169" w:name="_Toc25401"/>
      <w:r>
        <w:rPr>
          <w:rFonts w:hint="eastAsia" w:ascii="宋体" w:hAnsi="宋体" w:eastAsia="宋体" w:cs="宋体"/>
          <w:color w:val="auto"/>
          <w:sz w:val="24"/>
          <w:szCs w:val="24"/>
          <w:highlight w:val="none"/>
        </w:rPr>
        <w:t>验。评标委员会</w:t>
      </w:r>
      <w:bookmarkEnd w:id="169"/>
      <w:r>
        <w:rPr>
          <w:rFonts w:hint="eastAsia" w:ascii="宋体" w:hAnsi="宋体" w:eastAsia="宋体" w:cs="宋体"/>
          <w:color w:val="auto"/>
          <w:sz w:val="24"/>
          <w:szCs w:val="24"/>
          <w:highlight w:val="none"/>
        </w:rPr>
        <w:t>依据本章第 2.1 款规定的标准对投标文件进行初步评审。有一项不符合评审标准的，评标委员会应当否决其投标。</w:t>
      </w:r>
    </w:p>
    <w:p w14:paraId="032A45CB">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14:paraId="04433F70">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20FC6157">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6E2BEF0A">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5B789616">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5C2FD61A">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（2）总价金额与单价金额不一致的，以单价金额为准，但单价金额小数点有明显错误的除外。</w:t>
      </w:r>
    </w:p>
    <w:p w14:paraId="693AE3A1">
      <w:pPr>
        <w:keepNext/>
        <w:keepLines/>
        <w:spacing w:line="360" w:lineRule="auto"/>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 详细评审</w:t>
      </w:r>
    </w:p>
    <w:p w14:paraId="31DAE66F">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 2.2 款规定的量化因素和分值进行打分，并计算出综合评分得分。</w:t>
      </w:r>
    </w:p>
    <w:p w14:paraId="50FEDD68">
      <w:pPr>
        <w:spacing w:line="360" w:lineRule="auto"/>
        <w:ind w:firstLine="487" w:firstLineChars="20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（1）按本章第2.2.4（1）目规定的评审因素和分值对企业资信业绩计算出得分A；</w:t>
      </w:r>
    </w:p>
    <w:p w14:paraId="4100A7BF">
      <w:pPr>
        <w:spacing w:line="360" w:lineRule="auto"/>
        <w:ind w:firstLine="487" w:firstLineChars="20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（2）按本章第2.2.4（2）目规定的评审因素和分值对技术方案计算出得分B；</w:t>
      </w:r>
    </w:p>
    <w:p w14:paraId="11641919">
      <w:pPr>
        <w:spacing w:line="360" w:lineRule="auto"/>
        <w:ind w:firstLine="487" w:firstLineChars="20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（3）按本章第2.2.4（3）目规定的评审因素和分值对投标报价计算出得分C；</w:t>
      </w:r>
    </w:p>
    <w:p w14:paraId="0DB6D3F7">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w:t>
      </w:r>
    </w:p>
    <w:p w14:paraId="245E5BA9">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投标人得分=A+B+C。</w:t>
      </w:r>
    </w:p>
    <w:p w14:paraId="52BDAC24">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36E2568">
      <w:pPr>
        <w:keepNext/>
        <w:keepLines/>
        <w:spacing w:line="360" w:lineRule="auto"/>
        <w:jc w:val="left"/>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3.3 投标文件的澄清</w:t>
      </w:r>
    </w:p>
    <w:p w14:paraId="3EA8EACF">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5B92D09">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澄清、说明或补正不得超出投标文件的范围且不得改变投标文件的实质性内容，并构成投标文件的组成部分。</w:t>
      </w:r>
    </w:p>
    <w:p w14:paraId="39D9DF06">
      <w:pPr>
        <w:spacing w:line="360" w:lineRule="auto"/>
        <w:ind w:firstLine="484" w:firstLineChars="202"/>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3.3.3 评标委员会对投标人提交的澄清、说明或补正有疑问的，可以要求投标人进一步澄清、说明或补正，直至满足评标委员会的要求。</w:t>
      </w:r>
    </w:p>
    <w:p w14:paraId="1940A6A9">
      <w:pPr>
        <w:keepNext/>
        <w:keepLines/>
        <w:spacing w:line="360" w:lineRule="auto"/>
        <w:jc w:val="left"/>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3.4 评标结果</w:t>
      </w:r>
    </w:p>
    <w:p w14:paraId="411BEEBC">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除第二章“投标人须知”前附表授权直接确定中标人外，评标委员会按照得分由高到低的顺序推荐中标候选人，并标明排序。</w:t>
      </w:r>
    </w:p>
    <w:p w14:paraId="0C273BA3">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评标委员会完成评标后，应当向招标人提交书面评标报告和中标候选人名单。</w:t>
      </w:r>
    </w:p>
    <w:p w14:paraId="6C619CA3">
      <w:pPr>
        <w:spacing w:line="360" w:lineRule="auto"/>
        <w:rPr>
          <w:rFonts w:hint="eastAsia" w:ascii="宋体" w:hAnsi="宋体" w:eastAsia="宋体" w:cs="宋体"/>
          <w:color w:val="auto"/>
          <w:highlight w:val="none"/>
        </w:rPr>
      </w:pPr>
    </w:p>
    <w:p w14:paraId="68AE323C">
      <w:pPr>
        <w:spacing w:line="360" w:lineRule="auto"/>
        <w:rPr>
          <w:rFonts w:hint="eastAsia" w:ascii="宋体" w:hAnsi="宋体" w:eastAsia="宋体" w:cs="宋体"/>
          <w:color w:val="auto"/>
          <w:highlight w:val="none"/>
        </w:rPr>
      </w:pPr>
    </w:p>
    <w:p w14:paraId="0654A6D9">
      <w:pPr>
        <w:keepNext/>
        <w:keepLines/>
        <w:adjustRightInd w:val="0"/>
        <w:snapToGrid w:val="0"/>
        <w:spacing w:before="312" w:beforeLines="100" w:after="312" w:afterLines="100" w:line="360" w:lineRule="auto"/>
        <w:ind w:firstLine="1767" w:firstLineChars="400"/>
        <w:jc w:val="both"/>
        <w:textAlignment w:val="center"/>
        <w:outlineLvl w:val="0"/>
        <w:rPr>
          <w:rFonts w:hint="eastAsia" w:ascii="宋体" w:hAnsi="宋体" w:eastAsia="宋体" w:cs="宋体"/>
          <w:color w:val="auto"/>
          <w:sz w:val="44"/>
          <w:szCs w:val="44"/>
          <w:highlight w:val="none"/>
        </w:rPr>
      </w:pPr>
      <w:bookmarkStart w:id="170" w:name="_Toc25775"/>
      <w:r>
        <w:rPr>
          <w:rFonts w:hint="eastAsia" w:ascii="宋体" w:hAnsi="宋体" w:eastAsia="宋体" w:cs="宋体"/>
          <w:b/>
          <w:bCs/>
          <w:color w:val="auto"/>
          <w:sz w:val="44"/>
          <w:szCs w:val="44"/>
          <w:highlight w:val="none"/>
        </w:rPr>
        <w:t>第四章  合同条款及格式</w:t>
      </w:r>
      <w:bookmarkEnd w:id="170"/>
    </w:p>
    <w:p w14:paraId="00910261">
      <w:pPr>
        <w:keepNext/>
        <w:keepLines/>
        <w:tabs>
          <w:tab w:val="center" w:pos="0"/>
        </w:tabs>
        <w:adjustRightInd w:val="0"/>
        <w:snapToGrid w:val="0"/>
        <w:spacing w:before="312" w:beforeLines="100" w:after="312" w:afterLines="100" w:line="360" w:lineRule="auto"/>
        <w:jc w:val="center"/>
        <w:textAlignment w:val="center"/>
        <w:outlineLvl w:val="0"/>
        <w:rPr>
          <w:rFonts w:hint="eastAsia" w:ascii="宋体" w:hAnsi="宋体" w:eastAsia="宋体" w:cs="宋体"/>
          <w:color w:val="auto"/>
          <w:sz w:val="44"/>
          <w:szCs w:val="44"/>
          <w:highlight w:val="none"/>
        </w:rPr>
      </w:pPr>
      <w:bookmarkStart w:id="171" w:name="_Toc7302"/>
      <w:r>
        <w:rPr>
          <w:rFonts w:hint="eastAsia" w:ascii="宋体" w:hAnsi="宋体" w:eastAsia="宋体" w:cs="宋体"/>
          <w:color w:val="auto"/>
          <w:sz w:val="32"/>
          <w:szCs w:val="32"/>
          <w:highlight w:val="none"/>
        </w:rPr>
        <w:t>（另册）</w:t>
      </w: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44"/>
          <w:szCs w:val="44"/>
          <w:highlight w:val="none"/>
        </w:rPr>
        <w:t>第五章  招标人要求</w:t>
      </w:r>
      <w:bookmarkEnd w:id="171"/>
    </w:p>
    <w:p w14:paraId="4F5934DC">
      <w:pPr>
        <w:adjustRightInd w:val="0"/>
        <w:snapToGrid w:val="0"/>
        <w:spacing w:line="360" w:lineRule="auto"/>
        <w:ind w:firstLine="643" w:firstLineChars="200"/>
        <w:jc w:val="center"/>
        <w:textAlignment w:val="baseline"/>
        <w:rPr>
          <w:rFonts w:hint="eastAsia" w:ascii="宋体" w:hAnsi="宋体" w:eastAsia="宋体" w:cs="宋体"/>
          <w:color w:val="auto"/>
          <w:sz w:val="28"/>
          <w:szCs w:val="28"/>
          <w:highlight w:val="none"/>
        </w:rPr>
      </w:pPr>
      <w:r>
        <w:rPr>
          <w:rFonts w:hint="eastAsia" w:ascii="宋体" w:hAnsi="宋体" w:eastAsia="宋体" w:cs="宋体"/>
          <w:b/>
          <w:color w:val="auto"/>
          <w:sz w:val="32"/>
          <w:szCs w:val="32"/>
          <w:highlight w:val="none"/>
        </w:rPr>
        <w:t>（按国家、广东省、广州市相关规范执行）</w:t>
      </w:r>
    </w:p>
    <w:p w14:paraId="38C97BE9">
      <w:pPr>
        <w:keepNext/>
        <w:keepLines/>
        <w:numPr>
          <w:ilvl w:val="0"/>
          <w:numId w:val="3"/>
        </w:numPr>
        <w:tabs>
          <w:tab w:val="center" w:pos="0"/>
        </w:tabs>
        <w:adjustRightInd w:val="0"/>
        <w:snapToGrid w:val="0"/>
        <w:spacing w:before="312" w:beforeLines="100" w:after="312" w:afterLines="100" w:line="360" w:lineRule="auto"/>
        <w:jc w:val="center"/>
        <w:textAlignment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 xml:space="preserve"> </w:t>
      </w:r>
      <w:bookmarkStart w:id="172" w:name="_Toc12654"/>
      <w:r>
        <w:rPr>
          <w:rFonts w:hint="eastAsia" w:ascii="宋体" w:hAnsi="宋体" w:eastAsia="宋体" w:cs="宋体"/>
          <w:b/>
          <w:bCs/>
          <w:color w:val="auto"/>
          <w:sz w:val="44"/>
          <w:szCs w:val="44"/>
          <w:highlight w:val="none"/>
        </w:rPr>
        <w:t>工程量清单</w:t>
      </w:r>
      <w:bookmarkEnd w:id="172"/>
    </w:p>
    <w:p w14:paraId="4A9EBF7E">
      <w:pPr>
        <w:pStyle w:val="19"/>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一、工程量</w:t>
      </w:r>
      <w:bookmarkStart w:id="173" w:name="_Toc525063257"/>
      <w:r>
        <w:rPr>
          <w:rFonts w:hint="eastAsia" w:ascii="宋体" w:hAnsi="宋体" w:eastAsia="宋体" w:cs="宋体"/>
          <w:b/>
          <w:color w:val="auto"/>
          <w:sz w:val="30"/>
          <w:szCs w:val="30"/>
          <w:highlight w:val="none"/>
        </w:rPr>
        <w:t>清</w:t>
      </w:r>
      <w:bookmarkStart w:id="174" w:name="_Toc22323"/>
      <w:bookmarkStart w:id="175" w:name="_Toc17141"/>
      <w:bookmarkStart w:id="176" w:name="_Toc532367884"/>
      <w:bookmarkStart w:id="177" w:name="_Toc32167"/>
      <w:bookmarkStart w:id="178" w:name="_Toc25859"/>
      <w:bookmarkStart w:id="179" w:name="_Toc695"/>
      <w:bookmarkStart w:id="180" w:name="_Toc7907"/>
      <w:bookmarkStart w:id="181" w:name="_Toc24053"/>
      <w:r>
        <w:rPr>
          <w:rFonts w:hint="eastAsia" w:ascii="宋体" w:hAnsi="宋体" w:eastAsia="宋体" w:cs="宋体"/>
          <w:b/>
          <w:color w:val="auto"/>
          <w:sz w:val="30"/>
          <w:szCs w:val="30"/>
          <w:highlight w:val="none"/>
        </w:rPr>
        <w:t>单项目计量计价原则</w:t>
      </w:r>
    </w:p>
    <w:bookmarkEnd w:id="173"/>
    <w:bookmarkEnd w:id="174"/>
    <w:bookmarkEnd w:id="175"/>
    <w:bookmarkEnd w:id="176"/>
    <w:bookmarkEnd w:id="177"/>
    <w:bookmarkEnd w:id="178"/>
    <w:bookmarkEnd w:id="179"/>
    <w:bookmarkEnd w:id="180"/>
    <w:bookmarkEnd w:id="181"/>
    <w:p w14:paraId="2D0BFD5A">
      <w:pPr>
        <w:spacing w:line="360" w:lineRule="auto"/>
        <w:ind w:left="1" w:firstLine="480" w:firstLineChars="200"/>
        <w:rPr>
          <w:rFonts w:hint="eastAsia" w:ascii="宋体" w:hAnsi="宋体" w:eastAsia="宋体" w:cs="宋体"/>
          <w:color w:val="auto"/>
          <w:sz w:val="24"/>
          <w:szCs w:val="24"/>
          <w:highlight w:val="none"/>
        </w:rPr>
      </w:pPr>
      <w:bookmarkStart w:id="182" w:name="_Toc518374713"/>
      <w:bookmarkStart w:id="183" w:name="_Toc332631175"/>
      <w:r>
        <w:rPr>
          <w:rFonts w:hint="eastAsia" w:ascii="宋体" w:hAnsi="宋体" w:eastAsia="宋体" w:cs="宋体"/>
          <w:color w:val="auto"/>
          <w:sz w:val="24"/>
          <w:szCs w:val="24"/>
          <w:highlight w:val="none"/>
        </w:rPr>
        <w:t>1.投标人应充分分析市场的价格变动风险及本单位的承受能力，并不得低于成本报价竞价。</w:t>
      </w:r>
    </w:p>
    <w:p w14:paraId="7A6A854E">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2.报价为投标人的报价文件中提出的各项支付金额的总和。应是完成本次招标范围及工期的全部费用，不得以任何理由予以重复，并作为投标人计算单价或总价的依据。</w:t>
      </w:r>
    </w:p>
    <w:p w14:paraId="7867E286">
      <w:pPr>
        <w:spacing w:line="360" w:lineRule="auto"/>
        <w:ind w:left="1"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3.除非招标人对招标文件予以修改，投标人应按招标人提供的工程量清单执行。</w:t>
      </w:r>
    </w:p>
    <w:p w14:paraId="5AB10869">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总价已包括但不限于人工费、材料费、设备使用费、设备进出场费、检测试验费、各项措施费（包括但不限于：安全文明施工、临水临电安装、临时道路铺设、机械设备进出场、工作面清理及整理、检测配载、桩头处理、试坑开挖、疏干排水、工作搭架、工作棚、锚桩及焊接等相关费用）、报告编写费、各项管理费、以及所有因工程质量检测应交纳的政府规费、利润、税金、风险费用等，不论实际费用有无发生，亦不论各项费用有无涨落，均不再调整。招标人现场不提供办公及住宿等条件，所有费用由中标人在投标报价中综合考虑。</w:t>
      </w:r>
    </w:p>
    <w:p w14:paraId="68F58329">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用单价包干，工程量以实际发生（按业主、监理人、中标人确认）进行计算，但最终结算价不得超过概算审定的检测费总价。实际工程量不超过招标发布的工程量清单20%，工程量按招标发布的工程量结算；实际工程量超过招标发布的工程量清单20%，</w:t>
      </w:r>
      <w:r>
        <w:rPr>
          <w:rFonts w:hint="eastAsia" w:ascii="宋体" w:hAnsi="宋体" w:eastAsia="宋体" w:cs="Times New Roman"/>
          <w:color w:val="auto"/>
          <w:sz w:val="24"/>
          <w:szCs w:val="24"/>
          <w:highlight w:val="none"/>
        </w:rPr>
        <w:t>结算时依据实际工程量×收费标准×（1-投标下浮率）结算</w:t>
      </w:r>
      <w:r>
        <w:rPr>
          <w:rFonts w:hint="eastAsia" w:ascii="宋体" w:hAnsi="宋体" w:eastAsia="宋体" w:cs="宋体"/>
          <w:color w:val="auto"/>
          <w:sz w:val="24"/>
          <w:szCs w:val="24"/>
          <w:highlight w:val="none"/>
        </w:rPr>
        <w:t>，并各方签订补充协议。</w:t>
      </w:r>
    </w:p>
    <w:p w14:paraId="523AC4ED">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结算价已包含了为完成本项目招标内容要求所产生的所有不可预见的费用,包括但不限于包工、包料、包设备设施、包工期、包质量、包安全、包文明作业、包与建设项目相关单位的协调以及本项目可能产生的风险等所有费用。</w:t>
      </w:r>
    </w:p>
    <w:p w14:paraId="70BF34F2">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实际发生的工程量单价按不超过《广东省房屋建筑和市政工程质量安全检测收费指导价（第一批）》（粤建检协〔2015〕8号）、《广东省既有房屋建筑安全性鉴定收费指导价》的通知（粤建检协〔2015〕8号）、《关于印发《广州市建设工程基坑监测、变形点监测收费项目及标准指导性意见》的通知》(穗建检协字(2013)12号)、《工程勘察设计收费管理规定》计价格[2002]10号的收费依据，基础上再结合投标下浮率计算的单价确定，如上述相关收费标准没有的项目，按以下优先顺序参照《房屋建筑和市政基础设施工程设计收费导则》中所附的《工程勘察设计收费标准》（2002年修订本）、《番禺区住房和建设局关于调整番禺区建设工程质量检测单位库检测收费标准的通知》、《关于发布&lt;广东省环境监测行业指导价&gt;的通知》（2021年修订稿），上述计费文件均没有的单价，按由甲乙双方参照市场价格协商确定，最终以评审审定为准，结算时按中标人投标时的下浮率结合合同相关条款进行结算，结算价超过经财政评审的概算中对应的检测服务的审定金额或最高投标限价的，则按评审审定金额和最高投标限价的低者为最终结算价（如有审计，以审计结果为准）。</w:t>
      </w:r>
    </w:p>
    <w:p w14:paraId="21241B7E">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检测监测服务的工作量根据经招标人批准的检测方案，并结合工程量清单、现场实际情况由招标人、监理人、中标人三方进行签证确认，中标人自行增加的额外工作量将不被承认，最终以番禺区财政评审机构审定为准结算。</w:t>
      </w:r>
    </w:p>
    <w:p w14:paraId="26B8A0C3">
      <w:pPr>
        <w:spacing w:line="360" w:lineRule="auto"/>
        <w:ind w:left="1" w:firstLine="480" w:firstLineChars="200"/>
        <w:rPr>
          <w:rFonts w:hint="eastAsia" w:ascii="宋体" w:hAnsi="宋体" w:eastAsia="宋体" w:cs="宋体"/>
          <w:color w:val="auto"/>
          <w:sz w:val="24"/>
          <w:szCs w:val="24"/>
          <w:highlight w:val="none"/>
        </w:rPr>
      </w:pPr>
    </w:p>
    <w:p w14:paraId="60141492">
      <w:pPr>
        <w:keepNext/>
        <w:keepLines/>
        <w:spacing w:line="360" w:lineRule="auto"/>
        <w:jc w:val="left"/>
        <w:outlineLvl w:val="2"/>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二</w:t>
      </w:r>
      <w:bookmarkStart w:id="184" w:name="_Hlk9581969"/>
      <w:r>
        <w:rPr>
          <w:rFonts w:hint="eastAsia" w:ascii="宋体" w:hAnsi="宋体" w:eastAsia="宋体" w:cs="宋体"/>
          <w:b/>
          <w:bCs/>
          <w:color w:val="auto"/>
          <w:sz w:val="28"/>
          <w:szCs w:val="32"/>
          <w:highlight w:val="none"/>
        </w:rPr>
        <w:t>、工程量清</w:t>
      </w:r>
      <w:bookmarkEnd w:id="184"/>
      <w:r>
        <w:rPr>
          <w:rFonts w:hint="eastAsia" w:ascii="宋体" w:hAnsi="宋体" w:eastAsia="宋体" w:cs="宋体"/>
          <w:b/>
          <w:bCs/>
          <w:color w:val="auto"/>
          <w:sz w:val="28"/>
          <w:szCs w:val="32"/>
          <w:highlight w:val="none"/>
        </w:rPr>
        <w:t>单（另册）</w:t>
      </w:r>
    </w:p>
    <w:p w14:paraId="372A390D">
      <w:pPr>
        <w:spacing w:line="360" w:lineRule="auto"/>
        <w:rPr>
          <w:rFonts w:hint="eastAsia" w:eastAsia="宋体" w:cs="Times New Roman"/>
          <w:color w:val="auto"/>
          <w:highlight w:val="none"/>
        </w:rPr>
      </w:pPr>
    </w:p>
    <w:p w14:paraId="02CC0EB0">
      <w:pPr>
        <w:pStyle w:val="13"/>
        <w:spacing w:line="360" w:lineRule="auto"/>
        <w:rPr>
          <w:rFonts w:hint="eastAsia" w:eastAsia="宋体" w:cs="Times New Roman"/>
          <w:color w:val="auto"/>
          <w:highlight w:val="none"/>
        </w:rPr>
      </w:pPr>
    </w:p>
    <w:p w14:paraId="4A93775E">
      <w:pPr>
        <w:spacing w:line="360" w:lineRule="auto"/>
        <w:rPr>
          <w:rFonts w:hint="eastAsia" w:eastAsia="宋体" w:cs="Times New Roman"/>
          <w:color w:val="auto"/>
          <w:highlight w:val="none"/>
        </w:rPr>
      </w:pPr>
    </w:p>
    <w:p w14:paraId="0C3AC3FE">
      <w:pPr>
        <w:widowControl/>
        <w:spacing w:line="360" w:lineRule="auto"/>
        <w:jc w:val="left"/>
        <w:rPr>
          <w:rFonts w:hint="eastAsia" w:ascii="宋体" w:hAnsi="宋体" w:eastAsia="宋体" w:cs="宋体"/>
          <w:color w:val="auto"/>
          <w:szCs w:val="24"/>
          <w:highlight w:val="none"/>
        </w:rPr>
      </w:pPr>
      <w:r>
        <w:rPr>
          <w:rFonts w:hint="eastAsia" w:eastAsia="宋体" w:cs="Times New Roman"/>
          <w:color w:val="auto"/>
          <w:highlight w:val="none"/>
        </w:rPr>
        <w:br w:type="page"/>
      </w:r>
    </w:p>
    <w:p w14:paraId="3DE4BFE4">
      <w:pPr>
        <w:pStyle w:val="3"/>
        <w:keepNext w:val="0"/>
        <w:keepLines w:val="0"/>
        <w:spacing w:line="360" w:lineRule="auto"/>
        <w:jc w:val="center"/>
        <w:rPr>
          <w:rFonts w:hint="eastAsia" w:ascii="宋体" w:hAnsi="宋体" w:eastAsia="宋体" w:cs="宋体"/>
          <w:color w:val="auto"/>
          <w:kern w:val="2"/>
          <w:highlight w:val="none"/>
        </w:rPr>
      </w:pPr>
    </w:p>
    <w:p w14:paraId="339B9097">
      <w:pPr>
        <w:pStyle w:val="3"/>
        <w:keepNext w:val="0"/>
        <w:keepLines w:val="0"/>
        <w:spacing w:line="360" w:lineRule="auto"/>
        <w:jc w:val="center"/>
        <w:rPr>
          <w:rFonts w:hint="eastAsia" w:ascii="宋体" w:hAnsi="宋体" w:eastAsia="宋体" w:cs="宋体"/>
          <w:color w:val="auto"/>
          <w:highlight w:val="none"/>
        </w:rPr>
      </w:pPr>
      <w:bookmarkStart w:id="185" w:name="_Toc18657"/>
      <w:r>
        <w:rPr>
          <w:rFonts w:hint="eastAsia" w:ascii="宋体" w:hAnsi="宋体" w:eastAsia="宋体" w:cs="宋体"/>
          <w:color w:val="auto"/>
          <w:kern w:val="2"/>
          <w:highlight w:val="none"/>
        </w:rPr>
        <w:t>第七章  投标文件格式</w:t>
      </w:r>
      <w:bookmarkEnd w:id="185"/>
    </w:p>
    <w:bookmarkEnd w:id="182"/>
    <w:bookmarkEnd w:id="183"/>
    <w:p w14:paraId="510361E4">
      <w:pPr>
        <w:spacing w:line="360" w:lineRule="auto"/>
        <w:jc w:val="center"/>
        <w:rPr>
          <w:rFonts w:ascii="宋体" w:hAnsi="宋体" w:eastAsia="宋体" w:cs="宋体"/>
          <w:b/>
          <w:color w:val="auto"/>
          <w:sz w:val="44"/>
          <w:szCs w:val="44"/>
          <w:highlight w:val="none"/>
        </w:rPr>
      </w:pPr>
    </w:p>
    <w:p w14:paraId="6A66343E">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广东番禺中学九年一贯制学校（番禺中学附属学校）二期工程检测监测服务</w:t>
      </w:r>
    </w:p>
    <w:p w14:paraId="16510FCE">
      <w:pPr>
        <w:spacing w:line="360" w:lineRule="auto"/>
        <w:rPr>
          <w:rFonts w:hint="eastAsia" w:ascii="宋体" w:hAnsi="宋体" w:eastAsia="宋体" w:cs="宋体"/>
          <w:color w:val="auto"/>
          <w:sz w:val="20"/>
          <w:highlight w:val="none"/>
        </w:rPr>
      </w:pPr>
    </w:p>
    <w:p w14:paraId="67DCD0F0">
      <w:pPr>
        <w:spacing w:line="360" w:lineRule="auto"/>
        <w:rPr>
          <w:rFonts w:hint="eastAsia" w:ascii="宋体" w:hAnsi="宋体" w:eastAsia="宋体" w:cs="宋体"/>
          <w:color w:val="auto"/>
          <w:sz w:val="20"/>
          <w:highlight w:val="none"/>
        </w:rPr>
      </w:pPr>
    </w:p>
    <w:p w14:paraId="13469BAD">
      <w:pPr>
        <w:spacing w:line="360" w:lineRule="auto"/>
        <w:rPr>
          <w:rFonts w:hint="eastAsia" w:ascii="宋体" w:hAnsi="宋体" w:eastAsia="宋体" w:cs="宋体"/>
          <w:color w:val="auto"/>
          <w:sz w:val="20"/>
          <w:highlight w:val="none"/>
        </w:rPr>
      </w:pPr>
    </w:p>
    <w:p w14:paraId="2E5FFFF5">
      <w:pPr>
        <w:spacing w:line="360" w:lineRule="auto"/>
        <w:rPr>
          <w:rFonts w:hint="eastAsia" w:ascii="宋体" w:hAnsi="宋体" w:eastAsia="宋体" w:cs="宋体"/>
          <w:color w:val="auto"/>
          <w:sz w:val="20"/>
          <w:highlight w:val="none"/>
        </w:rPr>
      </w:pPr>
    </w:p>
    <w:p w14:paraId="31BB7ECE">
      <w:pPr>
        <w:spacing w:line="360" w:lineRule="auto"/>
        <w:rPr>
          <w:rFonts w:hint="eastAsia" w:ascii="宋体" w:hAnsi="宋体" w:eastAsia="宋体" w:cs="宋体"/>
          <w:color w:val="auto"/>
          <w:sz w:val="20"/>
          <w:highlight w:val="none"/>
        </w:rPr>
      </w:pPr>
    </w:p>
    <w:p w14:paraId="5384EBD9">
      <w:pPr>
        <w:spacing w:line="360" w:lineRule="auto"/>
        <w:rPr>
          <w:rFonts w:hint="eastAsia" w:ascii="宋体" w:hAnsi="宋体" w:eastAsia="宋体" w:cs="宋体"/>
          <w:color w:val="auto"/>
          <w:sz w:val="20"/>
          <w:highlight w:val="none"/>
        </w:rPr>
      </w:pPr>
    </w:p>
    <w:p w14:paraId="35E6DA85">
      <w:pPr>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投标文件</w:t>
      </w:r>
    </w:p>
    <w:p w14:paraId="256BAD1A">
      <w:pPr>
        <w:spacing w:line="360" w:lineRule="auto"/>
        <w:rPr>
          <w:rFonts w:hint="eastAsia" w:ascii="宋体" w:hAnsi="宋体" w:eastAsia="宋体" w:cs="宋体"/>
          <w:color w:val="auto"/>
          <w:sz w:val="28"/>
          <w:highlight w:val="none"/>
        </w:rPr>
      </w:pPr>
    </w:p>
    <w:p w14:paraId="6C40AE10">
      <w:pPr>
        <w:spacing w:line="360" w:lineRule="auto"/>
        <w:rPr>
          <w:rFonts w:hint="eastAsia" w:ascii="宋体" w:hAnsi="宋体" w:eastAsia="宋体" w:cs="宋体"/>
          <w:color w:val="auto"/>
          <w:sz w:val="28"/>
          <w:highlight w:val="none"/>
        </w:rPr>
      </w:pPr>
    </w:p>
    <w:p w14:paraId="5EE6CB79">
      <w:pPr>
        <w:spacing w:line="360" w:lineRule="auto"/>
        <w:rPr>
          <w:rFonts w:hint="eastAsia" w:ascii="宋体" w:hAnsi="宋体" w:eastAsia="宋体" w:cs="宋体"/>
          <w:color w:val="auto"/>
          <w:sz w:val="28"/>
          <w:highlight w:val="none"/>
        </w:rPr>
      </w:pPr>
    </w:p>
    <w:p w14:paraId="3C602984">
      <w:pPr>
        <w:spacing w:line="360" w:lineRule="auto"/>
        <w:rPr>
          <w:rFonts w:hint="eastAsia" w:ascii="宋体" w:hAnsi="宋体" w:eastAsia="宋体" w:cs="宋体"/>
          <w:color w:val="auto"/>
          <w:sz w:val="28"/>
          <w:highlight w:val="none"/>
        </w:rPr>
      </w:pPr>
    </w:p>
    <w:p w14:paraId="40AFDBFD">
      <w:pPr>
        <w:spacing w:line="360" w:lineRule="auto"/>
        <w:rPr>
          <w:rFonts w:hint="eastAsia" w:ascii="宋体" w:hAnsi="宋体" w:eastAsia="宋体" w:cs="宋体"/>
          <w:color w:val="auto"/>
          <w:sz w:val="28"/>
          <w:highlight w:val="none"/>
        </w:rPr>
      </w:pPr>
    </w:p>
    <w:p w14:paraId="1ED3A94A">
      <w:pPr>
        <w:spacing w:line="360" w:lineRule="auto"/>
        <w:rPr>
          <w:rFonts w:hint="eastAsia" w:ascii="宋体" w:hAnsi="宋体" w:eastAsia="宋体" w:cs="宋体"/>
          <w:color w:val="auto"/>
          <w:sz w:val="28"/>
          <w:highlight w:val="none"/>
        </w:rPr>
      </w:pPr>
    </w:p>
    <w:p w14:paraId="72EFE6C8">
      <w:pPr>
        <w:spacing w:line="360" w:lineRule="auto"/>
        <w:ind w:firstLine="1120" w:firstLineChars="4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投标人：（盖章）</w:t>
      </w:r>
    </w:p>
    <w:p w14:paraId="19BA155E">
      <w:pPr>
        <w:spacing w:line="360" w:lineRule="auto"/>
        <w:ind w:firstLine="1120" w:firstLineChars="4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法定代表人或其委托代理人：（签字或盖章）</w:t>
      </w:r>
    </w:p>
    <w:p w14:paraId="3BD2FC38">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8"/>
          <w:highlight w:val="none"/>
        </w:rPr>
        <w:t>年  月  日</w:t>
      </w:r>
    </w:p>
    <w:p w14:paraId="5A534617">
      <w:pPr>
        <w:spacing w:line="360" w:lineRule="auto"/>
        <w:rPr>
          <w:rFonts w:hint="eastAsia" w:ascii="宋体" w:hAnsi="宋体" w:eastAsia="宋体" w:cs="宋体"/>
          <w:color w:val="auto"/>
          <w:highlight w:val="none"/>
        </w:rPr>
      </w:pPr>
    </w:p>
    <w:p w14:paraId="709E317D">
      <w:pPr>
        <w:spacing w:line="360" w:lineRule="auto"/>
        <w:rPr>
          <w:rFonts w:hint="eastAsia" w:ascii="宋体" w:hAnsi="宋体" w:eastAsia="宋体" w:cs="宋体"/>
          <w:color w:val="auto"/>
          <w:highlight w:val="none"/>
        </w:rPr>
      </w:pPr>
    </w:p>
    <w:p w14:paraId="38261997">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目录</w:t>
      </w:r>
    </w:p>
    <w:p w14:paraId="08AB64D6">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一、投标函及投标函附录</w:t>
      </w:r>
      <w:r>
        <w:rPr>
          <w:rFonts w:hint="eastAsia" w:ascii="宋体" w:hAnsi="宋体" w:eastAsia="宋体" w:cs="宋体"/>
          <w:color w:val="auto"/>
          <w:sz w:val="28"/>
          <w:szCs w:val="28"/>
          <w:highlight w:val="none"/>
        </w:rPr>
        <w:tab/>
      </w:r>
    </w:p>
    <w:p w14:paraId="65F78D63">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二、法定代表人证明书及授权委托书</w:t>
      </w:r>
      <w:r>
        <w:rPr>
          <w:rFonts w:hint="eastAsia" w:ascii="宋体" w:hAnsi="宋体" w:eastAsia="宋体" w:cs="宋体"/>
          <w:color w:val="auto"/>
          <w:sz w:val="28"/>
          <w:szCs w:val="28"/>
          <w:highlight w:val="none"/>
        </w:rPr>
        <w:tab/>
      </w:r>
    </w:p>
    <w:p w14:paraId="512E45A0">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三、联合体协议书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（如有）</w:t>
      </w:r>
    </w:p>
    <w:p w14:paraId="0AF12BA4">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四、关于投标保证金的承诺</w:t>
      </w:r>
    </w:p>
    <w:p w14:paraId="7D8E7FDF">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五、资格审查资料</w:t>
      </w:r>
      <w:r>
        <w:rPr>
          <w:rFonts w:hint="eastAsia" w:ascii="宋体" w:hAnsi="宋体" w:eastAsia="宋体" w:cs="宋体"/>
          <w:color w:val="auto"/>
          <w:sz w:val="28"/>
          <w:szCs w:val="28"/>
          <w:highlight w:val="none"/>
        </w:rPr>
        <w:tab/>
      </w:r>
    </w:p>
    <w:p w14:paraId="6B211341">
      <w:pPr>
        <w:spacing w:line="360" w:lineRule="auto"/>
        <w:jc w:val="left"/>
        <w:rPr>
          <w:rFonts w:hint="eastAsia" w:ascii="宋体" w:hAnsi="宋体" w:eastAsia="宋体" w:cs="宋体"/>
          <w:color w:val="auto"/>
          <w:sz w:val="28"/>
          <w:szCs w:val="28"/>
          <w:highlight w:val="none"/>
        </w:rPr>
      </w:pPr>
      <w:bookmarkStart w:id="186" w:name="_Toc525063272"/>
      <w:bookmarkStart w:id="187" w:name="_Toc759"/>
      <w:bookmarkStart w:id="188" w:name="_Toc15847"/>
      <w:bookmarkStart w:id="189" w:name="_Toc14300"/>
      <w:bookmarkStart w:id="190" w:name="_Toc20192"/>
      <w:bookmarkStart w:id="191" w:name="_Toc7672"/>
      <w:r>
        <w:rPr>
          <w:rFonts w:hint="eastAsia" w:ascii="宋体" w:hAnsi="宋体" w:eastAsia="宋体" w:cs="宋体"/>
          <w:color w:val="auto"/>
          <w:sz w:val="28"/>
          <w:szCs w:val="28"/>
          <w:highlight w:val="none"/>
        </w:rPr>
        <w:t>六、类似项目业绩表</w:t>
      </w:r>
    </w:p>
    <w:p w14:paraId="5C297A46">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七、拟投入本项目的人员一览表</w:t>
      </w:r>
    </w:p>
    <w:p w14:paraId="45544CDD">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八、拟投入本项目的人员简历表</w:t>
      </w:r>
    </w:p>
    <w:p w14:paraId="4F5ABE82">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九、拟投入本项目的主要仪器设备一览表</w:t>
      </w:r>
    </w:p>
    <w:p w14:paraId="4BFFAD00">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十、检测监测技术方案</w:t>
      </w:r>
      <w:r>
        <w:rPr>
          <w:rFonts w:hint="eastAsia" w:ascii="宋体" w:hAnsi="宋体" w:eastAsia="宋体" w:cs="宋体"/>
          <w:color w:val="auto"/>
          <w:sz w:val="28"/>
          <w:szCs w:val="28"/>
          <w:highlight w:val="none"/>
        </w:rPr>
        <w:tab/>
      </w:r>
    </w:p>
    <w:p w14:paraId="4A393CC6">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十一、投标人认为应该提供的其他资料</w:t>
      </w:r>
    </w:p>
    <w:p w14:paraId="2A83E707">
      <w:pPr>
        <w:spacing w:line="360" w:lineRule="auto"/>
        <w:rPr>
          <w:rFonts w:hint="eastAsia" w:ascii="宋体" w:hAnsi="宋体" w:eastAsia="宋体" w:cs="宋体"/>
          <w:color w:val="auto"/>
          <w:sz w:val="20"/>
          <w:highlight w:val="none"/>
        </w:rPr>
      </w:pPr>
    </w:p>
    <w:p w14:paraId="44366D98">
      <w:pPr>
        <w:keepNext/>
        <w:keepLines/>
        <w:spacing w:line="360" w:lineRule="auto"/>
        <w:jc w:val="center"/>
        <w:outlineLvl w:val="1"/>
        <w:rPr>
          <w:rFonts w:hint="eastAsia" w:ascii="宋体" w:hAnsi="宋体" w:eastAsia="宋体" w:cs="宋体"/>
          <w:color w:val="auto"/>
          <w:sz w:val="32"/>
          <w:highlight w:val="none"/>
        </w:rPr>
      </w:pPr>
      <w:r>
        <w:rPr>
          <w:rFonts w:hint="eastAsia" w:ascii="宋体" w:hAnsi="宋体" w:eastAsia="宋体" w:cs="宋体"/>
          <w:color w:val="auto"/>
          <w:highlight w:val="none"/>
        </w:rPr>
        <w:br w:type="page"/>
      </w:r>
      <w:bookmarkStart w:id="192" w:name="_Toc7606"/>
      <w:r>
        <w:rPr>
          <w:rFonts w:hint="eastAsia" w:ascii="宋体" w:hAnsi="宋体" w:eastAsia="宋体" w:cs="宋体"/>
          <w:color w:val="auto"/>
          <w:sz w:val="32"/>
          <w:highlight w:val="none"/>
        </w:rPr>
        <w:t>一、</w:t>
      </w:r>
      <w:r>
        <w:rPr>
          <w:rFonts w:hint="eastAsia" w:ascii="宋体" w:hAnsi="宋体" w:eastAsia="宋体" w:cs="宋体"/>
          <w:b/>
          <w:bCs/>
          <w:color w:val="auto"/>
          <w:sz w:val="32"/>
          <w:szCs w:val="32"/>
          <w:highlight w:val="none"/>
        </w:rPr>
        <w:t>投标函及投标函附录</w:t>
      </w:r>
      <w:bookmarkEnd w:id="192"/>
    </w:p>
    <w:p w14:paraId="287DE2B1">
      <w:pPr>
        <w:spacing w:line="360" w:lineRule="auto"/>
        <w:jc w:val="center"/>
        <w:rPr>
          <w:rFonts w:hint="eastAsia" w:ascii="宋体" w:hAnsi="宋体" w:eastAsia="宋体" w:cs="宋体"/>
          <w:color w:val="auto"/>
          <w:sz w:val="30"/>
          <w:szCs w:val="24"/>
          <w:highlight w:val="none"/>
        </w:rPr>
      </w:pPr>
      <w:r>
        <w:rPr>
          <w:rFonts w:hint="eastAsia" w:ascii="宋体" w:hAnsi="宋体" w:eastAsia="宋体" w:cs="宋体"/>
          <w:color w:val="auto"/>
          <w:sz w:val="30"/>
          <w:szCs w:val="24"/>
          <w:highlight w:val="none"/>
        </w:rPr>
        <w:t>（一）投标函</w:t>
      </w:r>
    </w:p>
    <w:p w14:paraId="022D8233">
      <w:pPr>
        <w:spacing w:line="360" w:lineRule="auto"/>
        <w:rPr>
          <w:rFonts w:hint="eastAsia" w:ascii="宋体" w:hAnsi="宋体" w:eastAsia="宋体" w:cs="宋体"/>
          <w:color w:val="auto"/>
          <w:szCs w:val="24"/>
          <w:highlight w:val="none"/>
        </w:rPr>
      </w:pPr>
    </w:p>
    <w:bookmarkEnd w:id="186"/>
    <w:bookmarkEnd w:id="187"/>
    <w:bookmarkEnd w:id="188"/>
    <w:bookmarkEnd w:id="189"/>
    <w:bookmarkEnd w:id="190"/>
    <w:bookmarkEnd w:id="191"/>
    <w:p w14:paraId="61CDA5D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致：</w:t>
      </w:r>
      <w:r>
        <w:rPr>
          <w:rFonts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u w:val="single"/>
        </w:rPr>
        <w:t xml:space="preserve">       </w:t>
      </w:r>
      <w:r>
        <w:rPr>
          <w:rFonts w:ascii="宋体" w:hAnsi="宋体" w:eastAsia="宋体" w:cs="Times New Roman"/>
          <w:b/>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（招标人）</w:t>
      </w:r>
      <w:r>
        <w:rPr>
          <w:rFonts w:ascii="宋体" w:hAnsi="宋体" w:eastAsia="宋体" w:cs="Times New Roman"/>
          <w:color w:val="auto"/>
          <w:sz w:val="24"/>
          <w:szCs w:val="24"/>
          <w:highlight w:val="none"/>
          <w:u w:val="single"/>
        </w:rPr>
        <w:t xml:space="preserve">          </w:t>
      </w:r>
    </w:p>
    <w:p w14:paraId="37BB8920">
      <w:pPr>
        <w:pStyle w:val="8"/>
        <w:spacing w:after="0"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 </w:t>
      </w:r>
      <w:r>
        <w:rPr>
          <w:rFonts w:hint="eastAsia" w:ascii="宋体" w:hAnsi="宋体" w:eastAsia="宋体" w:cs="Times New Roman"/>
          <w:color w:val="auto"/>
          <w:sz w:val="24"/>
          <w:highlight w:val="none"/>
        </w:rPr>
        <w:t>在仔细分析研究了贵单位提供的</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rPr>
        <w:t>（项目名称）</w:t>
      </w:r>
      <w:r>
        <w:rPr>
          <w:rFonts w:hint="eastAsia" w:ascii="宋体" w:hAnsi="宋体" w:eastAsia="宋体" w:cs="Times New Roman"/>
          <w:color w:val="auto"/>
          <w:sz w:val="24"/>
          <w:highlight w:val="none"/>
        </w:rPr>
        <w:t>招标文件后，我方愿意以总价为人民币（大写）</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（小写</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）作为</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rPr>
        <w:t>项目名称</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服务费的总价，并遵照招标文件的有关规定要求，承担全部服务任务工作。</w:t>
      </w:r>
    </w:p>
    <w:p w14:paraId="76005868">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我方确认的</w:t>
      </w:r>
      <w:r>
        <w:rPr>
          <w:rFonts w:hint="eastAsia" w:ascii="宋体" w:hAnsi="宋体" w:eastAsia="宋体" w:cs="Times New Roman"/>
          <w:b/>
          <w:bCs/>
          <w:color w:val="auto"/>
          <w:sz w:val="24"/>
          <w:szCs w:val="24"/>
          <w:highlight w:val="none"/>
        </w:rPr>
        <w:t>投标函</w:t>
      </w:r>
      <w:r>
        <w:rPr>
          <w:rFonts w:hint="eastAsia" w:ascii="宋体" w:hAnsi="宋体" w:eastAsia="宋体" w:cs="Times New Roman"/>
          <w:color w:val="auto"/>
          <w:sz w:val="24"/>
          <w:szCs w:val="24"/>
          <w:highlight w:val="none"/>
        </w:rPr>
        <w:t>是我单位投标文件的组成部分。</w:t>
      </w:r>
    </w:p>
    <w:p w14:paraId="293A13C1">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如果贵单位接受我方的投标，我方保证按合同规定的期限内开始本工程的检测监测工作并按投标书中规定的期限内完成合同规定的全部任务。</w:t>
      </w:r>
    </w:p>
    <w:p w14:paraId="215C71C2">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我方同意在从规定的</w:t>
      </w:r>
      <w:r>
        <w:rPr>
          <w:rFonts w:hint="eastAsia" w:ascii="宋体" w:hAnsi="宋体" w:eastAsia="宋体" w:cs="Times New Roman"/>
          <w:b/>
          <w:bCs/>
          <w:color w:val="auto"/>
          <w:sz w:val="24"/>
          <w:szCs w:val="24"/>
          <w:highlight w:val="none"/>
        </w:rPr>
        <w:t>递交投标文件截止之日起</w:t>
      </w:r>
      <w:r>
        <w:rPr>
          <w:rFonts w:ascii="宋体" w:hAnsi="宋体" w:eastAsia="宋体" w:cs="Times New Roman"/>
          <w:b/>
          <w:bCs/>
          <w:color w:val="auto"/>
          <w:sz w:val="24"/>
          <w:szCs w:val="24"/>
          <w:highlight w:val="none"/>
        </w:rPr>
        <w:t>90</w:t>
      </w:r>
      <w:r>
        <w:rPr>
          <w:rFonts w:hint="eastAsia" w:ascii="宋体" w:hAnsi="宋体" w:eastAsia="宋体" w:cs="Times New Roman"/>
          <w:b/>
          <w:bCs/>
          <w:color w:val="auto"/>
          <w:sz w:val="24"/>
          <w:szCs w:val="24"/>
          <w:highlight w:val="none"/>
        </w:rPr>
        <w:t>天</w:t>
      </w:r>
      <w:r>
        <w:rPr>
          <w:rFonts w:hint="eastAsia" w:ascii="宋体" w:hAnsi="宋体" w:eastAsia="宋体" w:cs="Times New Roman"/>
          <w:color w:val="auto"/>
          <w:sz w:val="24"/>
          <w:szCs w:val="24"/>
          <w:highlight w:val="none"/>
        </w:rPr>
        <w:t>内遵守本投标文件。在此期限届满之前，本投标文件始终将对我们具有约束力并随时接受中标。</w:t>
      </w:r>
    </w:p>
    <w:p w14:paraId="4488D879">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在合同协议制定和签署之前，本投标书连同贵单位的中标通知书、双方签认的补充、修正或澄清文件及其他文件和附件应成为约束贵、我双方的合同文件。</w:t>
      </w:r>
    </w:p>
    <w:p w14:paraId="540C43BF">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我们理解，贵单位不一定接受最低标价的投标文件或可能接受其他任何投标文件，同时也理解，贵单位不负担我们的任何投标费用。</w:t>
      </w:r>
    </w:p>
    <w:p w14:paraId="1A3F0ABB">
      <w:pPr>
        <w:spacing w:line="360" w:lineRule="auto"/>
        <w:rPr>
          <w:rFonts w:ascii="宋体" w:hAnsi="宋体" w:eastAsia="宋体" w:cs="Times New Roman"/>
          <w:color w:val="auto"/>
          <w:highlight w:val="none"/>
        </w:rPr>
      </w:pPr>
    </w:p>
    <w:p w14:paraId="4716E8A4">
      <w:pPr>
        <w:spacing w:line="360" w:lineRule="auto"/>
        <w:ind w:firstLine="2520" w:firstLineChars="1200"/>
        <w:jc w:val="left"/>
        <w:rPr>
          <w:rFonts w:ascii="宋体" w:hAnsi="宋体" w:eastAsia="宋体" w:cs="Times New Roman"/>
          <w:color w:val="auto"/>
          <w:szCs w:val="21"/>
          <w:highlight w:val="none"/>
        </w:rPr>
      </w:pPr>
    </w:p>
    <w:p w14:paraId="58DF5AAB">
      <w:pPr>
        <w:spacing w:line="360" w:lineRule="auto"/>
        <w:ind w:right="960" w:firstLine="4536" w:firstLineChars="189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投标人（盖章）： </w:t>
      </w:r>
    </w:p>
    <w:p w14:paraId="148FFDDA">
      <w:pPr>
        <w:spacing w:line="360" w:lineRule="auto"/>
        <w:ind w:firstLine="1984" w:firstLineChars="719"/>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pacing w:val="18"/>
          <w:sz w:val="24"/>
          <w:highlight w:val="none"/>
        </w:rPr>
        <w:t>法定</w:t>
      </w:r>
      <w:r>
        <w:rPr>
          <w:rFonts w:ascii="Times New Roman" w:hAnsi="Times New Roman" w:eastAsia="宋体" w:cs="Times New Roman"/>
          <w:color w:val="auto"/>
          <w:spacing w:val="18"/>
          <w:sz w:val="24"/>
          <w:highlight w:val="none"/>
        </w:rPr>
        <w:t>代表人(或被授权人)</w:t>
      </w:r>
      <w:r>
        <w:rPr>
          <w:rFonts w:hint="eastAsia" w:ascii="Times New Roman" w:hAnsi="Times New Roman" w:eastAsia="宋体" w:cs="Times New Roman"/>
          <w:color w:val="auto"/>
          <w:spacing w:val="18"/>
          <w:sz w:val="24"/>
          <w:highlight w:val="none"/>
        </w:rPr>
        <w:t>签字或盖章</w:t>
      </w:r>
      <w:r>
        <w:rPr>
          <w:rFonts w:hint="eastAsia" w:ascii="Times New Roman" w:hAnsi="Times New Roman" w:eastAsia="宋体" w:cs="Times New Roman"/>
          <w:color w:val="auto"/>
          <w:sz w:val="24"/>
          <w:highlight w:val="none"/>
        </w:rPr>
        <w:t>：</w:t>
      </w:r>
    </w:p>
    <w:p w14:paraId="3F6279C4">
      <w:pPr>
        <w:spacing w:line="360" w:lineRule="auto"/>
        <w:ind w:firstLine="5400" w:firstLineChars="2250"/>
        <w:jc w:val="right"/>
        <w:rPr>
          <w:rFonts w:ascii="宋体" w:hAnsi="宋体" w:eastAsia="宋体" w:cs="Times New Roman"/>
          <w:color w:val="auto"/>
          <w:szCs w:val="21"/>
          <w:highlight w:val="none"/>
        </w:rPr>
      </w:pPr>
      <w:r>
        <w:rPr>
          <w:rFonts w:hint="eastAsia" w:ascii="Times New Roman" w:hAnsi="Times New Roman" w:eastAsia="宋体" w:cs="Times New Roman"/>
          <w:color w:val="auto"/>
          <w:sz w:val="24"/>
          <w:highlight w:val="none"/>
        </w:rPr>
        <w:t>2024年  月  日</w:t>
      </w:r>
    </w:p>
    <w:p w14:paraId="015DA7C2">
      <w:pPr>
        <w:spacing w:line="360" w:lineRule="auto"/>
        <w:jc w:val="left"/>
        <w:rPr>
          <w:rFonts w:hint="eastAsia" w:ascii="宋体" w:hAnsi="宋体" w:eastAsia="宋体" w:cs="宋体"/>
          <w:color w:val="auto"/>
          <w:highlight w:val="none"/>
        </w:rPr>
      </w:pPr>
    </w:p>
    <w:p w14:paraId="7826BBED">
      <w:pPr>
        <w:spacing w:line="360" w:lineRule="auto"/>
        <w:jc w:val="center"/>
        <w:rPr>
          <w:rFonts w:hint="eastAsia" w:ascii="宋体" w:hAnsi="宋体" w:eastAsia="宋体" w:cs="宋体"/>
          <w:color w:val="auto"/>
          <w:sz w:val="30"/>
          <w:szCs w:val="24"/>
          <w:highlight w:val="none"/>
        </w:rPr>
      </w:pPr>
      <w:r>
        <w:rPr>
          <w:rFonts w:ascii="宋体" w:hAnsi="宋体" w:eastAsia="宋体" w:cs="宋体"/>
          <w:color w:val="auto"/>
          <w:sz w:val="30"/>
          <w:szCs w:val="24"/>
          <w:highlight w:val="none"/>
        </w:rPr>
        <w:br w:type="page"/>
      </w:r>
      <w:r>
        <w:rPr>
          <w:rFonts w:hint="eastAsia" w:ascii="宋体" w:hAnsi="宋体" w:eastAsia="宋体" w:cs="宋体"/>
          <w:color w:val="auto"/>
          <w:sz w:val="30"/>
          <w:szCs w:val="24"/>
          <w:highlight w:val="none"/>
        </w:rPr>
        <w:t>（二）投标函附录</w:t>
      </w:r>
    </w:p>
    <w:p w14:paraId="6717341A">
      <w:pPr>
        <w:spacing w:line="360" w:lineRule="auto"/>
        <w:rPr>
          <w:rFonts w:hint="eastAsia" w:ascii="宋体" w:hAnsi="宋体" w:eastAsia="宋体" w:cs="宋体"/>
          <w:color w:val="auto"/>
          <w:szCs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14:paraId="7810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28CC3C0B">
            <w:pPr>
              <w:jc w:val="center"/>
              <w:rPr>
                <w:rFonts w:ascii="宋体" w:hAnsi="宋体" w:eastAsia="宋体" w:cs="Times New Roman"/>
                <w:b/>
                <w:color w:val="auto"/>
                <w:sz w:val="24"/>
                <w:szCs w:val="28"/>
                <w:highlight w:val="none"/>
              </w:rPr>
            </w:pPr>
            <w:bookmarkStart w:id="193" w:name="_Toc369531697"/>
            <w:bookmarkStart w:id="194" w:name="_Toc17960"/>
            <w:bookmarkStart w:id="195" w:name="_Toc152045787"/>
            <w:bookmarkStart w:id="196" w:name="_Toc144974856"/>
            <w:bookmarkStart w:id="197" w:name="_Toc300835209"/>
            <w:bookmarkStart w:id="198" w:name="_Toc352691661"/>
            <w:bookmarkStart w:id="199" w:name="_Toc152042576"/>
            <w:bookmarkStart w:id="200" w:name="_Toc247527827"/>
            <w:bookmarkStart w:id="201" w:name="_Toc384308375"/>
            <w:bookmarkStart w:id="202" w:name="_Toc247514246"/>
            <w:bookmarkStart w:id="203" w:name="_Toc361508752"/>
            <w:r>
              <w:rPr>
                <w:rFonts w:hint="eastAsia" w:ascii="宋体" w:hAnsi="宋体" w:eastAsia="宋体" w:cs="Times New Roman"/>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8315813">
            <w:pPr>
              <w:jc w:val="center"/>
              <w:rPr>
                <w:rFonts w:ascii="宋体" w:hAnsi="宋体" w:eastAsia="宋体" w:cs="Times New Roman"/>
                <w:b/>
                <w:color w:val="auto"/>
                <w:sz w:val="24"/>
                <w:szCs w:val="28"/>
                <w:highlight w:val="none"/>
              </w:rPr>
            </w:pPr>
            <w:r>
              <w:rPr>
                <w:rFonts w:hint="eastAsia" w:ascii="宋体" w:hAnsi="宋体" w:eastAsia="宋体" w:cs="Times New Roman"/>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12E8C6BD">
            <w:pPr>
              <w:jc w:val="center"/>
              <w:rPr>
                <w:rFonts w:ascii="宋体" w:hAnsi="宋体" w:eastAsia="宋体" w:cs="Times New Roman"/>
                <w:b/>
                <w:color w:val="auto"/>
                <w:sz w:val="24"/>
                <w:szCs w:val="28"/>
                <w:highlight w:val="none"/>
              </w:rPr>
            </w:pPr>
            <w:r>
              <w:rPr>
                <w:rFonts w:hint="eastAsia" w:ascii="宋体" w:hAnsi="宋体" w:eastAsia="宋体" w:cs="Times New Roman"/>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6FDC93DC">
            <w:pPr>
              <w:jc w:val="center"/>
              <w:rPr>
                <w:rFonts w:ascii="宋体" w:hAnsi="宋体" w:eastAsia="宋体" w:cs="Times New Roman"/>
                <w:b/>
                <w:color w:val="auto"/>
                <w:sz w:val="24"/>
                <w:szCs w:val="28"/>
                <w:highlight w:val="none"/>
              </w:rPr>
            </w:pPr>
            <w:r>
              <w:rPr>
                <w:rFonts w:hint="eastAsia" w:ascii="宋体" w:hAnsi="宋体" w:eastAsia="宋体" w:cs="Times New Roman"/>
                <w:b/>
                <w:color w:val="auto"/>
                <w:sz w:val="24"/>
                <w:szCs w:val="28"/>
                <w:highlight w:val="none"/>
              </w:rPr>
              <w:t>备注</w:t>
            </w:r>
          </w:p>
        </w:tc>
      </w:tr>
      <w:tr w14:paraId="63E8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2635E98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3A20AA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39319145">
            <w:pPr>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姓    名：</w:t>
            </w:r>
            <w:r>
              <w:rPr>
                <w:rFonts w:hint="eastAsia" w:ascii="宋体" w:hAnsi="宋体" w:eastAsia="宋体" w:cs="宋体"/>
                <w:bCs/>
                <w:color w:val="auto"/>
                <w:sz w:val="24"/>
                <w:szCs w:val="24"/>
                <w:highlight w:val="none"/>
                <w:u w:val="single"/>
              </w:rPr>
              <w:t xml:space="preserve">           </w:t>
            </w:r>
          </w:p>
          <w:p w14:paraId="07C12679">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技术职称：</w:t>
            </w:r>
            <w:r>
              <w:rPr>
                <w:rFonts w:hint="eastAsia" w:ascii="宋体" w:hAnsi="宋体" w:eastAsia="宋体" w:cs="宋体"/>
                <w:bCs/>
                <w:color w:val="auto"/>
                <w:sz w:val="24"/>
                <w:szCs w:val="24"/>
                <w:highlight w:val="none"/>
                <w:u w:val="single"/>
              </w:rPr>
              <w:t xml:space="preserve">           </w:t>
            </w:r>
          </w:p>
          <w:p w14:paraId="2C65BC14">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专    业：</w:t>
            </w:r>
            <w:r>
              <w:rPr>
                <w:rFonts w:hint="eastAsia" w:ascii="宋体" w:hAnsi="宋体" w:eastAsia="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58948265">
            <w:pPr>
              <w:jc w:val="center"/>
              <w:rPr>
                <w:rFonts w:ascii="宋体" w:hAnsi="宋体" w:eastAsia="宋体" w:cs="Times New Roman"/>
                <w:b/>
                <w:color w:val="auto"/>
                <w:szCs w:val="21"/>
                <w:highlight w:val="none"/>
              </w:rPr>
            </w:pPr>
          </w:p>
        </w:tc>
      </w:tr>
      <w:tr w14:paraId="58AE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4BE5F23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C65A0D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085B6834">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7082B610">
            <w:pPr>
              <w:jc w:val="center"/>
              <w:rPr>
                <w:rFonts w:ascii="宋体" w:hAnsi="宋体" w:eastAsia="宋体" w:cs="Times New Roman"/>
                <w:b/>
                <w:color w:val="auto"/>
                <w:szCs w:val="21"/>
                <w:highlight w:val="none"/>
              </w:rPr>
            </w:pPr>
          </w:p>
        </w:tc>
      </w:tr>
      <w:tr w14:paraId="2DE9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53B022D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1D4EEE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0D924A5E">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合格</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1DCFC558">
            <w:pPr>
              <w:jc w:val="center"/>
              <w:rPr>
                <w:rFonts w:ascii="宋体" w:hAnsi="宋体" w:eastAsia="宋体" w:cs="Times New Roman"/>
                <w:b/>
                <w:color w:val="auto"/>
                <w:szCs w:val="21"/>
                <w:highlight w:val="none"/>
              </w:rPr>
            </w:pPr>
          </w:p>
        </w:tc>
      </w:tr>
      <w:tr w14:paraId="23F3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19E0435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89" w:type="dxa"/>
            <w:vMerge w:val="restart"/>
            <w:tcBorders>
              <w:top w:val="single" w:color="auto" w:sz="4" w:space="0"/>
              <w:left w:val="single" w:color="auto" w:sz="4" w:space="0"/>
              <w:bottom w:val="single" w:color="auto" w:sz="4" w:space="0"/>
              <w:right w:val="single" w:color="auto" w:sz="4" w:space="0"/>
            </w:tcBorders>
            <w:noWrap w:val="0"/>
            <w:vAlign w:val="center"/>
          </w:tcPr>
          <w:p w14:paraId="78069D0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1C547C01">
            <w:pPr>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大写： </w:t>
            </w:r>
            <w:r>
              <w:rPr>
                <w:rFonts w:hint="eastAsia" w:ascii="宋体" w:hAnsi="宋体" w:eastAsia="宋体" w:cs="宋体"/>
                <w:bCs/>
                <w:color w:val="auto"/>
                <w:sz w:val="24"/>
                <w:szCs w:val="24"/>
                <w:highlight w:val="none"/>
                <w:u w:val="single"/>
              </w:rPr>
              <w:t xml:space="preserve">        </w:t>
            </w:r>
          </w:p>
          <w:p w14:paraId="12B06DFF">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小写： </w:t>
            </w:r>
            <w:r>
              <w:rPr>
                <w:rFonts w:hint="eastAsia" w:ascii="宋体" w:hAnsi="宋体" w:eastAsia="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7757FBFF">
            <w:pPr>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以“元”为单位，精确到小数点后2位。</w:t>
            </w:r>
          </w:p>
        </w:tc>
      </w:tr>
      <w:tr w14:paraId="20F9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1DDB8FD9">
            <w:pPr>
              <w:widowControl/>
              <w:jc w:val="left"/>
              <w:rPr>
                <w:rFonts w:ascii="宋体" w:hAnsi="宋体" w:eastAsia="宋体" w:cs="宋体"/>
                <w:color w:val="auto"/>
                <w:sz w:val="24"/>
                <w:szCs w:val="24"/>
                <w:highlight w:val="none"/>
              </w:rPr>
            </w:pPr>
          </w:p>
        </w:tc>
        <w:tc>
          <w:tcPr>
            <w:tcW w:w="1889" w:type="dxa"/>
            <w:vMerge w:val="continue"/>
            <w:tcBorders>
              <w:top w:val="single" w:color="auto" w:sz="4" w:space="0"/>
              <w:left w:val="single" w:color="auto" w:sz="4" w:space="0"/>
              <w:bottom w:val="single" w:color="auto" w:sz="4" w:space="0"/>
              <w:right w:val="single" w:color="auto" w:sz="4" w:space="0"/>
            </w:tcBorders>
            <w:noWrap w:val="0"/>
            <w:vAlign w:val="center"/>
          </w:tcPr>
          <w:p w14:paraId="13A21E04">
            <w:pPr>
              <w:widowControl/>
              <w:jc w:val="left"/>
              <w:rPr>
                <w:rFonts w:ascii="宋体" w:hAnsi="宋体" w:eastAsia="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noWrap w:val="0"/>
            <w:vAlign w:val="center"/>
          </w:tcPr>
          <w:p w14:paraId="4988F239">
            <w:pPr>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投标下浮率：</w:t>
            </w:r>
            <w:r>
              <w:rPr>
                <w:rFonts w:hint="eastAsia" w:ascii="宋体" w:hAnsi="宋体" w:eastAsia="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7DCAF9F8">
            <w:pPr>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投标下浮率=（1-投标报价/</w:t>
            </w:r>
            <w:r>
              <w:rPr>
                <w:rFonts w:hint="eastAsia" w:ascii="宋体" w:hAnsi="宋体" w:eastAsia="宋体" w:cs="宋体"/>
                <w:b/>
                <w:color w:val="auto"/>
                <w:szCs w:val="21"/>
                <w:highlight w:val="none"/>
              </w:rPr>
              <w:t>最高投标限价</w:t>
            </w:r>
            <w:r>
              <w:rPr>
                <w:rFonts w:hint="eastAsia" w:ascii="宋体" w:hAnsi="宋体" w:eastAsia="宋体" w:cs="Times New Roman"/>
                <w:b/>
                <w:color w:val="auto"/>
                <w:szCs w:val="21"/>
                <w:highlight w:val="none"/>
              </w:rPr>
              <w:t>）*100%</w:t>
            </w:r>
          </w:p>
        </w:tc>
      </w:tr>
      <w:tr w14:paraId="331D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243AEBA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7190BB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57984482">
            <w:pPr>
              <w:jc w:val="left"/>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21B7658C">
            <w:pPr>
              <w:jc w:val="center"/>
              <w:rPr>
                <w:rFonts w:ascii="宋体" w:hAnsi="宋体" w:eastAsia="宋体" w:cs="Times New Roman"/>
                <w:b/>
                <w:color w:val="auto"/>
                <w:szCs w:val="21"/>
                <w:highlight w:val="none"/>
              </w:rPr>
            </w:pPr>
          </w:p>
        </w:tc>
      </w:tr>
    </w:tbl>
    <w:p w14:paraId="2EB79036">
      <w:pPr>
        <w:spacing w:line="360" w:lineRule="auto"/>
        <w:ind w:firstLine="2520" w:firstLineChars="1200"/>
        <w:jc w:val="left"/>
        <w:rPr>
          <w:rFonts w:ascii="宋体" w:hAnsi="宋体" w:eastAsia="宋体" w:cs="Times New Roman"/>
          <w:color w:val="auto"/>
          <w:szCs w:val="21"/>
          <w:highlight w:val="none"/>
        </w:rPr>
      </w:pPr>
    </w:p>
    <w:p w14:paraId="1494FC5B">
      <w:pPr>
        <w:spacing w:line="360" w:lineRule="auto"/>
        <w:ind w:right="960" w:firstLine="4536" w:firstLineChars="189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投标人（盖章）： </w:t>
      </w:r>
    </w:p>
    <w:p w14:paraId="2BC39474">
      <w:pPr>
        <w:spacing w:line="360" w:lineRule="auto"/>
        <w:ind w:firstLine="1984" w:firstLineChars="719"/>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pacing w:val="18"/>
          <w:sz w:val="24"/>
          <w:highlight w:val="none"/>
        </w:rPr>
        <w:t>法定</w:t>
      </w:r>
      <w:r>
        <w:rPr>
          <w:rFonts w:ascii="Times New Roman" w:hAnsi="Times New Roman" w:eastAsia="宋体" w:cs="Times New Roman"/>
          <w:color w:val="auto"/>
          <w:spacing w:val="18"/>
          <w:sz w:val="24"/>
          <w:highlight w:val="none"/>
        </w:rPr>
        <w:t>代表人(或被授权人)</w:t>
      </w:r>
      <w:r>
        <w:rPr>
          <w:rFonts w:hint="eastAsia" w:ascii="Times New Roman" w:hAnsi="Times New Roman" w:eastAsia="宋体" w:cs="Times New Roman"/>
          <w:color w:val="auto"/>
          <w:spacing w:val="18"/>
          <w:sz w:val="24"/>
          <w:highlight w:val="none"/>
        </w:rPr>
        <w:t>签字或盖章</w:t>
      </w:r>
      <w:r>
        <w:rPr>
          <w:rFonts w:hint="eastAsia" w:ascii="Times New Roman" w:hAnsi="Times New Roman" w:eastAsia="宋体" w:cs="Times New Roman"/>
          <w:color w:val="auto"/>
          <w:sz w:val="24"/>
          <w:highlight w:val="none"/>
        </w:rPr>
        <w:t>：</w:t>
      </w:r>
    </w:p>
    <w:p w14:paraId="1DFD6D9D">
      <w:pPr>
        <w:spacing w:line="360" w:lineRule="auto"/>
        <w:ind w:firstLine="5280" w:firstLineChars="2200"/>
        <w:rPr>
          <w:rFonts w:ascii="宋体" w:hAnsi="宋体" w:eastAsia="宋体" w:cs="Times New Roman"/>
          <w:color w:val="auto"/>
          <w:highlight w:val="none"/>
        </w:rPr>
      </w:pPr>
      <w:r>
        <w:rPr>
          <w:rFonts w:hint="eastAsia" w:ascii="Times New Roman" w:hAnsi="Times New Roman" w:eastAsia="宋体" w:cs="Times New Roman"/>
          <w:color w:val="auto"/>
          <w:sz w:val="24"/>
          <w:highlight w:val="none"/>
        </w:rPr>
        <w:t>2024年  月  日</w:t>
      </w:r>
    </w:p>
    <w:p w14:paraId="7CC7714B">
      <w:pPr>
        <w:spacing w:line="360" w:lineRule="auto"/>
        <w:rPr>
          <w:rFonts w:ascii="宋体" w:hAnsi="宋体" w:eastAsia="宋体" w:cs="宋体"/>
          <w:b/>
          <w:bCs/>
          <w:color w:val="auto"/>
          <w:sz w:val="32"/>
          <w:szCs w:val="32"/>
          <w:highlight w:val="none"/>
        </w:rPr>
      </w:pPr>
    </w:p>
    <w:p w14:paraId="12BABEB2">
      <w:pPr>
        <w:keepNext/>
        <w:keepLines/>
        <w:spacing w:line="360" w:lineRule="auto"/>
        <w:jc w:val="both"/>
        <w:outlineLvl w:val="1"/>
        <w:rPr>
          <w:rFonts w:hint="eastAsia" w:ascii="宋体" w:hAnsi="宋体" w:eastAsia="宋体" w:cs="宋体"/>
          <w:color w:val="auto"/>
          <w:sz w:val="32"/>
          <w:highlight w:val="none"/>
        </w:rPr>
      </w:pPr>
      <w:r>
        <w:rPr>
          <w:rFonts w:hint="eastAsia" w:ascii="宋体" w:hAnsi="宋体" w:eastAsia="宋体" w:cs="宋体"/>
          <w:b/>
          <w:bCs/>
          <w:color w:val="auto"/>
          <w:sz w:val="32"/>
          <w:szCs w:val="32"/>
          <w:highlight w:val="none"/>
          <w:lang w:eastAsia="zh-CN"/>
        </w:rPr>
        <w:t>（三）投标报价清单（另册）</w:t>
      </w:r>
      <w:r>
        <w:rPr>
          <w:rFonts w:ascii="宋体" w:hAnsi="宋体" w:eastAsia="宋体" w:cs="宋体"/>
          <w:b/>
          <w:bCs/>
          <w:color w:val="auto"/>
          <w:sz w:val="32"/>
          <w:szCs w:val="32"/>
          <w:highlight w:val="none"/>
        </w:rPr>
        <w:br w:type="page"/>
      </w:r>
      <w:bookmarkStart w:id="204" w:name="_Toc13471"/>
      <w:r>
        <w:rPr>
          <w:rFonts w:hint="eastAsia" w:ascii="宋体" w:hAnsi="宋体" w:eastAsia="宋体" w:cs="宋体"/>
          <w:b/>
          <w:bCs/>
          <w:color w:val="auto"/>
          <w:sz w:val="32"/>
          <w:szCs w:val="32"/>
          <w:highlight w:val="none"/>
        </w:rPr>
        <w:t>二、法定代表人证明书及授权委托书</w:t>
      </w:r>
      <w:bookmarkEnd w:id="204"/>
    </w:p>
    <w:bookmarkEnd w:id="193"/>
    <w:bookmarkEnd w:id="194"/>
    <w:bookmarkEnd w:id="195"/>
    <w:bookmarkEnd w:id="196"/>
    <w:bookmarkEnd w:id="197"/>
    <w:bookmarkEnd w:id="198"/>
    <w:bookmarkEnd w:id="199"/>
    <w:bookmarkEnd w:id="200"/>
    <w:bookmarkEnd w:id="201"/>
    <w:bookmarkEnd w:id="202"/>
    <w:bookmarkEnd w:id="203"/>
    <w:p w14:paraId="25FCD7D1">
      <w:pPr>
        <w:spacing w:before="156" w:beforeLines="50" w:line="360" w:lineRule="auto"/>
        <w:ind w:firstLine="482" w:firstLineChars="200"/>
        <w:jc w:val="center"/>
        <w:rPr>
          <w:rFonts w:ascii="宋体" w:hAnsi="宋体" w:eastAsia="宋体" w:cs="宋体"/>
          <w:b/>
          <w:color w:val="auto"/>
          <w:sz w:val="24"/>
          <w:szCs w:val="24"/>
          <w:highlight w:val="none"/>
        </w:rPr>
      </w:pPr>
      <w:bookmarkStart w:id="205" w:name="_Toc787"/>
      <w:bookmarkStart w:id="206" w:name="_Toc24490"/>
      <w:bookmarkStart w:id="207" w:name="_Toc525063283"/>
      <w:bookmarkStart w:id="208" w:name="_Toc28597"/>
      <w:bookmarkStart w:id="209" w:name="_Toc532367891"/>
      <w:bookmarkStart w:id="210" w:name="_Toc9391"/>
      <w:bookmarkStart w:id="211" w:name="_Toc3626"/>
      <w:r>
        <w:rPr>
          <w:rFonts w:hint="eastAsia" w:ascii="宋体" w:hAnsi="宋体" w:eastAsia="宋体" w:cs="宋体"/>
          <w:b/>
          <w:color w:val="auto"/>
          <w:sz w:val="24"/>
          <w:szCs w:val="24"/>
          <w:highlight w:val="none"/>
        </w:rPr>
        <w:t>法定代表人证明书</w:t>
      </w:r>
    </w:p>
    <w:p w14:paraId="77B4B909">
      <w:pPr>
        <w:spacing w:line="360" w:lineRule="auto"/>
        <w:jc w:val="center"/>
        <w:rPr>
          <w:rFonts w:ascii="宋体" w:hAnsi="宋体" w:eastAsia="宋体" w:cs="Times New Roman"/>
          <w:color w:val="auto"/>
          <w:sz w:val="30"/>
          <w:szCs w:val="30"/>
          <w:highlight w:val="none"/>
        </w:rPr>
      </w:pPr>
      <w:r>
        <w:rPr>
          <w:rFonts w:eastAsia="宋体" w:cs="Times New Roman"/>
          <w:color w:val="auto"/>
          <w:highlight w:val="none"/>
        </w:rPr>
        <mc:AlternateContent>
          <mc:Choice Requires="wpg">
            <w:drawing>
              <wp:inline distT="0" distB="0" distL="114300" distR="114300">
                <wp:extent cx="5800725" cy="2639060"/>
                <wp:effectExtent l="4445" t="4445" r="5080" b="23495"/>
                <wp:docPr id="5" name="组合 5"/>
                <wp:cNvGraphicFramePr/>
                <a:graphic xmlns:a="http://schemas.openxmlformats.org/drawingml/2006/main">
                  <a:graphicData uri="http://schemas.microsoft.com/office/word/2010/wordprocessingGroup">
                    <wpg:wgp>
                      <wpg:cNvGrpSpPr>
                        <a:grpSpLocks noRot="1"/>
                      </wpg:cNvGrpSpPr>
                      <wpg:grpSpPr>
                        <a:xfrm>
                          <a:off x="0" y="0"/>
                          <a:ext cx="5800725" cy="2639060"/>
                          <a:chOff x="0" y="0"/>
                          <a:chExt cx="7140" cy="3468"/>
                        </a:xfrm>
                        <a:effectLst/>
                      </wpg:grpSpPr>
                      <wps:wsp>
                        <wps:cNvPr id="6" name="图片 4"/>
                        <wps:cNvSpPr>
                          <a:spLocks noChangeAspect="1" noChangeArrowheads="1" noTextEdit="1"/>
                        </wps:cNvSpPr>
                        <wps:spPr bwMode="auto">
                          <a:xfrm>
                            <a:off x="0" y="0"/>
                            <a:ext cx="7140" cy="3468"/>
                          </a:xfrm>
                          <a:prstGeom prst="rect">
                            <a:avLst/>
                          </a:prstGeom>
                          <a:noFill/>
                          <a:ln>
                            <a:noFill/>
                          </a:ln>
                          <a:effectLst/>
                        </wps:spPr>
                        <wps:bodyPr rot="0" vert="horz" wrap="square" lIns="91440" tIns="45720" rIns="91440" bIns="45720" anchor="t" anchorCtr="0" upright="1">
                          <a:noAutofit/>
                        </wps:bodyPr>
                      </wps:wsp>
                      <wps:wsp>
                        <wps:cNvPr id="7"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a:effectLst/>
                        </wps:spPr>
                        <wps:txbx>
                          <w:txbxContent>
                            <w:p w14:paraId="55F9BAE9">
                              <w:pPr>
                                <w:spacing w:before="156" w:beforeLines="50"/>
                                <w:rPr>
                                  <w:rFonts w:eastAsia="宋体" w:cs="Times New Roman"/>
                                  <w:sz w:val="24"/>
                                  <w:szCs w:val="24"/>
                                </w:rPr>
                              </w:pPr>
                              <w:r>
                                <w:rPr>
                                  <w:rFonts w:hint="eastAsia" w:eastAsia="宋体" w:cs="宋体"/>
                                  <w:sz w:val="28"/>
                                  <w:szCs w:val="28"/>
                                </w:rPr>
                                <w:t xml:space="preserve"> </w:t>
                              </w:r>
                              <w:r>
                                <w:rPr>
                                  <w:rFonts w:hint="eastAsia" w:eastAsia="宋体" w:cs="宋体"/>
                                  <w:sz w:val="24"/>
                                  <w:szCs w:val="24"/>
                                </w:rPr>
                                <w:t xml:space="preserve"> </w:t>
                              </w:r>
                              <w:r>
                                <w:rPr>
                                  <w:rFonts w:hint="eastAsia" w:eastAsia="宋体" w:cs="宋体"/>
                                  <w:sz w:val="24"/>
                                  <w:szCs w:val="24"/>
                                  <w:u w:val="single"/>
                                </w:rPr>
                                <w:t xml:space="preserve">      </w:t>
                              </w:r>
                              <w:r>
                                <w:rPr>
                                  <w:rFonts w:hint="eastAsia" w:eastAsia="宋体" w:cs="宋体"/>
                                  <w:sz w:val="24"/>
                                  <w:szCs w:val="24"/>
                                </w:rPr>
                                <w:t>现任我单位</w:t>
                              </w:r>
                              <w:r>
                                <w:rPr>
                                  <w:rFonts w:hint="eastAsia" w:eastAsia="宋体" w:cs="宋体"/>
                                  <w:sz w:val="24"/>
                                  <w:szCs w:val="24"/>
                                  <w:u w:val="single"/>
                                </w:rPr>
                                <w:t xml:space="preserve">     </w:t>
                              </w:r>
                              <w:r>
                                <w:rPr>
                                  <w:rFonts w:hint="eastAsia" w:eastAsia="宋体" w:cs="宋体"/>
                                  <w:sz w:val="24"/>
                                  <w:szCs w:val="24"/>
                                </w:rPr>
                                <w:t>职务，为法定代表人（负责人），</w:t>
                              </w:r>
                            </w:p>
                            <w:p w14:paraId="6ED2A8BD">
                              <w:pPr>
                                <w:snapToGrid w:val="0"/>
                                <w:spacing w:line="480" w:lineRule="atLeast"/>
                                <w:rPr>
                                  <w:rFonts w:eastAsia="宋体" w:cs="Times New Roman"/>
                                  <w:sz w:val="24"/>
                                  <w:szCs w:val="24"/>
                                </w:rPr>
                              </w:pPr>
                              <w:r>
                                <w:rPr>
                                  <w:rFonts w:hint="eastAsia" w:eastAsia="宋体" w:cs="宋体"/>
                                  <w:sz w:val="24"/>
                                  <w:szCs w:val="24"/>
                                </w:rPr>
                                <w:t>特此证明。</w:t>
                              </w:r>
                            </w:p>
                            <w:p w14:paraId="32C3C83A">
                              <w:pPr>
                                <w:snapToGrid w:val="0"/>
                                <w:spacing w:line="480" w:lineRule="atLeast"/>
                                <w:rPr>
                                  <w:rFonts w:eastAsia="宋体" w:cs="Times New Roman"/>
                                  <w:sz w:val="24"/>
                                  <w:szCs w:val="24"/>
                                  <w:u w:val="single"/>
                                </w:rPr>
                              </w:pPr>
                              <w:r>
                                <w:rPr>
                                  <w:rFonts w:hint="eastAsia" w:eastAsia="宋体" w:cs="宋体"/>
                                  <w:sz w:val="24"/>
                                  <w:szCs w:val="24"/>
                                </w:rPr>
                                <w:t>有效期限：</w:t>
                              </w:r>
                              <w:r>
                                <w:rPr>
                                  <w:rFonts w:eastAsia="宋体" w:cs="Times New Roman"/>
                                  <w:sz w:val="24"/>
                                  <w:szCs w:val="24"/>
                                  <w:u w:val="single"/>
                                </w:rPr>
                                <w:t xml:space="preserve">                                </w:t>
                              </w:r>
                              <w:r>
                                <w:rPr>
                                  <w:rFonts w:eastAsia="宋体" w:cs="Times New Roman"/>
                                  <w:sz w:val="24"/>
                                  <w:szCs w:val="24"/>
                                </w:rPr>
                                <w:t xml:space="preserve">  </w:t>
                              </w:r>
                            </w:p>
                            <w:p w14:paraId="15CF4315">
                              <w:pPr>
                                <w:snapToGrid w:val="0"/>
                                <w:spacing w:line="480" w:lineRule="atLeast"/>
                                <w:rPr>
                                  <w:rFonts w:eastAsia="宋体" w:cs="Times New Roman"/>
                                  <w:sz w:val="24"/>
                                  <w:szCs w:val="24"/>
                                  <w:u w:val="single"/>
                                </w:rPr>
                              </w:pPr>
                              <w:r>
                                <w:rPr>
                                  <w:rFonts w:hint="eastAsia" w:eastAsia="宋体" w:cs="宋体"/>
                                  <w:sz w:val="24"/>
                                  <w:szCs w:val="24"/>
                                </w:rPr>
                                <w:t>附：法定代表人（负责人）性别：</w:t>
                              </w:r>
                              <w:r>
                                <w:rPr>
                                  <w:rFonts w:hint="eastAsia" w:eastAsia="宋体" w:cs="宋体"/>
                                  <w:sz w:val="24"/>
                                  <w:szCs w:val="24"/>
                                  <w:u w:val="single"/>
                                </w:rPr>
                                <w:t xml:space="preserve">  </w:t>
                              </w:r>
                              <w:r>
                                <w:rPr>
                                  <w:rFonts w:hint="eastAsia" w:eastAsia="宋体" w:cs="宋体"/>
                                  <w:sz w:val="24"/>
                                  <w:szCs w:val="24"/>
                                </w:rPr>
                                <w:t>年龄：</w:t>
                              </w:r>
                              <w:r>
                                <w:rPr>
                                  <w:rFonts w:hint="eastAsia" w:eastAsia="宋体" w:cs="宋体"/>
                                  <w:sz w:val="24"/>
                                  <w:szCs w:val="24"/>
                                  <w:u w:val="single"/>
                                </w:rPr>
                                <w:t xml:space="preserve">  </w:t>
                              </w:r>
                              <w:r>
                                <w:rPr>
                                  <w:rFonts w:hint="eastAsia" w:eastAsia="宋体" w:cs="宋体"/>
                                  <w:sz w:val="24"/>
                                  <w:szCs w:val="24"/>
                                </w:rPr>
                                <w:t>身份证号码：</w:t>
                              </w:r>
                              <w:r>
                                <w:rPr>
                                  <w:rFonts w:eastAsia="宋体" w:cs="Times New Roman"/>
                                  <w:sz w:val="24"/>
                                  <w:szCs w:val="24"/>
                                  <w:u w:val="single"/>
                                </w:rPr>
                                <w:t xml:space="preserve">                  </w:t>
                              </w:r>
                            </w:p>
                            <w:p w14:paraId="7B97562F">
                              <w:pPr>
                                <w:snapToGrid w:val="0"/>
                                <w:spacing w:line="480" w:lineRule="atLeast"/>
                                <w:ind w:firstLine="570"/>
                                <w:rPr>
                                  <w:rFonts w:eastAsia="宋体" w:cs="Times New Roman"/>
                                  <w:sz w:val="24"/>
                                  <w:szCs w:val="24"/>
                                  <w:u w:val="single"/>
                                </w:rPr>
                              </w:pPr>
                              <w:r>
                                <w:rPr>
                                  <w:rFonts w:hint="eastAsia" w:eastAsia="宋体" w:cs="宋体"/>
                                  <w:sz w:val="24"/>
                                  <w:szCs w:val="24"/>
                                </w:rPr>
                                <w:t>注册号码：</w:t>
                              </w:r>
                              <w:r>
                                <w:rPr>
                                  <w:rFonts w:hint="eastAsia" w:eastAsia="宋体" w:cs="宋体"/>
                                  <w:sz w:val="24"/>
                                  <w:szCs w:val="24"/>
                                  <w:u w:val="single"/>
                                </w:rPr>
                                <w:t xml:space="preserve">          </w:t>
                              </w:r>
                              <w:r>
                                <w:rPr>
                                  <w:rFonts w:hint="eastAsia" w:eastAsia="宋体" w:cs="宋体"/>
                                  <w:sz w:val="24"/>
                                  <w:szCs w:val="24"/>
                                </w:rPr>
                                <w:t>企业类型：</w:t>
                              </w:r>
                              <w:r>
                                <w:rPr>
                                  <w:rFonts w:eastAsia="宋体" w:cs="Times New Roman"/>
                                  <w:sz w:val="24"/>
                                  <w:szCs w:val="24"/>
                                  <w:u w:val="single"/>
                                </w:rPr>
                                <w:t xml:space="preserve">                             </w:t>
                              </w:r>
                            </w:p>
                            <w:p w14:paraId="64268C0A">
                              <w:pPr>
                                <w:snapToGrid w:val="0"/>
                                <w:spacing w:line="480" w:lineRule="atLeast"/>
                                <w:ind w:firstLine="570"/>
                                <w:rPr>
                                  <w:rFonts w:eastAsia="宋体" w:cs="Times New Roman"/>
                                  <w:sz w:val="24"/>
                                  <w:szCs w:val="24"/>
                                  <w:u w:val="single"/>
                                </w:rPr>
                              </w:pPr>
                              <w:r>
                                <w:rPr>
                                  <w:rFonts w:hint="eastAsia" w:eastAsia="宋体" w:cs="宋体"/>
                                  <w:sz w:val="24"/>
                                  <w:szCs w:val="24"/>
                                </w:rPr>
                                <w:t>经营范围：</w:t>
                              </w:r>
                              <w:r>
                                <w:rPr>
                                  <w:rFonts w:eastAsia="宋体" w:cs="Times New Roman"/>
                                  <w:sz w:val="24"/>
                                  <w:szCs w:val="24"/>
                                  <w:u w:val="single"/>
                                </w:rPr>
                                <w:t xml:space="preserve">                                                           </w:t>
                              </w:r>
                            </w:p>
                            <w:p w14:paraId="0FB3715E">
                              <w:pPr>
                                <w:snapToGrid w:val="0"/>
                                <w:spacing w:line="480" w:lineRule="atLeast"/>
                                <w:ind w:firstLine="570"/>
                                <w:rPr>
                                  <w:rFonts w:eastAsia="宋体" w:cs="Times New Roman"/>
                                  <w:sz w:val="24"/>
                                  <w:szCs w:val="24"/>
                                </w:rPr>
                              </w:pPr>
                              <w:r>
                                <w:rPr>
                                  <w:rFonts w:hint="eastAsia" w:eastAsia="宋体" w:cs="宋体"/>
                                  <w:sz w:val="24"/>
                                  <w:szCs w:val="24"/>
                                  <w:u w:val="single"/>
                                </w:rPr>
                                <w:t xml:space="preserve">                </w:t>
                              </w:r>
                              <w:r>
                                <w:rPr>
                                  <w:rFonts w:eastAsia="宋体" w:cs="Times New Roman"/>
                                  <w:sz w:val="24"/>
                                  <w:szCs w:val="24"/>
                                </w:rPr>
                                <w:t xml:space="preserve">      </w:t>
                              </w:r>
                              <w:r>
                                <w:rPr>
                                  <w:rFonts w:hint="eastAsia" w:eastAsia="宋体" w:cs="宋体"/>
                                  <w:sz w:val="24"/>
                                  <w:szCs w:val="24"/>
                                </w:rPr>
                                <w:t>单位：   （盖章）</w:t>
                              </w:r>
                            </w:p>
                            <w:p w14:paraId="473CE0BA">
                              <w:pPr>
                                <w:snapToGrid w:val="0"/>
                                <w:spacing w:after="100" w:afterAutospacing="1" w:line="480" w:lineRule="atLeast"/>
                                <w:ind w:firstLine="4528" w:firstLineChars="1887"/>
                                <w:rPr>
                                  <w:rFonts w:eastAsia="宋体" w:cs="Times New Roman"/>
                                  <w:sz w:val="24"/>
                                  <w:szCs w:val="24"/>
                                </w:rPr>
                              </w:pPr>
                              <w:r>
                                <w:rPr>
                                  <w:rFonts w:hint="eastAsia" w:eastAsia="宋体" w:cs="宋体"/>
                                  <w:sz w:val="24"/>
                                  <w:szCs w:val="24"/>
                                </w:rPr>
                                <w:t xml:space="preserve">     </w:t>
                              </w:r>
                              <w:r>
                                <w:rPr>
                                  <w:rFonts w:eastAsia="宋体" w:cs="Times New Roman"/>
                                  <w:sz w:val="24"/>
                                  <w:szCs w:val="24"/>
                                </w:rPr>
                                <w:t xml:space="preserve">    </w:t>
                              </w:r>
                              <w:r>
                                <w:rPr>
                                  <w:rFonts w:hint="eastAsia" w:eastAsia="宋体"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D9Aj14/gIAAEcIAAAOAAAAZHJzL2Uyb0RvYy54bWzVlctu&#10;1DAUhvdIvIPlPU1mOpc2aqYqvQmpQEXLA3gcJ7FIbGN7JlPWiMKOFRvYsOcNkHibtq/BsZNMZ6ZQ&#10;KhASZBH5enLO9/92trZnZYGmTBsuRYw7ayFGTFCZcJHF+PnpwYMNjIwlIiGFFCzGZ8zg7dH9e1uV&#10;ilhX5rJImEYQRJioUjHOrVVREBias5KYNamYgMlU6pJY6OosSDSpIHpZBN0wHASV1InSkjJjYHSv&#10;nsRNRH2XgDJNOWV7kk5KJmwdVbOCWCjJ5FwZPPLZpimj9mmaGmZREWOo1Po3fATaY/cORlskyjRR&#10;OadNCuQuKazUVBIu4KPzUHvEEjTR/EaoklMtjUztGpVlUBfiiUAVnXCFzaGWE+VryaIqU3PoINQK&#10;9d8OS59MjzXiSYz7GAlSguBXX19fvH+L+o5NpbIIlhxqdaKOdV0gNI8kfWGQkM8kAO24hcHqStfP&#10;rrfNUl267VAxmnn8Z3P8bGYRhcH+RhgOu5AHhbnuYH0zHDQC0RxUvLGP5vvNzmGnB4K6beu9wYbP&#10;h0TtJ5m3wZGxbZrztCoFFjbXXM2fcT3JiWJeLuOgNVwHLdeLj9+u3p2jXs3VL2mhmjnR3ZyIjO0Y&#10;Bc51aAFyM6S1rHJGEkjSD58Ctv2ELwiwENJVZkAxNK4eywREJRMrvUFbKrcJcStOpY09ZLJErhFj&#10;DYn6wGTaICZRu8QJLuQBLwp/zAqxNBCQqB5ZEajO3HnPRGOZnEEV2vkMFIZrCxq51K8wquDQxti8&#10;nBDNMCoeCQCz2ek5I1jf6fWHXejoxZnx4gwRFELF2GJUN3dtfTNMlOZZ7snWGe8AvZQ3Bmqz8qb3&#10;Bqpz/etOGrZOuvxwfvnpy+XnN+0hnSuP7OyhhKPU8ZLcsNWSh+rjMN9aF/FvmMbIgifONw6/0dl4&#10;t9BoSuAOP/BPc8KXlhUCVeCAvr9ASpWAN0RWY/hptNA/P4pWcgt/uYKXMYZbCZ5m0S8da2fjGZD9&#10;n8zr7274v4Chl35gi31v9uv//+g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zCVt8NcAAAAFAQAA&#10;DwAAAAAAAAABACAAAAAiAAAAZHJzL2Rvd25yZXYueG1sUEsBAhQAFAAAAAgAh07iQP0CPXj+AgAA&#10;RwgAAA4AAAAAAAAAAQAgAAAAJgEAAGRycy9lMm9Eb2MueG1sUEsFBgAAAAAGAAYAWQEAAJYGAAAA&#10;AA==&#10;">
                <o:lock v:ext="edit" rotation="t" aspectratio="f"/>
                <v:rect id="图片 4" o:spid="_x0000_s1026" o:spt="1" style="position:absolute;left:0;top:0;height:3468;width:714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v:fill on="f" focussize="0,0"/>
                  <v:stroke on="f"/>
                  <v:imagedata o:title=""/>
                  <o:lock v:ext="edit" text="t" aspectratio="t"/>
                </v:rect>
                <v:shape id="文本框 5" o:spid="_x0000_s1026" o:spt="202" type="#_x0000_t202" style="position:absolute;left:0;top:0;height:3468;width:714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fill on="t" focussize="0,0"/>
                  <v:stroke color="#000000" miterlimit="8" joinstyle="miter"/>
                  <v:imagedata o:title=""/>
                  <o:lock v:ext="edit" aspectratio="f"/>
                  <v:textbox>
                    <w:txbxContent>
                      <w:p w14:paraId="55F9BAE9">
                        <w:pPr>
                          <w:spacing w:before="156" w:beforeLines="50"/>
                          <w:rPr>
                            <w:rFonts w:eastAsia="宋体" w:cs="Times New Roman"/>
                            <w:sz w:val="24"/>
                            <w:szCs w:val="24"/>
                          </w:rPr>
                        </w:pPr>
                        <w:r>
                          <w:rPr>
                            <w:rFonts w:hint="eastAsia" w:eastAsia="宋体" w:cs="宋体"/>
                            <w:sz w:val="28"/>
                            <w:szCs w:val="28"/>
                          </w:rPr>
                          <w:t xml:space="preserve"> </w:t>
                        </w:r>
                        <w:r>
                          <w:rPr>
                            <w:rFonts w:hint="eastAsia" w:eastAsia="宋体" w:cs="宋体"/>
                            <w:sz w:val="24"/>
                            <w:szCs w:val="24"/>
                          </w:rPr>
                          <w:t xml:space="preserve"> </w:t>
                        </w:r>
                        <w:r>
                          <w:rPr>
                            <w:rFonts w:hint="eastAsia" w:eastAsia="宋体" w:cs="宋体"/>
                            <w:sz w:val="24"/>
                            <w:szCs w:val="24"/>
                            <w:u w:val="single"/>
                          </w:rPr>
                          <w:t xml:space="preserve">      </w:t>
                        </w:r>
                        <w:r>
                          <w:rPr>
                            <w:rFonts w:hint="eastAsia" w:eastAsia="宋体" w:cs="宋体"/>
                            <w:sz w:val="24"/>
                            <w:szCs w:val="24"/>
                          </w:rPr>
                          <w:t>现任我单位</w:t>
                        </w:r>
                        <w:r>
                          <w:rPr>
                            <w:rFonts w:hint="eastAsia" w:eastAsia="宋体" w:cs="宋体"/>
                            <w:sz w:val="24"/>
                            <w:szCs w:val="24"/>
                            <w:u w:val="single"/>
                          </w:rPr>
                          <w:t xml:space="preserve">     </w:t>
                        </w:r>
                        <w:r>
                          <w:rPr>
                            <w:rFonts w:hint="eastAsia" w:eastAsia="宋体" w:cs="宋体"/>
                            <w:sz w:val="24"/>
                            <w:szCs w:val="24"/>
                          </w:rPr>
                          <w:t>职务，为法定代表人（负责人），</w:t>
                        </w:r>
                      </w:p>
                      <w:p w14:paraId="6ED2A8BD">
                        <w:pPr>
                          <w:snapToGrid w:val="0"/>
                          <w:spacing w:line="480" w:lineRule="atLeast"/>
                          <w:rPr>
                            <w:rFonts w:eastAsia="宋体" w:cs="Times New Roman"/>
                            <w:sz w:val="24"/>
                            <w:szCs w:val="24"/>
                          </w:rPr>
                        </w:pPr>
                        <w:r>
                          <w:rPr>
                            <w:rFonts w:hint="eastAsia" w:eastAsia="宋体" w:cs="宋体"/>
                            <w:sz w:val="24"/>
                            <w:szCs w:val="24"/>
                          </w:rPr>
                          <w:t>特此证明。</w:t>
                        </w:r>
                      </w:p>
                      <w:p w14:paraId="32C3C83A">
                        <w:pPr>
                          <w:snapToGrid w:val="0"/>
                          <w:spacing w:line="480" w:lineRule="atLeast"/>
                          <w:rPr>
                            <w:rFonts w:eastAsia="宋体" w:cs="Times New Roman"/>
                            <w:sz w:val="24"/>
                            <w:szCs w:val="24"/>
                            <w:u w:val="single"/>
                          </w:rPr>
                        </w:pPr>
                        <w:r>
                          <w:rPr>
                            <w:rFonts w:hint="eastAsia" w:eastAsia="宋体" w:cs="宋体"/>
                            <w:sz w:val="24"/>
                            <w:szCs w:val="24"/>
                          </w:rPr>
                          <w:t>有效期限：</w:t>
                        </w:r>
                        <w:r>
                          <w:rPr>
                            <w:rFonts w:eastAsia="宋体" w:cs="Times New Roman"/>
                            <w:sz w:val="24"/>
                            <w:szCs w:val="24"/>
                            <w:u w:val="single"/>
                          </w:rPr>
                          <w:t xml:space="preserve">                                </w:t>
                        </w:r>
                        <w:r>
                          <w:rPr>
                            <w:rFonts w:eastAsia="宋体" w:cs="Times New Roman"/>
                            <w:sz w:val="24"/>
                            <w:szCs w:val="24"/>
                          </w:rPr>
                          <w:t xml:space="preserve">  </w:t>
                        </w:r>
                      </w:p>
                      <w:p w14:paraId="15CF4315">
                        <w:pPr>
                          <w:snapToGrid w:val="0"/>
                          <w:spacing w:line="480" w:lineRule="atLeast"/>
                          <w:rPr>
                            <w:rFonts w:eastAsia="宋体" w:cs="Times New Roman"/>
                            <w:sz w:val="24"/>
                            <w:szCs w:val="24"/>
                            <w:u w:val="single"/>
                          </w:rPr>
                        </w:pPr>
                        <w:r>
                          <w:rPr>
                            <w:rFonts w:hint="eastAsia" w:eastAsia="宋体" w:cs="宋体"/>
                            <w:sz w:val="24"/>
                            <w:szCs w:val="24"/>
                          </w:rPr>
                          <w:t>附：法定代表人（负责人）性别：</w:t>
                        </w:r>
                        <w:r>
                          <w:rPr>
                            <w:rFonts w:hint="eastAsia" w:eastAsia="宋体" w:cs="宋体"/>
                            <w:sz w:val="24"/>
                            <w:szCs w:val="24"/>
                            <w:u w:val="single"/>
                          </w:rPr>
                          <w:t xml:space="preserve">  </w:t>
                        </w:r>
                        <w:r>
                          <w:rPr>
                            <w:rFonts w:hint="eastAsia" w:eastAsia="宋体" w:cs="宋体"/>
                            <w:sz w:val="24"/>
                            <w:szCs w:val="24"/>
                          </w:rPr>
                          <w:t>年龄：</w:t>
                        </w:r>
                        <w:r>
                          <w:rPr>
                            <w:rFonts w:hint="eastAsia" w:eastAsia="宋体" w:cs="宋体"/>
                            <w:sz w:val="24"/>
                            <w:szCs w:val="24"/>
                            <w:u w:val="single"/>
                          </w:rPr>
                          <w:t xml:space="preserve">  </w:t>
                        </w:r>
                        <w:r>
                          <w:rPr>
                            <w:rFonts w:hint="eastAsia" w:eastAsia="宋体" w:cs="宋体"/>
                            <w:sz w:val="24"/>
                            <w:szCs w:val="24"/>
                          </w:rPr>
                          <w:t>身份证号码：</w:t>
                        </w:r>
                        <w:r>
                          <w:rPr>
                            <w:rFonts w:eastAsia="宋体" w:cs="Times New Roman"/>
                            <w:sz w:val="24"/>
                            <w:szCs w:val="24"/>
                            <w:u w:val="single"/>
                          </w:rPr>
                          <w:t xml:space="preserve">                  </w:t>
                        </w:r>
                      </w:p>
                      <w:p w14:paraId="7B97562F">
                        <w:pPr>
                          <w:snapToGrid w:val="0"/>
                          <w:spacing w:line="480" w:lineRule="atLeast"/>
                          <w:ind w:firstLine="570"/>
                          <w:rPr>
                            <w:rFonts w:eastAsia="宋体" w:cs="Times New Roman"/>
                            <w:sz w:val="24"/>
                            <w:szCs w:val="24"/>
                            <w:u w:val="single"/>
                          </w:rPr>
                        </w:pPr>
                        <w:r>
                          <w:rPr>
                            <w:rFonts w:hint="eastAsia" w:eastAsia="宋体" w:cs="宋体"/>
                            <w:sz w:val="24"/>
                            <w:szCs w:val="24"/>
                          </w:rPr>
                          <w:t>注册号码：</w:t>
                        </w:r>
                        <w:r>
                          <w:rPr>
                            <w:rFonts w:hint="eastAsia" w:eastAsia="宋体" w:cs="宋体"/>
                            <w:sz w:val="24"/>
                            <w:szCs w:val="24"/>
                            <w:u w:val="single"/>
                          </w:rPr>
                          <w:t xml:space="preserve">          </w:t>
                        </w:r>
                        <w:r>
                          <w:rPr>
                            <w:rFonts w:hint="eastAsia" w:eastAsia="宋体" w:cs="宋体"/>
                            <w:sz w:val="24"/>
                            <w:szCs w:val="24"/>
                          </w:rPr>
                          <w:t>企业类型：</w:t>
                        </w:r>
                        <w:r>
                          <w:rPr>
                            <w:rFonts w:eastAsia="宋体" w:cs="Times New Roman"/>
                            <w:sz w:val="24"/>
                            <w:szCs w:val="24"/>
                            <w:u w:val="single"/>
                          </w:rPr>
                          <w:t xml:space="preserve">                             </w:t>
                        </w:r>
                      </w:p>
                      <w:p w14:paraId="64268C0A">
                        <w:pPr>
                          <w:snapToGrid w:val="0"/>
                          <w:spacing w:line="480" w:lineRule="atLeast"/>
                          <w:ind w:firstLine="570"/>
                          <w:rPr>
                            <w:rFonts w:eastAsia="宋体" w:cs="Times New Roman"/>
                            <w:sz w:val="24"/>
                            <w:szCs w:val="24"/>
                            <w:u w:val="single"/>
                          </w:rPr>
                        </w:pPr>
                        <w:r>
                          <w:rPr>
                            <w:rFonts w:hint="eastAsia" w:eastAsia="宋体" w:cs="宋体"/>
                            <w:sz w:val="24"/>
                            <w:szCs w:val="24"/>
                          </w:rPr>
                          <w:t>经营范围：</w:t>
                        </w:r>
                        <w:r>
                          <w:rPr>
                            <w:rFonts w:eastAsia="宋体" w:cs="Times New Roman"/>
                            <w:sz w:val="24"/>
                            <w:szCs w:val="24"/>
                            <w:u w:val="single"/>
                          </w:rPr>
                          <w:t xml:space="preserve">                                                           </w:t>
                        </w:r>
                      </w:p>
                      <w:p w14:paraId="0FB3715E">
                        <w:pPr>
                          <w:snapToGrid w:val="0"/>
                          <w:spacing w:line="480" w:lineRule="atLeast"/>
                          <w:ind w:firstLine="570"/>
                          <w:rPr>
                            <w:rFonts w:eastAsia="宋体" w:cs="Times New Roman"/>
                            <w:sz w:val="24"/>
                            <w:szCs w:val="24"/>
                          </w:rPr>
                        </w:pPr>
                        <w:r>
                          <w:rPr>
                            <w:rFonts w:hint="eastAsia" w:eastAsia="宋体" w:cs="宋体"/>
                            <w:sz w:val="24"/>
                            <w:szCs w:val="24"/>
                            <w:u w:val="single"/>
                          </w:rPr>
                          <w:t xml:space="preserve">                </w:t>
                        </w:r>
                        <w:r>
                          <w:rPr>
                            <w:rFonts w:eastAsia="宋体" w:cs="Times New Roman"/>
                            <w:sz w:val="24"/>
                            <w:szCs w:val="24"/>
                          </w:rPr>
                          <w:t xml:space="preserve">      </w:t>
                        </w:r>
                        <w:r>
                          <w:rPr>
                            <w:rFonts w:hint="eastAsia" w:eastAsia="宋体" w:cs="宋体"/>
                            <w:sz w:val="24"/>
                            <w:szCs w:val="24"/>
                          </w:rPr>
                          <w:t>单位：   （盖章）</w:t>
                        </w:r>
                      </w:p>
                      <w:p w14:paraId="473CE0BA">
                        <w:pPr>
                          <w:snapToGrid w:val="0"/>
                          <w:spacing w:after="100" w:afterAutospacing="1" w:line="480" w:lineRule="atLeast"/>
                          <w:ind w:firstLine="4528" w:firstLineChars="1887"/>
                          <w:rPr>
                            <w:rFonts w:eastAsia="宋体" w:cs="Times New Roman"/>
                            <w:sz w:val="24"/>
                            <w:szCs w:val="24"/>
                          </w:rPr>
                        </w:pPr>
                        <w:r>
                          <w:rPr>
                            <w:rFonts w:hint="eastAsia" w:eastAsia="宋体" w:cs="宋体"/>
                            <w:sz w:val="24"/>
                            <w:szCs w:val="24"/>
                          </w:rPr>
                          <w:t xml:space="preserve">     </w:t>
                        </w:r>
                        <w:r>
                          <w:rPr>
                            <w:rFonts w:eastAsia="宋体" w:cs="Times New Roman"/>
                            <w:sz w:val="24"/>
                            <w:szCs w:val="24"/>
                          </w:rPr>
                          <w:t xml:space="preserve">    </w:t>
                        </w:r>
                        <w:r>
                          <w:rPr>
                            <w:rFonts w:hint="eastAsia" w:eastAsia="宋体" w:cs="宋体"/>
                            <w:sz w:val="24"/>
                            <w:szCs w:val="24"/>
                          </w:rPr>
                          <w:t>年 月  日</w:t>
                        </w:r>
                      </w:p>
                    </w:txbxContent>
                  </v:textbox>
                </v:shape>
                <w10:wrap type="none"/>
                <w10:anchorlock/>
              </v:group>
            </w:pict>
          </mc:Fallback>
        </mc:AlternateContent>
      </w:r>
    </w:p>
    <w:p w14:paraId="0C338BDB">
      <w:pPr>
        <w:spacing w:line="360" w:lineRule="auto"/>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注：按提供的该表格格式填写，或使用工商管理部门的格式填写。</w:t>
      </w:r>
    </w:p>
    <w:p w14:paraId="315674EA">
      <w:pPr>
        <w:spacing w:before="156" w:beforeLines="50" w:line="360" w:lineRule="auto"/>
        <w:ind w:firstLine="482" w:firstLineChars="200"/>
        <w:jc w:val="center"/>
        <w:rPr>
          <w:rFonts w:ascii="宋体" w:hAnsi="宋体" w:eastAsia="宋体" w:cs="宋体"/>
          <w:b/>
          <w:color w:val="auto"/>
          <w:sz w:val="24"/>
          <w:szCs w:val="24"/>
          <w:highlight w:val="none"/>
        </w:rPr>
      </w:pPr>
    </w:p>
    <w:p w14:paraId="451E6074">
      <w:pPr>
        <w:spacing w:before="156" w:beforeLines="50" w:line="360" w:lineRule="auto"/>
        <w:ind w:firstLine="482" w:firstLineChars="20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授权委托书</w:t>
      </w:r>
    </w:p>
    <w:p w14:paraId="15088F11">
      <w:pPr>
        <w:widowControl/>
        <w:spacing w:line="360" w:lineRule="auto"/>
        <w:ind w:right="1542"/>
        <w:jc w:val="center"/>
        <w:rPr>
          <w:rFonts w:ascii="宋体" w:hAnsi="宋体" w:eastAsia="宋体" w:cs="宋体"/>
          <w:b/>
          <w:bCs/>
          <w:color w:val="auto"/>
          <w:kern w:val="0"/>
          <w:sz w:val="32"/>
          <w:szCs w:val="32"/>
          <w:highlight w:val="none"/>
        </w:rPr>
      </w:pPr>
      <w:r>
        <w:rPr>
          <w:rFonts w:eastAsia="宋体" w:cs="Times New Roman"/>
          <w:color w:val="auto"/>
          <w:highlight w:val="none"/>
        </w:rPr>
        <mc:AlternateContent>
          <mc:Choice Requires="wps">
            <w:drawing>
              <wp:inline distT="0" distB="0" distL="114300" distR="114300">
                <wp:extent cx="5734685" cy="2946400"/>
                <wp:effectExtent l="4445" t="4445" r="13970" b="20955"/>
                <wp:docPr id="1" name="文本框 1"/>
                <wp:cNvGraphicFramePr/>
                <a:graphic xmlns:a="http://schemas.openxmlformats.org/drawingml/2006/main">
                  <a:graphicData uri="http://schemas.microsoft.com/office/word/2010/wordprocessingShape">
                    <wps:wsp>
                      <wps:cNvSpPr txBox="1">
                        <a:spLocks noRot="1" noChangeArrowheads="1"/>
                      </wps:cNvSpPr>
                      <wps:spPr bwMode="auto">
                        <a:xfrm>
                          <a:off x="0" y="0"/>
                          <a:ext cx="6129020" cy="2946400"/>
                        </a:xfrm>
                        <a:prstGeom prst="rect">
                          <a:avLst/>
                        </a:prstGeom>
                        <a:solidFill>
                          <a:srgbClr val="FFFFFF"/>
                        </a:solidFill>
                        <a:ln w="9525" cmpd="sng">
                          <a:solidFill>
                            <a:srgbClr val="000000"/>
                          </a:solidFill>
                          <a:miter lim="800000"/>
                        </a:ln>
                        <a:effectLst/>
                      </wps:spPr>
                      <wps:txbx>
                        <w:txbxContent>
                          <w:p w14:paraId="7939D2D0">
                            <w:pPr>
                              <w:spacing w:before="156" w:beforeLines="50"/>
                              <w:ind w:firstLine="480" w:firstLineChars="200"/>
                              <w:rPr>
                                <w:rFonts w:eastAsia="宋体" w:cs="Times New Roman"/>
                                <w:sz w:val="24"/>
                                <w:szCs w:val="24"/>
                              </w:rPr>
                            </w:pPr>
                            <w:r>
                              <w:rPr>
                                <w:rFonts w:hint="eastAsia" w:eastAsia="宋体" w:cs="宋体"/>
                                <w:sz w:val="24"/>
                                <w:szCs w:val="24"/>
                              </w:rPr>
                              <w:t>兹授权</w:t>
                            </w:r>
                            <w:r>
                              <w:rPr>
                                <w:rFonts w:hint="eastAsia" w:eastAsia="宋体" w:cs="宋体"/>
                                <w:sz w:val="24"/>
                                <w:szCs w:val="24"/>
                                <w:u w:val="single"/>
                              </w:rPr>
                              <w:t>　　　　　</w:t>
                            </w:r>
                            <w:r>
                              <w:rPr>
                                <w:rFonts w:hint="eastAsia" w:eastAsia="宋体" w:cs="宋体"/>
                                <w:sz w:val="24"/>
                                <w:szCs w:val="24"/>
                              </w:rPr>
                              <w:t>为我方委托代理人，其权限是：</w:t>
                            </w:r>
                            <w:r>
                              <w:rPr>
                                <w:rFonts w:eastAsia="宋体" w:cs="Times New Roman"/>
                                <w:sz w:val="24"/>
                                <w:szCs w:val="24"/>
                                <w:u w:val="single"/>
                              </w:rPr>
                              <w:t xml:space="preserve">                        </w:t>
                            </w:r>
                          </w:p>
                          <w:p w14:paraId="40E20E1F">
                            <w:pPr>
                              <w:snapToGrid w:val="0"/>
                              <w:spacing w:line="480" w:lineRule="atLeast"/>
                              <w:rPr>
                                <w:rFonts w:eastAsia="宋体" w:cs="Times New Roman"/>
                                <w:sz w:val="24"/>
                                <w:szCs w:val="24"/>
                                <w:u w:val="single"/>
                              </w:rPr>
                            </w:pPr>
                            <w:r>
                              <w:rPr>
                                <w:rFonts w:eastAsia="宋体" w:cs="Times New Roman"/>
                                <w:sz w:val="24"/>
                                <w:szCs w:val="24"/>
                                <w:u w:val="single"/>
                              </w:rPr>
                              <w:t xml:space="preserve">                                                                        </w:t>
                            </w:r>
                          </w:p>
                          <w:p w14:paraId="4BA8AD35">
                            <w:pPr>
                              <w:snapToGrid w:val="0"/>
                              <w:spacing w:line="480" w:lineRule="atLeast"/>
                              <w:rPr>
                                <w:rFonts w:eastAsia="宋体" w:cs="Times New Roman"/>
                                <w:sz w:val="24"/>
                                <w:szCs w:val="24"/>
                                <w:u w:val="single"/>
                              </w:rPr>
                            </w:pPr>
                            <w:r>
                              <w:rPr>
                                <w:rFonts w:hint="eastAsia" w:eastAsia="宋体" w:cs="宋体"/>
                                <w:sz w:val="24"/>
                                <w:szCs w:val="24"/>
                              </w:rPr>
                              <w:t>有效期限：</w:t>
                            </w:r>
                            <w:r>
                              <w:rPr>
                                <w:rFonts w:eastAsia="宋体" w:cs="Times New Roman"/>
                                <w:sz w:val="24"/>
                                <w:szCs w:val="24"/>
                                <w:u w:val="single"/>
                              </w:rPr>
                              <w:t xml:space="preserve">                                                              </w:t>
                            </w:r>
                          </w:p>
                          <w:p w14:paraId="0CCC99B6">
                            <w:pPr>
                              <w:snapToGrid w:val="0"/>
                              <w:spacing w:line="480" w:lineRule="atLeast"/>
                              <w:rPr>
                                <w:rFonts w:eastAsia="宋体" w:cs="Times New Roman"/>
                                <w:sz w:val="24"/>
                                <w:szCs w:val="24"/>
                              </w:rPr>
                            </w:pPr>
                            <w:r>
                              <w:rPr>
                                <w:rFonts w:hint="eastAsia" w:eastAsia="宋体" w:cs="宋体"/>
                                <w:sz w:val="24"/>
                                <w:szCs w:val="24"/>
                              </w:rPr>
                              <w:t>附：代理人性别：</w:t>
                            </w:r>
                            <w:r>
                              <w:rPr>
                                <w:rFonts w:hint="eastAsia" w:eastAsia="宋体" w:cs="宋体"/>
                                <w:sz w:val="24"/>
                                <w:szCs w:val="24"/>
                                <w:u w:val="single"/>
                              </w:rPr>
                              <w:t>　　</w:t>
                            </w:r>
                            <w:r>
                              <w:rPr>
                                <w:rFonts w:hint="eastAsia" w:eastAsia="宋体" w:cs="宋体"/>
                                <w:sz w:val="24"/>
                                <w:szCs w:val="24"/>
                              </w:rPr>
                              <w:t>年龄：</w:t>
                            </w:r>
                            <w:r>
                              <w:rPr>
                                <w:rFonts w:hint="eastAsia" w:eastAsia="宋体" w:cs="宋体"/>
                                <w:sz w:val="24"/>
                                <w:szCs w:val="24"/>
                                <w:u w:val="single"/>
                              </w:rPr>
                              <w:t>　　　</w:t>
                            </w:r>
                            <w:r>
                              <w:rPr>
                                <w:rFonts w:hint="eastAsia" w:eastAsia="宋体" w:cs="宋体"/>
                                <w:sz w:val="24"/>
                                <w:szCs w:val="24"/>
                              </w:rPr>
                              <w:t>身份证号码：</w:t>
                            </w:r>
                            <w:r>
                              <w:rPr>
                                <w:rFonts w:eastAsia="宋体" w:cs="Times New Roman"/>
                                <w:sz w:val="24"/>
                                <w:szCs w:val="24"/>
                                <w:u w:val="single"/>
                              </w:rPr>
                              <w:t xml:space="preserve">                            </w:t>
                            </w:r>
                          </w:p>
                          <w:p w14:paraId="08AA2D93">
                            <w:pPr>
                              <w:snapToGrid w:val="0"/>
                              <w:spacing w:line="480" w:lineRule="atLeast"/>
                              <w:ind w:hanging="105"/>
                              <w:rPr>
                                <w:rFonts w:eastAsia="宋体" w:cs="Times New Roman"/>
                                <w:sz w:val="24"/>
                                <w:szCs w:val="24"/>
                                <w:u w:val="single"/>
                              </w:rPr>
                            </w:pPr>
                            <w:r>
                              <w:rPr>
                                <w:rFonts w:hint="eastAsia" w:eastAsia="宋体" w:cs="宋体"/>
                                <w:sz w:val="24"/>
                                <w:szCs w:val="24"/>
                              </w:rPr>
                              <w:t>　　注册号码：</w:t>
                            </w:r>
                            <w:r>
                              <w:rPr>
                                <w:rFonts w:hint="eastAsia" w:eastAsia="宋体" w:cs="宋体"/>
                                <w:sz w:val="24"/>
                                <w:szCs w:val="24"/>
                                <w:u w:val="single"/>
                              </w:rPr>
                              <w:t>　　　　　　　　　</w:t>
                            </w:r>
                            <w:r>
                              <w:rPr>
                                <w:rFonts w:hint="eastAsia" w:eastAsia="宋体" w:cs="宋体"/>
                                <w:sz w:val="24"/>
                                <w:szCs w:val="24"/>
                              </w:rPr>
                              <w:t>企业类型：</w:t>
                            </w:r>
                            <w:r>
                              <w:rPr>
                                <w:rFonts w:eastAsia="宋体" w:cs="Times New Roman"/>
                                <w:sz w:val="24"/>
                                <w:szCs w:val="24"/>
                                <w:u w:val="single"/>
                              </w:rPr>
                              <w:t xml:space="preserve">                               </w:t>
                            </w:r>
                          </w:p>
                          <w:p w14:paraId="3E736E67">
                            <w:pPr>
                              <w:snapToGrid w:val="0"/>
                              <w:spacing w:line="480" w:lineRule="atLeast"/>
                              <w:ind w:hanging="105"/>
                              <w:rPr>
                                <w:rFonts w:eastAsia="宋体" w:cs="Times New Roman"/>
                                <w:sz w:val="24"/>
                                <w:szCs w:val="24"/>
                                <w:u w:val="single"/>
                              </w:rPr>
                            </w:pPr>
                            <w:r>
                              <w:rPr>
                                <w:rFonts w:hint="eastAsia" w:eastAsia="宋体" w:cs="宋体"/>
                                <w:sz w:val="24"/>
                                <w:szCs w:val="24"/>
                              </w:rPr>
                              <w:t>　　经营范围：</w:t>
                            </w:r>
                            <w:r>
                              <w:rPr>
                                <w:rFonts w:eastAsia="宋体" w:cs="Times New Roman"/>
                                <w:sz w:val="24"/>
                                <w:szCs w:val="24"/>
                                <w:u w:val="single"/>
                              </w:rPr>
                              <w:t xml:space="preserve">                                                           </w:t>
                            </w:r>
                          </w:p>
                          <w:p w14:paraId="1374138A">
                            <w:pPr>
                              <w:snapToGrid w:val="0"/>
                              <w:spacing w:line="480" w:lineRule="atLeast"/>
                              <w:ind w:hanging="105"/>
                              <w:rPr>
                                <w:rFonts w:eastAsia="宋体" w:cs="Times New Roman"/>
                                <w:sz w:val="24"/>
                                <w:szCs w:val="24"/>
                              </w:rPr>
                            </w:pPr>
                            <w:r>
                              <w:rPr>
                                <w:rFonts w:hint="eastAsia" w:eastAsia="宋体" w:cs="宋体"/>
                                <w:sz w:val="24"/>
                                <w:szCs w:val="24"/>
                              </w:rPr>
                              <w:t>　　法定代表人（负责人）：</w:t>
                            </w:r>
                            <w:r>
                              <w:rPr>
                                <w:rFonts w:hint="eastAsia" w:eastAsia="宋体" w:cs="宋体"/>
                                <w:sz w:val="24"/>
                                <w:szCs w:val="24"/>
                                <w:u w:val="single"/>
                              </w:rPr>
                              <w:t>　　　</w:t>
                            </w:r>
                            <w:r>
                              <w:rPr>
                                <w:rFonts w:eastAsia="宋体" w:cs="Times New Roman"/>
                                <w:sz w:val="24"/>
                                <w:szCs w:val="24"/>
                                <w:u w:val="single"/>
                              </w:rPr>
                              <w:t xml:space="preserve">          </w:t>
                            </w:r>
                            <w:r>
                              <w:rPr>
                                <w:rFonts w:hint="eastAsia" w:eastAsia="宋体" w:cs="宋体"/>
                                <w:sz w:val="24"/>
                                <w:szCs w:val="24"/>
                              </w:rPr>
                              <w:t>（签名）</w:t>
                            </w:r>
                          </w:p>
                          <w:p w14:paraId="7E542DB2">
                            <w:pPr>
                              <w:snapToGrid w:val="0"/>
                              <w:spacing w:line="480" w:lineRule="atLeast"/>
                              <w:ind w:hanging="105"/>
                              <w:rPr>
                                <w:rFonts w:eastAsia="宋体" w:cs="Times New Roman"/>
                                <w:sz w:val="24"/>
                                <w:szCs w:val="24"/>
                              </w:rPr>
                            </w:pPr>
                            <w:r>
                              <w:rPr>
                                <w:rFonts w:hint="eastAsia" w:eastAsia="宋体" w:cs="宋体"/>
                                <w:sz w:val="24"/>
                                <w:szCs w:val="24"/>
                              </w:rPr>
                              <w:t>　　授权单位：（盖章）</w:t>
                            </w:r>
                            <w:r>
                              <w:rPr>
                                <w:rFonts w:eastAsia="宋体" w:cs="Times New Roman"/>
                                <w:sz w:val="24"/>
                                <w:szCs w:val="24"/>
                                <w:u w:val="single"/>
                              </w:rPr>
                              <w:t xml:space="preserve">                     </w:t>
                            </w:r>
                            <w:r>
                              <w:rPr>
                                <w:rFonts w:hint="eastAsia" w:eastAsia="宋体" w:cs="宋体"/>
                                <w:sz w:val="24"/>
                                <w:szCs w:val="24"/>
                              </w:rPr>
                              <w:t>　　　</w:t>
                            </w:r>
                          </w:p>
                          <w:p w14:paraId="12E1A06E">
                            <w:pPr>
                              <w:snapToGrid w:val="0"/>
                              <w:spacing w:line="480" w:lineRule="atLeast"/>
                              <w:ind w:firstLine="570"/>
                              <w:rPr>
                                <w:rFonts w:eastAsia="宋体" w:cs="Times New Roman"/>
                                <w:sz w:val="24"/>
                                <w:szCs w:val="24"/>
                              </w:rPr>
                            </w:pPr>
                            <w:r>
                              <w:rPr>
                                <w:rFonts w:hint="eastAsia" w:eastAsia="宋体" w:cs="宋体"/>
                                <w:sz w:val="24"/>
                                <w:szCs w:val="24"/>
                              </w:rPr>
                              <w:t>　　　　　　　　　　　　　　　　　　　　　</w:t>
                            </w:r>
                            <w:r>
                              <w:rPr>
                                <w:rFonts w:eastAsia="宋体" w:cs="Times New Roman"/>
                                <w:sz w:val="24"/>
                                <w:szCs w:val="24"/>
                              </w:rPr>
                              <w:t xml:space="preserve">      </w:t>
                            </w:r>
                            <w:r>
                              <w:rPr>
                                <w:rFonts w:hint="eastAsia" w:eastAsia="宋体" w:cs="宋体"/>
                                <w:sz w:val="24"/>
                                <w:szCs w:val="24"/>
                              </w:rPr>
                              <w:t>年　</w:t>
                            </w:r>
                            <w:r>
                              <w:rPr>
                                <w:rFonts w:eastAsia="宋体" w:cs="Times New Roman"/>
                                <w:sz w:val="24"/>
                                <w:szCs w:val="24"/>
                              </w:rPr>
                              <w:t xml:space="preserve"> </w:t>
                            </w:r>
                            <w:r>
                              <w:rPr>
                                <w:rFonts w:hint="eastAsia" w:eastAsia="宋体" w:cs="宋体"/>
                                <w:sz w:val="24"/>
                                <w:szCs w:val="24"/>
                              </w:rPr>
                              <w:t>月　</w:t>
                            </w:r>
                            <w:r>
                              <w:rPr>
                                <w:rFonts w:eastAsia="宋体" w:cs="Times New Roman"/>
                                <w:sz w:val="24"/>
                                <w:szCs w:val="24"/>
                              </w:rPr>
                              <w:t xml:space="preserve"> </w:t>
                            </w:r>
                            <w:r>
                              <w:rPr>
                                <w:rFonts w:hint="eastAsia" w:eastAsia="宋体"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51.55pt;" fillcolor="#FFFFFF" filled="t" stroked="t" coordsize="21600,21600" o:gfxdata="UEsDBAoAAAAAAIdO4kAAAAAAAAAAAAAAAAAEAAAAZHJzL1BLAwQUAAAACACHTuJAdXPiX9YAAAAF&#10;AQAADwAAAGRycy9kb3ducmV2LnhtbE2PwU7DMBBE70j9B2uRuKDWDo1CG+L0gASCG7SoXN14m0TY&#10;69R20/L3GC70stJoRjNvq9XZGjaiD70jCdlMAENqnO6plfCxeZougIWoSCvjCCV8Y4BVPbmqVKnd&#10;id5xXMeWpRIKpZLQxTiUnIemQ6vCzA1Iyds7b1VM0rdce3VK5dbwOyEKblVPaaFTAz522Hytj1bC&#10;In8ZP8Pr/G3bFHuzjLf34/PBS3lznYkHYBHP8T8Mv/gJHerEtHNH0oEZCemR+HeTtxTzDNhOQl7k&#10;Anhd8Uv6+gdQSwMEFAAAAAgAh07iQGvjoIFXAgAAqwQAAA4AAABkcnMvZTJvRG9jLnhtbK1UzW7U&#10;MBC+I/EOlu802dW2dFfNVqVVEVL5EYUH8DpOYmF7zNi7SXkAeANOXLjzXH0Oxs62RIVDD+QQeTKf&#10;v5n5ZiYnp4M1bKcwaHAVnx2UnCknodaurfjHD5fPjjkLUbhaGHCq4jcq8NP10ycnvV+pOXRgaoWM&#10;SFxY9b7iXYx+VRRBdsqKcABeOXI2gFZEMrEtahQ9sVtTzMvyqOgBa48gVQj09WJ08j0jPoYQmkZL&#10;dQFya5WLIysqIyKVFDrtA1/nbJtGyfi2aYKKzFScKo35TUHovEnvYn0iVi0K32m5T0E8JoUHNVmh&#10;HQW9p7oQUbAt6r+orJYIAZp4IMEWYyFZEapiVj7Q5roTXuVaSOrg70UP/49Wvtm9Q6ZrmgTOnLDU&#10;8Nvv325//Lr9+ZXNkjy9DytCXXvCxeEFDAmaSg3+CuSnwBy8B9I13YfzTrhWnSFC3ylRU6KZo5iQ&#10;jIwh0W3611BTRLGNkCmHBm2iJl0YxaEm3dw3SQ2RSfp4NJsvyzm5JPnmy8XRosxtLMTq7rrHEF8q&#10;sCwdKo40BZle7K5CpJIIegfJhYDR9aU2JhvYbs4Nsp2gibnMT1KBroQpzDjWV3x5OD+kRKwn/YJr&#10;R1mmsDBlK/PzLzarI+2U0bbix1OQcSklled4n3pSMok3yhiHzbDv0QbqG9IUUy9IHdpwOnSAXzjr&#10;ab4pwc9bgYoz88pRX5azxYJgMRuLw+dJUZx6NlOPcJKoKh45G4/ncVyirUfddhRpnAkHZ9TLRmeV&#10;U6pjVqRfMmiGs5L7fUtLMrUz6s8/Zv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PiX9YAAAAF&#10;AQAADwAAAAAAAAABACAAAAAiAAAAZHJzL2Rvd25yZXYueG1sUEsBAhQAFAAAAAgAh07iQGvjoIFX&#10;AgAAqwQAAA4AAAAAAAAAAQAgAAAAJQEAAGRycy9lMm9Eb2MueG1sUEsFBgAAAAAGAAYAWQEAAO4F&#10;AAAAAA==&#10;">
                <v:fill on="t" focussize="0,0"/>
                <v:stroke color="#000000" miterlimit="8" joinstyle="miter"/>
                <v:imagedata o:title=""/>
                <o:lock v:ext="edit" rotation="t" aspectratio="f"/>
                <v:textbox>
                  <w:txbxContent>
                    <w:p w14:paraId="7939D2D0">
                      <w:pPr>
                        <w:spacing w:before="156" w:beforeLines="50"/>
                        <w:ind w:firstLine="480" w:firstLineChars="200"/>
                        <w:rPr>
                          <w:rFonts w:eastAsia="宋体" w:cs="Times New Roman"/>
                          <w:sz w:val="24"/>
                          <w:szCs w:val="24"/>
                        </w:rPr>
                      </w:pPr>
                      <w:r>
                        <w:rPr>
                          <w:rFonts w:hint="eastAsia" w:eastAsia="宋体" w:cs="宋体"/>
                          <w:sz w:val="24"/>
                          <w:szCs w:val="24"/>
                        </w:rPr>
                        <w:t>兹授权</w:t>
                      </w:r>
                      <w:r>
                        <w:rPr>
                          <w:rFonts w:hint="eastAsia" w:eastAsia="宋体" w:cs="宋体"/>
                          <w:sz w:val="24"/>
                          <w:szCs w:val="24"/>
                          <w:u w:val="single"/>
                        </w:rPr>
                        <w:t>　　　　　</w:t>
                      </w:r>
                      <w:r>
                        <w:rPr>
                          <w:rFonts w:hint="eastAsia" w:eastAsia="宋体" w:cs="宋体"/>
                          <w:sz w:val="24"/>
                          <w:szCs w:val="24"/>
                        </w:rPr>
                        <w:t>为我方委托代理人，其权限是：</w:t>
                      </w:r>
                      <w:r>
                        <w:rPr>
                          <w:rFonts w:eastAsia="宋体" w:cs="Times New Roman"/>
                          <w:sz w:val="24"/>
                          <w:szCs w:val="24"/>
                          <w:u w:val="single"/>
                        </w:rPr>
                        <w:t xml:space="preserve">                        </w:t>
                      </w:r>
                    </w:p>
                    <w:p w14:paraId="40E20E1F">
                      <w:pPr>
                        <w:snapToGrid w:val="0"/>
                        <w:spacing w:line="480" w:lineRule="atLeast"/>
                        <w:rPr>
                          <w:rFonts w:eastAsia="宋体" w:cs="Times New Roman"/>
                          <w:sz w:val="24"/>
                          <w:szCs w:val="24"/>
                          <w:u w:val="single"/>
                        </w:rPr>
                      </w:pPr>
                      <w:r>
                        <w:rPr>
                          <w:rFonts w:eastAsia="宋体" w:cs="Times New Roman"/>
                          <w:sz w:val="24"/>
                          <w:szCs w:val="24"/>
                          <w:u w:val="single"/>
                        </w:rPr>
                        <w:t xml:space="preserve">                                                                        </w:t>
                      </w:r>
                    </w:p>
                    <w:p w14:paraId="4BA8AD35">
                      <w:pPr>
                        <w:snapToGrid w:val="0"/>
                        <w:spacing w:line="480" w:lineRule="atLeast"/>
                        <w:rPr>
                          <w:rFonts w:eastAsia="宋体" w:cs="Times New Roman"/>
                          <w:sz w:val="24"/>
                          <w:szCs w:val="24"/>
                          <w:u w:val="single"/>
                        </w:rPr>
                      </w:pPr>
                      <w:r>
                        <w:rPr>
                          <w:rFonts w:hint="eastAsia" w:eastAsia="宋体" w:cs="宋体"/>
                          <w:sz w:val="24"/>
                          <w:szCs w:val="24"/>
                        </w:rPr>
                        <w:t>有效期限：</w:t>
                      </w:r>
                      <w:r>
                        <w:rPr>
                          <w:rFonts w:eastAsia="宋体" w:cs="Times New Roman"/>
                          <w:sz w:val="24"/>
                          <w:szCs w:val="24"/>
                          <w:u w:val="single"/>
                        </w:rPr>
                        <w:t xml:space="preserve">                                                              </w:t>
                      </w:r>
                    </w:p>
                    <w:p w14:paraId="0CCC99B6">
                      <w:pPr>
                        <w:snapToGrid w:val="0"/>
                        <w:spacing w:line="480" w:lineRule="atLeast"/>
                        <w:rPr>
                          <w:rFonts w:eastAsia="宋体" w:cs="Times New Roman"/>
                          <w:sz w:val="24"/>
                          <w:szCs w:val="24"/>
                        </w:rPr>
                      </w:pPr>
                      <w:r>
                        <w:rPr>
                          <w:rFonts w:hint="eastAsia" w:eastAsia="宋体" w:cs="宋体"/>
                          <w:sz w:val="24"/>
                          <w:szCs w:val="24"/>
                        </w:rPr>
                        <w:t>附：代理人性别：</w:t>
                      </w:r>
                      <w:r>
                        <w:rPr>
                          <w:rFonts w:hint="eastAsia" w:eastAsia="宋体" w:cs="宋体"/>
                          <w:sz w:val="24"/>
                          <w:szCs w:val="24"/>
                          <w:u w:val="single"/>
                        </w:rPr>
                        <w:t>　　</w:t>
                      </w:r>
                      <w:r>
                        <w:rPr>
                          <w:rFonts w:hint="eastAsia" w:eastAsia="宋体" w:cs="宋体"/>
                          <w:sz w:val="24"/>
                          <w:szCs w:val="24"/>
                        </w:rPr>
                        <w:t>年龄：</w:t>
                      </w:r>
                      <w:r>
                        <w:rPr>
                          <w:rFonts w:hint="eastAsia" w:eastAsia="宋体" w:cs="宋体"/>
                          <w:sz w:val="24"/>
                          <w:szCs w:val="24"/>
                          <w:u w:val="single"/>
                        </w:rPr>
                        <w:t>　　　</w:t>
                      </w:r>
                      <w:r>
                        <w:rPr>
                          <w:rFonts w:hint="eastAsia" w:eastAsia="宋体" w:cs="宋体"/>
                          <w:sz w:val="24"/>
                          <w:szCs w:val="24"/>
                        </w:rPr>
                        <w:t>身份证号码：</w:t>
                      </w:r>
                      <w:r>
                        <w:rPr>
                          <w:rFonts w:eastAsia="宋体" w:cs="Times New Roman"/>
                          <w:sz w:val="24"/>
                          <w:szCs w:val="24"/>
                          <w:u w:val="single"/>
                        </w:rPr>
                        <w:t xml:space="preserve">                            </w:t>
                      </w:r>
                    </w:p>
                    <w:p w14:paraId="08AA2D93">
                      <w:pPr>
                        <w:snapToGrid w:val="0"/>
                        <w:spacing w:line="480" w:lineRule="atLeast"/>
                        <w:ind w:hanging="105"/>
                        <w:rPr>
                          <w:rFonts w:eastAsia="宋体" w:cs="Times New Roman"/>
                          <w:sz w:val="24"/>
                          <w:szCs w:val="24"/>
                          <w:u w:val="single"/>
                        </w:rPr>
                      </w:pPr>
                      <w:r>
                        <w:rPr>
                          <w:rFonts w:hint="eastAsia" w:eastAsia="宋体" w:cs="宋体"/>
                          <w:sz w:val="24"/>
                          <w:szCs w:val="24"/>
                        </w:rPr>
                        <w:t>　　注册号码：</w:t>
                      </w:r>
                      <w:r>
                        <w:rPr>
                          <w:rFonts w:hint="eastAsia" w:eastAsia="宋体" w:cs="宋体"/>
                          <w:sz w:val="24"/>
                          <w:szCs w:val="24"/>
                          <w:u w:val="single"/>
                        </w:rPr>
                        <w:t>　　　　　　　　　</w:t>
                      </w:r>
                      <w:r>
                        <w:rPr>
                          <w:rFonts w:hint="eastAsia" w:eastAsia="宋体" w:cs="宋体"/>
                          <w:sz w:val="24"/>
                          <w:szCs w:val="24"/>
                        </w:rPr>
                        <w:t>企业类型：</w:t>
                      </w:r>
                      <w:r>
                        <w:rPr>
                          <w:rFonts w:eastAsia="宋体" w:cs="Times New Roman"/>
                          <w:sz w:val="24"/>
                          <w:szCs w:val="24"/>
                          <w:u w:val="single"/>
                        </w:rPr>
                        <w:t xml:space="preserve">                               </w:t>
                      </w:r>
                    </w:p>
                    <w:p w14:paraId="3E736E67">
                      <w:pPr>
                        <w:snapToGrid w:val="0"/>
                        <w:spacing w:line="480" w:lineRule="atLeast"/>
                        <w:ind w:hanging="105"/>
                        <w:rPr>
                          <w:rFonts w:eastAsia="宋体" w:cs="Times New Roman"/>
                          <w:sz w:val="24"/>
                          <w:szCs w:val="24"/>
                          <w:u w:val="single"/>
                        </w:rPr>
                      </w:pPr>
                      <w:r>
                        <w:rPr>
                          <w:rFonts w:hint="eastAsia" w:eastAsia="宋体" w:cs="宋体"/>
                          <w:sz w:val="24"/>
                          <w:szCs w:val="24"/>
                        </w:rPr>
                        <w:t>　　经营范围：</w:t>
                      </w:r>
                      <w:r>
                        <w:rPr>
                          <w:rFonts w:eastAsia="宋体" w:cs="Times New Roman"/>
                          <w:sz w:val="24"/>
                          <w:szCs w:val="24"/>
                          <w:u w:val="single"/>
                        </w:rPr>
                        <w:t xml:space="preserve">                                                           </w:t>
                      </w:r>
                    </w:p>
                    <w:p w14:paraId="1374138A">
                      <w:pPr>
                        <w:snapToGrid w:val="0"/>
                        <w:spacing w:line="480" w:lineRule="atLeast"/>
                        <w:ind w:hanging="105"/>
                        <w:rPr>
                          <w:rFonts w:eastAsia="宋体" w:cs="Times New Roman"/>
                          <w:sz w:val="24"/>
                          <w:szCs w:val="24"/>
                        </w:rPr>
                      </w:pPr>
                      <w:r>
                        <w:rPr>
                          <w:rFonts w:hint="eastAsia" w:eastAsia="宋体" w:cs="宋体"/>
                          <w:sz w:val="24"/>
                          <w:szCs w:val="24"/>
                        </w:rPr>
                        <w:t>　　法定代表人（负责人）：</w:t>
                      </w:r>
                      <w:r>
                        <w:rPr>
                          <w:rFonts w:hint="eastAsia" w:eastAsia="宋体" w:cs="宋体"/>
                          <w:sz w:val="24"/>
                          <w:szCs w:val="24"/>
                          <w:u w:val="single"/>
                        </w:rPr>
                        <w:t>　　　</w:t>
                      </w:r>
                      <w:r>
                        <w:rPr>
                          <w:rFonts w:eastAsia="宋体" w:cs="Times New Roman"/>
                          <w:sz w:val="24"/>
                          <w:szCs w:val="24"/>
                          <w:u w:val="single"/>
                        </w:rPr>
                        <w:t xml:space="preserve">          </w:t>
                      </w:r>
                      <w:r>
                        <w:rPr>
                          <w:rFonts w:hint="eastAsia" w:eastAsia="宋体" w:cs="宋体"/>
                          <w:sz w:val="24"/>
                          <w:szCs w:val="24"/>
                        </w:rPr>
                        <w:t>（签名）</w:t>
                      </w:r>
                    </w:p>
                    <w:p w14:paraId="7E542DB2">
                      <w:pPr>
                        <w:snapToGrid w:val="0"/>
                        <w:spacing w:line="480" w:lineRule="atLeast"/>
                        <w:ind w:hanging="105"/>
                        <w:rPr>
                          <w:rFonts w:eastAsia="宋体" w:cs="Times New Roman"/>
                          <w:sz w:val="24"/>
                          <w:szCs w:val="24"/>
                        </w:rPr>
                      </w:pPr>
                      <w:r>
                        <w:rPr>
                          <w:rFonts w:hint="eastAsia" w:eastAsia="宋体" w:cs="宋体"/>
                          <w:sz w:val="24"/>
                          <w:szCs w:val="24"/>
                        </w:rPr>
                        <w:t>　　授权单位：（盖章）</w:t>
                      </w:r>
                      <w:r>
                        <w:rPr>
                          <w:rFonts w:eastAsia="宋体" w:cs="Times New Roman"/>
                          <w:sz w:val="24"/>
                          <w:szCs w:val="24"/>
                          <w:u w:val="single"/>
                        </w:rPr>
                        <w:t xml:space="preserve">                     </w:t>
                      </w:r>
                      <w:r>
                        <w:rPr>
                          <w:rFonts w:hint="eastAsia" w:eastAsia="宋体" w:cs="宋体"/>
                          <w:sz w:val="24"/>
                          <w:szCs w:val="24"/>
                        </w:rPr>
                        <w:t>　　　</w:t>
                      </w:r>
                    </w:p>
                    <w:p w14:paraId="12E1A06E">
                      <w:pPr>
                        <w:snapToGrid w:val="0"/>
                        <w:spacing w:line="480" w:lineRule="atLeast"/>
                        <w:ind w:firstLine="570"/>
                        <w:rPr>
                          <w:rFonts w:eastAsia="宋体" w:cs="Times New Roman"/>
                          <w:sz w:val="24"/>
                          <w:szCs w:val="24"/>
                        </w:rPr>
                      </w:pPr>
                      <w:r>
                        <w:rPr>
                          <w:rFonts w:hint="eastAsia" w:eastAsia="宋体" w:cs="宋体"/>
                          <w:sz w:val="24"/>
                          <w:szCs w:val="24"/>
                        </w:rPr>
                        <w:t>　　　　　　　　　　　　　　　　　　　　　</w:t>
                      </w:r>
                      <w:r>
                        <w:rPr>
                          <w:rFonts w:eastAsia="宋体" w:cs="Times New Roman"/>
                          <w:sz w:val="24"/>
                          <w:szCs w:val="24"/>
                        </w:rPr>
                        <w:t xml:space="preserve">      </w:t>
                      </w:r>
                      <w:r>
                        <w:rPr>
                          <w:rFonts w:hint="eastAsia" w:eastAsia="宋体" w:cs="宋体"/>
                          <w:sz w:val="24"/>
                          <w:szCs w:val="24"/>
                        </w:rPr>
                        <w:t>年　</w:t>
                      </w:r>
                      <w:r>
                        <w:rPr>
                          <w:rFonts w:eastAsia="宋体" w:cs="Times New Roman"/>
                          <w:sz w:val="24"/>
                          <w:szCs w:val="24"/>
                        </w:rPr>
                        <w:t xml:space="preserve"> </w:t>
                      </w:r>
                      <w:r>
                        <w:rPr>
                          <w:rFonts w:hint="eastAsia" w:eastAsia="宋体" w:cs="宋体"/>
                          <w:sz w:val="24"/>
                          <w:szCs w:val="24"/>
                        </w:rPr>
                        <w:t>月　</w:t>
                      </w:r>
                      <w:r>
                        <w:rPr>
                          <w:rFonts w:eastAsia="宋体" w:cs="Times New Roman"/>
                          <w:sz w:val="24"/>
                          <w:szCs w:val="24"/>
                        </w:rPr>
                        <w:t xml:space="preserve"> </w:t>
                      </w:r>
                      <w:r>
                        <w:rPr>
                          <w:rFonts w:hint="eastAsia" w:eastAsia="宋体" w:cs="宋体"/>
                          <w:sz w:val="24"/>
                          <w:szCs w:val="24"/>
                        </w:rPr>
                        <w:t>日</w:t>
                      </w:r>
                    </w:p>
                  </w:txbxContent>
                </v:textbox>
                <w10:wrap type="none"/>
                <w10:anchorlock/>
              </v:shape>
            </w:pict>
          </mc:Fallback>
        </mc:AlternateContent>
      </w:r>
    </w:p>
    <w:p w14:paraId="5DBBC5A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注：按提供的该表格格式填写，或使用工商管理部门的格式填写。</w:t>
      </w:r>
    </w:p>
    <w:bookmarkEnd w:id="205"/>
    <w:bookmarkEnd w:id="206"/>
    <w:bookmarkEnd w:id="207"/>
    <w:bookmarkEnd w:id="208"/>
    <w:bookmarkEnd w:id="209"/>
    <w:bookmarkEnd w:id="210"/>
    <w:bookmarkEnd w:id="211"/>
    <w:p w14:paraId="2D651D2B">
      <w:pPr>
        <w:spacing w:line="360" w:lineRule="auto"/>
        <w:rPr>
          <w:rFonts w:hint="eastAsia" w:ascii="宋体" w:hAnsi="宋体" w:eastAsia="宋体" w:cs="宋体"/>
          <w:color w:val="auto"/>
          <w:highlight w:val="none"/>
        </w:rPr>
      </w:pPr>
      <w:bookmarkStart w:id="212" w:name="_Toc525063284"/>
      <w:bookmarkStart w:id="213" w:name="_Toc23444"/>
      <w:bookmarkStart w:id="214" w:name="_Toc15147"/>
      <w:bookmarkStart w:id="215" w:name="_Toc25035"/>
      <w:bookmarkStart w:id="216" w:name="_Toc8221"/>
      <w:bookmarkStart w:id="217" w:name="_Toc532367892"/>
      <w:bookmarkStart w:id="218" w:name="_Toc29040"/>
    </w:p>
    <w:p w14:paraId="5759CFEE">
      <w:pPr>
        <w:keepNext/>
        <w:keepLines/>
        <w:spacing w:line="360" w:lineRule="auto"/>
        <w:jc w:val="center"/>
        <w:outlineLvl w:val="1"/>
        <w:rPr>
          <w:rFonts w:ascii="宋体" w:hAnsi="宋体" w:eastAsia="宋体" w:cs="宋体"/>
          <w:color w:val="auto"/>
          <w:highlight w:val="none"/>
        </w:rPr>
      </w:pPr>
      <w:r>
        <w:rPr>
          <w:rFonts w:hint="eastAsia" w:ascii="宋体" w:hAnsi="宋体" w:eastAsia="宋体" w:cs="宋体"/>
          <w:color w:val="auto"/>
          <w:highlight w:val="none"/>
        </w:rPr>
        <w:br w:type="page"/>
      </w:r>
      <w:bookmarkStart w:id="219" w:name="_Toc15064"/>
      <w:r>
        <w:rPr>
          <w:rFonts w:hint="eastAsia" w:ascii="宋体" w:hAnsi="宋体" w:eastAsia="宋体" w:cs="宋体"/>
          <w:b/>
          <w:bCs/>
          <w:color w:val="auto"/>
          <w:sz w:val="32"/>
          <w:szCs w:val="32"/>
          <w:highlight w:val="none"/>
        </w:rPr>
        <w:t>三、关于投标保证金的承诺</w:t>
      </w:r>
      <w:bookmarkEnd w:id="219"/>
    </w:p>
    <w:p w14:paraId="5581A1E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712159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项目的投标工作，作出郑重声明：</w:t>
      </w:r>
    </w:p>
    <w:p w14:paraId="470ED41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宋体"/>
          <w:color w:val="auto"/>
          <w:kern w:val="0"/>
          <w:sz w:val="24"/>
          <w:szCs w:val="24"/>
          <w:highlight w:val="none"/>
          <w:lang w:val="zh-CN"/>
        </w:rPr>
        <w:t>一旦发生符合招标文件规定的不予退还投标保证金情形的，将</w:t>
      </w:r>
      <w:r>
        <w:rPr>
          <w:rFonts w:hint="eastAsia" w:ascii="宋体" w:hAnsi="宋体" w:eastAsia="宋体" w:cs="宋体"/>
          <w:color w:val="auto"/>
          <w:sz w:val="24"/>
          <w:szCs w:val="24"/>
          <w:highlight w:val="none"/>
        </w:rPr>
        <w:t>按照招标人的要求，在规定的时间内向招标人足额补交投标保证金。</w:t>
      </w:r>
    </w:p>
    <w:p w14:paraId="73B4FFE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本公司违反上述保证的，将被视为虚假承诺，按相关规定进行信用记录。本公司对失信行为产生的一切后果已知悉，并承担由此产生的相应责任。</w:t>
      </w:r>
    </w:p>
    <w:p w14:paraId="4704E17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1E9B1A6">
      <w:pPr>
        <w:spacing w:line="360" w:lineRule="auto"/>
        <w:ind w:firstLine="480" w:firstLineChars="200"/>
        <w:jc w:val="left"/>
        <w:rPr>
          <w:rFonts w:hint="eastAsia" w:ascii="宋体" w:hAnsi="宋体" w:eastAsia="宋体" w:cs="宋体"/>
          <w:color w:val="auto"/>
          <w:sz w:val="24"/>
          <w:szCs w:val="24"/>
          <w:highlight w:val="none"/>
        </w:rPr>
      </w:pPr>
    </w:p>
    <w:p w14:paraId="413187BF">
      <w:pPr>
        <w:spacing w:line="360" w:lineRule="auto"/>
        <w:ind w:firstLine="4320" w:firstLineChars="18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（盖章）</w:t>
      </w:r>
    </w:p>
    <w:p w14:paraId="3FD1EB93">
      <w:pPr>
        <w:spacing w:line="360" w:lineRule="auto"/>
        <w:rPr>
          <w:rFonts w:ascii="宋体" w:hAnsi="宋体" w:eastAsia="宋体" w:cs="Times New Roman"/>
          <w:color w:val="auto"/>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119E5734">
      <w:pPr>
        <w:keepNext/>
        <w:keepLines/>
        <w:spacing w:line="360" w:lineRule="auto"/>
        <w:jc w:val="center"/>
        <w:outlineLvl w:val="1"/>
        <w:rPr>
          <w:rFonts w:ascii="宋体" w:hAnsi="宋体" w:eastAsia="宋体" w:cs="宋体"/>
          <w:color w:val="auto"/>
          <w:highlight w:val="none"/>
        </w:rPr>
      </w:pPr>
    </w:p>
    <w:p w14:paraId="2EFD587A">
      <w:pPr>
        <w:keepNext/>
        <w:keepLines/>
        <w:spacing w:line="360" w:lineRule="auto"/>
        <w:jc w:val="center"/>
        <w:outlineLvl w:val="1"/>
        <w:rPr>
          <w:rFonts w:hint="eastAsia" w:ascii="宋体" w:hAnsi="宋体" w:eastAsia="宋体" w:cs="宋体"/>
          <w:color w:val="auto"/>
          <w:sz w:val="32"/>
          <w:highlight w:val="none"/>
        </w:rPr>
      </w:pPr>
      <w:r>
        <w:rPr>
          <w:rFonts w:ascii="宋体" w:hAnsi="宋体" w:eastAsia="宋体" w:cs="宋体"/>
          <w:b/>
          <w:bCs/>
          <w:color w:val="auto"/>
          <w:sz w:val="32"/>
          <w:szCs w:val="32"/>
          <w:highlight w:val="none"/>
        </w:rPr>
        <w:br w:type="page"/>
      </w:r>
      <w:bookmarkStart w:id="220" w:name="_Toc26045"/>
      <w:r>
        <w:rPr>
          <w:rFonts w:hint="eastAsia" w:ascii="宋体" w:hAnsi="宋体" w:eastAsia="宋体" w:cs="宋体"/>
          <w:b/>
          <w:bCs/>
          <w:color w:val="auto"/>
          <w:sz w:val="32"/>
          <w:szCs w:val="32"/>
          <w:highlight w:val="none"/>
        </w:rPr>
        <w:t>四、联合体协议书（如有）</w:t>
      </w:r>
      <w:bookmarkEnd w:id="220"/>
    </w:p>
    <w:p w14:paraId="489F8BB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可参考</w:t>
      </w:r>
      <w:r>
        <w:rPr>
          <w:rFonts w:hint="eastAsia" w:ascii="宋体" w:hAnsi="宋体" w:eastAsia="宋体" w:cs="宋体"/>
          <w:color w:val="auto"/>
          <w:sz w:val="24"/>
          <w:szCs w:val="24"/>
          <w:highlight w:val="none"/>
        </w:rPr>
        <w:t>本项目招标公告附件格式）</w:t>
      </w:r>
      <w:r>
        <w:rPr>
          <w:rFonts w:hint="eastAsia" w:ascii="宋体" w:hAnsi="宋体" w:eastAsia="宋体" w:cs="宋体"/>
          <w:color w:val="auto"/>
          <w:sz w:val="24"/>
          <w:szCs w:val="24"/>
          <w:highlight w:val="none"/>
        </w:rPr>
        <w:br w:type="page"/>
      </w:r>
    </w:p>
    <w:p w14:paraId="3781C03F">
      <w:pPr>
        <w:keepNext/>
        <w:keepLines/>
        <w:spacing w:line="360" w:lineRule="auto"/>
        <w:jc w:val="center"/>
        <w:outlineLvl w:val="1"/>
        <w:rPr>
          <w:rFonts w:hint="eastAsia" w:ascii="宋体" w:hAnsi="宋体" w:eastAsia="宋体" w:cs="宋体"/>
          <w:b/>
          <w:bCs/>
          <w:color w:val="auto"/>
          <w:sz w:val="32"/>
          <w:szCs w:val="32"/>
          <w:highlight w:val="none"/>
        </w:rPr>
      </w:pPr>
      <w:bookmarkStart w:id="221" w:name="_Toc4362"/>
      <w:r>
        <w:rPr>
          <w:rFonts w:hint="eastAsia" w:ascii="宋体" w:hAnsi="宋体" w:eastAsia="宋体" w:cs="宋体"/>
          <w:b/>
          <w:bCs/>
          <w:color w:val="auto"/>
          <w:sz w:val="32"/>
          <w:szCs w:val="32"/>
          <w:highlight w:val="none"/>
        </w:rPr>
        <w:t>五、</w:t>
      </w:r>
      <w:bookmarkEnd w:id="212"/>
      <w:bookmarkEnd w:id="213"/>
      <w:bookmarkEnd w:id="214"/>
      <w:bookmarkEnd w:id="215"/>
      <w:bookmarkEnd w:id="216"/>
      <w:bookmarkEnd w:id="217"/>
      <w:bookmarkEnd w:id="218"/>
      <w:r>
        <w:rPr>
          <w:rFonts w:hint="eastAsia" w:ascii="宋体" w:hAnsi="宋体" w:eastAsia="宋体" w:cs="宋体"/>
          <w:b/>
          <w:bCs/>
          <w:color w:val="auto"/>
          <w:sz w:val="32"/>
          <w:szCs w:val="32"/>
          <w:highlight w:val="none"/>
        </w:rPr>
        <w:t>资格审查资料</w:t>
      </w:r>
      <w:bookmarkEnd w:id="221"/>
    </w:p>
    <w:p w14:paraId="38A72B36">
      <w:pPr>
        <w:widowControl/>
        <w:spacing w:line="360" w:lineRule="auto"/>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（一）投标人基本情况表</w:t>
      </w:r>
    </w:p>
    <w:tbl>
      <w:tblPr>
        <w:tblStyle w:val="16"/>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010E3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4811176F">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投标人名称</w:t>
            </w:r>
          </w:p>
        </w:tc>
        <w:tc>
          <w:tcPr>
            <w:tcW w:w="6840" w:type="dxa"/>
            <w:gridSpan w:val="8"/>
            <w:tcBorders>
              <w:top w:val="single" w:color="auto" w:sz="4" w:space="0"/>
              <w:left w:val="single" w:color="auto" w:sz="4" w:space="0"/>
              <w:bottom w:val="single" w:color="auto" w:sz="4" w:space="0"/>
            </w:tcBorders>
            <w:noWrap w:val="0"/>
            <w:vAlign w:val="center"/>
          </w:tcPr>
          <w:p w14:paraId="6AE5845B">
            <w:pPr>
              <w:topLinePunct/>
              <w:spacing w:line="360" w:lineRule="auto"/>
              <w:jc w:val="center"/>
              <w:rPr>
                <w:rFonts w:ascii="宋体" w:hAnsi="宋体" w:eastAsia="宋体" w:cs="Times New Roman"/>
                <w:color w:val="auto"/>
                <w:highlight w:val="none"/>
              </w:rPr>
            </w:pPr>
          </w:p>
        </w:tc>
      </w:tr>
      <w:tr w14:paraId="74483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5E8BD4A1">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CBB4750">
            <w:pPr>
              <w:topLinePunct/>
              <w:spacing w:line="360" w:lineRule="auto"/>
              <w:jc w:val="center"/>
              <w:rPr>
                <w:rFonts w:ascii="宋体" w:hAnsi="宋体" w:eastAsia="宋体" w:cs="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5E0A40AF">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邮政编码</w:t>
            </w:r>
          </w:p>
        </w:tc>
        <w:tc>
          <w:tcPr>
            <w:tcW w:w="2342" w:type="dxa"/>
            <w:gridSpan w:val="3"/>
            <w:tcBorders>
              <w:top w:val="single" w:color="auto" w:sz="4" w:space="0"/>
              <w:left w:val="single" w:color="auto" w:sz="4" w:space="0"/>
              <w:bottom w:val="single" w:color="auto" w:sz="4" w:space="0"/>
            </w:tcBorders>
            <w:noWrap w:val="0"/>
            <w:vAlign w:val="center"/>
          </w:tcPr>
          <w:p w14:paraId="6CE855D2">
            <w:pPr>
              <w:topLinePunct/>
              <w:spacing w:line="360" w:lineRule="auto"/>
              <w:jc w:val="center"/>
              <w:rPr>
                <w:rFonts w:ascii="宋体" w:hAnsi="宋体" w:eastAsia="宋体" w:cs="Times New Roman"/>
                <w:color w:val="auto"/>
                <w:highlight w:val="none"/>
              </w:rPr>
            </w:pPr>
          </w:p>
        </w:tc>
      </w:tr>
      <w:tr w14:paraId="7CA0D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noWrap w:val="0"/>
            <w:vAlign w:val="center"/>
          </w:tcPr>
          <w:p w14:paraId="1549C7CB">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D788D91">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13996F1D">
            <w:pPr>
              <w:topLinePunct/>
              <w:spacing w:line="360" w:lineRule="auto"/>
              <w:jc w:val="center"/>
              <w:rPr>
                <w:rFonts w:ascii="宋体" w:hAnsi="宋体" w:eastAsia="宋体" w:cs="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5E115A1">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电话</w:t>
            </w:r>
          </w:p>
        </w:tc>
        <w:tc>
          <w:tcPr>
            <w:tcW w:w="2342" w:type="dxa"/>
            <w:gridSpan w:val="3"/>
            <w:tcBorders>
              <w:top w:val="single" w:color="auto" w:sz="4" w:space="0"/>
              <w:left w:val="single" w:color="auto" w:sz="4" w:space="0"/>
              <w:bottom w:val="single" w:color="auto" w:sz="4" w:space="0"/>
            </w:tcBorders>
            <w:noWrap w:val="0"/>
            <w:vAlign w:val="center"/>
          </w:tcPr>
          <w:p w14:paraId="1BA7E18E">
            <w:pPr>
              <w:topLinePunct/>
              <w:spacing w:line="360" w:lineRule="auto"/>
              <w:jc w:val="center"/>
              <w:rPr>
                <w:rFonts w:ascii="宋体" w:hAnsi="宋体" w:eastAsia="宋体" w:cs="Times New Roman"/>
                <w:color w:val="auto"/>
                <w:highlight w:val="none"/>
              </w:rPr>
            </w:pPr>
          </w:p>
        </w:tc>
      </w:tr>
      <w:tr w14:paraId="6F2C5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noWrap w:val="0"/>
            <w:vAlign w:val="center"/>
          </w:tcPr>
          <w:p w14:paraId="2E52486E">
            <w:pPr>
              <w:spacing w:line="360" w:lineRule="auto"/>
              <w:jc w:val="center"/>
              <w:rPr>
                <w:rFonts w:ascii="宋体" w:hAnsi="宋体" w:eastAsia="宋体" w:cs="Times New Roman"/>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0BD27969">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243A891D">
            <w:pPr>
              <w:topLinePunct/>
              <w:spacing w:line="360" w:lineRule="auto"/>
              <w:jc w:val="center"/>
              <w:rPr>
                <w:rFonts w:ascii="宋体" w:hAnsi="宋体" w:eastAsia="宋体" w:cs="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8F1833F">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网址</w:t>
            </w:r>
          </w:p>
        </w:tc>
        <w:tc>
          <w:tcPr>
            <w:tcW w:w="2342" w:type="dxa"/>
            <w:gridSpan w:val="3"/>
            <w:tcBorders>
              <w:top w:val="single" w:color="auto" w:sz="4" w:space="0"/>
              <w:left w:val="single" w:color="auto" w:sz="4" w:space="0"/>
              <w:bottom w:val="single" w:color="auto" w:sz="4" w:space="0"/>
            </w:tcBorders>
            <w:noWrap w:val="0"/>
            <w:vAlign w:val="center"/>
          </w:tcPr>
          <w:p w14:paraId="73EDFF57">
            <w:pPr>
              <w:topLinePunct/>
              <w:spacing w:line="360" w:lineRule="auto"/>
              <w:jc w:val="center"/>
              <w:rPr>
                <w:rFonts w:ascii="宋体" w:hAnsi="宋体" w:eastAsia="宋体" w:cs="Times New Roman"/>
                <w:color w:val="auto"/>
                <w:highlight w:val="none"/>
              </w:rPr>
            </w:pPr>
          </w:p>
        </w:tc>
      </w:tr>
      <w:tr w14:paraId="4FFE5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AB3DB47">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27038BF">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C526AF9">
            <w:pPr>
              <w:topLinePunct/>
              <w:spacing w:line="360" w:lineRule="auto"/>
              <w:jc w:val="center"/>
              <w:rPr>
                <w:rFonts w:ascii="宋体" w:hAnsi="宋体" w:eastAsia="宋体" w:cs="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D4F29F9">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5EE5BA19">
            <w:pPr>
              <w:topLinePunct/>
              <w:spacing w:line="360" w:lineRule="auto"/>
              <w:jc w:val="center"/>
              <w:rPr>
                <w:rFonts w:ascii="宋体" w:hAnsi="宋体" w:eastAsia="宋体" w:cs="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4552045F">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14:paraId="2EDD9455">
            <w:pPr>
              <w:topLinePunct/>
              <w:spacing w:line="360" w:lineRule="auto"/>
              <w:jc w:val="center"/>
              <w:rPr>
                <w:rFonts w:ascii="宋体" w:hAnsi="宋体" w:eastAsia="宋体" w:cs="Times New Roman"/>
                <w:color w:val="auto"/>
                <w:highlight w:val="none"/>
              </w:rPr>
            </w:pPr>
          </w:p>
        </w:tc>
      </w:tr>
      <w:tr w14:paraId="24356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5F6D6CF0">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6550B0D">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C7C0D71">
            <w:pPr>
              <w:topLinePunct/>
              <w:spacing w:line="360" w:lineRule="auto"/>
              <w:jc w:val="center"/>
              <w:rPr>
                <w:rFonts w:ascii="宋体" w:hAnsi="宋体" w:eastAsia="宋体" w:cs="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E0C47CE">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17CD11F">
            <w:pPr>
              <w:topLinePunct/>
              <w:spacing w:line="360" w:lineRule="auto"/>
              <w:jc w:val="center"/>
              <w:rPr>
                <w:rFonts w:ascii="宋体" w:hAnsi="宋体" w:eastAsia="宋体" w:cs="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0B96934F">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14:paraId="4D57B8DB">
            <w:pPr>
              <w:topLinePunct/>
              <w:spacing w:line="360" w:lineRule="auto"/>
              <w:jc w:val="center"/>
              <w:rPr>
                <w:rFonts w:ascii="宋体" w:hAnsi="宋体" w:eastAsia="宋体" w:cs="Times New Roman"/>
                <w:color w:val="auto"/>
                <w:highlight w:val="none"/>
              </w:rPr>
            </w:pPr>
          </w:p>
        </w:tc>
      </w:tr>
      <w:tr w14:paraId="5F1B6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0C452869">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企业资质证书</w:t>
            </w:r>
          </w:p>
        </w:tc>
        <w:tc>
          <w:tcPr>
            <w:tcW w:w="6840" w:type="dxa"/>
            <w:gridSpan w:val="8"/>
            <w:tcBorders>
              <w:top w:val="single" w:color="auto" w:sz="4" w:space="0"/>
              <w:left w:val="single" w:color="auto" w:sz="4" w:space="0"/>
              <w:bottom w:val="single" w:color="auto" w:sz="4" w:space="0"/>
            </w:tcBorders>
            <w:noWrap w:val="0"/>
            <w:vAlign w:val="center"/>
          </w:tcPr>
          <w:p w14:paraId="799EA55D">
            <w:pPr>
              <w:topLinePunct/>
              <w:spacing w:line="360" w:lineRule="auto"/>
              <w:ind w:firstLine="105" w:firstLineChars="50"/>
              <w:jc w:val="center"/>
              <w:rPr>
                <w:rFonts w:ascii="宋体" w:hAnsi="宋体" w:eastAsia="宋体" w:cs="Times New Roman"/>
                <w:color w:val="auto"/>
                <w:highlight w:val="none"/>
              </w:rPr>
            </w:pPr>
            <w:r>
              <w:rPr>
                <w:rFonts w:hint="eastAsia" w:ascii="宋体" w:hAnsi="宋体" w:eastAsia="宋体" w:cs="Times New Roman"/>
                <w:color w:val="auto"/>
                <w:highlight w:val="none"/>
              </w:rPr>
              <w:t>类型：等级：证书号：</w:t>
            </w:r>
          </w:p>
        </w:tc>
      </w:tr>
      <w:tr w14:paraId="12EC0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24414DBD">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noWrap w:val="0"/>
            <w:vAlign w:val="center"/>
          </w:tcPr>
          <w:p w14:paraId="19E6A047">
            <w:pPr>
              <w:topLinePunct/>
              <w:spacing w:line="360" w:lineRule="auto"/>
              <w:ind w:firstLine="105" w:firstLineChars="50"/>
              <w:jc w:val="center"/>
              <w:rPr>
                <w:rFonts w:ascii="宋体" w:hAnsi="宋体" w:eastAsia="宋体" w:cs="Times New Roman"/>
                <w:color w:val="auto"/>
                <w:highlight w:val="none"/>
              </w:rPr>
            </w:pPr>
            <w:r>
              <w:rPr>
                <w:rFonts w:hint="eastAsia" w:ascii="宋体" w:hAnsi="宋体" w:eastAsia="宋体" w:cs="Times New Roman"/>
                <w:color w:val="auto"/>
                <w:highlight w:val="none"/>
              </w:rPr>
              <w:t>类型：等级：证书号：</w:t>
            </w:r>
          </w:p>
        </w:tc>
      </w:tr>
      <w:tr w14:paraId="0E2A4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5261E3CA">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8AA87FB">
            <w:pPr>
              <w:topLinePunct/>
              <w:spacing w:line="360" w:lineRule="auto"/>
              <w:jc w:val="center"/>
              <w:rPr>
                <w:rFonts w:ascii="宋体" w:hAnsi="宋体" w:eastAsia="宋体" w:cs="Times New Roman"/>
                <w:color w:val="auto"/>
                <w:highlight w:val="none"/>
              </w:rPr>
            </w:pPr>
          </w:p>
        </w:tc>
        <w:tc>
          <w:tcPr>
            <w:tcW w:w="3629" w:type="dxa"/>
            <w:gridSpan w:val="5"/>
            <w:tcBorders>
              <w:top w:val="single" w:color="auto" w:sz="4" w:space="0"/>
              <w:left w:val="single" w:color="auto" w:sz="4" w:space="0"/>
              <w:bottom w:val="single" w:color="auto" w:sz="4" w:space="0"/>
            </w:tcBorders>
            <w:noWrap w:val="0"/>
            <w:vAlign w:val="center"/>
          </w:tcPr>
          <w:p w14:paraId="729D4EDD">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员工总人数：</w:t>
            </w:r>
          </w:p>
        </w:tc>
      </w:tr>
      <w:tr w14:paraId="3C02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679F0A02">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0E84FD1">
            <w:pPr>
              <w:topLinePunct/>
              <w:spacing w:line="360" w:lineRule="auto"/>
              <w:jc w:val="center"/>
              <w:rPr>
                <w:rFonts w:ascii="宋体" w:hAnsi="宋体" w:eastAsia="宋体" w:cs="Times New Roman"/>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78CDDF88">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627A8D4">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高级职称人员</w:t>
            </w:r>
          </w:p>
        </w:tc>
        <w:tc>
          <w:tcPr>
            <w:tcW w:w="1514" w:type="dxa"/>
            <w:gridSpan w:val="2"/>
            <w:tcBorders>
              <w:top w:val="single" w:color="auto" w:sz="4" w:space="0"/>
              <w:left w:val="single" w:color="auto" w:sz="4" w:space="0"/>
              <w:bottom w:val="single" w:color="auto" w:sz="4" w:space="0"/>
            </w:tcBorders>
            <w:noWrap w:val="0"/>
            <w:vAlign w:val="center"/>
          </w:tcPr>
          <w:p w14:paraId="4F83DF93">
            <w:pPr>
              <w:topLinePunct/>
              <w:spacing w:line="360" w:lineRule="auto"/>
              <w:jc w:val="center"/>
              <w:rPr>
                <w:rFonts w:ascii="宋体" w:hAnsi="宋体" w:eastAsia="宋体" w:cs="Times New Roman"/>
                <w:color w:val="auto"/>
                <w:highlight w:val="none"/>
              </w:rPr>
            </w:pPr>
          </w:p>
        </w:tc>
      </w:tr>
      <w:tr w14:paraId="39794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9ACED86">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625BCF58">
            <w:pPr>
              <w:topLinePunct/>
              <w:spacing w:line="360" w:lineRule="auto"/>
              <w:jc w:val="center"/>
              <w:rPr>
                <w:rFonts w:ascii="宋体" w:hAnsi="宋体" w:eastAsia="宋体" w:cs="Times New Roman"/>
                <w:color w:val="auto"/>
                <w:highlight w:val="none"/>
              </w:rPr>
            </w:pPr>
          </w:p>
        </w:tc>
        <w:tc>
          <w:tcPr>
            <w:tcW w:w="414" w:type="dxa"/>
            <w:vMerge w:val="continue"/>
            <w:tcBorders>
              <w:left w:val="single" w:color="auto" w:sz="4" w:space="0"/>
              <w:right w:val="single" w:color="auto" w:sz="4" w:space="0"/>
            </w:tcBorders>
            <w:noWrap w:val="0"/>
            <w:vAlign w:val="center"/>
          </w:tcPr>
          <w:p w14:paraId="6C45662A">
            <w:pPr>
              <w:spacing w:line="360" w:lineRule="auto"/>
              <w:jc w:val="center"/>
              <w:rPr>
                <w:rFonts w:ascii="宋体" w:hAnsi="宋体" w:eastAsia="宋体" w:cs="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64BA17FA">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中级职称人员</w:t>
            </w:r>
          </w:p>
        </w:tc>
        <w:tc>
          <w:tcPr>
            <w:tcW w:w="1514" w:type="dxa"/>
            <w:gridSpan w:val="2"/>
            <w:tcBorders>
              <w:top w:val="single" w:color="auto" w:sz="4" w:space="0"/>
              <w:left w:val="single" w:color="auto" w:sz="4" w:space="0"/>
              <w:bottom w:val="single" w:color="auto" w:sz="4" w:space="0"/>
            </w:tcBorders>
            <w:noWrap w:val="0"/>
            <w:vAlign w:val="center"/>
          </w:tcPr>
          <w:p w14:paraId="09D059A0">
            <w:pPr>
              <w:topLinePunct/>
              <w:spacing w:line="360" w:lineRule="auto"/>
              <w:jc w:val="center"/>
              <w:rPr>
                <w:rFonts w:ascii="宋体" w:hAnsi="宋体" w:eastAsia="宋体" w:cs="Times New Roman"/>
                <w:color w:val="auto"/>
                <w:highlight w:val="none"/>
              </w:rPr>
            </w:pPr>
          </w:p>
        </w:tc>
      </w:tr>
      <w:tr w14:paraId="77C65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D229E07">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5BC0C6B">
            <w:pPr>
              <w:topLinePunct/>
              <w:spacing w:line="360" w:lineRule="auto"/>
              <w:jc w:val="center"/>
              <w:rPr>
                <w:rFonts w:ascii="宋体" w:hAnsi="宋体" w:eastAsia="宋体" w:cs="Times New Roman"/>
                <w:color w:val="auto"/>
                <w:highlight w:val="none"/>
              </w:rPr>
            </w:pPr>
          </w:p>
        </w:tc>
        <w:tc>
          <w:tcPr>
            <w:tcW w:w="414" w:type="dxa"/>
            <w:vMerge w:val="continue"/>
            <w:tcBorders>
              <w:left w:val="single" w:color="auto" w:sz="4" w:space="0"/>
              <w:right w:val="single" w:color="auto" w:sz="4" w:space="0"/>
            </w:tcBorders>
            <w:noWrap w:val="0"/>
            <w:vAlign w:val="center"/>
          </w:tcPr>
          <w:p w14:paraId="3BD0195D">
            <w:pPr>
              <w:spacing w:line="360" w:lineRule="auto"/>
              <w:jc w:val="center"/>
              <w:rPr>
                <w:rFonts w:ascii="宋体" w:hAnsi="宋体" w:eastAsia="宋体" w:cs="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A14F4CD">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技术人员数量</w:t>
            </w:r>
          </w:p>
        </w:tc>
        <w:tc>
          <w:tcPr>
            <w:tcW w:w="1514" w:type="dxa"/>
            <w:gridSpan w:val="2"/>
            <w:tcBorders>
              <w:top w:val="single" w:color="auto" w:sz="4" w:space="0"/>
              <w:left w:val="single" w:color="auto" w:sz="4" w:space="0"/>
              <w:bottom w:val="single" w:color="auto" w:sz="4" w:space="0"/>
            </w:tcBorders>
            <w:noWrap w:val="0"/>
            <w:vAlign w:val="center"/>
          </w:tcPr>
          <w:p w14:paraId="4A19DB6A">
            <w:pPr>
              <w:topLinePunct/>
              <w:spacing w:line="360" w:lineRule="auto"/>
              <w:jc w:val="center"/>
              <w:rPr>
                <w:rFonts w:ascii="宋体" w:hAnsi="宋体" w:eastAsia="宋体" w:cs="Times New Roman"/>
                <w:color w:val="auto"/>
                <w:highlight w:val="none"/>
              </w:rPr>
            </w:pPr>
          </w:p>
        </w:tc>
      </w:tr>
      <w:tr w14:paraId="5B41B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34A39DFD">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459A017">
            <w:pPr>
              <w:topLinePunct/>
              <w:spacing w:line="360" w:lineRule="auto"/>
              <w:jc w:val="center"/>
              <w:rPr>
                <w:rFonts w:ascii="宋体" w:hAnsi="宋体" w:eastAsia="宋体" w:cs="Times New Roman"/>
                <w:color w:val="auto"/>
                <w:highlight w:val="none"/>
              </w:rPr>
            </w:pPr>
          </w:p>
        </w:tc>
        <w:tc>
          <w:tcPr>
            <w:tcW w:w="414" w:type="dxa"/>
            <w:vMerge w:val="continue"/>
            <w:tcBorders>
              <w:left w:val="single" w:color="auto" w:sz="4" w:space="0"/>
              <w:right w:val="single" w:color="auto" w:sz="4" w:space="0"/>
            </w:tcBorders>
            <w:noWrap w:val="0"/>
            <w:vAlign w:val="center"/>
          </w:tcPr>
          <w:p w14:paraId="6CA3CA95">
            <w:pPr>
              <w:spacing w:line="360" w:lineRule="auto"/>
              <w:jc w:val="center"/>
              <w:rPr>
                <w:rFonts w:ascii="宋体" w:hAnsi="宋体" w:eastAsia="宋体" w:cs="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15FE40F">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noWrap w:val="0"/>
            <w:vAlign w:val="center"/>
          </w:tcPr>
          <w:p w14:paraId="5E8A8B8B">
            <w:pPr>
              <w:topLinePunct/>
              <w:spacing w:line="360" w:lineRule="auto"/>
              <w:jc w:val="center"/>
              <w:rPr>
                <w:rFonts w:ascii="宋体" w:hAnsi="宋体" w:eastAsia="宋体" w:cs="Times New Roman"/>
                <w:color w:val="auto"/>
                <w:highlight w:val="none"/>
              </w:rPr>
            </w:pPr>
          </w:p>
        </w:tc>
      </w:tr>
      <w:tr w14:paraId="40588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55D9A9FB">
            <w:pPr>
              <w:topLinePunct/>
              <w:spacing w:line="360" w:lineRule="auto"/>
              <w:ind w:firstLine="210" w:firstLineChars="100"/>
              <w:jc w:val="center"/>
              <w:rPr>
                <w:rFonts w:ascii="宋体" w:hAnsi="宋体" w:eastAsia="宋体" w:cs="Times New Roman"/>
                <w:color w:val="auto"/>
                <w:highlight w:val="none"/>
              </w:rPr>
            </w:pPr>
            <w:r>
              <w:rPr>
                <w:rFonts w:hint="eastAsia" w:ascii="宋体" w:hAnsi="宋体" w:eastAsia="宋体" w:cs="Times New Roman"/>
                <w:color w:val="auto"/>
                <w:highlight w:val="none"/>
              </w:rPr>
              <w:t>经营范围</w:t>
            </w:r>
          </w:p>
        </w:tc>
        <w:tc>
          <w:tcPr>
            <w:tcW w:w="6840" w:type="dxa"/>
            <w:gridSpan w:val="8"/>
            <w:tcBorders>
              <w:top w:val="single" w:color="auto" w:sz="4" w:space="0"/>
              <w:left w:val="single" w:color="auto" w:sz="4" w:space="0"/>
            </w:tcBorders>
            <w:noWrap w:val="0"/>
            <w:vAlign w:val="center"/>
          </w:tcPr>
          <w:p w14:paraId="62EBCA46">
            <w:pPr>
              <w:topLinePunct/>
              <w:spacing w:line="360" w:lineRule="auto"/>
              <w:jc w:val="center"/>
              <w:rPr>
                <w:rFonts w:ascii="宋体" w:hAnsi="宋体" w:eastAsia="宋体" w:cs="Times New Roman"/>
                <w:color w:val="auto"/>
                <w:highlight w:val="none"/>
              </w:rPr>
            </w:pPr>
          </w:p>
        </w:tc>
      </w:tr>
      <w:tr w14:paraId="10E9A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02732D1F">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noWrap w:val="0"/>
            <w:vAlign w:val="center"/>
          </w:tcPr>
          <w:p w14:paraId="5FAE1E19">
            <w:pPr>
              <w:topLinePunct/>
              <w:spacing w:line="360" w:lineRule="auto"/>
              <w:jc w:val="center"/>
              <w:rPr>
                <w:rFonts w:ascii="宋体" w:hAnsi="宋体" w:eastAsia="宋体" w:cs="Times New Roman"/>
                <w:color w:val="auto"/>
                <w:highlight w:val="none"/>
              </w:rPr>
            </w:pPr>
          </w:p>
        </w:tc>
      </w:tr>
      <w:tr w14:paraId="7A48A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noWrap w:val="0"/>
            <w:vAlign w:val="center"/>
          </w:tcPr>
          <w:p w14:paraId="7C984198">
            <w:pPr>
              <w:topLinePunct/>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备注</w:t>
            </w:r>
          </w:p>
        </w:tc>
        <w:tc>
          <w:tcPr>
            <w:tcW w:w="6840" w:type="dxa"/>
            <w:gridSpan w:val="8"/>
            <w:tcBorders>
              <w:top w:val="single" w:color="auto" w:sz="4" w:space="0"/>
              <w:left w:val="single" w:color="auto" w:sz="4" w:space="0"/>
              <w:bottom w:val="single" w:color="auto" w:sz="4" w:space="0"/>
            </w:tcBorders>
            <w:noWrap w:val="0"/>
            <w:vAlign w:val="center"/>
          </w:tcPr>
          <w:p w14:paraId="23B15F91">
            <w:pPr>
              <w:topLinePunct/>
              <w:spacing w:line="360" w:lineRule="auto"/>
              <w:jc w:val="center"/>
              <w:rPr>
                <w:rFonts w:ascii="宋体" w:hAnsi="宋体" w:eastAsia="宋体" w:cs="Times New Roman"/>
                <w:color w:val="auto"/>
                <w:highlight w:val="none"/>
              </w:rPr>
            </w:pPr>
          </w:p>
        </w:tc>
      </w:tr>
    </w:tbl>
    <w:p w14:paraId="0606E910">
      <w:pPr>
        <w:snapToGrid w:val="0"/>
        <w:spacing w:line="360" w:lineRule="auto"/>
        <w:rPr>
          <w:rFonts w:ascii="宋体" w:hAnsi="宋体" w:eastAsia="宋体" w:cs="Times New Roman"/>
          <w:color w:val="auto"/>
          <w:spacing w:val="-5"/>
          <w:szCs w:val="21"/>
          <w:highlight w:val="none"/>
        </w:rPr>
      </w:pPr>
      <w:r>
        <w:rPr>
          <w:rFonts w:hint="eastAsia" w:ascii="宋体" w:hAnsi="宋体" w:eastAsia="宋体" w:cs="Times New Roman"/>
          <w:color w:val="auto"/>
          <w:spacing w:val="-5"/>
          <w:szCs w:val="21"/>
          <w:highlight w:val="none"/>
        </w:rPr>
        <w:t>注：投标人应附投标人事业单位登记管理部门核发的事业单位法人证书或工商行政管理部门核发的企业法人营业执照、投标人资质证书、广州市住房和城乡建设局建立信用档案网页截图等材料的扫描件</w:t>
      </w:r>
    </w:p>
    <w:p w14:paraId="493FEDD3">
      <w:pPr>
        <w:widowControl/>
        <w:spacing w:line="360" w:lineRule="auto"/>
        <w:jc w:val="center"/>
        <w:rPr>
          <w:rFonts w:hint="eastAsia" w:ascii="宋体" w:hAnsi="宋体" w:eastAsia="宋体" w:cs="宋体"/>
          <w:b/>
          <w:bCs/>
          <w:color w:val="auto"/>
          <w:sz w:val="32"/>
          <w:szCs w:val="32"/>
          <w:highlight w:val="none"/>
        </w:rPr>
      </w:pPr>
      <w:r>
        <w:rPr>
          <w:rFonts w:ascii="宋体" w:hAnsi="宋体" w:eastAsia="宋体" w:cs="宋体"/>
          <w:b/>
          <w:bCs/>
          <w:color w:val="auto"/>
          <w:sz w:val="32"/>
          <w:szCs w:val="32"/>
          <w:highlight w:val="none"/>
        </w:rPr>
        <w:br w:type="page"/>
      </w:r>
      <w:r>
        <w:rPr>
          <w:rFonts w:hint="eastAsia" w:ascii="宋体" w:hAnsi="宋体" w:eastAsia="宋体" w:cs="宋体"/>
          <w:b/>
          <w:bCs/>
          <w:color w:val="auto"/>
          <w:kern w:val="0"/>
          <w:sz w:val="28"/>
          <w:szCs w:val="28"/>
          <w:highlight w:val="none"/>
        </w:rPr>
        <w:t>（二）投标人声明</w:t>
      </w:r>
    </w:p>
    <w:p w14:paraId="5D0801B9">
      <w:pPr>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（按照本项目招标公告附件）</w:t>
      </w:r>
    </w:p>
    <w:p w14:paraId="732B193B">
      <w:pPr>
        <w:spacing w:line="360" w:lineRule="auto"/>
        <w:jc w:val="center"/>
        <w:rPr>
          <w:rFonts w:hint="eastAsia" w:ascii="宋体" w:hAnsi="宋体" w:eastAsia="宋体" w:cs="宋体"/>
          <w:color w:val="auto"/>
          <w:sz w:val="28"/>
          <w:szCs w:val="28"/>
          <w:highlight w:val="none"/>
        </w:rPr>
      </w:pPr>
    </w:p>
    <w:p w14:paraId="239CDF8D">
      <w:pPr>
        <w:widowControl/>
        <w:spacing w:line="360" w:lineRule="auto"/>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（三）投标承诺函</w:t>
      </w:r>
    </w:p>
    <w:p w14:paraId="7A6160B3">
      <w:pPr>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（按照本项目招标公告附件）</w:t>
      </w:r>
    </w:p>
    <w:p w14:paraId="02AC159A">
      <w:pPr>
        <w:keepNext/>
        <w:keepLines/>
        <w:spacing w:line="360" w:lineRule="auto"/>
        <w:jc w:val="center"/>
        <w:outlineLvl w:val="1"/>
        <w:rPr>
          <w:rFonts w:ascii="宋体" w:hAnsi="宋体" w:eastAsia="宋体" w:cs="宋体"/>
          <w:color w:val="auto"/>
          <w:sz w:val="28"/>
          <w:szCs w:val="28"/>
          <w:highlight w:val="none"/>
        </w:rPr>
      </w:pPr>
    </w:p>
    <w:p w14:paraId="3790F525">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（四）其他符合第二章“投标人须知”第1.4.1项规定的资料</w:t>
      </w:r>
    </w:p>
    <w:p w14:paraId="3A7F3AC2">
      <w:pPr>
        <w:keepNext/>
        <w:keepLines/>
        <w:spacing w:line="360" w:lineRule="auto"/>
        <w:jc w:val="center"/>
        <w:outlineLvl w:val="1"/>
        <w:rPr>
          <w:rFonts w:hint="eastAsia" w:ascii="宋体" w:hAnsi="宋体" w:eastAsia="宋体" w:cs="宋体"/>
          <w:color w:val="auto"/>
          <w:szCs w:val="24"/>
          <w:highlight w:val="none"/>
        </w:rPr>
      </w:pPr>
      <w:r>
        <w:rPr>
          <w:rFonts w:ascii="宋体" w:hAnsi="宋体" w:eastAsia="宋体" w:cs="宋体"/>
          <w:color w:val="auto"/>
          <w:sz w:val="28"/>
          <w:szCs w:val="28"/>
          <w:highlight w:val="none"/>
        </w:rPr>
        <w:br w:type="page"/>
      </w:r>
      <w:bookmarkStart w:id="222" w:name="_Toc7456"/>
      <w:r>
        <w:rPr>
          <w:rFonts w:hint="eastAsia" w:ascii="宋体" w:hAnsi="宋体" w:eastAsia="宋体" w:cs="宋体"/>
          <w:b/>
          <w:bCs/>
          <w:color w:val="auto"/>
          <w:sz w:val="32"/>
          <w:szCs w:val="32"/>
          <w:highlight w:val="none"/>
        </w:rPr>
        <w:t>六、类似项目业绩表</w:t>
      </w:r>
      <w:bookmarkEnd w:id="222"/>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344"/>
        <w:gridCol w:w="1419"/>
        <w:gridCol w:w="1826"/>
        <w:gridCol w:w="1254"/>
        <w:gridCol w:w="1170"/>
      </w:tblGrid>
      <w:tr w14:paraId="7106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405" w:type="pct"/>
            <w:noWrap w:val="0"/>
            <w:vAlign w:val="center"/>
          </w:tcPr>
          <w:p w14:paraId="7B86BF44">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序号</w:t>
            </w:r>
          </w:p>
        </w:tc>
        <w:tc>
          <w:tcPr>
            <w:tcW w:w="1344" w:type="pct"/>
            <w:noWrap w:val="0"/>
            <w:vAlign w:val="center"/>
          </w:tcPr>
          <w:p w14:paraId="54B064B6">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工程名称</w:t>
            </w:r>
          </w:p>
        </w:tc>
        <w:tc>
          <w:tcPr>
            <w:tcW w:w="814" w:type="pct"/>
            <w:noWrap w:val="0"/>
            <w:vAlign w:val="center"/>
          </w:tcPr>
          <w:p w14:paraId="3A29E5B1">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建设单位</w:t>
            </w:r>
          </w:p>
        </w:tc>
        <w:tc>
          <w:tcPr>
            <w:tcW w:w="1047" w:type="pct"/>
            <w:noWrap w:val="0"/>
            <w:vAlign w:val="center"/>
          </w:tcPr>
          <w:p w14:paraId="4225B27A">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合同价（万元）</w:t>
            </w:r>
          </w:p>
        </w:tc>
        <w:tc>
          <w:tcPr>
            <w:tcW w:w="719" w:type="pct"/>
            <w:noWrap w:val="0"/>
            <w:vAlign w:val="center"/>
          </w:tcPr>
          <w:p w14:paraId="30393147">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起止时间</w:t>
            </w:r>
          </w:p>
        </w:tc>
        <w:tc>
          <w:tcPr>
            <w:tcW w:w="672" w:type="pct"/>
            <w:noWrap w:val="0"/>
            <w:vAlign w:val="center"/>
          </w:tcPr>
          <w:p w14:paraId="042B3ED2">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备注</w:t>
            </w:r>
          </w:p>
        </w:tc>
      </w:tr>
      <w:tr w14:paraId="4FCB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05" w:type="pct"/>
            <w:noWrap w:val="0"/>
            <w:vAlign w:val="center"/>
          </w:tcPr>
          <w:p w14:paraId="0384055A">
            <w:pPr>
              <w:spacing w:line="360" w:lineRule="auto"/>
              <w:jc w:val="center"/>
              <w:rPr>
                <w:rFonts w:ascii="宋体" w:hAnsi="宋体" w:eastAsia="宋体" w:cs="Times New Roman"/>
                <w:color w:val="auto"/>
                <w:sz w:val="24"/>
                <w:highlight w:val="none"/>
              </w:rPr>
            </w:pPr>
          </w:p>
        </w:tc>
        <w:tc>
          <w:tcPr>
            <w:tcW w:w="1344" w:type="pct"/>
            <w:noWrap w:val="0"/>
            <w:vAlign w:val="center"/>
          </w:tcPr>
          <w:p w14:paraId="5D0A738D">
            <w:pPr>
              <w:spacing w:line="360" w:lineRule="auto"/>
              <w:jc w:val="center"/>
              <w:rPr>
                <w:rFonts w:ascii="宋体" w:hAnsi="宋体" w:eastAsia="宋体" w:cs="Times New Roman"/>
                <w:color w:val="auto"/>
                <w:sz w:val="24"/>
                <w:highlight w:val="none"/>
              </w:rPr>
            </w:pPr>
          </w:p>
        </w:tc>
        <w:tc>
          <w:tcPr>
            <w:tcW w:w="814" w:type="pct"/>
            <w:noWrap w:val="0"/>
            <w:vAlign w:val="center"/>
          </w:tcPr>
          <w:p w14:paraId="63285690">
            <w:pPr>
              <w:spacing w:line="360" w:lineRule="auto"/>
              <w:jc w:val="center"/>
              <w:rPr>
                <w:rFonts w:ascii="宋体" w:hAnsi="宋体" w:eastAsia="宋体" w:cs="Times New Roman"/>
                <w:color w:val="auto"/>
                <w:sz w:val="24"/>
                <w:highlight w:val="none"/>
              </w:rPr>
            </w:pPr>
          </w:p>
        </w:tc>
        <w:tc>
          <w:tcPr>
            <w:tcW w:w="1047" w:type="pct"/>
            <w:noWrap w:val="0"/>
            <w:vAlign w:val="center"/>
          </w:tcPr>
          <w:p w14:paraId="42C95D7F">
            <w:pPr>
              <w:spacing w:line="360" w:lineRule="auto"/>
              <w:jc w:val="center"/>
              <w:rPr>
                <w:rFonts w:ascii="宋体" w:hAnsi="宋体" w:eastAsia="宋体" w:cs="Times New Roman"/>
                <w:color w:val="auto"/>
                <w:sz w:val="24"/>
                <w:highlight w:val="none"/>
              </w:rPr>
            </w:pPr>
          </w:p>
        </w:tc>
        <w:tc>
          <w:tcPr>
            <w:tcW w:w="719" w:type="pct"/>
            <w:noWrap w:val="0"/>
            <w:vAlign w:val="center"/>
          </w:tcPr>
          <w:p w14:paraId="19494270">
            <w:pPr>
              <w:spacing w:line="360" w:lineRule="auto"/>
              <w:jc w:val="center"/>
              <w:rPr>
                <w:rFonts w:ascii="宋体" w:hAnsi="宋体" w:eastAsia="宋体" w:cs="Times New Roman"/>
                <w:color w:val="auto"/>
                <w:sz w:val="24"/>
                <w:highlight w:val="none"/>
              </w:rPr>
            </w:pPr>
          </w:p>
        </w:tc>
        <w:tc>
          <w:tcPr>
            <w:tcW w:w="672" w:type="pct"/>
            <w:noWrap w:val="0"/>
            <w:vAlign w:val="center"/>
          </w:tcPr>
          <w:p w14:paraId="6FEE3D98">
            <w:pPr>
              <w:spacing w:line="360" w:lineRule="auto"/>
              <w:jc w:val="center"/>
              <w:rPr>
                <w:rFonts w:ascii="宋体" w:hAnsi="宋体" w:eastAsia="宋体" w:cs="Times New Roman"/>
                <w:color w:val="auto"/>
                <w:sz w:val="24"/>
                <w:highlight w:val="none"/>
              </w:rPr>
            </w:pPr>
          </w:p>
        </w:tc>
      </w:tr>
      <w:tr w14:paraId="0887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noWrap w:val="0"/>
            <w:vAlign w:val="center"/>
          </w:tcPr>
          <w:p w14:paraId="0FEE56C1">
            <w:pPr>
              <w:spacing w:line="360" w:lineRule="auto"/>
              <w:jc w:val="center"/>
              <w:rPr>
                <w:rFonts w:ascii="宋体" w:hAnsi="宋体" w:eastAsia="宋体" w:cs="Times New Roman"/>
                <w:color w:val="auto"/>
                <w:sz w:val="24"/>
                <w:highlight w:val="none"/>
              </w:rPr>
            </w:pPr>
          </w:p>
        </w:tc>
        <w:tc>
          <w:tcPr>
            <w:tcW w:w="1344" w:type="pct"/>
            <w:noWrap w:val="0"/>
            <w:vAlign w:val="center"/>
          </w:tcPr>
          <w:p w14:paraId="0B0FEC06">
            <w:pPr>
              <w:spacing w:line="360" w:lineRule="auto"/>
              <w:jc w:val="center"/>
              <w:rPr>
                <w:rFonts w:ascii="宋体" w:hAnsi="宋体" w:eastAsia="宋体" w:cs="Times New Roman"/>
                <w:color w:val="auto"/>
                <w:sz w:val="24"/>
                <w:highlight w:val="none"/>
              </w:rPr>
            </w:pPr>
          </w:p>
        </w:tc>
        <w:tc>
          <w:tcPr>
            <w:tcW w:w="814" w:type="pct"/>
            <w:noWrap w:val="0"/>
            <w:vAlign w:val="center"/>
          </w:tcPr>
          <w:p w14:paraId="6FD2C030">
            <w:pPr>
              <w:spacing w:line="360" w:lineRule="auto"/>
              <w:jc w:val="center"/>
              <w:rPr>
                <w:rFonts w:ascii="宋体" w:hAnsi="宋体" w:eastAsia="宋体" w:cs="Times New Roman"/>
                <w:color w:val="auto"/>
                <w:sz w:val="24"/>
                <w:highlight w:val="none"/>
              </w:rPr>
            </w:pPr>
          </w:p>
        </w:tc>
        <w:tc>
          <w:tcPr>
            <w:tcW w:w="1047" w:type="pct"/>
            <w:noWrap w:val="0"/>
            <w:vAlign w:val="center"/>
          </w:tcPr>
          <w:p w14:paraId="25BFADA1">
            <w:pPr>
              <w:spacing w:line="360" w:lineRule="auto"/>
              <w:jc w:val="center"/>
              <w:rPr>
                <w:rFonts w:ascii="宋体" w:hAnsi="宋体" w:eastAsia="宋体" w:cs="Times New Roman"/>
                <w:color w:val="auto"/>
                <w:sz w:val="24"/>
                <w:highlight w:val="none"/>
              </w:rPr>
            </w:pPr>
          </w:p>
        </w:tc>
        <w:tc>
          <w:tcPr>
            <w:tcW w:w="719" w:type="pct"/>
            <w:noWrap w:val="0"/>
            <w:vAlign w:val="center"/>
          </w:tcPr>
          <w:p w14:paraId="1D17DD89">
            <w:pPr>
              <w:spacing w:line="360" w:lineRule="auto"/>
              <w:jc w:val="center"/>
              <w:rPr>
                <w:rFonts w:ascii="宋体" w:hAnsi="宋体" w:eastAsia="宋体" w:cs="Times New Roman"/>
                <w:color w:val="auto"/>
                <w:sz w:val="24"/>
                <w:highlight w:val="none"/>
              </w:rPr>
            </w:pPr>
          </w:p>
        </w:tc>
        <w:tc>
          <w:tcPr>
            <w:tcW w:w="672" w:type="pct"/>
            <w:noWrap w:val="0"/>
            <w:vAlign w:val="center"/>
          </w:tcPr>
          <w:p w14:paraId="5CCA7A23">
            <w:pPr>
              <w:spacing w:line="360" w:lineRule="auto"/>
              <w:jc w:val="center"/>
              <w:rPr>
                <w:rFonts w:ascii="宋体" w:hAnsi="宋体" w:eastAsia="宋体" w:cs="Times New Roman"/>
                <w:color w:val="auto"/>
                <w:sz w:val="24"/>
                <w:highlight w:val="none"/>
              </w:rPr>
            </w:pPr>
          </w:p>
        </w:tc>
      </w:tr>
      <w:tr w14:paraId="7946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noWrap w:val="0"/>
            <w:vAlign w:val="center"/>
          </w:tcPr>
          <w:p w14:paraId="7039B617">
            <w:pPr>
              <w:spacing w:line="360" w:lineRule="auto"/>
              <w:jc w:val="center"/>
              <w:rPr>
                <w:rFonts w:ascii="宋体" w:hAnsi="宋体" w:eastAsia="宋体" w:cs="Times New Roman"/>
                <w:color w:val="auto"/>
                <w:sz w:val="24"/>
                <w:highlight w:val="none"/>
              </w:rPr>
            </w:pPr>
          </w:p>
        </w:tc>
        <w:tc>
          <w:tcPr>
            <w:tcW w:w="1344" w:type="pct"/>
            <w:noWrap w:val="0"/>
            <w:vAlign w:val="center"/>
          </w:tcPr>
          <w:p w14:paraId="14BF0C11">
            <w:pPr>
              <w:spacing w:line="360" w:lineRule="auto"/>
              <w:jc w:val="center"/>
              <w:rPr>
                <w:rFonts w:ascii="宋体" w:hAnsi="宋体" w:eastAsia="宋体" w:cs="Times New Roman"/>
                <w:color w:val="auto"/>
                <w:sz w:val="24"/>
                <w:highlight w:val="none"/>
              </w:rPr>
            </w:pPr>
          </w:p>
        </w:tc>
        <w:tc>
          <w:tcPr>
            <w:tcW w:w="814" w:type="pct"/>
            <w:noWrap w:val="0"/>
            <w:vAlign w:val="center"/>
          </w:tcPr>
          <w:p w14:paraId="65D4AFBF">
            <w:pPr>
              <w:spacing w:line="360" w:lineRule="auto"/>
              <w:jc w:val="center"/>
              <w:rPr>
                <w:rFonts w:ascii="宋体" w:hAnsi="宋体" w:eastAsia="宋体" w:cs="Times New Roman"/>
                <w:color w:val="auto"/>
                <w:sz w:val="24"/>
                <w:highlight w:val="none"/>
              </w:rPr>
            </w:pPr>
          </w:p>
        </w:tc>
        <w:tc>
          <w:tcPr>
            <w:tcW w:w="1047" w:type="pct"/>
            <w:noWrap w:val="0"/>
            <w:vAlign w:val="center"/>
          </w:tcPr>
          <w:p w14:paraId="4D6C37A9">
            <w:pPr>
              <w:spacing w:line="360" w:lineRule="auto"/>
              <w:jc w:val="center"/>
              <w:rPr>
                <w:rFonts w:ascii="宋体" w:hAnsi="宋体" w:eastAsia="宋体" w:cs="Times New Roman"/>
                <w:color w:val="auto"/>
                <w:sz w:val="24"/>
                <w:highlight w:val="none"/>
              </w:rPr>
            </w:pPr>
          </w:p>
        </w:tc>
        <w:tc>
          <w:tcPr>
            <w:tcW w:w="719" w:type="pct"/>
            <w:noWrap w:val="0"/>
            <w:vAlign w:val="center"/>
          </w:tcPr>
          <w:p w14:paraId="0E560C13">
            <w:pPr>
              <w:spacing w:line="360" w:lineRule="auto"/>
              <w:jc w:val="center"/>
              <w:rPr>
                <w:rFonts w:ascii="宋体" w:hAnsi="宋体" w:eastAsia="宋体" w:cs="Times New Roman"/>
                <w:color w:val="auto"/>
                <w:sz w:val="24"/>
                <w:highlight w:val="none"/>
              </w:rPr>
            </w:pPr>
          </w:p>
        </w:tc>
        <w:tc>
          <w:tcPr>
            <w:tcW w:w="672" w:type="pct"/>
            <w:noWrap w:val="0"/>
            <w:vAlign w:val="center"/>
          </w:tcPr>
          <w:p w14:paraId="0FEC627D">
            <w:pPr>
              <w:spacing w:line="360" w:lineRule="auto"/>
              <w:jc w:val="center"/>
              <w:rPr>
                <w:rFonts w:ascii="宋体" w:hAnsi="宋体" w:eastAsia="宋体" w:cs="Times New Roman"/>
                <w:color w:val="auto"/>
                <w:sz w:val="24"/>
                <w:highlight w:val="none"/>
              </w:rPr>
            </w:pPr>
          </w:p>
        </w:tc>
      </w:tr>
      <w:tr w14:paraId="4D68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noWrap w:val="0"/>
            <w:vAlign w:val="center"/>
          </w:tcPr>
          <w:p w14:paraId="5AC32530">
            <w:pPr>
              <w:spacing w:line="360" w:lineRule="auto"/>
              <w:jc w:val="center"/>
              <w:rPr>
                <w:rFonts w:ascii="宋体" w:hAnsi="宋体" w:eastAsia="宋体" w:cs="Times New Roman"/>
                <w:color w:val="auto"/>
                <w:sz w:val="24"/>
                <w:highlight w:val="none"/>
              </w:rPr>
            </w:pPr>
          </w:p>
        </w:tc>
        <w:tc>
          <w:tcPr>
            <w:tcW w:w="1344" w:type="pct"/>
            <w:noWrap w:val="0"/>
            <w:vAlign w:val="center"/>
          </w:tcPr>
          <w:p w14:paraId="2D8BBDE3">
            <w:pPr>
              <w:spacing w:line="360" w:lineRule="auto"/>
              <w:jc w:val="center"/>
              <w:rPr>
                <w:rFonts w:ascii="宋体" w:hAnsi="宋体" w:eastAsia="宋体" w:cs="Times New Roman"/>
                <w:color w:val="auto"/>
                <w:sz w:val="24"/>
                <w:highlight w:val="none"/>
              </w:rPr>
            </w:pPr>
          </w:p>
        </w:tc>
        <w:tc>
          <w:tcPr>
            <w:tcW w:w="814" w:type="pct"/>
            <w:noWrap w:val="0"/>
            <w:vAlign w:val="center"/>
          </w:tcPr>
          <w:p w14:paraId="0EDBD4E0">
            <w:pPr>
              <w:spacing w:line="360" w:lineRule="auto"/>
              <w:jc w:val="center"/>
              <w:rPr>
                <w:rFonts w:ascii="宋体" w:hAnsi="宋体" w:eastAsia="宋体" w:cs="Times New Roman"/>
                <w:color w:val="auto"/>
                <w:sz w:val="24"/>
                <w:highlight w:val="none"/>
              </w:rPr>
            </w:pPr>
          </w:p>
        </w:tc>
        <w:tc>
          <w:tcPr>
            <w:tcW w:w="1047" w:type="pct"/>
            <w:noWrap w:val="0"/>
            <w:vAlign w:val="center"/>
          </w:tcPr>
          <w:p w14:paraId="4DEE57A0">
            <w:pPr>
              <w:spacing w:line="360" w:lineRule="auto"/>
              <w:jc w:val="center"/>
              <w:rPr>
                <w:rFonts w:ascii="宋体" w:hAnsi="宋体" w:eastAsia="宋体" w:cs="Times New Roman"/>
                <w:color w:val="auto"/>
                <w:sz w:val="24"/>
                <w:highlight w:val="none"/>
              </w:rPr>
            </w:pPr>
          </w:p>
        </w:tc>
        <w:tc>
          <w:tcPr>
            <w:tcW w:w="719" w:type="pct"/>
            <w:noWrap w:val="0"/>
            <w:vAlign w:val="center"/>
          </w:tcPr>
          <w:p w14:paraId="015C6934">
            <w:pPr>
              <w:spacing w:line="360" w:lineRule="auto"/>
              <w:jc w:val="center"/>
              <w:rPr>
                <w:rFonts w:ascii="宋体" w:hAnsi="宋体" w:eastAsia="宋体" w:cs="Times New Roman"/>
                <w:color w:val="auto"/>
                <w:sz w:val="24"/>
                <w:highlight w:val="none"/>
              </w:rPr>
            </w:pPr>
          </w:p>
        </w:tc>
        <w:tc>
          <w:tcPr>
            <w:tcW w:w="672" w:type="pct"/>
            <w:noWrap w:val="0"/>
            <w:vAlign w:val="center"/>
          </w:tcPr>
          <w:p w14:paraId="74CEDC0D">
            <w:pPr>
              <w:spacing w:line="360" w:lineRule="auto"/>
              <w:jc w:val="center"/>
              <w:rPr>
                <w:rFonts w:ascii="宋体" w:hAnsi="宋体" w:eastAsia="宋体" w:cs="Times New Roman"/>
                <w:color w:val="auto"/>
                <w:sz w:val="24"/>
                <w:highlight w:val="none"/>
              </w:rPr>
            </w:pPr>
          </w:p>
        </w:tc>
      </w:tr>
      <w:tr w14:paraId="2039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noWrap w:val="0"/>
            <w:vAlign w:val="center"/>
          </w:tcPr>
          <w:p w14:paraId="483FB550">
            <w:pPr>
              <w:spacing w:line="360" w:lineRule="auto"/>
              <w:jc w:val="center"/>
              <w:rPr>
                <w:rFonts w:ascii="宋体" w:hAnsi="宋体" w:eastAsia="宋体" w:cs="Times New Roman"/>
                <w:color w:val="auto"/>
                <w:sz w:val="24"/>
                <w:highlight w:val="none"/>
              </w:rPr>
            </w:pPr>
          </w:p>
        </w:tc>
        <w:tc>
          <w:tcPr>
            <w:tcW w:w="1344" w:type="pct"/>
            <w:noWrap w:val="0"/>
            <w:vAlign w:val="center"/>
          </w:tcPr>
          <w:p w14:paraId="73593E8A">
            <w:pPr>
              <w:spacing w:line="360" w:lineRule="auto"/>
              <w:jc w:val="center"/>
              <w:rPr>
                <w:rFonts w:ascii="宋体" w:hAnsi="宋体" w:eastAsia="宋体" w:cs="Times New Roman"/>
                <w:color w:val="auto"/>
                <w:sz w:val="24"/>
                <w:highlight w:val="none"/>
              </w:rPr>
            </w:pPr>
          </w:p>
        </w:tc>
        <w:tc>
          <w:tcPr>
            <w:tcW w:w="814" w:type="pct"/>
            <w:noWrap w:val="0"/>
            <w:vAlign w:val="center"/>
          </w:tcPr>
          <w:p w14:paraId="23382F76">
            <w:pPr>
              <w:spacing w:line="360" w:lineRule="auto"/>
              <w:jc w:val="center"/>
              <w:rPr>
                <w:rFonts w:ascii="宋体" w:hAnsi="宋体" w:eastAsia="宋体" w:cs="Times New Roman"/>
                <w:color w:val="auto"/>
                <w:sz w:val="24"/>
                <w:highlight w:val="none"/>
              </w:rPr>
            </w:pPr>
          </w:p>
        </w:tc>
        <w:tc>
          <w:tcPr>
            <w:tcW w:w="1047" w:type="pct"/>
            <w:noWrap w:val="0"/>
            <w:vAlign w:val="center"/>
          </w:tcPr>
          <w:p w14:paraId="002FB422">
            <w:pPr>
              <w:spacing w:line="360" w:lineRule="auto"/>
              <w:jc w:val="center"/>
              <w:rPr>
                <w:rFonts w:ascii="宋体" w:hAnsi="宋体" w:eastAsia="宋体" w:cs="Times New Roman"/>
                <w:color w:val="auto"/>
                <w:sz w:val="24"/>
                <w:highlight w:val="none"/>
              </w:rPr>
            </w:pPr>
          </w:p>
        </w:tc>
        <w:tc>
          <w:tcPr>
            <w:tcW w:w="719" w:type="pct"/>
            <w:noWrap w:val="0"/>
            <w:vAlign w:val="center"/>
          </w:tcPr>
          <w:p w14:paraId="62CA4F2B">
            <w:pPr>
              <w:spacing w:line="360" w:lineRule="auto"/>
              <w:jc w:val="center"/>
              <w:rPr>
                <w:rFonts w:ascii="宋体" w:hAnsi="宋体" w:eastAsia="宋体" w:cs="Times New Roman"/>
                <w:color w:val="auto"/>
                <w:sz w:val="24"/>
                <w:highlight w:val="none"/>
              </w:rPr>
            </w:pPr>
          </w:p>
        </w:tc>
        <w:tc>
          <w:tcPr>
            <w:tcW w:w="672" w:type="pct"/>
            <w:noWrap w:val="0"/>
            <w:vAlign w:val="center"/>
          </w:tcPr>
          <w:p w14:paraId="3819E8BE">
            <w:pPr>
              <w:spacing w:line="360" w:lineRule="auto"/>
              <w:jc w:val="center"/>
              <w:rPr>
                <w:rFonts w:ascii="宋体" w:hAnsi="宋体" w:eastAsia="宋体" w:cs="Times New Roman"/>
                <w:color w:val="auto"/>
                <w:sz w:val="24"/>
                <w:highlight w:val="none"/>
              </w:rPr>
            </w:pPr>
          </w:p>
        </w:tc>
      </w:tr>
      <w:tr w14:paraId="31B0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noWrap w:val="0"/>
            <w:vAlign w:val="center"/>
          </w:tcPr>
          <w:p w14:paraId="0344E452">
            <w:pPr>
              <w:spacing w:line="360" w:lineRule="auto"/>
              <w:jc w:val="center"/>
              <w:rPr>
                <w:rFonts w:ascii="宋体" w:hAnsi="宋体" w:eastAsia="宋体" w:cs="Times New Roman"/>
                <w:color w:val="auto"/>
                <w:sz w:val="24"/>
                <w:highlight w:val="none"/>
              </w:rPr>
            </w:pPr>
          </w:p>
        </w:tc>
        <w:tc>
          <w:tcPr>
            <w:tcW w:w="1344" w:type="pct"/>
            <w:noWrap w:val="0"/>
            <w:vAlign w:val="center"/>
          </w:tcPr>
          <w:p w14:paraId="75DF467B">
            <w:pPr>
              <w:spacing w:line="360" w:lineRule="auto"/>
              <w:jc w:val="center"/>
              <w:rPr>
                <w:rFonts w:ascii="宋体" w:hAnsi="宋体" w:eastAsia="宋体" w:cs="Times New Roman"/>
                <w:color w:val="auto"/>
                <w:sz w:val="24"/>
                <w:highlight w:val="none"/>
              </w:rPr>
            </w:pPr>
          </w:p>
        </w:tc>
        <w:tc>
          <w:tcPr>
            <w:tcW w:w="814" w:type="pct"/>
            <w:noWrap w:val="0"/>
            <w:vAlign w:val="center"/>
          </w:tcPr>
          <w:p w14:paraId="05EE6ACC">
            <w:pPr>
              <w:spacing w:line="360" w:lineRule="auto"/>
              <w:jc w:val="center"/>
              <w:rPr>
                <w:rFonts w:ascii="宋体" w:hAnsi="宋体" w:eastAsia="宋体" w:cs="Times New Roman"/>
                <w:color w:val="auto"/>
                <w:sz w:val="24"/>
                <w:highlight w:val="none"/>
              </w:rPr>
            </w:pPr>
          </w:p>
        </w:tc>
        <w:tc>
          <w:tcPr>
            <w:tcW w:w="1047" w:type="pct"/>
            <w:noWrap w:val="0"/>
            <w:vAlign w:val="center"/>
          </w:tcPr>
          <w:p w14:paraId="7588ABF9">
            <w:pPr>
              <w:spacing w:line="360" w:lineRule="auto"/>
              <w:jc w:val="center"/>
              <w:rPr>
                <w:rFonts w:ascii="宋体" w:hAnsi="宋体" w:eastAsia="宋体" w:cs="Times New Roman"/>
                <w:color w:val="auto"/>
                <w:sz w:val="24"/>
                <w:highlight w:val="none"/>
              </w:rPr>
            </w:pPr>
          </w:p>
        </w:tc>
        <w:tc>
          <w:tcPr>
            <w:tcW w:w="719" w:type="pct"/>
            <w:noWrap w:val="0"/>
            <w:vAlign w:val="center"/>
          </w:tcPr>
          <w:p w14:paraId="0335A2DE">
            <w:pPr>
              <w:spacing w:line="360" w:lineRule="auto"/>
              <w:jc w:val="center"/>
              <w:rPr>
                <w:rFonts w:ascii="宋体" w:hAnsi="宋体" w:eastAsia="宋体" w:cs="Times New Roman"/>
                <w:color w:val="auto"/>
                <w:sz w:val="24"/>
                <w:highlight w:val="none"/>
              </w:rPr>
            </w:pPr>
          </w:p>
        </w:tc>
        <w:tc>
          <w:tcPr>
            <w:tcW w:w="672" w:type="pct"/>
            <w:noWrap w:val="0"/>
            <w:vAlign w:val="center"/>
          </w:tcPr>
          <w:p w14:paraId="23795098">
            <w:pPr>
              <w:spacing w:line="360" w:lineRule="auto"/>
              <w:jc w:val="center"/>
              <w:rPr>
                <w:rFonts w:ascii="宋体" w:hAnsi="宋体" w:eastAsia="宋体" w:cs="Times New Roman"/>
                <w:color w:val="auto"/>
                <w:sz w:val="24"/>
                <w:highlight w:val="none"/>
              </w:rPr>
            </w:pPr>
          </w:p>
        </w:tc>
      </w:tr>
      <w:tr w14:paraId="7635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noWrap w:val="0"/>
            <w:vAlign w:val="center"/>
          </w:tcPr>
          <w:p w14:paraId="76D2E267">
            <w:pPr>
              <w:spacing w:line="360" w:lineRule="auto"/>
              <w:jc w:val="center"/>
              <w:rPr>
                <w:rFonts w:ascii="宋体" w:hAnsi="宋体" w:eastAsia="宋体" w:cs="Times New Roman"/>
                <w:color w:val="auto"/>
                <w:sz w:val="24"/>
                <w:highlight w:val="none"/>
              </w:rPr>
            </w:pPr>
          </w:p>
        </w:tc>
        <w:tc>
          <w:tcPr>
            <w:tcW w:w="1344" w:type="pct"/>
            <w:noWrap w:val="0"/>
            <w:vAlign w:val="center"/>
          </w:tcPr>
          <w:p w14:paraId="3A50B9FD">
            <w:pPr>
              <w:spacing w:line="360" w:lineRule="auto"/>
              <w:jc w:val="center"/>
              <w:rPr>
                <w:rFonts w:ascii="宋体" w:hAnsi="宋体" w:eastAsia="宋体" w:cs="Times New Roman"/>
                <w:color w:val="auto"/>
                <w:sz w:val="24"/>
                <w:highlight w:val="none"/>
              </w:rPr>
            </w:pPr>
          </w:p>
        </w:tc>
        <w:tc>
          <w:tcPr>
            <w:tcW w:w="814" w:type="pct"/>
            <w:noWrap w:val="0"/>
            <w:vAlign w:val="center"/>
          </w:tcPr>
          <w:p w14:paraId="750BDFA5">
            <w:pPr>
              <w:spacing w:line="360" w:lineRule="auto"/>
              <w:jc w:val="center"/>
              <w:rPr>
                <w:rFonts w:ascii="宋体" w:hAnsi="宋体" w:eastAsia="宋体" w:cs="Times New Roman"/>
                <w:color w:val="auto"/>
                <w:sz w:val="24"/>
                <w:highlight w:val="none"/>
              </w:rPr>
            </w:pPr>
          </w:p>
        </w:tc>
        <w:tc>
          <w:tcPr>
            <w:tcW w:w="1047" w:type="pct"/>
            <w:noWrap w:val="0"/>
            <w:vAlign w:val="center"/>
          </w:tcPr>
          <w:p w14:paraId="394B6756">
            <w:pPr>
              <w:spacing w:line="360" w:lineRule="auto"/>
              <w:jc w:val="center"/>
              <w:rPr>
                <w:rFonts w:ascii="宋体" w:hAnsi="宋体" w:eastAsia="宋体" w:cs="Times New Roman"/>
                <w:color w:val="auto"/>
                <w:sz w:val="24"/>
                <w:highlight w:val="none"/>
              </w:rPr>
            </w:pPr>
          </w:p>
        </w:tc>
        <w:tc>
          <w:tcPr>
            <w:tcW w:w="719" w:type="pct"/>
            <w:noWrap w:val="0"/>
            <w:vAlign w:val="center"/>
          </w:tcPr>
          <w:p w14:paraId="4D68D2B9">
            <w:pPr>
              <w:spacing w:line="360" w:lineRule="auto"/>
              <w:jc w:val="center"/>
              <w:rPr>
                <w:rFonts w:ascii="宋体" w:hAnsi="宋体" w:eastAsia="宋体" w:cs="Times New Roman"/>
                <w:color w:val="auto"/>
                <w:sz w:val="24"/>
                <w:highlight w:val="none"/>
              </w:rPr>
            </w:pPr>
          </w:p>
        </w:tc>
        <w:tc>
          <w:tcPr>
            <w:tcW w:w="672" w:type="pct"/>
            <w:noWrap w:val="0"/>
            <w:vAlign w:val="center"/>
          </w:tcPr>
          <w:p w14:paraId="4FC4B30B">
            <w:pPr>
              <w:spacing w:line="360" w:lineRule="auto"/>
              <w:jc w:val="center"/>
              <w:rPr>
                <w:rFonts w:ascii="宋体" w:hAnsi="宋体" w:eastAsia="宋体" w:cs="Times New Roman"/>
                <w:color w:val="auto"/>
                <w:sz w:val="24"/>
                <w:highlight w:val="none"/>
              </w:rPr>
            </w:pPr>
          </w:p>
        </w:tc>
      </w:tr>
      <w:tr w14:paraId="4F84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noWrap w:val="0"/>
            <w:vAlign w:val="center"/>
          </w:tcPr>
          <w:p w14:paraId="4B98CA4A">
            <w:pPr>
              <w:spacing w:line="360" w:lineRule="auto"/>
              <w:jc w:val="center"/>
              <w:rPr>
                <w:rFonts w:ascii="宋体" w:hAnsi="宋体" w:eastAsia="宋体" w:cs="Times New Roman"/>
                <w:color w:val="auto"/>
                <w:sz w:val="24"/>
                <w:highlight w:val="none"/>
              </w:rPr>
            </w:pPr>
          </w:p>
        </w:tc>
        <w:tc>
          <w:tcPr>
            <w:tcW w:w="1344" w:type="pct"/>
            <w:noWrap w:val="0"/>
            <w:vAlign w:val="center"/>
          </w:tcPr>
          <w:p w14:paraId="4053CF04">
            <w:pPr>
              <w:spacing w:line="360" w:lineRule="auto"/>
              <w:jc w:val="center"/>
              <w:rPr>
                <w:rFonts w:ascii="宋体" w:hAnsi="宋体" w:eastAsia="宋体" w:cs="Times New Roman"/>
                <w:color w:val="auto"/>
                <w:sz w:val="24"/>
                <w:highlight w:val="none"/>
              </w:rPr>
            </w:pPr>
          </w:p>
        </w:tc>
        <w:tc>
          <w:tcPr>
            <w:tcW w:w="814" w:type="pct"/>
            <w:noWrap w:val="0"/>
            <w:vAlign w:val="center"/>
          </w:tcPr>
          <w:p w14:paraId="272A2352">
            <w:pPr>
              <w:spacing w:line="360" w:lineRule="auto"/>
              <w:jc w:val="center"/>
              <w:rPr>
                <w:rFonts w:ascii="宋体" w:hAnsi="宋体" w:eastAsia="宋体" w:cs="Times New Roman"/>
                <w:color w:val="auto"/>
                <w:sz w:val="24"/>
                <w:highlight w:val="none"/>
              </w:rPr>
            </w:pPr>
          </w:p>
        </w:tc>
        <w:tc>
          <w:tcPr>
            <w:tcW w:w="1047" w:type="pct"/>
            <w:noWrap w:val="0"/>
            <w:vAlign w:val="center"/>
          </w:tcPr>
          <w:p w14:paraId="3D482715">
            <w:pPr>
              <w:spacing w:line="360" w:lineRule="auto"/>
              <w:jc w:val="center"/>
              <w:rPr>
                <w:rFonts w:ascii="宋体" w:hAnsi="宋体" w:eastAsia="宋体" w:cs="Times New Roman"/>
                <w:color w:val="auto"/>
                <w:sz w:val="24"/>
                <w:highlight w:val="none"/>
              </w:rPr>
            </w:pPr>
          </w:p>
        </w:tc>
        <w:tc>
          <w:tcPr>
            <w:tcW w:w="719" w:type="pct"/>
            <w:noWrap w:val="0"/>
            <w:vAlign w:val="center"/>
          </w:tcPr>
          <w:p w14:paraId="6E1B5016">
            <w:pPr>
              <w:spacing w:line="360" w:lineRule="auto"/>
              <w:jc w:val="center"/>
              <w:rPr>
                <w:rFonts w:ascii="宋体" w:hAnsi="宋体" w:eastAsia="宋体" w:cs="Times New Roman"/>
                <w:color w:val="auto"/>
                <w:sz w:val="24"/>
                <w:highlight w:val="none"/>
              </w:rPr>
            </w:pPr>
          </w:p>
        </w:tc>
        <w:tc>
          <w:tcPr>
            <w:tcW w:w="672" w:type="pct"/>
            <w:noWrap w:val="0"/>
            <w:vAlign w:val="center"/>
          </w:tcPr>
          <w:p w14:paraId="5BADBF9B">
            <w:pPr>
              <w:spacing w:line="360" w:lineRule="auto"/>
              <w:jc w:val="center"/>
              <w:rPr>
                <w:rFonts w:ascii="宋体" w:hAnsi="宋体" w:eastAsia="宋体" w:cs="Times New Roman"/>
                <w:color w:val="auto"/>
                <w:sz w:val="24"/>
                <w:highlight w:val="none"/>
              </w:rPr>
            </w:pPr>
          </w:p>
        </w:tc>
      </w:tr>
      <w:tr w14:paraId="1371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05" w:type="pct"/>
            <w:noWrap w:val="0"/>
            <w:vAlign w:val="center"/>
          </w:tcPr>
          <w:p w14:paraId="061C0507">
            <w:pPr>
              <w:spacing w:line="360" w:lineRule="auto"/>
              <w:jc w:val="center"/>
              <w:rPr>
                <w:rFonts w:ascii="宋体" w:hAnsi="宋体" w:eastAsia="宋体" w:cs="Times New Roman"/>
                <w:color w:val="auto"/>
                <w:sz w:val="24"/>
                <w:highlight w:val="none"/>
              </w:rPr>
            </w:pPr>
          </w:p>
        </w:tc>
        <w:tc>
          <w:tcPr>
            <w:tcW w:w="1344" w:type="pct"/>
            <w:noWrap w:val="0"/>
            <w:vAlign w:val="center"/>
          </w:tcPr>
          <w:p w14:paraId="55647451">
            <w:pPr>
              <w:spacing w:line="360" w:lineRule="auto"/>
              <w:jc w:val="center"/>
              <w:rPr>
                <w:rFonts w:ascii="宋体" w:hAnsi="宋体" w:eastAsia="宋体" w:cs="Times New Roman"/>
                <w:color w:val="auto"/>
                <w:sz w:val="24"/>
                <w:highlight w:val="none"/>
              </w:rPr>
            </w:pPr>
          </w:p>
        </w:tc>
        <w:tc>
          <w:tcPr>
            <w:tcW w:w="814" w:type="pct"/>
            <w:noWrap w:val="0"/>
            <w:vAlign w:val="center"/>
          </w:tcPr>
          <w:p w14:paraId="72825E6E">
            <w:pPr>
              <w:spacing w:line="360" w:lineRule="auto"/>
              <w:jc w:val="center"/>
              <w:rPr>
                <w:rFonts w:ascii="宋体" w:hAnsi="宋体" w:eastAsia="宋体" w:cs="Times New Roman"/>
                <w:color w:val="auto"/>
                <w:sz w:val="24"/>
                <w:highlight w:val="none"/>
              </w:rPr>
            </w:pPr>
          </w:p>
        </w:tc>
        <w:tc>
          <w:tcPr>
            <w:tcW w:w="1047" w:type="pct"/>
            <w:noWrap w:val="0"/>
            <w:vAlign w:val="center"/>
          </w:tcPr>
          <w:p w14:paraId="0C6AA09C">
            <w:pPr>
              <w:spacing w:line="360" w:lineRule="auto"/>
              <w:jc w:val="center"/>
              <w:rPr>
                <w:rFonts w:ascii="宋体" w:hAnsi="宋体" w:eastAsia="宋体" w:cs="Times New Roman"/>
                <w:color w:val="auto"/>
                <w:sz w:val="24"/>
                <w:highlight w:val="none"/>
              </w:rPr>
            </w:pPr>
          </w:p>
        </w:tc>
        <w:tc>
          <w:tcPr>
            <w:tcW w:w="719" w:type="pct"/>
            <w:noWrap w:val="0"/>
            <w:vAlign w:val="center"/>
          </w:tcPr>
          <w:p w14:paraId="36D59EBF">
            <w:pPr>
              <w:spacing w:line="360" w:lineRule="auto"/>
              <w:jc w:val="center"/>
              <w:rPr>
                <w:rFonts w:ascii="宋体" w:hAnsi="宋体" w:eastAsia="宋体" w:cs="Times New Roman"/>
                <w:color w:val="auto"/>
                <w:sz w:val="24"/>
                <w:highlight w:val="none"/>
              </w:rPr>
            </w:pPr>
          </w:p>
        </w:tc>
        <w:tc>
          <w:tcPr>
            <w:tcW w:w="672" w:type="pct"/>
            <w:noWrap w:val="0"/>
            <w:vAlign w:val="center"/>
          </w:tcPr>
          <w:p w14:paraId="4FEC4C3D">
            <w:pPr>
              <w:spacing w:line="360" w:lineRule="auto"/>
              <w:jc w:val="center"/>
              <w:rPr>
                <w:rFonts w:ascii="宋体" w:hAnsi="宋体" w:eastAsia="宋体" w:cs="Times New Roman"/>
                <w:color w:val="auto"/>
                <w:sz w:val="24"/>
                <w:highlight w:val="none"/>
              </w:rPr>
            </w:pPr>
          </w:p>
        </w:tc>
      </w:tr>
    </w:tbl>
    <w:p w14:paraId="65C2B1F1">
      <w:pPr>
        <w:spacing w:line="360" w:lineRule="auto"/>
        <w:rPr>
          <w:rFonts w:hint="eastAsia" w:ascii="宋体" w:hAnsi="宋体" w:eastAsia="宋体" w:cs="宋体"/>
          <w:color w:val="auto"/>
          <w:szCs w:val="24"/>
          <w:highlight w:val="none"/>
        </w:rPr>
      </w:pPr>
    </w:p>
    <w:p w14:paraId="3C2912D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注：投标人应根据招标文件的要求在本表后附相关证明材料</w:t>
      </w:r>
    </w:p>
    <w:p w14:paraId="14352BF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t>（本项不作为资格审查内容，但（如有）需提供，仅作为投标人的评标（综合评分）资料进行考察。表格格式可以根据实际情况调整。）</w:t>
      </w:r>
    </w:p>
    <w:p w14:paraId="7AF17232">
      <w:pPr>
        <w:pStyle w:val="4"/>
        <w:spacing w:before="0" w:after="0" w:line="360" w:lineRule="auto"/>
        <w:ind w:firstLine="119"/>
        <w:jc w:val="center"/>
        <w:rPr>
          <w:rFonts w:hint="eastAsia" w:ascii="宋体" w:hAnsi="宋体" w:cs="宋体"/>
          <w:b w:val="0"/>
          <w:bCs w:val="0"/>
          <w:color w:val="auto"/>
          <w:sz w:val="32"/>
          <w:highlight w:val="none"/>
        </w:rPr>
      </w:pPr>
      <w:r>
        <w:rPr>
          <w:rFonts w:hint="eastAsia" w:ascii="宋体" w:hAnsi="宋体" w:cs="宋体"/>
          <w:b w:val="0"/>
          <w:bCs w:val="0"/>
          <w:color w:val="auto"/>
          <w:highlight w:val="none"/>
        </w:rPr>
        <w:br w:type="page"/>
      </w:r>
      <w:bookmarkStart w:id="223" w:name="_Toc22808"/>
      <w:r>
        <w:rPr>
          <w:rFonts w:hint="eastAsia" w:ascii="宋体" w:hAnsi="宋体" w:eastAsia="宋体" w:cs="宋体"/>
          <w:color w:val="auto"/>
          <w:sz w:val="32"/>
          <w:highlight w:val="none"/>
        </w:rPr>
        <w:t>七、</w:t>
      </w:r>
      <w:bookmarkStart w:id="224" w:name="_Hlk171603198"/>
      <w:r>
        <w:rPr>
          <w:rFonts w:hint="eastAsia" w:ascii="宋体" w:hAnsi="宋体" w:eastAsia="宋体" w:cs="宋体"/>
          <w:color w:val="auto"/>
          <w:sz w:val="32"/>
          <w:highlight w:val="none"/>
        </w:rPr>
        <w:t>拟投入本项目的人员</w:t>
      </w:r>
      <w:bookmarkEnd w:id="224"/>
      <w:r>
        <w:rPr>
          <w:rFonts w:hint="eastAsia" w:ascii="宋体" w:hAnsi="宋体" w:eastAsia="宋体" w:cs="宋体"/>
          <w:color w:val="auto"/>
          <w:sz w:val="32"/>
          <w:highlight w:val="none"/>
        </w:rPr>
        <w:t>一览表</w:t>
      </w:r>
      <w:bookmarkEnd w:id="223"/>
    </w:p>
    <w:p w14:paraId="52BD42EC">
      <w:pPr>
        <w:spacing w:line="360" w:lineRule="auto"/>
        <w:jc w:val="left"/>
        <w:rPr>
          <w:rFonts w:hint="eastAsia" w:ascii="宋体" w:hAnsi="宋体" w:eastAsia="宋体" w:cs="宋体"/>
          <w:color w:val="auto"/>
          <w:szCs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39"/>
        <w:gridCol w:w="904"/>
        <w:gridCol w:w="1484"/>
        <w:gridCol w:w="1885"/>
        <w:gridCol w:w="883"/>
        <w:gridCol w:w="992"/>
        <w:gridCol w:w="1276"/>
      </w:tblGrid>
      <w:tr w14:paraId="4574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17" w:type="dxa"/>
            <w:noWrap w:val="0"/>
            <w:vAlign w:val="center"/>
          </w:tcPr>
          <w:p w14:paraId="11E01DED">
            <w:pPr>
              <w:snapToGrid w:val="0"/>
              <w:spacing w:line="360" w:lineRule="auto"/>
              <w:jc w:val="center"/>
              <w:rPr>
                <w:rFonts w:hint="eastAsia" w:ascii="宋体" w:hAnsi="宋体" w:eastAsia="宋体" w:cs="宋体"/>
                <w:color w:val="auto"/>
                <w:sz w:val="24"/>
                <w:highlight w:val="none"/>
              </w:rPr>
            </w:pPr>
            <w:bookmarkStart w:id="225" w:name="_Hlk171603204"/>
            <w:r>
              <w:rPr>
                <w:rFonts w:hint="eastAsia" w:ascii="宋体" w:hAnsi="宋体" w:eastAsia="宋体" w:cs="宋体"/>
                <w:color w:val="auto"/>
                <w:sz w:val="24"/>
                <w:highlight w:val="none"/>
              </w:rPr>
              <w:t>序号</w:t>
            </w:r>
          </w:p>
        </w:tc>
        <w:tc>
          <w:tcPr>
            <w:tcW w:w="939" w:type="dxa"/>
            <w:noWrap w:val="0"/>
            <w:vAlign w:val="center"/>
          </w:tcPr>
          <w:p w14:paraId="26483E9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04" w:type="dxa"/>
            <w:noWrap w:val="0"/>
            <w:vAlign w:val="center"/>
          </w:tcPr>
          <w:p w14:paraId="7620D733">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484" w:type="dxa"/>
            <w:noWrap w:val="0"/>
            <w:vAlign w:val="center"/>
          </w:tcPr>
          <w:p w14:paraId="2A57305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拟在本项目任职职位</w:t>
            </w:r>
          </w:p>
        </w:tc>
        <w:tc>
          <w:tcPr>
            <w:tcW w:w="1885" w:type="dxa"/>
            <w:noWrap w:val="0"/>
            <w:vAlign w:val="center"/>
          </w:tcPr>
          <w:p w14:paraId="15BF1C4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bookmarkStart w:id="226" w:name="_Toc377719916"/>
            <w:bookmarkStart w:id="227" w:name="_Toc32483"/>
            <w:r>
              <w:rPr>
                <w:rFonts w:hint="eastAsia" w:ascii="宋体" w:hAnsi="宋体" w:eastAsia="宋体" w:cs="宋体"/>
                <w:color w:val="auto"/>
                <w:sz w:val="24"/>
                <w:highlight w:val="none"/>
              </w:rPr>
              <w:t>专</w:t>
            </w:r>
            <w:bookmarkStart w:id="228" w:name="_Toc532367896"/>
            <w:bookmarkStart w:id="229" w:name="_Toc24823"/>
            <w:bookmarkStart w:id="230" w:name="_Toc12800"/>
            <w:bookmarkStart w:id="231" w:name="_Toc7316"/>
            <w:bookmarkStart w:id="232" w:name="_Toc23762"/>
            <w:bookmarkStart w:id="233" w:name="_Toc29731"/>
            <w:bookmarkStart w:id="234" w:name="_Toc18456"/>
            <w:bookmarkStart w:id="235" w:name="_Toc38224866"/>
            <w:bookmarkStart w:id="236" w:name="_Toc21254"/>
            <w:bookmarkStart w:id="237" w:name="_Toc17600"/>
            <w:r>
              <w:rPr>
                <w:rFonts w:hint="eastAsia" w:ascii="宋体" w:hAnsi="宋体" w:eastAsia="宋体" w:cs="宋体"/>
                <w:color w:val="auto"/>
                <w:sz w:val="24"/>
                <w:highlight w:val="none"/>
              </w:rPr>
              <w:t>业</w:t>
            </w:r>
          </w:p>
          <w:bookmarkEnd w:id="226"/>
          <w:bookmarkEnd w:id="227"/>
          <w:bookmarkEnd w:id="228"/>
          <w:bookmarkEnd w:id="229"/>
          <w:bookmarkEnd w:id="230"/>
          <w:bookmarkEnd w:id="231"/>
          <w:bookmarkEnd w:id="232"/>
          <w:bookmarkEnd w:id="233"/>
        </w:tc>
        <w:tc>
          <w:tcPr>
            <w:tcW w:w="883" w:type="dxa"/>
            <w:noWrap w:val="0"/>
            <w:vAlign w:val="center"/>
          </w:tcPr>
          <w:p w14:paraId="01A6B13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992" w:type="dxa"/>
            <w:noWrap w:val="0"/>
            <w:vAlign w:val="center"/>
          </w:tcPr>
          <w:p w14:paraId="5D956A5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bookmarkEnd w:id="234"/>
            <w:bookmarkEnd w:id="235"/>
            <w:bookmarkEnd w:id="236"/>
            <w:bookmarkEnd w:id="237"/>
            <w:r>
              <w:rPr>
                <w:rFonts w:hint="eastAsia" w:ascii="宋体" w:hAnsi="宋体" w:eastAsia="宋体" w:cs="宋体"/>
                <w:color w:val="auto"/>
                <w:sz w:val="24"/>
                <w:highlight w:val="none"/>
              </w:rPr>
              <w:t>及专业</w:t>
            </w:r>
          </w:p>
        </w:tc>
        <w:tc>
          <w:tcPr>
            <w:tcW w:w="1276" w:type="dxa"/>
            <w:noWrap w:val="0"/>
            <w:vAlign w:val="center"/>
          </w:tcPr>
          <w:p w14:paraId="4250D0A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从事检测/监测工作年限</w:t>
            </w:r>
          </w:p>
        </w:tc>
        <w:bookmarkStart w:id="238" w:name="_Toc9140"/>
        <w:bookmarkStart w:id="239" w:name="_Toc38224867"/>
        <w:bookmarkStart w:id="240" w:name="_Toc31785"/>
        <w:bookmarkStart w:id="241" w:name="_Toc377719917"/>
        <w:bookmarkStart w:id="242" w:name="_Toc25406"/>
        <w:bookmarkStart w:id="243" w:name="_Toc29747"/>
        <w:bookmarkStart w:id="244" w:name="_Toc12738"/>
        <w:bookmarkStart w:id="245" w:name="_Toc17488"/>
        <w:bookmarkStart w:id="246" w:name="_Toc532367897"/>
        <w:bookmarkStart w:id="247" w:name="_Toc13214"/>
        <w:bookmarkStart w:id="248" w:name="_Toc18694"/>
      </w:tr>
      <w:tr w14:paraId="35E9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0DC2D77F">
            <w:pPr>
              <w:spacing w:line="360" w:lineRule="auto"/>
              <w:jc w:val="center"/>
              <w:rPr>
                <w:rFonts w:hint="eastAsia" w:ascii="宋体" w:hAnsi="宋体" w:eastAsia="宋体" w:cs="宋体"/>
                <w:color w:val="auto"/>
                <w:sz w:val="22"/>
                <w:highlight w:val="none"/>
              </w:rPr>
            </w:pPr>
          </w:p>
        </w:tc>
        <w:tc>
          <w:tcPr>
            <w:tcW w:w="939" w:type="dxa"/>
            <w:noWrap w:val="0"/>
            <w:vAlign w:val="center"/>
          </w:tcPr>
          <w:p w14:paraId="6B64A2D8">
            <w:pPr>
              <w:spacing w:line="360" w:lineRule="auto"/>
              <w:jc w:val="center"/>
              <w:rPr>
                <w:rFonts w:hint="eastAsia" w:ascii="宋体" w:hAnsi="宋体" w:eastAsia="宋体" w:cs="宋体"/>
                <w:color w:val="auto"/>
                <w:sz w:val="22"/>
                <w:highlight w:val="none"/>
              </w:rPr>
            </w:pPr>
          </w:p>
        </w:tc>
        <w:tc>
          <w:tcPr>
            <w:tcW w:w="904" w:type="dxa"/>
            <w:noWrap w:val="0"/>
            <w:vAlign w:val="center"/>
          </w:tcPr>
          <w:p w14:paraId="1B0D692C">
            <w:pPr>
              <w:spacing w:line="360" w:lineRule="auto"/>
              <w:jc w:val="center"/>
              <w:rPr>
                <w:rFonts w:hint="eastAsia" w:ascii="宋体" w:hAnsi="宋体" w:eastAsia="宋体" w:cs="宋体"/>
                <w:color w:val="auto"/>
                <w:sz w:val="22"/>
                <w:highlight w:val="none"/>
              </w:rPr>
            </w:pPr>
          </w:p>
        </w:tc>
        <w:tc>
          <w:tcPr>
            <w:tcW w:w="1484" w:type="dxa"/>
            <w:noWrap w:val="0"/>
            <w:vAlign w:val="center"/>
          </w:tcPr>
          <w:p w14:paraId="1F732F6D">
            <w:pPr>
              <w:spacing w:line="360" w:lineRule="auto"/>
              <w:jc w:val="center"/>
              <w:rPr>
                <w:rFonts w:hint="eastAsia" w:ascii="宋体" w:hAnsi="宋体" w:eastAsia="宋体" w:cs="宋体"/>
                <w:color w:val="auto"/>
                <w:sz w:val="22"/>
                <w:highlight w:val="none"/>
              </w:rPr>
            </w:pPr>
          </w:p>
        </w:tc>
        <w:tc>
          <w:tcPr>
            <w:tcW w:w="1885" w:type="dxa"/>
            <w:noWrap w:val="0"/>
            <w:vAlign w:val="center"/>
          </w:tcPr>
          <w:p w14:paraId="5B536E6E">
            <w:pPr>
              <w:spacing w:line="360" w:lineRule="auto"/>
              <w:jc w:val="center"/>
              <w:rPr>
                <w:rFonts w:hint="eastAsia" w:ascii="宋体" w:hAnsi="宋体" w:eastAsia="宋体" w:cs="宋体"/>
                <w:color w:val="auto"/>
                <w:sz w:val="22"/>
                <w:highlight w:val="none"/>
              </w:rPr>
            </w:pPr>
          </w:p>
        </w:tc>
        <w:tc>
          <w:tcPr>
            <w:tcW w:w="883" w:type="dxa"/>
            <w:noWrap w:val="0"/>
            <w:vAlign w:val="center"/>
          </w:tcPr>
          <w:p w14:paraId="00123C1F">
            <w:pPr>
              <w:spacing w:line="360" w:lineRule="auto"/>
              <w:jc w:val="center"/>
              <w:rPr>
                <w:rFonts w:hint="eastAsia" w:ascii="宋体" w:hAnsi="宋体" w:eastAsia="宋体" w:cs="宋体"/>
                <w:color w:val="auto"/>
                <w:sz w:val="22"/>
                <w:highlight w:val="none"/>
              </w:rPr>
            </w:pPr>
          </w:p>
        </w:tc>
        <w:tc>
          <w:tcPr>
            <w:tcW w:w="992" w:type="dxa"/>
            <w:noWrap w:val="0"/>
            <w:vAlign w:val="center"/>
          </w:tcPr>
          <w:p w14:paraId="3E264B99">
            <w:pPr>
              <w:spacing w:line="360" w:lineRule="auto"/>
              <w:jc w:val="center"/>
              <w:rPr>
                <w:rFonts w:hint="eastAsia" w:ascii="宋体" w:hAnsi="宋体" w:eastAsia="宋体" w:cs="宋体"/>
                <w:color w:val="auto"/>
                <w:sz w:val="22"/>
                <w:highlight w:val="none"/>
              </w:rPr>
            </w:pPr>
          </w:p>
        </w:tc>
        <w:tc>
          <w:tcPr>
            <w:tcW w:w="1276" w:type="dxa"/>
            <w:noWrap w:val="0"/>
            <w:vAlign w:val="center"/>
          </w:tcPr>
          <w:p w14:paraId="27ADC684">
            <w:pPr>
              <w:spacing w:line="360" w:lineRule="auto"/>
              <w:jc w:val="center"/>
              <w:rPr>
                <w:rFonts w:hint="eastAsia" w:ascii="宋体" w:hAnsi="宋体" w:eastAsia="宋体" w:cs="宋体"/>
                <w:color w:val="auto"/>
                <w:sz w:val="22"/>
                <w:highlight w:val="none"/>
              </w:rPr>
            </w:pPr>
          </w:p>
        </w:tc>
      </w:tr>
      <w:tr w14:paraId="5A9D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26C363F2">
            <w:pPr>
              <w:spacing w:line="360" w:lineRule="auto"/>
              <w:jc w:val="center"/>
              <w:rPr>
                <w:rFonts w:hint="eastAsia" w:ascii="宋体" w:hAnsi="宋体" w:eastAsia="宋体" w:cs="宋体"/>
                <w:color w:val="auto"/>
                <w:sz w:val="22"/>
                <w:highlight w:val="none"/>
              </w:rPr>
            </w:pPr>
          </w:p>
        </w:tc>
        <w:tc>
          <w:tcPr>
            <w:tcW w:w="939" w:type="dxa"/>
            <w:noWrap w:val="0"/>
            <w:vAlign w:val="center"/>
          </w:tcPr>
          <w:p w14:paraId="5DDCF4DF">
            <w:pPr>
              <w:spacing w:line="360" w:lineRule="auto"/>
              <w:jc w:val="center"/>
              <w:rPr>
                <w:rFonts w:hint="eastAsia" w:ascii="宋体" w:hAnsi="宋体" w:eastAsia="宋体" w:cs="宋体"/>
                <w:color w:val="auto"/>
                <w:sz w:val="22"/>
                <w:highlight w:val="none"/>
              </w:rPr>
            </w:pPr>
          </w:p>
        </w:tc>
        <w:tc>
          <w:tcPr>
            <w:tcW w:w="904" w:type="dxa"/>
            <w:noWrap w:val="0"/>
            <w:vAlign w:val="center"/>
          </w:tcPr>
          <w:p w14:paraId="4CAC85DA">
            <w:pPr>
              <w:spacing w:line="360" w:lineRule="auto"/>
              <w:jc w:val="center"/>
              <w:rPr>
                <w:rFonts w:hint="eastAsia" w:ascii="宋体" w:hAnsi="宋体" w:eastAsia="宋体" w:cs="宋体"/>
                <w:color w:val="auto"/>
                <w:sz w:val="22"/>
                <w:highlight w:val="none"/>
              </w:rPr>
            </w:pPr>
          </w:p>
        </w:tc>
        <w:tc>
          <w:tcPr>
            <w:tcW w:w="1484" w:type="dxa"/>
            <w:noWrap w:val="0"/>
            <w:vAlign w:val="center"/>
          </w:tcPr>
          <w:p w14:paraId="15A197CB">
            <w:pPr>
              <w:spacing w:line="360" w:lineRule="auto"/>
              <w:jc w:val="center"/>
              <w:rPr>
                <w:rFonts w:hint="eastAsia" w:ascii="宋体" w:hAnsi="宋体" w:eastAsia="宋体" w:cs="宋体"/>
                <w:color w:val="auto"/>
                <w:sz w:val="22"/>
                <w:highlight w:val="none"/>
              </w:rPr>
            </w:pPr>
          </w:p>
          <w:bookmarkEnd w:id="238"/>
          <w:bookmarkEnd w:id="239"/>
          <w:bookmarkEnd w:id="240"/>
        </w:tc>
        <w:tc>
          <w:tcPr>
            <w:tcW w:w="1885" w:type="dxa"/>
            <w:noWrap w:val="0"/>
            <w:vAlign w:val="center"/>
          </w:tcPr>
          <w:p w14:paraId="76CB63AA">
            <w:pPr>
              <w:spacing w:line="360" w:lineRule="auto"/>
              <w:jc w:val="center"/>
              <w:rPr>
                <w:rFonts w:hint="eastAsia" w:ascii="宋体" w:hAnsi="宋体" w:eastAsia="宋体" w:cs="宋体"/>
                <w:color w:val="auto"/>
                <w:sz w:val="22"/>
                <w:highlight w:val="none"/>
              </w:rPr>
            </w:pPr>
          </w:p>
          <w:bookmarkEnd w:id="241"/>
          <w:bookmarkEnd w:id="242"/>
          <w:bookmarkEnd w:id="243"/>
          <w:bookmarkEnd w:id="244"/>
          <w:bookmarkEnd w:id="245"/>
          <w:bookmarkEnd w:id="246"/>
          <w:bookmarkEnd w:id="247"/>
          <w:bookmarkEnd w:id="248"/>
        </w:tc>
        <w:tc>
          <w:tcPr>
            <w:tcW w:w="883" w:type="dxa"/>
            <w:noWrap w:val="0"/>
            <w:vAlign w:val="center"/>
          </w:tcPr>
          <w:p w14:paraId="27E2DD99">
            <w:pPr>
              <w:spacing w:line="360" w:lineRule="auto"/>
              <w:jc w:val="center"/>
              <w:rPr>
                <w:rFonts w:hint="eastAsia" w:ascii="宋体" w:hAnsi="宋体" w:eastAsia="宋体" w:cs="宋体"/>
                <w:color w:val="auto"/>
                <w:sz w:val="22"/>
                <w:highlight w:val="none"/>
              </w:rPr>
            </w:pPr>
          </w:p>
        </w:tc>
        <w:tc>
          <w:tcPr>
            <w:tcW w:w="992" w:type="dxa"/>
            <w:noWrap w:val="0"/>
            <w:vAlign w:val="center"/>
          </w:tcPr>
          <w:p w14:paraId="3551805B">
            <w:pPr>
              <w:spacing w:line="360" w:lineRule="auto"/>
              <w:jc w:val="center"/>
              <w:rPr>
                <w:rFonts w:hint="eastAsia" w:ascii="宋体" w:hAnsi="宋体" w:eastAsia="宋体" w:cs="宋体"/>
                <w:color w:val="auto"/>
                <w:sz w:val="22"/>
                <w:highlight w:val="none"/>
              </w:rPr>
            </w:pPr>
          </w:p>
        </w:tc>
        <w:tc>
          <w:tcPr>
            <w:tcW w:w="1276" w:type="dxa"/>
            <w:noWrap w:val="0"/>
            <w:vAlign w:val="center"/>
          </w:tcPr>
          <w:p w14:paraId="61323295">
            <w:pPr>
              <w:spacing w:line="360" w:lineRule="auto"/>
              <w:jc w:val="center"/>
              <w:rPr>
                <w:rFonts w:hint="eastAsia" w:ascii="宋体" w:hAnsi="宋体" w:eastAsia="宋体" w:cs="宋体"/>
                <w:color w:val="auto"/>
                <w:sz w:val="22"/>
                <w:highlight w:val="none"/>
              </w:rPr>
            </w:pPr>
          </w:p>
        </w:tc>
      </w:tr>
      <w:tr w14:paraId="2B7E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760BB093">
            <w:pPr>
              <w:spacing w:line="360" w:lineRule="auto"/>
              <w:jc w:val="center"/>
              <w:rPr>
                <w:rFonts w:hint="eastAsia" w:ascii="宋体" w:hAnsi="宋体" w:eastAsia="宋体" w:cs="宋体"/>
                <w:color w:val="auto"/>
                <w:sz w:val="22"/>
                <w:highlight w:val="none"/>
              </w:rPr>
            </w:pPr>
          </w:p>
        </w:tc>
        <w:tc>
          <w:tcPr>
            <w:tcW w:w="939" w:type="dxa"/>
            <w:noWrap w:val="0"/>
            <w:vAlign w:val="center"/>
          </w:tcPr>
          <w:p w14:paraId="5D36B252">
            <w:pPr>
              <w:spacing w:line="360" w:lineRule="auto"/>
              <w:jc w:val="center"/>
              <w:rPr>
                <w:rFonts w:hint="eastAsia" w:ascii="宋体" w:hAnsi="宋体" w:eastAsia="宋体" w:cs="宋体"/>
                <w:color w:val="auto"/>
                <w:sz w:val="22"/>
                <w:highlight w:val="none"/>
              </w:rPr>
            </w:pPr>
          </w:p>
        </w:tc>
        <w:tc>
          <w:tcPr>
            <w:tcW w:w="904" w:type="dxa"/>
            <w:noWrap w:val="0"/>
            <w:vAlign w:val="center"/>
          </w:tcPr>
          <w:p w14:paraId="5B76EBB5">
            <w:pPr>
              <w:spacing w:line="360" w:lineRule="auto"/>
              <w:jc w:val="center"/>
              <w:rPr>
                <w:rFonts w:hint="eastAsia" w:ascii="宋体" w:hAnsi="宋体" w:eastAsia="宋体" w:cs="宋体"/>
                <w:color w:val="auto"/>
                <w:sz w:val="22"/>
                <w:highlight w:val="none"/>
              </w:rPr>
            </w:pPr>
          </w:p>
        </w:tc>
        <w:tc>
          <w:tcPr>
            <w:tcW w:w="1484" w:type="dxa"/>
            <w:noWrap w:val="0"/>
            <w:vAlign w:val="center"/>
          </w:tcPr>
          <w:p w14:paraId="746A7489">
            <w:pPr>
              <w:spacing w:line="360" w:lineRule="auto"/>
              <w:jc w:val="center"/>
              <w:rPr>
                <w:rFonts w:hint="eastAsia" w:ascii="宋体" w:hAnsi="宋体" w:eastAsia="宋体" w:cs="宋体"/>
                <w:color w:val="auto"/>
                <w:sz w:val="22"/>
                <w:highlight w:val="none"/>
              </w:rPr>
            </w:pPr>
          </w:p>
        </w:tc>
        <w:tc>
          <w:tcPr>
            <w:tcW w:w="1885" w:type="dxa"/>
            <w:noWrap w:val="0"/>
            <w:vAlign w:val="center"/>
          </w:tcPr>
          <w:p w14:paraId="0811CE95">
            <w:pPr>
              <w:spacing w:line="360" w:lineRule="auto"/>
              <w:jc w:val="center"/>
              <w:rPr>
                <w:rFonts w:hint="eastAsia" w:ascii="宋体" w:hAnsi="宋体" w:eastAsia="宋体" w:cs="宋体"/>
                <w:color w:val="auto"/>
                <w:sz w:val="22"/>
                <w:highlight w:val="none"/>
              </w:rPr>
            </w:pPr>
          </w:p>
        </w:tc>
        <w:tc>
          <w:tcPr>
            <w:tcW w:w="883" w:type="dxa"/>
            <w:noWrap w:val="0"/>
            <w:vAlign w:val="center"/>
          </w:tcPr>
          <w:p w14:paraId="1757B72D">
            <w:pPr>
              <w:spacing w:line="360" w:lineRule="auto"/>
              <w:jc w:val="center"/>
              <w:rPr>
                <w:rFonts w:hint="eastAsia" w:ascii="宋体" w:hAnsi="宋体" w:eastAsia="宋体" w:cs="宋体"/>
                <w:color w:val="auto"/>
                <w:sz w:val="22"/>
                <w:highlight w:val="none"/>
              </w:rPr>
            </w:pPr>
          </w:p>
        </w:tc>
        <w:tc>
          <w:tcPr>
            <w:tcW w:w="992" w:type="dxa"/>
            <w:noWrap w:val="0"/>
            <w:vAlign w:val="center"/>
          </w:tcPr>
          <w:p w14:paraId="45FF0097">
            <w:pPr>
              <w:spacing w:line="360" w:lineRule="auto"/>
              <w:jc w:val="center"/>
              <w:rPr>
                <w:rFonts w:hint="eastAsia" w:ascii="宋体" w:hAnsi="宋体" w:eastAsia="宋体" w:cs="宋体"/>
                <w:color w:val="auto"/>
                <w:sz w:val="22"/>
                <w:highlight w:val="none"/>
              </w:rPr>
            </w:pPr>
          </w:p>
        </w:tc>
        <w:tc>
          <w:tcPr>
            <w:tcW w:w="1276" w:type="dxa"/>
            <w:noWrap w:val="0"/>
            <w:vAlign w:val="center"/>
          </w:tcPr>
          <w:p w14:paraId="0443DAC9">
            <w:pPr>
              <w:spacing w:line="360" w:lineRule="auto"/>
              <w:jc w:val="center"/>
              <w:rPr>
                <w:rFonts w:hint="eastAsia" w:ascii="宋体" w:hAnsi="宋体" w:eastAsia="宋体" w:cs="宋体"/>
                <w:color w:val="auto"/>
                <w:sz w:val="22"/>
                <w:highlight w:val="none"/>
              </w:rPr>
            </w:pPr>
          </w:p>
        </w:tc>
      </w:tr>
      <w:tr w14:paraId="188D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51F3022A">
            <w:pPr>
              <w:spacing w:line="360" w:lineRule="auto"/>
              <w:jc w:val="center"/>
              <w:rPr>
                <w:rFonts w:hint="eastAsia" w:ascii="宋体" w:hAnsi="宋体" w:eastAsia="宋体" w:cs="宋体"/>
                <w:color w:val="auto"/>
                <w:sz w:val="22"/>
                <w:highlight w:val="none"/>
              </w:rPr>
            </w:pPr>
          </w:p>
        </w:tc>
        <w:tc>
          <w:tcPr>
            <w:tcW w:w="939" w:type="dxa"/>
            <w:noWrap w:val="0"/>
            <w:vAlign w:val="center"/>
          </w:tcPr>
          <w:p w14:paraId="06D9E904">
            <w:pPr>
              <w:spacing w:line="360" w:lineRule="auto"/>
              <w:jc w:val="center"/>
              <w:rPr>
                <w:rFonts w:hint="eastAsia" w:ascii="宋体" w:hAnsi="宋体" w:eastAsia="宋体" w:cs="宋体"/>
                <w:color w:val="auto"/>
                <w:sz w:val="22"/>
                <w:highlight w:val="none"/>
              </w:rPr>
            </w:pPr>
          </w:p>
        </w:tc>
        <w:tc>
          <w:tcPr>
            <w:tcW w:w="904" w:type="dxa"/>
            <w:noWrap w:val="0"/>
            <w:vAlign w:val="center"/>
          </w:tcPr>
          <w:p w14:paraId="03DFD174">
            <w:pPr>
              <w:spacing w:line="360" w:lineRule="auto"/>
              <w:jc w:val="center"/>
              <w:rPr>
                <w:rFonts w:hint="eastAsia" w:ascii="宋体" w:hAnsi="宋体" w:eastAsia="宋体" w:cs="宋体"/>
                <w:color w:val="auto"/>
                <w:sz w:val="22"/>
                <w:highlight w:val="none"/>
              </w:rPr>
            </w:pPr>
          </w:p>
        </w:tc>
        <w:tc>
          <w:tcPr>
            <w:tcW w:w="1484" w:type="dxa"/>
            <w:noWrap w:val="0"/>
            <w:vAlign w:val="center"/>
          </w:tcPr>
          <w:p w14:paraId="193A9E7D">
            <w:pPr>
              <w:spacing w:line="360" w:lineRule="auto"/>
              <w:jc w:val="center"/>
              <w:rPr>
                <w:rFonts w:hint="eastAsia" w:ascii="宋体" w:hAnsi="宋体" w:eastAsia="宋体" w:cs="宋体"/>
                <w:color w:val="auto"/>
                <w:sz w:val="22"/>
                <w:highlight w:val="none"/>
              </w:rPr>
            </w:pPr>
          </w:p>
        </w:tc>
        <w:tc>
          <w:tcPr>
            <w:tcW w:w="1885" w:type="dxa"/>
            <w:noWrap w:val="0"/>
            <w:vAlign w:val="center"/>
          </w:tcPr>
          <w:p w14:paraId="3FF803FA">
            <w:pPr>
              <w:spacing w:line="360" w:lineRule="auto"/>
              <w:jc w:val="center"/>
              <w:rPr>
                <w:rFonts w:hint="eastAsia" w:ascii="宋体" w:hAnsi="宋体" w:eastAsia="宋体" w:cs="宋体"/>
                <w:color w:val="auto"/>
                <w:sz w:val="22"/>
                <w:highlight w:val="none"/>
              </w:rPr>
            </w:pPr>
          </w:p>
        </w:tc>
        <w:tc>
          <w:tcPr>
            <w:tcW w:w="883" w:type="dxa"/>
            <w:noWrap w:val="0"/>
            <w:vAlign w:val="center"/>
          </w:tcPr>
          <w:p w14:paraId="3ACC09AA">
            <w:pPr>
              <w:spacing w:line="360" w:lineRule="auto"/>
              <w:jc w:val="center"/>
              <w:rPr>
                <w:rFonts w:hint="eastAsia" w:ascii="宋体" w:hAnsi="宋体" w:eastAsia="宋体" w:cs="宋体"/>
                <w:color w:val="auto"/>
                <w:sz w:val="22"/>
                <w:highlight w:val="none"/>
              </w:rPr>
            </w:pPr>
          </w:p>
        </w:tc>
        <w:tc>
          <w:tcPr>
            <w:tcW w:w="992" w:type="dxa"/>
            <w:noWrap w:val="0"/>
            <w:vAlign w:val="center"/>
          </w:tcPr>
          <w:p w14:paraId="6953257A">
            <w:pPr>
              <w:spacing w:line="360" w:lineRule="auto"/>
              <w:jc w:val="center"/>
              <w:rPr>
                <w:rFonts w:hint="eastAsia" w:ascii="宋体" w:hAnsi="宋体" w:eastAsia="宋体" w:cs="宋体"/>
                <w:color w:val="auto"/>
                <w:sz w:val="22"/>
                <w:highlight w:val="none"/>
              </w:rPr>
            </w:pPr>
          </w:p>
        </w:tc>
        <w:tc>
          <w:tcPr>
            <w:tcW w:w="1276" w:type="dxa"/>
            <w:noWrap w:val="0"/>
            <w:vAlign w:val="center"/>
          </w:tcPr>
          <w:p w14:paraId="1A041A0B">
            <w:pPr>
              <w:spacing w:line="360" w:lineRule="auto"/>
              <w:jc w:val="center"/>
              <w:rPr>
                <w:rFonts w:hint="eastAsia" w:ascii="宋体" w:hAnsi="宋体" w:eastAsia="宋体" w:cs="宋体"/>
                <w:color w:val="auto"/>
                <w:sz w:val="22"/>
                <w:highlight w:val="none"/>
              </w:rPr>
            </w:pPr>
          </w:p>
        </w:tc>
      </w:tr>
      <w:tr w14:paraId="6A70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43F0AD6B">
            <w:pPr>
              <w:spacing w:line="360" w:lineRule="auto"/>
              <w:jc w:val="center"/>
              <w:rPr>
                <w:rFonts w:hint="eastAsia" w:ascii="宋体" w:hAnsi="宋体" w:eastAsia="宋体" w:cs="宋体"/>
                <w:color w:val="auto"/>
                <w:sz w:val="22"/>
                <w:highlight w:val="none"/>
              </w:rPr>
            </w:pPr>
          </w:p>
        </w:tc>
        <w:tc>
          <w:tcPr>
            <w:tcW w:w="939" w:type="dxa"/>
            <w:noWrap w:val="0"/>
            <w:vAlign w:val="center"/>
          </w:tcPr>
          <w:p w14:paraId="3B4157BF">
            <w:pPr>
              <w:spacing w:line="360" w:lineRule="auto"/>
              <w:jc w:val="center"/>
              <w:rPr>
                <w:rFonts w:hint="eastAsia" w:ascii="宋体" w:hAnsi="宋体" w:eastAsia="宋体" w:cs="宋体"/>
                <w:color w:val="auto"/>
                <w:sz w:val="22"/>
                <w:highlight w:val="none"/>
              </w:rPr>
            </w:pPr>
          </w:p>
        </w:tc>
        <w:tc>
          <w:tcPr>
            <w:tcW w:w="904" w:type="dxa"/>
            <w:noWrap w:val="0"/>
            <w:vAlign w:val="center"/>
          </w:tcPr>
          <w:p w14:paraId="4E04B516">
            <w:pPr>
              <w:spacing w:line="360" w:lineRule="auto"/>
              <w:jc w:val="center"/>
              <w:rPr>
                <w:rFonts w:hint="eastAsia" w:ascii="宋体" w:hAnsi="宋体" w:eastAsia="宋体" w:cs="宋体"/>
                <w:color w:val="auto"/>
                <w:sz w:val="22"/>
                <w:highlight w:val="none"/>
              </w:rPr>
            </w:pPr>
          </w:p>
        </w:tc>
        <w:tc>
          <w:tcPr>
            <w:tcW w:w="1484" w:type="dxa"/>
            <w:noWrap w:val="0"/>
            <w:vAlign w:val="center"/>
          </w:tcPr>
          <w:p w14:paraId="55FE7548">
            <w:pPr>
              <w:spacing w:line="360" w:lineRule="auto"/>
              <w:jc w:val="center"/>
              <w:rPr>
                <w:rFonts w:hint="eastAsia" w:ascii="宋体" w:hAnsi="宋体" w:eastAsia="宋体" w:cs="宋体"/>
                <w:color w:val="auto"/>
                <w:sz w:val="22"/>
                <w:highlight w:val="none"/>
              </w:rPr>
            </w:pPr>
          </w:p>
        </w:tc>
        <w:tc>
          <w:tcPr>
            <w:tcW w:w="1885" w:type="dxa"/>
            <w:noWrap w:val="0"/>
            <w:vAlign w:val="center"/>
          </w:tcPr>
          <w:p w14:paraId="5AD6E8BD">
            <w:pPr>
              <w:spacing w:line="360" w:lineRule="auto"/>
              <w:jc w:val="center"/>
              <w:rPr>
                <w:rFonts w:hint="eastAsia" w:ascii="宋体" w:hAnsi="宋体" w:eastAsia="宋体" w:cs="宋体"/>
                <w:color w:val="auto"/>
                <w:sz w:val="22"/>
                <w:highlight w:val="none"/>
              </w:rPr>
            </w:pPr>
          </w:p>
        </w:tc>
        <w:tc>
          <w:tcPr>
            <w:tcW w:w="883" w:type="dxa"/>
            <w:noWrap w:val="0"/>
            <w:vAlign w:val="center"/>
          </w:tcPr>
          <w:p w14:paraId="53EDF551">
            <w:pPr>
              <w:spacing w:line="360" w:lineRule="auto"/>
              <w:jc w:val="center"/>
              <w:rPr>
                <w:rFonts w:hint="eastAsia" w:ascii="宋体" w:hAnsi="宋体" w:eastAsia="宋体" w:cs="宋体"/>
                <w:color w:val="auto"/>
                <w:sz w:val="22"/>
                <w:highlight w:val="none"/>
              </w:rPr>
            </w:pPr>
          </w:p>
        </w:tc>
        <w:tc>
          <w:tcPr>
            <w:tcW w:w="992" w:type="dxa"/>
            <w:noWrap w:val="0"/>
            <w:vAlign w:val="center"/>
          </w:tcPr>
          <w:p w14:paraId="6C71A3FF">
            <w:pPr>
              <w:spacing w:line="360" w:lineRule="auto"/>
              <w:jc w:val="center"/>
              <w:rPr>
                <w:rFonts w:hint="eastAsia" w:ascii="宋体" w:hAnsi="宋体" w:eastAsia="宋体" w:cs="宋体"/>
                <w:color w:val="auto"/>
                <w:sz w:val="22"/>
                <w:highlight w:val="none"/>
              </w:rPr>
            </w:pPr>
          </w:p>
        </w:tc>
        <w:tc>
          <w:tcPr>
            <w:tcW w:w="1276" w:type="dxa"/>
            <w:noWrap w:val="0"/>
            <w:vAlign w:val="center"/>
          </w:tcPr>
          <w:p w14:paraId="193843B7">
            <w:pPr>
              <w:spacing w:line="360" w:lineRule="auto"/>
              <w:jc w:val="center"/>
              <w:rPr>
                <w:rFonts w:hint="eastAsia" w:ascii="宋体" w:hAnsi="宋体" w:eastAsia="宋体" w:cs="宋体"/>
                <w:color w:val="auto"/>
                <w:sz w:val="22"/>
                <w:highlight w:val="none"/>
              </w:rPr>
            </w:pPr>
          </w:p>
        </w:tc>
      </w:tr>
      <w:tr w14:paraId="0577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09824614">
            <w:pPr>
              <w:spacing w:line="360" w:lineRule="auto"/>
              <w:jc w:val="center"/>
              <w:rPr>
                <w:rFonts w:hint="eastAsia" w:ascii="宋体" w:hAnsi="宋体" w:eastAsia="宋体" w:cs="宋体"/>
                <w:color w:val="auto"/>
                <w:sz w:val="22"/>
                <w:highlight w:val="none"/>
              </w:rPr>
            </w:pPr>
          </w:p>
        </w:tc>
        <w:tc>
          <w:tcPr>
            <w:tcW w:w="939" w:type="dxa"/>
            <w:noWrap w:val="0"/>
            <w:vAlign w:val="center"/>
          </w:tcPr>
          <w:p w14:paraId="4A1DF8BA">
            <w:pPr>
              <w:spacing w:line="360" w:lineRule="auto"/>
              <w:jc w:val="center"/>
              <w:rPr>
                <w:rFonts w:hint="eastAsia" w:ascii="宋体" w:hAnsi="宋体" w:eastAsia="宋体" w:cs="宋体"/>
                <w:color w:val="auto"/>
                <w:sz w:val="22"/>
                <w:highlight w:val="none"/>
              </w:rPr>
            </w:pPr>
          </w:p>
        </w:tc>
        <w:tc>
          <w:tcPr>
            <w:tcW w:w="904" w:type="dxa"/>
            <w:noWrap w:val="0"/>
            <w:vAlign w:val="center"/>
          </w:tcPr>
          <w:p w14:paraId="1CBAAD40">
            <w:pPr>
              <w:spacing w:line="360" w:lineRule="auto"/>
              <w:jc w:val="center"/>
              <w:rPr>
                <w:rFonts w:hint="eastAsia" w:ascii="宋体" w:hAnsi="宋体" w:eastAsia="宋体" w:cs="宋体"/>
                <w:color w:val="auto"/>
                <w:sz w:val="22"/>
                <w:highlight w:val="none"/>
              </w:rPr>
            </w:pPr>
          </w:p>
        </w:tc>
        <w:tc>
          <w:tcPr>
            <w:tcW w:w="1484" w:type="dxa"/>
            <w:noWrap w:val="0"/>
            <w:vAlign w:val="center"/>
          </w:tcPr>
          <w:p w14:paraId="3C560B21">
            <w:pPr>
              <w:spacing w:line="360" w:lineRule="auto"/>
              <w:jc w:val="center"/>
              <w:rPr>
                <w:rFonts w:hint="eastAsia" w:ascii="宋体" w:hAnsi="宋体" w:eastAsia="宋体" w:cs="宋体"/>
                <w:color w:val="auto"/>
                <w:sz w:val="22"/>
                <w:highlight w:val="none"/>
              </w:rPr>
            </w:pPr>
          </w:p>
        </w:tc>
        <w:tc>
          <w:tcPr>
            <w:tcW w:w="1885" w:type="dxa"/>
            <w:noWrap w:val="0"/>
            <w:vAlign w:val="center"/>
          </w:tcPr>
          <w:p w14:paraId="286D761F">
            <w:pPr>
              <w:spacing w:line="360" w:lineRule="auto"/>
              <w:jc w:val="center"/>
              <w:rPr>
                <w:rFonts w:hint="eastAsia" w:ascii="宋体" w:hAnsi="宋体" w:eastAsia="宋体" w:cs="宋体"/>
                <w:color w:val="auto"/>
                <w:sz w:val="22"/>
                <w:highlight w:val="none"/>
              </w:rPr>
            </w:pPr>
          </w:p>
        </w:tc>
        <w:tc>
          <w:tcPr>
            <w:tcW w:w="883" w:type="dxa"/>
            <w:noWrap w:val="0"/>
            <w:vAlign w:val="center"/>
          </w:tcPr>
          <w:p w14:paraId="32F0F187">
            <w:pPr>
              <w:spacing w:line="360" w:lineRule="auto"/>
              <w:jc w:val="center"/>
              <w:rPr>
                <w:rFonts w:hint="eastAsia" w:ascii="宋体" w:hAnsi="宋体" w:eastAsia="宋体" w:cs="宋体"/>
                <w:color w:val="auto"/>
                <w:sz w:val="22"/>
                <w:highlight w:val="none"/>
              </w:rPr>
            </w:pPr>
          </w:p>
        </w:tc>
        <w:tc>
          <w:tcPr>
            <w:tcW w:w="992" w:type="dxa"/>
            <w:noWrap w:val="0"/>
            <w:vAlign w:val="center"/>
          </w:tcPr>
          <w:p w14:paraId="779DFF3D">
            <w:pPr>
              <w:spacing w:line="360" w:lineRule="auto"/>
              <w:jc w:val="center"/>
              <w:rPr>
                <w:rFonts w:hint="eastAsia" w:ascii="宋体" w:hAnsi="宋体" w:eastAsia="宋体" w:cs="宋体"/>
                <w:color w:val="auto"/>
                <w:sz w:val="22"/>
                <w:highlight w:val="none"/>
              </w:rPr>
            </w:pPr>
          </w:p>
        </w:tc>
        <w:tc>
          <w:tcPr>
            <w:tcW w:w="1276" w:type="dxa"/>
            <w:noWrap w:val="0"/>
            <w:vAlign w:val="center"/>
          </w:tcPr>
          <w:p w14:paraId="49EB9364">
            <w:pPr>
              <w:spacing w:line="360" w:lineRule="auto"/>
              <w:jc w:val="center"/>
              <w:rPr>
                <w:rFonts w:hint="eastAsia" w:ascii="宋体" w:hAnsi="宋体" w:eastAsia="宋体" w:cs="宋体"/>
                <w:color w:val="auto"/>
                <w:sz w:val="22"/>
                <w:highlight w:val="none"/>
              </w:rPr>
            </w:pPr>
          </w:p>
        </w:tc>
      </w:tr>
      <w:tr w14:paraId="519C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2020509C">
            <w:pPr>
              <w:spacing w:line="360" w:lineRule="auto"/>
              <w:jc w:val="center"/>
              <w:rPr>
                <w:rFonts w:hint="eastAsia" w:ascii="宋体" w:hAnsi="宋体" w:eastAsia="宋体" w:cs="宋体"/>
                <w:color w:val="auto"/>
                <w:sz w:val="22"/>
                <w:highlight w:val="none"/>
              </w:rPr>
            </w:pPr>
          </w:p>
        </w:tc>
        <w:tc>
          <w:tcPr>
            <w:tcW w:w="939" w:type="dxa"/>
            <w:noWrap w:val="0"/>
            <w:vAlign w:val="center"/>
          </w:tcPr>
          <w:p w14:paraId="5F4D4B02">
            <w:pPr>
              <w:spacing w:line="360" w:lineRule="auto"/>
              <w:jc w:val="center"/>
              <w:rPr>
                <w:rFonts w:hint="eastAsia" w:ascii="宋体" w:hAnsi="宋体" w:eastAsia="宋体" w:cs="宋体"/>
                <w:color w:val="auto"/>
                <w:sz w:val="22"/>
                <w:highlight w:val="none"/>
              </w:rPr>
            </w:pPr>
          </w:p>
        </w:tc>
        <w:tc>
          <w:tcPr>
            <w:tcW w:w="904" w:type="dxa"/>
            <w:noWrap w:val="0"/>
            <w:vAlign w:val="center"/>
          </w:tcPr>
          <w:p w14:paraId="6B81AE8B">
            <w:pPr>
              <w:spacing w:line="360" w:lineRule="auto"/>
              <w:jc w:val="center"/>
              <w:rPr>
                <w:rFonts w:hint="eastAsia" w:ascii="宋体" w:hAnsi="宋体" w:eastAsia="宋体" w:cs="宋体"/>
                <w:color w:val="auto"/>
                <w:sz w:val="22"/>
                <w:highlight w:val="none"/>
              </w:rPr>
            </w:pPr>
          </w:p>
        </w:tc>
        <w:tc>
          <w:tcPr>
            <w:tcW w:w="1484" w:type="dxa"/>
            <w:noWrap w:val="0"/>
            <w:vAlign w:val="center"/>
          </w:tcPr>
          <w:p w14:paraId="57D79B2C">
            <w:pPr>
              <w:spacing w:line="360" w:lineRule="auto"/>
              <w:jc w:val="center"/>
              <w:rPr>
                <w:rFonts w:hint="eastAsia" w:ascii="宋体" w:hAnsi="宋体" w:eastAsia="宋体" w:cs="宋体"/>
                <w:color w:val="auto"/>
                <w:sz w:val="22"/>
                <w:highlight w:val="none"/>
              </w:rPr>
            </w:pPr>
          </w:p>
        </w:tc>
        <w:tc>
          <w:tcPr>
            <w:tcW w:w="1885" w:type="dxa"/>
            <w:noWrap w:val="0"/>
            <w:vAlign w:val="center"/>
          </w:tcPr>
          <w:p w14:paraId="21577BA0">
            <w:pPr>
              <w:spacing w:line="360" w:lineRule="auto"/>
              <w:jc w:val="center"/>
              <w:rPr>
                <w:rFonts w:hint="eastAsia" w:ascii="宋体" w:hAnsi="宋体" w:eastAsia="宋体" w:cs="宋体"/>
                <w:color w:val="auto"/>
                <w:sz w:val="22"/>
                <w:highlight w:val="none"/>
              </w:rPr>
            </w:pPr>
          </w:p>
        </w:tc>
        <w:tc>
          <w:tcPr>
            <w:tcW w:w="883" w:type="dxa"/>
            <w:noWrap w:val="0"/>
            <w:vAlign w:val="center"/>
          </w:tcPr>
          <w:p w14:paraId="003032D6">
            <w:pPr>
              <w:spacing w:line="360" w:lineRule="auto"/>
              <w:jc w:val="center"/>
              <w:rPr>
                <w:rFonts w:hint="eastAsia" w:ascii="宋体" w:hAnsi="宋体" w:eastAsia="宋体" w:cs="宋体"/>
                <w:color w:val="auto"/>
                <w:sz w:val="22"/>
                <w:highlight w:val="none"/>
              </w:rPr>
            </w:pPr>
          </w:p>
        </w:tc>
        <w:tc>
          <w:tcPr>
            <w:tcW w:w="992" w:type="dxa"/>
            <w:noWrap w:val="0"/>
            <w:vAlign w:val="center"/>
          </w:tcPr>
          <w:p w14:paraId="0C693073">
            <w:pPr>
              <w:spacing w:line="360" w:lineRule="auto"/>
              <w:jc w:val="center"/>
              <w:rPr>
                <w:rFonts w:hint="eastAsia" w:ascii="宋体" w:hAnsi="宋体" w:eastAsia="宋体" w:cs="宋体"/>
                <w:color w:val="auto"/>
                <w:sz w:val="22"/>
                <w:highlight w:val="none"/>
              </w:rPr>
            </w:pPr>
          </w:p>
        </w:tc>
        <w:tc>
          <w:tcPr>
            <w:tcW w:w="1276" w:type="dxa"/>
            <w:noWrap w:val="0"/>
            <w:vAlign w:val="center"/>
          </w:tcPr>
          <w:p w14:paraId="7DF26C33">
            <w:pPr>
              <w:spacing w:line="360" w:lineRule="auto"/>
              <w:jc w:val="center"/>
              <w:rPr>
                <w:rFonts w:hint="eastAsia" w:ascii="宋体" w:hAnsi="宋体" w:eastAsia="宋体" w:cs="宋体"/>
                <w:color w:val="auto"/>
                <w:sz w:val="22"/>
                <w:highlight w:val="none"/>
              </w:rPr>
            </w:pPr>
          </w:p>
        </w:tc>
      </w:tr>
      <w:tr w14:paraId="698A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6371719A">
            <w:pPr>
              <w:spacing w:line="360" w:lineRule="auto"/>
              <w:jc w:val="center"/>
              <w:rPr>
                <w:rFonts w:hint="eastAsia" w:ascii="宋体" w:hAnsi="宋体" w:eastAsia="宋体" w:cs="宋体"/>
                <w:color w:val="auto"/>
                <w:sz w:val="22"/>
                <w:highlight w:val="none"/>
              </w:rPr>
            </w:pPr>
          </w:p>
        </w:tc>
        <w:tc>
          <w:tcPr>
            <w:tcW w:w="939" w:type="dxa"/>
            <w:noWrap w:val="0"/>
            <w:vAlign w:val="center"/>
          </w:tcPr>
          <w:p w14:paraId="4703DA16">
            <w:pPr>
              <w:spacing w:line="360" w:lineRule="auto"/>
              <w:jc w:val="center"/>
              <w:rPr>
                <w:rFonts w:hint="eastAsia" w:ascii="宋体" w:hAnsi="宋体" w:eastAsia="宋体" w:cs="宋体"/>
                <w:color w:val="auto"/>
                <w:sz w:val="22"/>
                <w:highlight w:val="none"/>
              </w:rPr>
            </w:pPr>
          </w:p>
        </w:tc>
        <w:tc>
          <w:tcPr>
            <w:tcW w:w="904" w:type="dxa"/>
            <w:noWrap w:val="0"/>
            <w:vAlign w:val="center"/>
          </w:tcPr>
          <w:p w14:paraId="045DECD1">
            <w:pPr>
              <w:spacing w:line="360" w:lineRule="auto"/>
              <w:jc w:val="center"/>
              <w:rPr>
                <w:rFonts w:hint="eastAsia" w:ascii="宋体" w:hAnsi="宋体" w:eastAsia="宋体" w:cs="宋体"/>
                <w:color w:val="auto"/>
                <w:sz w:val="22"/>
                <w:highlight w:val="none"/>
              </w:rPr>
            </w:pPr>
          </w:p>
        </w:tc>
        <w:tc>
          <w:tcPr>
            <w:tcW w:w="1484" w:type="dxa"/>
            <w:noWrap w:val="0"/>
            <w:vAlign w:val="center"/>
          </w:tcPr>
          <w:p w14:paraId="243745DD">
            <w:pPr>
              <w:spacing w:line="360" w:lineRule="auto"/>
              <w:jc w:val="center"/>
              <w:rPr>
                <w:rFonts w:hint="eastAsia" w:ascii="宋体" w:hAnsi="宋体" w:eastAsia="宋体" w:cs="宋体"/>
                <w:color w:val="auto"/>
                <w:sz w:val="22"/>
                <w:highlight w:val="none"/>
              </w:rPr>
            </w:pPr>
          </w:p>
        </w:tc>
        <w:tc>
          <w:tcPr>
            <w:tcW w:w="1885" w:type="dxa"/>
            <w:noWrap w:val="0"/>
            <w:vAlign w:val="center"/>
          </w:tcPr>
          <w:p w14:paraId="7E37F1DD">
            <w:pPr>
              <w:spacing w:line="360" w:lineRule="auto"/>
              <w:jc w:val="center"/>
              <w:rPr>
                <w:rFonts w:hint="eastAsia" w:ascii="宋体" w:hAnsi="宋体" w:eastAsia="宋体" w:cs="宋体"/>
                <w:color w:val="auto"/>
                <w:sz w:val="22"/>
                <w:highlight w:val="none"/>
              </w:rPr>
            </w:pPr>
          </w:p>
        </w:tc>
        <w:tc>
          <w:tcPr>
            <w:tcW w:w="883" w:type="dxa"/>
            <w:noWrap w:val="0"/>
            <w:vAlign w:val="center"/>
          </w:tcPr>
          <w:p w14:paraId="286D4E2F">
            <w:pPr>
              <w:spacing w:line="360" w:lineRule="auto"/>
              <w:jc w:val="center"/>
              <w:rPr>
                <w:rFonts w:hint="eastAsia" w:ascii="宋体" w:hAnsi="宋体" w:eastAsia="宋体" w:cs="宋体"/>
                <w:color w:val="auto"/>
                <w:sz w:val="22"/>
                <w:highlight w:val="none"/>
              </w:rPr>
            </w:pPr>
          </w:p>
        </w:tc>
        <w:tc>
          <w:tcPr>
            <w:tcW w:w="992" w:type="dxa"/>
            <w:noWrap w:val="0"/>
            <w:vAlign w:val="center"/>
          </w:tcPr>
          <w:p w14:paraId="4D9747B7">
            <w:pPr>
              <w:spacing w:line="360" w:lineRule="auto"/>
              <w:jc w:val="center"/>
              <w:rPr>
                <w:rFonts w:hint="eastAsia" w:ascii="宋体" w:hAnsi="宋体" w:eastAsia="宋体" w:cs="宋体"/>
                <w:color w:val="auto"/>
                <w:sz w:val="22"/>
                <w:highlight w:val="none"/>
              </w:rPr>
            </w:pPr>
          </w:p>
        </w:tc>
        <w:tc>
          <w:tcPr>
            <w:tcW w:w="1276" w:type="dxa"/>
            <w:noWrap w:val="0"/>
            <w:vAlign w:val="center"/>
          </w:tcPr>
          <w:p w14:paraId="0E7631CB">
            <w:pPr>
              <w:spacing w:line="360" w:lineRule="auto"/>
              <w:jc w:val="center"/>
              <w:rPr>
                <w:rFonts w:hint="eastAsia" w:ascii="宋体" w:hAnsi="宋体" w:eastAsia="宋体" w:cs="宋体"/>
                <w:color w:val="auto"/>
                <w:sz w:val="22"/>
                <w:highlight w:val="none"/>
              </w:rPr>
            </w:pPr>
          </w:p>
        </w:tc>
      </w:tr>
      <w:tr w14:paraId="1F0A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1F89EBB2">
            <w:pPr>
              <w:spacing w:line="360" w:lineRule="auto"/>
              <w:jc w:val="center"/>
              <w:rPr>
                <w:rFonts w:hint="eastAsia" w:ascii="宋体" w:hAnsi="宋体" w:eastAsia="宋体" w:cs="宋体"/>
                <w:color w:val="auto"/>
                <w:sz w:val="22"/>
                <w:highlight w:val="none"/>
              </w:rPr>
            </w:pPr>
          </w:p>
        </w:tc>
        <w:tc>
          <w:tcPr>
            <w:tcW w:w="939" w:type="dxa"/>
            <w:noWrap w:val="0"/>
            <w:vAlign w:val="center"/>
          </w:tcPr>
          <w:p w14:paraId="445D4F00">
            <w:pPr>
              <w:spacing w:line="360" w:lineRule="auto"/>
              <w:jc w:val="center"/>
              <w:rPr>
                <w:rFonts w:hint="eastAsia" w:ascii="宋体" w:hAnsi="宋体" w:eastAsia="宋体" w:cs="宋体"/>
                <w:color w:val="auto"/>
                <w:sz w:val="22"/>
                <w:highlight w:val="none"/>
              </w:rPr>
            </w:pPr>
          </w:p>
        </w:tc>
        <w:tc>
          <w:tcPr>
            <w:tcW w:w="904" w:type="dxa"/>
            <w:noWrap w:val="0"/>
            <w:vAlign w:val="center"/>
          </w:tcPr>
          <w:p w14:paraId="6340A7BC">
            <w:pPr>
              <w:spacing w:line="360" w:lineRule="auto"/>
              <w:jc w:val="center"/>
              <w:rPr>
                <w:rFonts w:hint="eastAsia" w:ascii="宋体" w:hAnsi="宋体" w:eastAsia="宋体" w:cs="宋体"/>
                <w:color w:val="auto"/>
                <w:sz w:val="22"/>
                <w:highlight w:val="none"/>
              </w:rPr>
            </w:pPr>
          </w:p>
        </w:tc>
        <w:tc>
          <w:tcPr>
            <w:tcW w:w="1484" w:type="dxa"/>
            <w:noWrap w:val="0"/>
            <w:vAlign w:val="center"/>
          </w:tcPr>
          <w:p w14:paraId="23D7CC12">
            <w:pPr>
              <w:spacing w:line="360" w:lineRule="auto"/>
              <w:jc w:val="center"/>
              <w:rPr>
                <w:rFonts w:hint="eastAsia" w:ascii="宋体" w:hAnsi="宋体" w:eastAsia="宋体" w:cs="宋体"/>
                <w:color w:val="auto"/>
                <w:sz w:val="22"/>
                <w:highlight w:val="none"/>
              </w:rPr>
            </w:pPr>
          </w:p>
        </w:tc>
        <w:tc>
          <w:tcPr>
            <w:tcW w:w="1885" w:type="dxa"/>
            <w:noWrap w:val="0"/>
            <w:vAlign w:val="center"/>
          </w:tcPr>
          <w:p w14:paraId="6863FC8A">
            <w:pPr>
              <w:spacing w:line="360" w:lineRule="auto"/>
              <w:jc w:val="center"/>
              <w:rPr>
                <w:rFonts w:hint="eastAsia" w:ascii="宋体" w:hAnsi="宋体" w:eastAsia="宋体" w:cs="宋体"/>
                <w:color w:val="auto"/>
                <w:sz w:val="22"/>
                <w:highlight w:val="none"/>
              </w:rPr>
            </w:pPr>
          </w:p>
        </w:tc>
        <w:tc>
          <w:tcPr>
            <w:tcW w:w="883" w:type="dxa"/>
            <w:noWrap w:val="0"/>
            <w:vAlign w:val="center"/>
          </w:tcPr>
          <w:p w14:paraId="1D901F05">
            <w:pPr>
              <w:spacing w:line="360" w:lineRule="auto"/>
              <w:jc w:val="center"/>
              <w:rPr>
                <w:rFonts w:hint="eastAsia" w:ascii="宋体" w:hAnsi="宋体" w:eastAsia="宋体" w:cs="宋体"/>
                <w:color w:val="auto"/>
                <w:sz w:val="22"/>
                <w:highlight w:val="none"/>
              </w:rPr>
            </w:pPr>
          </w:p>
        </w:tc>
        <w:tc>
          <w:tcPr>
            <w:tcW w:w="992" w:type="dxa"/>
            <w:noWrap w:val="0"/>
            <w:vAlign w:val="center"/>
          </w:tcPr>
          <w:p w14:paraId="1EFE0904">
            <w:pPr>
              <w:spacing w:line="360" w:lineRule="auto"/>
              <w:jc w:val="center"/>
              <w:rPr>
                <w:rFonts w:hint="eastAsia" w:ascii="宋体" w:hAnsi="宋体" w:eastAsia="宋体" w:cs="宋体"/>
                <w:color w:val="auto"/>
                <w:sz w:val="22"/>
                <w:highlight w:val="none"/>
              </w:rPr>
            </w:pPr>
          </w:p>
        </w:tc>
        <w:tc>
          <w:tcPr>
            <w:tcW w:w="1276" w:type="dxa"/>
            <w:noWrap w:val="0"/>
            <w:vAlign w:val="center"/>
          </w:tcPr>
          <w:p w14:paraId="3FDEB268">
            <w:pPr>
              <w:spacing w:line="360" w:lineRule="auto"/>
              <w:jc w:val="center"/>
              <w:rPr>
                <w:rFonts w:hint="eastAsia" w:ascii="宋体" w:hAnsi="宋体" w:eastAsia="宋体" w:cs="宋体"/>
                <w:color w:val="auto"/>
                <w:sz w:val="22"/>
                <w:highlight w:val="none"/>
              </w:rPr>
            </w:pPr>
          </w:p>
        </w:tc>
      </w:tr>
      <w:tr w14:paraId="0B2B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220D3F88">
            <w:pPr>
              <w:spacing w:line="360" w:lineRule="auto"/>
              <w:jc w:val="center"/>
              <w:rPr>
                <w:rFonts w:hint="eastAsia" w:ascii="宋体" w:hAnsi="宋体" w:eastAsia="宋体" w:cs="宋体"/>
                <w:color w:val="auto"/>
                <w:sz w:val="22"/>
                <w:highlight w:val="none"/>
              </w:rPr>
            </w:pPr>
          </w:p>
        </w:tc>
        <w:tc>
          <w:tcPr>
            <w:tcW w:w="939" w:type="dxa"/>
            <w:noWrap w:val="0"/>
            <w:vAlign w:val="center"/>
          </w:tcPr>
          <w:p w14:paraId="3C31E6A7">
            <w:pPr>
              <w:spacing w:line="360" w:lineRule="auto"/>
              <w:jc w:val="center"/>
              <w:rPr>
                <w:rFonts w:hint="eastAsia" w:ascii="宋体" w:hAnsi="宋体" w:eastAsia="宋体" w:cs="宋体"/>
                <w:color w:val="auto"/>
                <w:sz w:val="22"/>
                <w:highlight w:val="none"/>
              </w:rPr>
            </w:pPr>
          </w:p>
        </w:tc>
        <w:tc>
          <w:tcPr>
            <w:tcW w:w="904" w:type="dxa"/>
            <w:noWrap w:val="0"/>
            <w:vAlign w:val="center"/>
          </w:tcPr>
          <w:p w14:paraId="4AE59C62">
            <w:pPr>
              <w:spacing w:line="360" w:lineRule="auto"/>
              <w:jc w:val="center"/>
              <w:rPr>
                <w:rFonts w:hint="eastAsia" w:ascii="宋体" w:hAnsi="宋体" w:eastAsia="宋体" w:cs="宋体"/>
                <w:color w:val="auto"/>
                <w:sz w:val="22"/>
                <w:highlight w:val="none"/>
              </w:rPr>
            </w:pPr>
          </w:p>
        </w:tc>
        <w:tc>
          <w:tcPr>
            <w:tcW w:w="1484" w:type="dxa"/>
            <w:noWrap w:val="0"/>
            <w:vAlign w:val="center"/>
          </w:tcPr>
          <w:p w14:paraId="728F9D78">
            <w:pPr>
              <w:spacing w:line="360" w:lineRule="auto"/>
              <w:jc w:val="center"/>
              <w:rPr>
                <w:rFonts w:hint="eastAsia" w:ascii="宋体" w:hAnsi="宋体" w:eastAsia="宋体" w:cs="宋体"/>
                <w:color w:val="auto"/>
                <w:sz w:val="22"/>
                <w:highlight w:val="none"/>
              </w:rPr>
            </w:pPr>
          </w:p>
        </w:tc>
        <w:tc>
          <w:tcPr>
            <w:tcW w:w="1885" w:type="dxa"/>
            <w:noWrap w:val="0"/>
            <w:vAlign w:val="center"/>
          </w:tcPr>
          <w:p w14:paraId="653944E2">
            <w:pPr>
              <w:spacing w:line="360" w:lineRule="auto"/>
              <w:jc w:val="center"/>
              <w:rPr>
                <w:rFonts w:hint="eastAsia" w:ascii="宋体" w:hAnsi="宋体" w:eastAsia="宋体" w:cs="宋体"/>
                <w:color w:val="auto"/>
                <w:sz w:val="22"/>
                <w:highlight w:val="none"/>
              </w:rPr>
            </w:pPr>
          </w:p>
        </w:tc>
        <w:tc>
          <w:tcPr>
            <w:tcW w:w="883" w:type="dxa"/>
            <w:noWrap w:val="0"/>
            <w:vAlign w:val="center"/>
          </w:tcPr>
          <w:p w14:paraId="176195DF">
            <w:pPr>
              <w:spacing w:line="360" w:lineRule="auto"/>
              <w:jc w:val="center"/>
              <w:rPr>
                <w:rFonts w:hint="eastAsia" w:ascii="宋体" w:hAnsi="宋体" w:eastAsia="宋体" w:cs="宋体"/>
                <w:color w:val="auto"/>
                <w:sz w:val="22"/>
                <w:highlight w:val="none"/>
              </w:rPr>
            </w:pPr>
          </w:p>
        </w:tc>
        <w:tc>
          <w:tcPr>
            <w:tcW w:w="992" w:type="dxa"/>
            <w:noWrap w:val="0"/>
            <w:vAlign w:val="center"/>
          </w:tcPr>
          <w:p w14:paraId="18B98A5D">
            <w:pPr>
              <w:spacing w:line="360" w:lineRule="auto"/>
              <w:jc w:val="center"/>
              <w:rPr>
                <w:rFonts w:hint="eastAsia" w:ascii="宋体" w:hAnsi="宋体" w:eastAsia="宋体" w:cs="宋体"/>
                <w:color w:val="auto"/>
                <w:sz w:val="22"/>
                <w:highlight w:val="none"/>
              </w:rPr>
            </w:pPr>
          </w:p>
        </w:tc>
        <w:tc>
          <w:tcPr>
            <w:tcW w:w="1276" w:type="dxa"/>
            <w:noWrap w:val="0"/>
            <w:vAlign w:val="center"/>
          </w:tcPr>
          <w:p w14:paraId="60EB2847">
            <w:pPr>
              <w:spacing w:line="360" w:lineRule="auto"/>
              <w:jc w:val="center"/>
              <w:rPr>
                <w:rFonts w:hint="eastAsia" w:ascii="宋体" w:hAnsi="宋体" w:eastAsia="宋体" w:cs="宋体"/>
                <w:color w:val="auto"/>
                <w:sz w:val="22"/>
                <w:highlight w:val="none"/>
              </w:rPr>
            </w:pPr>
          </w:p>
        </w:tc>
      </w:tr>
      <w:tr w14:paraId="5FDC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586B890F">
            <w:pPr>
              <w:spacing w:line="360" w:lineRule="auto"/>
              <w:jc w:val="center"/>
              <w:rPr>
                <w:rFonts w:hint="eastAsia" w:ascii="宋体" w:hAnsi="宋体" w:eastAsia="宋体" w:cs="宋体"/>
                <w:color w:val="auto"/>
                <w:sz w:val="22"/>
                <w:highlight w:val="none"/>
              </w:rPr>
            </w:pPr>
          </w:p>
        </w:tc>
        <w:tc>
          <w:tcPr>
            <w:tcW w:w="939" w:type="dxa"/>
            <w:noWrap w:val="0"/>
            <w:vAlign w:val="center"/>
          </w:tcPr>
          <w:p w14:paraId="1110C4B6">
            <w:pPr>
              <w:spacing w:line="360" w:lineRule="auto"/>
              <w:jc w:val="center"/>
              <w:rPr>
                <w:rFonts w:hint="eastAsia" w:ascii="宋体" w:hAnsi="宋体" w:eastAsia="宋体" w:cs="宋体"/>
                <w:color w:val="auto"/>
                <w:sz w:val="22"/>
                <w:highlight w:val="none"/>
              </w:rPr>
            </w:pPr>
          </w:p>
        </w:tc>
        <w:tc>
          <w:tcPr>
            <w:tcW w:w="904" w:type="dxa"/>
            <w:noWrap w:val="0"/>
            <w:vAlign w:val="center"/>
          </w:tcPr>
          <w:p w14:paraId="2ADBC39E">
            <w:pPr>
              <w:spacing w:line="360" w:lineRule="auto"/>
              <w:jc w:val="center"/>
              <w:rPr>
                <w:rFonts w:hint="eastAsia" w:ascii="宋体" w:hAnsi="宋体" w:eastAsia="宋体" w:cs="宋体"/>
                <w:color w:val="auto"/>
                <w:sz w:val="22"/>
                <w:highlight w:val="none"/>
              </w:rPr>
            </w:pPr>
          </w:p>
        </w:tc>
        <w:tc>
          <w:tcPr>
            <w:tcW w:w="1484" w:type="dxa"/>
            <w:noWrap w:val="0"/>
            <w:vAlign w:val="center"/>
          </w:tcPr>
          <w:p w14:paraId="4297FC99">
            <w:pPr>
              <w:spacing w:line="360" w:lineRule="auto"/>
              <w:jc w:val="center"/>
              <w:rPr>
                <w:rFonts w:hint="eastAsia" w:ascii="宋体" w:hAnsi="宋体" w:eastAsia="宋体" w:cs="宋体"/>
                <w:color w:val="auto"/>
                <w:sz w:val="22"/>
                <w:highlight w:val="none"/>
              </w:rPr>
            </w:pPr>
          </w:p>
        </w:tc>
        <w:tc>
          <w:tcPr>
            <w:tcW w:w="1885" w:type="dxa"/>
            <w:noWrap w:val="0"/>
            <w:vAlign w:val="center"/>
          </w:tcPr>
          <w:p w14:paraId="3EDC145D">
            <w:pPr>
              <w:spacing w:line="360" w:lineRule="auto"/>
              <w:jc w:val="center"/>
              <w:rPr>
                <w:rFonts w:hint="eastAsia" w:ascii="宋体" w:hAnsi="宋体" w:eastAsia="宋体" w:cs="宋体"/>
                <w:color w:val="auto"/>
                <w:sz w:val="22"/>
                <w:highlight w:val="none"/>
              </w:rPr>
            </w:pPr>
          </w:p>
        </w:tc>
        <w:tc>
          <w:tcPr>
            <w:tcW w:w="883" w:type="dxa"/>
            <w:noWrap w:val="0"/>
            <w:vAlign w:val="center"/>
          </w:tcPr>
          <w:p w14:paraId="480CB62B">
            <w:pPr>
              <w:spacing w:line="360" w:lineRule="auto"/>
              <w:jc w:val="center"/>
              <w:rPr>
                <w:rFonts w:hint="eastAsia" w:ascii="宋体" w:hAnsi="宋体" w:eastAsia="宋体" w:cs="宋体"/>
                <w:color w:val="auto"/>
                <w:sz w:val="22"/>
                <w:highlight w:val="none"/>
              </w:rPr>
            </w:pPr>
          </w:p>
        </w:tc>
        <w:tc>
          <w:tcPr>
            <w:tcW w:w="992" w:type="dxa"/>
            <w:noWrap w:val="0"/>
            <w:vAlign w:val="center"/>
          </w:tcPr>
          <w:p w14:paraId="729C11F8">
            <w:pPr>
              <w:spacing w:line="360" w:lineRule="auto"/>
              <w:jc w:val="center"/>
              <w:rPr>
                <w:rFonts w:hint="eastAsia" w:ascii="宋体" w:hAnsi="宋体" w:eastAsia="宋体" w:cs="宋体"/>
                <w:color w:val="auto"/>
                <w:sz w:val="22"/>
                <w:highlight w:val="none"/>
              </w:rPr>
            </w:pPr>
          </w:p>
        </w:tc>
        <w:tc>
          <w:tcPr>
            <w:tcW w:w="1276" w:type="dxa"/>
            <w:noWrap w:val="0"/>
            <w:vAlign w:val="center"/>
          </w:tcPr>
          <w:p w14:paraId="65453543">
            <w:pPr>
              <w:spacing w:line="360" w:lineRule="auto"/>
              <w:jc w:val="center"/>
              <w:rPr>
                <w:rFonts w:hint="eastAsia" w:ascii="宋体" w:hAnsi="宋体" w:eastAsia="宋体" w:cs="宋体"/>
                <w:color w:val="auto"/>
                <w:sz w:val="22"/>
                <w:highlight w:val="none"/>
              </w:rPr>
            </w:pPr>
          </w:p>
        </w:tc>
      </w:tr>
      <w:tr w14:paraId="6FA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0A1ABFCC">
            <w:pPr>
              <w:spacing w:line="360" w:lineRule="auto"/>
              <w:jc w:val="center"/>
              <w:rPr>
                <w:rFonts w:hint="eastAsia" w:ascii="宋体" w:hAnsi="宋体" w:eastAsia="宋体" w:cs="宋体"/>
                <w:color w:val="auto"/>
                <w:sz w:val="22"/>
                <w:highlight w:val="none"/>
              </w:rPr>
            </w:pPr>
          </w:p>
        </w:tc>
        <w:tc>
          <w:tcPr>
            <w:tcW w:w="939" w:type="dxa"/>
            <w:noWrap w:val="0"/>
            <w:vAlign w:val="center"/>
          </w:tcPr>
          <w:p w14:paraId="4ED1EAFC">
            <w:pPr>
              <w:spacing w:line="360" w:lineRule="auto"/>
              <w:jc w:val="center"/>
              <w:rPr>
                <w:rFonts w:hint="eastAsia" w:ascii="宋体" w:hAnsi="宋体" w:eastAsia="宋体" w:cs="宋体"/>
                <w:color w:val="auto"/>
                <w:sz w:val="22"/>
                <w:highlight w:val="none"/>
              </w:rPr>
            </w:pPr>
          </w:p>
        </w:tc>
        <w:tc>
          <w:tcPr>
            <w:tcW w:w="904" w:type="dxa"/>
            <w:noWrap w:val="0"/>
            <w:vAlign w:val="center"/>
          </w:tcPr>
          <w:p w14:paraId="43203865">
            <w:pPr>
              <w:spacing w:line="360" w:lineRule="auto"/>
              <w:jc w:val="center"/>
              <w:rPr>
                <w:rFonts w:hint="eastAsia" w:ascii="宋体" w:hAnsi="宋体" w:eastAsia="宋体" w:cs="宋体"/>
                <w:color w:val="auto"/>
                <w:sz w:val="22"/>
                <w:highlight w:val="none"/>
              </w:rPr>
            </w:pPr>
          </w:p>
        </w:tc>
        <w:tc>
          <w:tcPr>
            <w:tcW w:w="1484" w:type="dxa"/>
            <w:noWrap w:val="0"/>
            <w:vAlign w:val="center"/>
          </w:tcPr>
          <w:p w14:paraId="619E6ED1">
            <w:pPr>
              <w:spacing w:line="360" w:lineRule="auto"/>
              <w:jc w:val="center"/>
              <w:rPr>
                <w:rFonts w:hint="eastAsia" w:ascii="宋体" w:hAnsi="宋体" w:eastAsia="宋体" w:cs="宋体"/>
                <w:color w:val="auto"/>
                <w:sz w:val="22"/>
                <w:highlight w:val="none"/>
              </w:rPr>
            </w:pPr>
          </w:p>
        </w:tc>
        <w:tc>
          <w:tcPr>
            <w:tcW w:w="1885" w:type="dxa"/>
            <w:noWrap w:val="0"/>
            <w:vAlign w:val="center"/>
          </w:tcPr>
          <w:p w14:paraId="6CFF04F9">
            <w:pPr>
              <w:spacing w:line="360" w:lineRule="auto"/>
              <w:jc w:val="center"/>
              <w:rPr>
                <w:rFonts w:hint="eastAsia" w:ascii="宋体" w:hAnsi="宋体" w:eastAsia="宋体" w:cs="宋体"/>
                <w:color w:val="auto"/>
                <w:sz w:val="22"/>
                <w:highlight w:val="none"/>
              </w:rPr>
            </w:pPr>
          </w:p>
        </w:tc>
        <w:tc>
          <w:tcPr>
            <w:tcW w:w="883" w:type="dxa"/>
            <w:noWrap w:val="0"/>
            <w:vAlign w:val="center"/>
          </w:tcPr>
          <w:p w14:paraId="6B357153">
            <w:pPr>
              <w:spacing w:line="360" w:lineRule="auto"/>
              <w:jc w:val="center"/>
              <w:rPr>
                <w:rFonts w:hint="eastAsia" w:ascii="宋体" w:hAnsi="宋体" w:eastAsia="宋体" w:cs="宋体"/>
                <w:color w:val="auto"/>
                <w:sz w:val="22"/>
                <w:highlight w:val="none"/>
              </w:rPr>
            </w:pPr>
          </w:p>
        </w:tc>
        <w:tc>
          <w:tcPr>
            <w:tcW w:w="992" w:type="dxa"/>
            <w:noWrap w:val="0"/>
            <w:vAlign w:val="center"/>
          </w:tcPr>
          <w:p w14:paraId="1296A952">
            <w:pPr>
              <w:spacing w:line="360" w:lineRule="auto"/>
              <w:jc w:val="center"/>
              <w:rPr>
                <w:rFonts w:hint="eastAsia" w:ascii="宋体" w:hAnsi="宋体" w:eastAsia="宋体" w:cs="宋体"/>
                <w:color w:val="auto"/>
                <w:sz w:val="22"/>
                <w:highlight w:val="none"/>
              </w:rPr>
            </w:pPr>
          </w:p>
        </w:tc>
        <w:tc>
          <w:tcPr>
            <w:tcW w:w="1276" w:type="dxa"/>
            <w:noWrap w:val="0"/>
            <w:vAlign w:val="center"/>
          </w:tcPr>
          <w:p w14:paraId="4772136D">
            <w:pPr>
              <w:spacing w:line="360" w:lineRule="auto"/>
              <w:jc w:val="center"/>
              <w:rPr>
                <w:rFonts w:hint="eastAsia" w:ascii="宋体" w:hAnsi="宋体" w:eastAsia="宋体" w:cs="宋体"/>
                <w:color w:val="auto"/>
                <w:sz w:val="22"/>
                <w:highlight w:val="none"/>
              </w:rPr>
            </w:pPr>
          </w:p>
        </w:tc>
      </w:tr>
      <w:tr w14:paraId="407C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14:paraId="6D72D091">
            <w:pPr>
              <w:spacing w:line="360" w:lineRule="auto"/>
              <w:jc w:val="center"/>
              <w:rPr>
                <w:rFonts w:hint="eastAsia" w:ascii="宋体" w:hAnsi="宋体" w:eastAsia="宋体" w:cs="宋体"/>
                <w:color w:val="auto"/>
                <w:sz w:val="22"/>
                <w:highlight w:val="none"/>
              </w:rPr>
            </w:pPr>
          </w:p>
        </w:tc>
        <w:tc>
          <w:tcPr>
            <w:tcW w:w="939" w:type="dxa"/>
            <w:noWrap w:val="0"/>
            <w:vAlign w:val="center"/>
          </w:tcPr>
          <w:p w14:paraId="267123C4">
            <w:pPr>
              <w:spacing w:line="360" w:lineRule="auto"/>
              <w:jc w:val="center"/>
              <w:rPr>
                <w:rFonts w:hint="eastAsia" w:ascii="宋体" w:hAnsi="宋体" w:eastAsia="宋体" w:cs="宋体"/>
                <w:color w:val="auto"/>
                <w:sz w:val="22"/>
                <w:highlight w:val="none"/>
              </w:rPr>
            </w:pPr>
          </w:p>
        </w:tc>
        <w:tc>
          <w:tcPr>
            <w:tcW w:w="904" w:type="dxa"/>
            <w:noWrap w:val="0"/>
            <w:vAlign w:val="center"/>
          </w:tcPr>
          <w:p w14:paraId="75031857">
            <w:pPr>
              <w:spacing w:line="360" w:lineRule="auto"/>
              <w:jc w:val="center"/>
              <w:rPr>
                <w:rFonts w:hint="eastAsia" w:ascii="宋体" w:hAnsi="宋体" w:eastAsia="宋体" w:cs="宋体"/>
                <w:color w:val="auto"/>
                <w:sz w:val="22"/>
                <w:highlight w:val="none"/>
              </w:rPr>
            </w:pPr>
          </w:p>
        </w:tc>
        <w:tc>
          <w:tcPr>
            <w:tcW w:w="1484" w:type="dxa"/>
            <w:noWrap w:val="0"/>
            <w:vAlign w:val="center"/>
          </w:tcPr>
          <w:p w14:paraId="7591F865">
            <w:pPr>
              <w:spacing w:line="360" w:lineRule="auto"/>
              <w:jc w:val="center"/>
              <w:rPr>
                <w:rFonts w:hint="eastAsia" w:ascii="宋体" w:hAnsi="宋体" w:eastAsia="宋体" w:cs="宋体"/>
                <w:color w:val="auto"/>
                <w:sz w:val="22"/>
                <w:highlight w:val="none"/>
              </w:rPr>
            </w:pPr>
          </w:p>
        </w:tc>
        <w:tc>
          <w:tcPr>
            <w:tcW w:w="1885" w:type="dxa"/>
            <w:noWrap w:val="0"/>
            <w:vAlign w:val="center"/>
          </w:tcPr>
          <w:p w14:paraId="1C2174A7">
            <w:pPr>
              <w:spacing w:line="360" w:lineRule="auto"/>
              <w:jc w:val="center"/>
              <w:rPr>
                <w:rFonts w:hint="eastAsia" w:ascii="宋体" w:hAnsi="宋体" w:eastAsia="宋体" w:cs="宋体"/>
                <w:color w:val="auto"/>
                <w:sz w:val="22"/>
                <w:highlight w:val="none"/>
              </w:rPr>
            </w:pPr>
          </w:p>
        </w:tc>
        <w:tc>
          <w:tcPr>
            <w:tcW w:w="883" w:type="dxa"/>
            <w:noWrap w:val="0"/>
            <w:vAlign w:val="center"/>
          </w:tcPr>
          <w:p w14:paraId="40E42392">
            <w:pPr>
              <w:spacing w:line="360" w:lineRule="auto"/>
              <w:jc w:val="center"/>
              <w:rPr>
                <w:rFonts w:hint="eastAsia" w:ascii="宋体" w:hAnsi="宋体" w:eastAsia="宋体" w:cs="宋体"/>
                <w:color w:val="auto"/>
                <w:sz w:val="22"/>
                <w:highlight w:val="none"/>
              </w:rPr>
            </w:pPr>
          </w:p>
        </w:tc>
        <w:tc>
          <w:tcPr>
            <w:tcW w:w="992" w:type="dxa"/>
            <w:noWrap w:val="0"/>
            <w:vAlign w:val="center"/>
          </w:tcPr>
          <w:p w14:paraId="1FF0D19F">
            <w:pPr>
              <w:spacing w:line="360" w:lineRule="auto"/>
              <w:jc w:val="center"/>
              <w:rPr>
                <w:rFonts w:hint="eastAsia" w:ascii="宋体" w:hAnsi="宋体" w:eastAsia="宋体" w:cs="宋体"/>
                <w:color w:val="auto"/>
                <w:sz w:val="22"/>
                <w:highlight w:val="none"/>
              </w:rPr>
            </w:pPr>
          </w:p>
        </w:tc>
        <w:tc>
          <w:tcPr>
            <w:tcW w:w="1276" w:type="dxa"/>
            <w:noWrap w:val="0"/>
            <w:vAlign w:val="center"/>
          </w:tcPr>
          <w:p w14:paraId="06E7808E">
            <w:pPr>
              <w:spacing w:line="360" w:lineRule="auto"/>
              <w:jc w:val="center"/>
              <w:rPr>
                <w:rFonts w:hint="eastAsia" w:ascii="宋体" w:hAnsi="宋体" w:eastAsia="宋体" w:cs="宋体"/>
                <w:color w:val="auto"/>
                <w:sz w:val="22"/>
                <w:highlight w:val="none"/>
              </w:rPr>
            </w:pPr>
          </w:p>
        </w:tc>
      </w:tr>
      <w:bookmarkEnd w:id="225"/>
    </w:tbl>
    <w:p w14:paraId="63C78093">
      <w:pPr>
        <w:spacing w:line="360" w:lineRule="auto"/>
        <w:ind w:firstLine="480" w:firstLineChars="200"/>
        <w:rPr>
          <w:rFonts w:hint="eastAsia" w:ascii="宋体" w:hAnsi="宋体" w:eastAsia="宋体" w:cs="宋体"/>
          <w:color w:val="auto"/>
          <w:sz w:val="24"/>
          <w:highlight w:val="none"/>
        </w:rPr>
      </w:pPr>
    </w:p>
    <w:p w14:paraId="7155689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注：投标人应根据招标文件的要求在本表后附相关证明材料。</w:t>
      </w:r>
    </w:p>
    <w:p w14:paraId="266C697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（本项不作为资格审查内容，但（如有）需提供，仅作为投标人的评标（综合评分）资料进行考察。表格格式可以根据实际情况调整。）</w:t>
      </w:r>
    </w:p>
    <w:p w14:paraId="5596481F">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highlight w:val="none"/>
        </w:rPr>
        <w:br w:type="page"/>
      </w:r>
    </w:p>
    <w:p w14:paraId="597C8445">
      <w:pPr>
        <w:pStyle w:val="4"/>
        <w:spacing w:before="0" w:after="0" w:line="360" w:lineRule="auto"/>
        <w:ind w:firstLine="119"/>
        <w:jc w:val="center"/>
        <w:rPr>
          <w:rFonts w:hint="eastAsia" w:ascii="宋体" w:hAnsi="宋体" w:eastAsia="宋体" w:cs="宋体"/>
          <w:color w:val="auto"/>
          <w:sz w:val="32"/>
          <w:highlight w:val="none"/>
        </w:rPr>
      </w:pPr>
      <w:bookmarkStart w:id="249" w:name="_Toc9717"/>
      <w:r>
        <w:rPr>
          <w:rFonts w:hint="eastAsia" w:ascii="宋体" w:hAnsi="宋体" w:eastAsia="宋体" w:cs="宋体"/>
          <w:color w:val="auto"/>
          <w:sz w:val="32"/>
          <w:highlight w:val="none"/>
        </w:rPr>
        <w:t>八、拟投入本项目的人员简历表</w:t>
      </w:r>
      <w:bookmarkEnd w:id="249"/>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4B6BA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trPr>
        <w:tc>
          <w:tcPr>
            <w:tcW w:w="1367" w:type="dxa"/>
            <w:gridSpan w:val="2"/>
            <w:noWrap w:val="0"/>
            <w:vAlign w:val="center"/>
          </w:tcPr>
          <w:p w14:paraId="2FBFCE6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95" w:type="dxa"/>
            <w:noWrap w:val="0"/>
            <w:vAlign w:val="center"/>
          </w:tcPr>
          <w:p w14:paraId="59143F70">
            <w:pPr>
              <w:snapToGrid w:val="0"/>
              <w:spacing w:line="360" w:lineRule="auto"/>
              <w:jc w:val="center"/>
              <w:rPr>
                <w:rFonts w:hint="eastAsia" w:ascii="宋体" w:hAnsi="宋体" w:eastAsia="宋体" w:cs="宋体"/>
                <w:color w:val="auto"/>
                <w:sz w:val="24"/>
                <w:highlight w:val="none"/>
              </w:rPr>
            </w:pPr>
          </w:p>
        </w:tc>
        <w:tc>
          <w:tcPr>
            <w:tcW w:w="1044" w:type="dxa"/>
            <w:gridSpan w:val="2"/>
            <w:noWrap w:val="0"/>
            <w:vAlign w:val="center"/>
          </w:tcPr>
          <w:p w14:paraId="62FC6D9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364" w:type="dxa"/>
            <w:gridSpan w:val="2"/>
            <w:noWrap w:val="0"/>
            <w:vAlign w:val="center"/>
          </w:tcPr>
          <w:p w14:paraId="38F1EE3A">
            <w:pPr>
              <w:snapToGrid w:val="0"/>
              <w:spacing w:line="360" w:lineRule="auto"/>
              <w:jc w:val="center"/>
              <w:rPr>
                <w:rFonts w:hint="eastAsia" w:ascii="宋体" w:hAnsi="宋体" w:eastAsia="宋体" w:cs="宋体"/>
                <w:color w:val="auto"/>
                <w:sz w:val="24"/>
                <w:highlight w:val="none"/>
              </w:rPr>
            </w:pPr>
          </w:p>
        </w:tc>
        <w:tc>
          <w:tcPr>
            <w:tcW w:w="1830" w:type="dxa"/>
            <w:gridSpan w:val="2"/>
            <w:noWrap w:val="0"/>
            <w:vAlign w:val="center"/>
          </w:tcPr>
          <w:p w14:paraId="6DA4462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2027" w:type="dxa"/>
            <w:noWrap w:val="0"/>
            <w:vAlign w:val="top"/>
          </w:tcPr>
          <w:p w14:paraId="011ABE25">
            <w:pPr>
              <w:snapToGrid w:val="0"/>
              <w:spacing w:line="360" w:lineRule="auto"/>
              <w:jc w:val="center"/>
              <w:rPr>
                <w:rFonts w:hint="eastAsia" w:ascii="宋体" w:hAnsi="宋体" w:eastAsia="宋体" w:cs="宋体"/>
                <w:color w:val="auto"/>
                <w:sz w:val="24"/>
                <w:highlight w:val="none"/>
              </w:rPr>
            </w:pPr>
          </w:p>
        </w:tc>
      </w:tr>
      <w:tr w14:paraId="331A7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1367" w:type="dxa"/>
            <w:gridSpan w:val="2"/>
            <w:noWrap w:val="0"/>
            <w:vAlign w:val="center"/>
          </w:tcPr>
          <w:p w14:paraId="7DF0F22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295" w:type="dxa"/>
            <w:noWrap w:val="0"/>
            <w:vAlign w:val="center"/>
          </w:tcPr>
          <w:p w14:paraId="289CE66F">
            <w:pPr>
              <w:snapToGrid w:val="0"/>
              <w:spacing w:line="360" w:lineRule="auto"/>
              <w:jc w:val="center"/>
              <w:rPr>
                <w:rFonts w:hint="eastAsia" w:ascii="宋体" w:hAnsi="宋体" w:eastAsia="宋体" w:cs="宋体"/>
                <w:color w:val="auto"/>
                <w:sz w:val="24"/>
                <w:highlight w:val="none"/>
              </w:rPr>
            </w:pPr>
          </w:p>
        </w:tc>
        <w:tc>
          <w:tcPr>
            <w:tcW w:w="1044" w:type="dxa"/>
            <w:gridSpan w:val="2"/>
            <w:noWrap w:val="0"/>
            <w:vAlign w:val="center"/>
          </w:tcPr>
          <w:p w14:paraId="153E4DC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364" w:type="dxa"/>
            <w:gridSpan w:val="2"/>
            <w:noWrap w:val="0"/>
            <w:vAlign w:val="center"/>
          </w:tcPr>
          <w:p w14:paraId="46187F44">
            <w:pPr>
              <w:snapToGrid w:val="0"/>
              <w:spacing w:line="360" w:lineRule="auto"/>
              <w:jc w:val="center"/>
              <w:rPr>
                <w:rFonts w:hint="eastAsia" w:ascii="宋体" w:hAnsi="宋体" w:eastAsia="宋体" w:cs="宋体"/>
                <w:color w:val="auto"/>
                <w:sz w:val="24"/>
                <w:highlight w:val="none"/>
              </w:rPr>
            </w:pPr>
          </w:p>
        </w:tc>
        <w:tc>
          <w:tcPr>
            <w:tcW w:w="1830" w:type="dxa"/>
            <w:gridSpan w:val="2"/>
            <w:noWrap w:val="0"/>
            <w:vAlign w:val="center"/>
          </w:tcPr>
          <w:p w14:paraId="6F4515E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在本项目担任职务</w:t>
            </w:r>
          </w:p>
        </w:tc>
        <w:tc>
          <w:tcPr>
            <w:tcW w:w="2027" w:type="dxa"/>
            <w:noWrap w:val="0"/>
            <w:vAlign w:val="top"/>
          </w:tcPr>
          <w:p w14:paraId="418E3473">
            <w:pPr>
              <w:snapToGrid w:val="0"/>
              <w:spacing w:line="360" w:lineRule="auto"/>
              <w:jc w:val="center"/>
              <w:rPr>
                <w:rFonts w:hint="eastAsia" w:ascii="宋体" w:hAnsi="宋体" w:eastAsia="宋体" w:cs="宋体"/>
                <w:color w:val="auto"/>
                <w:sz w:val="24"/>
                <w:highlight w:val="none"/>
              </w:rPr>
            </w:pPr>
          </w:p>
        </w:tc>
      </w:tr>
      <w:tr w14:paraId="1AFE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7" w:type="dxa"/>
            <w:gridSpan w:val="2"/>
            <w:noWrap w:val="0"/>
            <w:vAlign w:val="center"/>
          </w:tcPr>
          <w:p w14:paraId="2502EEB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3703" w:type="dxa"/>
            <w:gridSpan w:val="5"/>
            <w:noWrap w:val="0"/>
            <w:vAlign w:val="center"/>
          </w:tcPr>
          <w:p w14:paraId="41A8E08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毕业于      学校 </w:t>
            </w:r>
            <w:bookmarkStart w:id="250" w:name="_Toc16786"/>
            <w:bookmarkStart w:id="251" w:name="_Toc4156"/>
            <w:bookmarkStart w:id="252" w:name="_Toc17534"/>
            <w:bookmarkStart w:id="253" w:name="_Toc27070"/>
            <w:bookmarkStart w:id="254" w:name="_Toc11072"/>
            <w:bookmarkStart w:id="255" w:name="_Toc12140"/>
            <w:r>
              <w:rPr>
                <w:rFonts w:hint="eastAsia" w:ascii="宋体" w:hAnsi="宋体" w:eastAsia="宋体" w:cs="宋体"/>
                <w:color w:val="auto"/>
                <w:sz w:val="24"/>
                <w:highlight w:val="none"/>
              </w:rPr>
              <w:t xml:space="preserve">    专业</w:t>
            </w:r>
          </w:p>
        </w:tc>
        <w:tc>
          <w:tcPr>
            <w:tcW w:w="1830" w:type="dxa"/>
            <w:gridSpan w:val="2"/>
            <w:noWrap w:val="0"/>
            <w:vAlign w:val="center"/>
          </w:tcPr>
          <w:p w14:paraId="0AC9413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position w:val="-30"/>
                <w:sz w:val="24"/>
                <w:highlight w:val="none"/>
              </w:rPr>
              <w:t>从事检测/监测工作年限</w:t>
            </w:r>
          </w:p>
        </w:tc>
        <w:tc>
          <w:tcPr>
            <w:tcW w:w="2027" w:type="dxa"/>
            <w:noWrap w:val="0"/>
            <w:vAlign w:val="top"/>
          </w:tcPr>
          <w:p w14:paraId="648AABEE">
            <w:pPr>
              <w:snapToGrid w:val="0"/>
              <w:spacing w:line="360" w:lineRule="auto"/>
              <w:jc w:val="center"/>
              <w:rPr>
                <w:rFonts w:hint="eastAsia" w:ascii="宋体" w:hAnsi="宋体" w:eastAsia="宋体" w:cs="宋体"/>
                <w:color w:val="auto"/>
                <w:sz w:val="24"/>
                <w:highlight w:val="none"/>
              </w:rPr>
            </w:pPr>
          </w:p>
        </w:tc>
      </w:tr>
      <w:tr w14:paraId="5ABDF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2943" w:type="dxa"/>
            <w:gridSpan w:val="4"/>
            <w:noWrap w:val="0"/>
            <w:vAlign w:val="center"/>
          </w:tcPr>
          <w:p w14:paraId="07391F84">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执业资格证号或注册证号</w:t>
            </w:r>
          </w:p>
        </w:tc>
        <w:tc>
          <w:tcPr>
            <w:tcW w:w="5984" w:type="dxa"/>
            <w:gridSpan w:val="6"/>
            <w:noWrap w:val="0"/>
            <w:vAlign w:val="top"/>
          </w:tcPr>
          <w:p w14:paraId="69C2B894">
            <w:pPr>
              <w:snapToGrid w:val="0"/>
              <w:spacing w:line="360" w:lineRule="auto"/>
              <w:rPr>
                <w:rFonts w:hint="eastAsia" w:ascii="宋体" w:hAnsi="宋体" w:eastAsia="宋体" w:cs="宋体"/>
                <w:color w:val="auto"/>
                <w:sz w:val="24"/>
                <w:highlight w:val="none"/>
              </w:rPr>
            </w:pPr>
          </w:p>
        </w:tc>
      </w:tr>
      <w:tr w14:paraId="09BBA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2943" w:type="dxa"/>
            <w:gridSpan w:val="4"/>
            <w:noWrap w:val="0"/>
            <w:vAlign w:val="center"/>
          </w:tcPr>
          <w:p w14:paraId="5DE6912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检测员证或检测鉴定培训合格证（证书状态正常或有效）</w:t>
            </w:r>
          </w:p>
        </w:tc>
        <w:tc>
          <w:tcPr>
            <w:tcW w:w="5984" w:type="dxa"/>
            <w:gridSpan w:val="6"/>
            <w:noWrap w:val="0"/>
            <w:vAlign w:val="top"/>
          </w:tcPr>
          <w:p w14:paraId="6F7AF598">
            <w:pPr>
              <w:snapToGrid w:val="0"/>
              <w:spacing w:line="360" w:lineRule="auto"/>
              <w:rPr>
                <w:rFonts w:hint="eastAsia" w:ascii="宋体" w:hAnsi="宋体" w:eastAsia="宋体" w:cs="宋体"/>
                <w:color w:val="auto"/>
                <w:sz w:val="24"/>
                <w:highlight w:val="none"/>
              </w:rPr>
            </w:pPr>
          </w:p>
        </w:tc>
      </w:tr>
      <w:tr w14:paraId="1CF1B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8927" w:type="dxa"/>
            <w:gridSpan w:val="10"/>
            <w:noWrap w:val="0"/>
            <w:vAlign w:val="center"/>
          </w:tcPr>
          <w:p w14:paraId="4EBBB10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主要业绩经历</w:t>
            </w:r>
          </w:p>
        </w:tc>
      </w:tr>
      <w:tr w14:paraId="67EA1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187" w:type="dxa"/>
            <w:noWrap w:val="0"/>
            <w:vAlign w:val="center"/>
          </w:tcPr>
          <w:p w14:paraId="0A4C400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3476" w:type="dxa"/>
            <w:gridSpan w:val="5"/>
            <w:noWrap w:val="0"/>
            <w:vAlign w:val="center"/>
          </w:tcPr>
          <w:p w14:paraId="66A0D1D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参加过的主要工作</w:t>
            </w:r>
          </w:p>
        </w:tc>
        <w:tc>
          <w:tcPr>
            <w:tcW w:w="1607" w:type="dxa"/>
            <w:gridSpan w:val="2"/>
            <w:noWrap w:val="0"/>
            <w:vAlign w:val="center"/>
          </w:tcPr>
          <w:p w14:paraId="39EEB22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担任何职</w:t>
            </w:r>
          </w:p>
        </w:tc>
        <w:tc>
          <w:tcPr>
            <w:tcW w:w="2657" w:type="dxa"/>
            <w:gridSpan w:val="2"/>
            <w:noWrap w:val="0"/>
            <w:vAlign w:val="center"/>
          </w:tcPr>
          <w:p w14:paraId="5C5BFAA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获得的奖励情况</w:t>
            </w:r>
          </w:p>
        </w:tc>
      </w:tr>
      <w:tr w14:paraId="085C1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noWrap w:val="0"/>
            <w:vAlign w:val="top"/>
          </w:tcPr>
          <w:p w14:paraId="7EEB14F5">
            <w:pPr>
              <w:snapToGrid w:val="0"/>
              <w:spacing w:line="360" w:lineRule="auto"/>
              <w:rPr>
                <w:rFonts w:hint="eastAsia" w:ascii="宋体" w:hAnsi="宋体" w:eastAsia="宋体" w:cs="宋体"/>
                <w:color w:val="auto"/>
                <w:sz w:val="24"/>
                <w:highlight w:val="none"/>
              </w:rPr>
            </w:pPr>
          </w:p>
        </w:tc>
        <w:tc>
          <w:tcPr>
            <w:tcW w:w="3476" w:type="dxa"/>
            <w:gridSpan w:val="5"/>
            <w:noWrap w:val="0"/>
            <w:vAlign w:val="top"/>
          </w:tcPr>
          <w:p w14:paraId="508B2AA0">
            <w:pPr>
              <w:snapToGrid w:val="0"/>
              <w:spacing w:line="360" w:lineRule="auto"/>
              <w:rPr>
                <w:rFonts w:hint="eastAsia" w:ascii="宋体" w:hAnsi="宋体" w:eastAsia="宋体" w:cs="宋体"/>
                <w:color w:val="auto"/>
                <w:sz w:val="24"/>
                <w:highlight w:val="none"/>
              </w:rPr>
            </w:pPr>
          </w:p>
        </w:tc>
        <w:tc>
          <w:tcPr>
            <w:tcW w:w="1607" w:type="dxa"/>
            <w:gridSpan w:val="2"/>
            <w:noWrap w:val="0"/>
            <w:vAlign w:val="top"/>
          </w:tcPr>
          <w:p w14:paraId="4AB1E107">
            <w:pPr>
              <w:snapToGrid w:val="0"/>
              <w:spacing w:line="360" w:lineRule="auto"/>
              <w:rPr>
                <w:rFonts w:hint="eastAsia" w:ascii="宋体" w:hAnsi="宋体" w:eastAsia="宋体" w:cs="宋体"/>
                <w:color w:val="auto"/>
                <w:sz w:val="24"/>
                <w:highlight w:val="none"/>
              </w:rPr>
            </w:pPr>
          </w:p>
        </w:tc>
        <w:tc>
          <w:tcPr>
            <w:tcW w:w="2657" w:type="dxa"/>
            <w:gridSpan w:val="2"/>
            <w:noWrap w:val="0"/>
            <w:vAlign w:val="top"/>
          </w:tcPr>
          <w:p w14:paraId="5CAF3A3E">
            <w:pPr>
              <w:snapToGrid w:val="0"/>
              <w:spacing w:line="360" w:lineRule="auto"/>
              <w:rPr>
                <w:rFonts w:hint="eastAsia" w:ascii="宋体" w:hAnsi="宋体" w:eastAsia="宋体" w:cs="宋体"/>
                <w:color w:val="auto"/>
                <w:sz w:val="24"/>
                <w:highlight w:val="none"/>
              </w:rPr>
            </w:pPr>
          </w:p>
        </w:tc>
      </w:tr>
      <w:tr w14:paraId="2174E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noWrap w:val="0"/>
            <w:vAlign w:val="top"/>
          </w:tcPr>
          <w:p w14:paraId="0CF52264">
            <w:pPr>
              <w:snapToGrid w:val="0"/>
              <w:spacing w:line="360" w:lineRule="auto"/>
              <w:rPr>
                <w:rFonts w:hint="eastAsia" w:ascii="宋体" w:hAnsi="宋体" w:eastAsia="宋体" w:cs="宋体"/>
                <w:color w:val="auto"/>
                <w:sz w:val="24"/>
                <w:highlight w:val="none"/>
              </w:rPr>
            </w:pPr>
          </w:p>
        </w:tc>
        <w:tc>
          <w:tcPr>
            <w:tcW w:w="3476" w:type="dxa"/>
            <w:gridSpan w:val="5"/>
            <w:noWrap w:val="0"/>
            <w:vAlign w:val="top"/>
          </w:tcPr>
          <w:p w14:paraId="0EA0C81A">
            <w:pPr>
              <w:snapToGrid w:val="0"/>
              <w:spacing w:line="360" w:lineRule="auto"/>
              <w:rPr>
                <w:rFonts w:hint="eastAsia" w:ascii="宋体" w:hAnsi="宋体" w:eastAsia="宋体" w:cs="宋体"/>
                <w:color w:val="auto"/>
                <w:sz w:val="24"/>
                <w:highlight w:val="none"/>
              </w:rPr>
            </w:pPr>
          </w:p>
        </w:tc>
        <w:tc>
          <w:tcPr>
            <w:tcW w:w="1607" w:type="dxa"/>
            <w:gridSpan w:val="2"/>
            <w:noWrap w:val="0"/>
            <w:vAlign w:val="top"/>
          </w:tcPr>
          <w:p w14:paraId="12A058DD">
            <w:pPr>
              <w:snapToGrid w:val="0"/>
              <w:spacing w:line="360" w:lineRule="auto"/>
              <w:rPr>
                <w:rFonts w:hint="eastAsia" w:ascii="宋体" w:hAnsi="宋体" w:eastAsia="宋体" w:cs="宋体"/>
                <w:color w:val="auto"/>
                <w:sz w:val="24"/>
                <w:highlight w:val="none"/>
              </w:rPr>
            </w:pPr>
          </w:p>
        </w:tc>
        <w:tc>
          <w:tcPr>
            <w:tcW w:w="2657" w:type="dxa"/>
            <w:gridSpan w:val="2"/>
            <w:noWrap w:val="0"/>
            <w:vAlign w:val="top"/>
          </w:tcPr>
          <w:p w14:paraId="03FB8AFB">
            <w:pPr>
              <w:snapToGrid w:val="0"/>
              <w:spacing w:line="360" w:lineRule="auto"/>
              <w:rPr>
                <w:rFonts w:hint="eastAsia" w:ascii="宋体" w:hAnsi="宋体" w:eastAsia="宋体" w:cs="宋体"/>
                <w:color w:val="auto"/>
                <w:sz w:val="24"/>
                <w:highlight w:val="none"/>
              </w:rPr>
            </w:pPr>
          </w:p>
        </w:tc>
      </w:tr>
      <w:tr w14:paraId="2BD2D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noWrap w:val="0"/>
            <w:vAlign w:val="top"/>
          </w:tcPr>
          <w:p w14:paraId="59EDCBCF">
            <w:pPr>
              <w:snapToGrid w:val="0"/>
              <w:spacing w:line="360" w:lineRule="auto"/>
              <w:rPr>
                <w:rFonts w:hint="eastAsia" w:ascii="宋体" w:hAnsi="宋体" w:eastAsia="宋体" w:cs="宋体"/>
                <w:color w:val="auto"/>
                <w:sz w:val="24"/>
                <w:highlight w:val="none"/>
              </w:rPr>
            </w:pPr>
          </w:p>
        </w:tc>
        <w:tc>
          <w:tcPr>
            <w:tcW w:w="3476" w:type="dxa"/>
            <w:gridSpan w:val="5"/>
            <w:noWrap w:val="0"/>
            <w:vAlign w:val="top"/>
          </w:tcPr>
          <w:p w14:paraId="68AB84A2">
            <w:pPr>
              <w:snapToGrid w:val="0"/>
              <w:spacing w:line="360" w:lineRule="auto"/>
              <w:rPr>
                <w:rFonts w:hint="eastAsia" w:ascii="宋体" w:hAnsi="宋体" w:eastAsia="宋体" w:cs="宋体"/>
                <w:color w:val="auto"/>
                <w:sz w:val="24"/>
                <w:highlight w:val="none"/>
              </w:rPr>
            </w:pPr>
          </w:p>
        </w:tc>
        <w:tc>
          <w:tcPr>
            <w:tcW w:w="1607" w:type="dxa"/>
            <w:gridSpan w:val="2"/>
            <w:noWrap w:val="0"/>
            <w:vAlign w:val="top"/>
          </w:tcPr>
          <w:p w14:paraId="543CAFEB">
            <w:pPr>
              <w:snapToGrid w:val="0"/>
              <w:spacing w:line="360" w:lineRule="auto"/>
              <w:rPr>
                <w:rFonts w:hint="eastAsia" w:ascii="宋体" w:hAnsi="宋体" w:eastAsia="宋体" w:cs="宋体"/>
                <w:color w:val="auto"/>
                <w:sz w:val="24"/>
                <w:highlight w:val="none"/>
              </w:rPr>
            </w:pPr>
          </w:p>
        </w:tc>
        <w:tc>
          <w:tcPr>
            <w:tcW w:w="2657" w:type="dxa"/>
            <w:gridSpan w:val="2"/>
            <w:noWrap w:val="0"/>
            <w:vAlign w:val="top"/>
          </w:tcPr>
          <w:p w14:paraId="2AB41819">
            <w:pPr>
              <w:snapToGrid w:val="0"/>
              <w:spacing w:line="360" w:lineRule="auto"/>
              <w:rPr>
                <w:rFonts w:hint="eastAsia" w:ascii="宋体" w:hAnsi="宋体" w:eastAsia="宋体" w:cs="宋体"/>
                <w:color w:val="auto"/>
                <w:sz w:val="24"/>
                <w:highlight w:val="none"/>
              </w:rPr>
            </w:pPr>
          </w:p>
        </w:tc>
      </w:tr>
      <w:tr w14:paraId="35292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noWrap w:val="0"/>
            <w:vAlign w:val="top"/>
          </w:tcPr>
          <w:p w14:paraId="1DCC121E">
            <w:pPr>
              <w:snapToGrid w:val="0"/>
              <w:spacing w:line="360" w:lineRule="auto"/>
              <w:rPr>
                <w:rFonts w:hint="eastAsia" w:ascii="宋体" w:hAnsi="宋体" w:eastAsia="宋体" w:cs="宋体"/>
                <w:color w:val="auto"/>
                <w:sz w:val="24"/>
                <w:highlight w:val="none"/>
              </w:rPr>
            </w:pPr>
          </w:p>
        </w:tc>
        <w:tc>
          <w:tcPr>
            <w:tcW w:w="3476" w:type="dxa"/>
            <w:gridSpan w:val="5"/>
            <w:noWrap w:val="0"/>
            <w:vAlign w:val="top"/>
          </w:tcPr>
          <w:p w14:paraId="6D9512D1">
            <w:pPr>
              <w:snapToGrid w:val="0"/>
              <w:spacing w:line="360" w:lineRule="auto"/>
              <w:rPr>
                <w:rFonts w:hint="eastAsia" w:ascii="宋体" w:hAnsi="宋体" w:eastAsia="宋体" w:cs="宋体"/>
                <w:color w:val="auto"/>
                <w:sz w:val="24"/>
                <w:highlight w:val="none"/>
              </w:rPr>
            </w:pPr>
          </w:p>
        </w:tc>
        <w:tc>
          <w:tcPr>
            <w:tcW w:w="1607" w:type="dxa"/>
            <w:gridSpan w:val="2"/>
            <w:noWrap w:val="0"/>
            <w:vAlign w:val="top"/>
          </w:tcPr>
          <w:p w14:paraId="026AEDEF">
            <w:pPr>
              <w:snapToGrid w:val="0"/>
              <w:spacing w:line="360" w:lineRule="auto"/>
              <w:rPr>
                <w:rFonts w:hint="eastAsia" w:ascii="宋体" w:hAnsi="宋体" w:eastAsia="宋体" w:cs="宋体"/>
                <w:color w:val="auto"/>
                <w:sz w:val="24"/>
                <w:highlight w:val="none"/>
              </w:rPr>
            </w:pPr>
          </w:p>
        </w:tc>
        <w:tc>
          <w:tcPr>
            <w:tcW w:w="2657" w:type="dxa"/>
            <w:gridSpan w:val="2"/>
            <w:noWrap w:val="0"/>
            <w:vAlign w:val="top"/>
          </w:tcPr>
          <w:p w14:paraId="7F765D1C">
            <w:pPr>
              <w:snapToGrid w:val="0"/>
              <w:spacing w:line="360" w:lineRule="auto"/>
              <w:rPr>
                <w:rFonts w:hint="eastAsia" w:ascii="宋体" w:hAnsi="宋体" w:eastAsia="宋体" w:cs="宋体"/>
                <w:color w:val="auto"/>
                <w:sz w:val="24"/>
                <w:highlight w:val="none"/>
              </w:rPr>
            </w:pPr>
          </w:p>
        </w:tc>
      </w:tr>
      <w:tr w14:paraId="1829A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noWrap w:val="0"/>
            <w:vAlign w:val="top"/>
          </w:tcPr>
          <w:p w14:paraId="14CF6B6F">
            <w:pPr>
              <w:snapToGrid w:val="0"/>
              <w:spacing w:line="360" w:lineRule="auto"/>
              <w:rPr>
                <w:rFonts w:hint="eastAsia" w:ascii="宋体" w:hAnsi="宋体" w:eastAsia="宋体" w:cs="宋体"/>
                <w:color w:val="auto"/>
                <w:sz w:val="24"/>
                <w:highlight w:val="none"/>
              </w:rPr>
            </w:pPr>
          </w:p>
        </w:tc>
        <w:tc>
          <w:tcPr>
            <w:tcW w:w="3476" w:type="dxa"/>
            <w:gridSpan w:val="5"/>
            <w:noWrap w:val="0"/>
            <w:vAlign w:val="top"/>
          </w:tcPr>
          <w:p w14:paraId="30272153">
            <w:pPr>
              <w:snapToGrid w:val="0"/>
              <w:spacing w:line="360" w:lineRule="auto"/>
              <w:rPr>
                <w:rFonts w:hint="eastAsia" w:ascii="宋体" w:hAnsi="宋体" w:eastAsia="宋体" w:cs="宋体"/>
                <w:color w:val="auto"/>
                <w:sz w:val="24"/>
                <w:highlight w:val="none"/>
              </w:rPr>
            </w:pPr>
          </w:p>
        </w:tc>
        <w:tc>
          <w:tcPr>
            <w:tcW w:w="1607" w:type="dxa"/>
            <w:gridSpan w:val="2"/>
            <w:noWrap w:val="0"/>
            <w:vAlign w:val="top"/>
          </w:tcPr>
          <w:p w14:paraId="1BF9E4D1">
            <w:pPr>
              <w:snapToGrid w:val="0"/>
              <w:spacing w:line="360" w:lineRule="auto"/>
              <w:rPr>
                <w:rFonts w:hint="eastAsia" w:ascii="宋体" w:hAnsi="宋体" w:eastAsia="宋体" w:cs="宋体"/>
                <w:color w:val="auto"/>
                <w:sz w:val="24"/>
                <w:highlight w:val="none"/>
              </w:rPr>
            </w:pPr>
          </w:p>
        </w:tc>
        <w:tc>
          <w:tcPr>
            <w:tcW w:w="2657" w:type="dxa"/>
            <w:gridSpan w:val="2"/>
            <w:noWrap w:val="0"/>
            <w:vAlign w:val="top"/>
          </w:tcPr>
          <w:p w14:paraId="70C373E2">
            <w:pPr>
              <w:snapToGrid w:val="0"/>
              <w:spacing w:line="360" w:lineRule="auto"/>
              <w:rPr>
                <w:rFonts w:hint="eastAsia" w:ascii="宋体" w:hAnsi="宋体" w:eastAsia="宋体" w:cs="宋体"/>
                <w:color w:val="auto"/>
                <w:sz w:val="24"/>
                <w:highlight w:val="none"/>
              </w:rPr>
            </w:pPr>
          </w:p>
        </w:tc>
      </w:tr>
      <w:tr w14:paraId="313EA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noWrap w:val="0"/>
            <w:vAlign w:val="top"/>
          </w:tcPr>
          <w:p w14:paraId="344ECE29">
            <w:pPr>
              <w:snapToGrid w:val="0"/>
              <w:spacing w:line="360" w:lineRule="auto"/>
              <w:rPr>
                <w:rFonts w:hint="eastAsia" w:ascii="宋体" w:hAnsi="宋体" w:eastAsia="宋体" w:cs="宋体"/>
                <w:color w:val="auto"/>
                <w:sz w:val="24"/>
                <w:highlight w:val="none"/>
              </w:rPr>
            </w:pPr>
          </w:p>
        </w:tc>
        <w:tc>
          <w:tcPr>
            <w:tcW w:w="3476" w:type="dxa"/>
            <w:gridSpan w:val="5"/>
            <w:noWrap w:val="0"/>
            <w:vAlign w:val="top"/>
          </w:tcPr>
          <w:p w14:paraId="473670C4">
            <w:pPr>
              <w:snapToGrid w:val="0"/>
              <w:spacing w:line="360" w:lineRule="auto"/>
              <w:rPr>
                <w:rFonts w:hint="eastAsia" w:ascii="宋体" w:hAnsi="宋体" w:eastAsia="宋体" w:cs="宋体"/>
                <w:color w:val="auto"/>
                <w:sz w:val="24"/>
                <w:highlight w:val="none"/>
              </w:rPr>
            </w:pPr>
          </w:p>
        </w:tc>
        <w:tc>
          <w:tcPr>
            <w:tcW w:w="1607" w:type="dxa"/>
            <w:gridSpan w:val="2"/>
            <w:noWrap w:val="0"/>
            <w:vAlign w:val="top"/>
          </w:tcPr>
          <w:p w14:paraId="741110D9">
            <w:pPr>
              <w:snapToGrid w:val="0"/>
              <w:spacing w:line="360" w:lineRule="auto"/>
              <w:rPr>
                <w:rFonts w:hint="eastAsia" w:ascii="宋体" w:hAnsi="宋体" w:eastAsia="宋体" w:cs="宋体"/>
                <w:color w:val="auto"/>
                <w:sz w:val="24"/>
                <w:highlight w:val="none"/>
              </w:rPr>
            </w:pPr>
          </w:p>
        </w:tc>
        <w:tc>
          <w:tcPr>
            <w:tcW w:w="2657" w:type="dxa"/>
            <w:gridSpan w:val="2"/>
            <w:noWrap w:val="0"/>
            <w:vAlign w:val="top"/>
          </w:tcPr>
          <w:p w14:paraId="37E369E3">
            <w:pPr>
              <w:snapToGrid w:val="0"/>
              <w:spacing w:line="360" w:lineRule="auto"/>
              <w:rPr>
                <w:rFonts w:hint="eastAsia" w:ascii="宋体" w:hAnsi="宋体" w:eastAsia="宋体" w:cs="宋体"/>
                <w:color w:val="auto"/>
                <w:sz w:val="24"/>
                <w:highlight w:val="none"/>
              </w:rPr>
            </w:pPr>
          </w:p>
        </w:tc>
      </w:tr>
      <w:tr w14:paraId="587D7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noWrap w:val="0"/>
            <w:vAlign w:val="top"/>
          </w:tcPr>
          <w:p w14:paraId="141DA653">
            <w:pPr>
              <w:snapToGrid w:val="0"/>
              <w:spacing w:line="360" w:lineRule="auto"/>
              <w:rPr>
                <w:rFonts w:hint="eastAsia" w:ascii="宋体" w:hAnsi="宋体" w:eastAsia="宋体" w:cs="宋体"/>
                <w:color w:val="auto"/>
                <w:sz w:val="24"/>
                <w:highlight w:val="none"/>
              </w:rPr>
            </w:pPr>
          </w:p>
        </w:tc>
        <w:tc>
          <w:tcPr>
            <w:tcW w:w="3476" w:type="dxa"/>
            <w:gridSpan w:val="5"/>
            <w:noWrap w:val="0"/>
            <w:vAlign w:val="top"/>
          </w:tcPr>
          <w:p w14:paraId="07482655">
            <w:pPr>
              <w:snapToGrid w:val="0"/>
              <w:spacing w:line="360" w:lineRule="auto"/>
              <w:rPr>
                <w:rFonts w:hint="eastAsia" w:ascii="宋体" w:hAnsi="宋体" w:eastAsia="宋体" w:cs="宋体"/>
                <w:color w:val="auto"/>
                <w:sz w:val="24"/>
                <w:highlight w:val="none"/>
              </w:rPr>
            </w:pPr>
          </w:p>
        </w:tc>
        <w:tc>
          <w:tcPr>
            <w:tcW w:w="1607" w:type="dxa"/>
            <w:gridSpan w:val="2"/>
            <w:noWrap w:val="0"/>
            <w:vAlign w:val="top"/>
          </w:tcPr>
          <w:p w14:paraId="0539BCD1">
            <w:pPr>
              <w:snapToGrid w:val="0"/>
              <w:spacing w:line="360" w:lineRule="auto"/>
              <w:rPr>
                <w:rFonts w:hint="eastAsia" w:ascii="宋体" w:hAnsi="宋体" w:eastAsia="宋体" w:cs="宋体"/>
                <w:color w:val="auto"/>
                <w:sz w:val="24"/>
                <w:highlight w:val="none"/>
              </w:rPr>
            </w:pPr>
          </w:p>
        </w:tc>
        <w:tc>
          <w:tcPr>
            <w:tcW w:w="2657" w:type="dxa"/>
            <w:gridSpan w:val="2"/>
            <w:noWrap w:val="0"/>
            <w:vAlign w:val="top"/>
          </w:tcPr>
          <w:p w14:paraId="714917A7">
            <w:pPr>
              <w:snapToGrid w:val="0"/>
              <w:spacing w:line="360" w:lineRule="auto"/>
              <w:rPr>
                <w:rFonts w:hint="eastAsia" w:ascii="宋体" w:hAnsi="宋体" w:eastAsia="宋体" w:cs="宋体"/>
                <w:color w:val="auto"/>
                <w:sz w:val="24"/>
                <w:highlight w:val="none"/>
              </w:rPr>
            </w:pPr>
          </w:p>
        </w:tc>
      </w:tr>
      <w:tr w14:paraId="2B2B7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noWrap w:val="0"/>
            <w:vAlign w:val="top"/>
          </w:tcPr>
          <w:p w14:paraId="7BC2584A">
            <w:pPr>
              <w:snapToGrid w:val="0"/>
              <w:spacing w:line="360" w:lineRule="auto"/>
              <w:rPr>
                <w:rFonts w:hint="eastAsia" w:ascii="宋体" w:hAnsi="宋体" w:eastAsia="宋体" w:cs="宋体"/>
                <w:color w:val="auto"/>
                <w:sz w:val="24"/>
                <w:highlight w:val="none"/>
              </w:rPr>
            </w:pPr>
          </w:p>
        </w:tc>
        <w:tc>
          <w:tcPr>
            <w:tcW w:w="3476" w:type="dxa"/>
            <w:gridSpan w:val="5"/>
            <w:noWrap w:val="0"/>
            <w:vAlign w:val="top"/>
          </w:tcPr>
          <w:p w14:paraId="0FB60B82">
            <w:pPr>
              <w:snapToGrid w:val="0"/>
              <w:spacing w:line="360" w:lineRule="auto"/>
              <w:rPr>
                <w:rFonts w:hint="eastAsia" w:ascii="宋体" w:hAnsi="宋体" w:eastAsia="宋体" w:cs="宋体"/>
                <w:color w:val="auto"/>
                <w:sz w:val="24"/>
                <w:highlight w:val="none"/>
              </w:rPr>
            </w:pPr>
          </w:p>
        </w:tc>
        <w:tc>
          <w:tcPr>
            <w:tcW w:w="1607" w:type="dxa"/>
            <w:gridSpan w:val="2"/>
            <w:noWrap w:val="0"/>
            <w:vAlign w:val="top"/>
          </w:tcPr>
          <w:p w14:paraId="6DC4BE9A">
            <w:pPr>
              <w:snapToGrid w:val="0"/>
              <w:spacing w:line="360" w:lineRule="auto"/>
              <w:rPr>
                <w:rFonts w:hint="eastAsia" w:ascii="宋体" w:hAnsi="宋体" w:eastAsia="宋体" w:cs="宋体"/>
                <w:color w:val="auto"/>
                <w:sz w:val="24"/>
                <w:highlight w:val="none"/>
              </w:rPr>
            </w:pPr>
          </w:p>
        </w:tc>
        <w:tc>
          <w:tcPr>
            <w:tcW w:w="2657" w:type="dxa"/>
            <w:gridSpan w:val="2"/>
            <w:noWrap w:val="0"/>
            <w:vAlign w:val="top"/>
          </w:tcPr>
          <w:p w14:paraId="56274F7F">
            <w:pPr>
              <w:snapToGrid w:val="0"/>
              <w:spacing w:line="360" w:lineRule="auto"/>
              <w:rPr>
                <w:rFonts w:hint="eastAsia" w:ascii="宋体" w:hAnsi="宋体" w:eastAsia="宋体" w:cs="宋体"/>
                <w:color w:val="auto"/>
                <w:sz w:val="24"/>
                <w:highlight w:val="none"/>
              </w:rPr>
            </w:pPr>
          </w:p>
        </w:tc>
      </w:tr>
      <w:tr w14:paraId="0FCBD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noWrap w:val="0"/>
            <w:vAlign w:val="top"/>
          </w:tcPr>
          <w:p w14:paraId="24E972B9">
            <w:pPr>
              <w:snapToGrid w:val="0"/>
              <w:spacing w:line="360" w:lineRule="auto"/>
              <w:rPr>
                <w:rFonts w:hint="eastAsia" w:ascii="宋体" w:hAnsi="宋体" w:eastAsia="宋体" w:cs="宋体"/>
                <w:color w:val="auto"/>
                <w:sz w:val="24"/>
                <w:highlight w:val="none"/>
              </w:rPr>
            </w:pPr>
          </w:p>
        </w:tc>
        <w:tc>
          <w:tcPr>
            <w:tcW w:w="3476" w:type="dxa"/>
            <w:gridSpan w:val="5"/>
            <w:noWrap w:val="0"/>
            <w:vAlign w:val="top"/>
          </w:tcPr>
          <w:p w14:paraId="636FDDDA">
            <w:pPr>
              <w:snapToGrid w:val="0"/>
              <w:spacing w:line="360" w:lineRule="auto"/>
              <w:rPr>
                <w:rFonts w:hint="eastAsia" w:ascii="宋体" w:hAnsi="宋体" w:eastAsia="宋体" w:cs="宋体"/>
                <w:color w:val="auto"/>
                <w:sz w:val="24"/>
                <w:highlight w:val="none"/>
              </w:rPr>
            </w:pPr>
          </w:p>
        </w:tc>
        <w:tc>
          <w:tcPr>
            <w:tcW w:w="1607" w:type="dxa"/>
            <w:gridSpan w:val="2"/>
            <w:noWrap w:val="0"/>
            <w:vAlign w:val="top"/>
          </w:tcPr>
          <w:p w14:paraId="6CBB85ED">
            <w:pPr>
              <w:snapToGrid w:val="0"/>
              <w:spacing w:line="360" w:lineRule="auto"/>
              <w:rPr>
                <w:rFonts w:hint="eastAsia" w:ascii="宋体" w:hAnsi="宋体" w:eastAsia="宋体" w:cs="宋体"/>
                <w:color w:val="auto"/>
                <w:sz w:val="24"/>
                <w:highlight w:val="none"/>
              </w:rPr>
            </w:pPr>
          </w:p>
        </w:tc>
        <w:tc>
          <w:tcPr>
            <w:tcW w:w="2657" w:type="dxa"/>
            <w:gridSpan w:val="2"/>
            <w:noWrap w:val="0"/>
            <w:vAlign w:val="top"/>
          </w:tcPr>
          <w:p w14:paraId="61AE445A">
            <w:pPr>
              <w:snapToGrid w:val="0"/>
              <w:spacing w:line="360" w:lineRule="auto"/>
              <w:rPr>
                <w:rFonts w:hint="eastAsia" w:ascii="宋体" w:hAnsi="宋体" w:eastAsia="宋体" w:cs="宋体"/>
                <w:color w:val="auto"/>
                <w:sz w:val="24"/>
                <w:highlight w:val="none"/>
              </w:rPr>
            </w:pPr>
          </w:p>
        </w:tc>
      </w:tr>
    </w:tbl>
    <w:p w14:paraId="665A19F6">
      <w:pPr>
        <w:widowControl/>
        <w:spacing w:line="360" w:lineRule="auto"/>
        <w:jc w:val="left"/>
        <w:rPr>
          <w:rFonts w:hint="eastAsia" w:ascii="宋体" w:hAnsi="宋体" w:eastAsia="宋体" w:cs="宋体"/>
          <w:color w:val="auto"/>
          <w:sz w:val="24"/>
          <w:highlight w:val="none"/>
        </w:rPr>
      </w:pPr>
    </w:p>
    <w:p w14:paraId="669165F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注：投标人应根据招标文件的要求在本表后附相关证明材料</w:t>
      </w:r>
    </w:p>
    <w:p w14:paraId="0B218C02">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highlight w:val="none"/>
        </w:rPr>
        <w:t>（本项不作为资格审查内容，但（如有）需提供，仅作为投标人的评标（综合评分）资料进行考察。表格格式可以根据实际情况调整。）</w:t>
      </w:r>
    </w:p>
    <w:p w14:paraId="3C9DE9F1">
      <w:pPr>
        <w:keepNext/>
        <w:keepLines/>
        <w:spacing w:line="360" w:lineRule="auto"/>
        <w:jc w:val="center"/>
        <w:outlineLvl w:val="1"/>
        <w:rPr>
          <w:rFonts w:ascii="宋体" w:hAnsi="宋体" w:eastAsia="宋体" w:cs="宋体"/>
          <w:color w:val="auto"/>
          <w:sz w:val="32"/>
          <w:highlight w:val="none"/>
        </w:rPr>
      </w:pPr>
      <w:r>
        <w:rPr>
          <w:rFonts w:hint="eastAsia" w:ascii="宋体" w:hAnsi="宋体" w:eastAsia="宋体" w:cs="宋体"/>
          <w:b/>
          <w:bCs/>
          <w:color w:val="auto"/>
          <w:sz w:val="40"/>
          <w:szCs w:val="32"/>
          <w:highlight w:val="none"/>
        </w:rPr>
        <w:br w:type="page"/>
      </w:r>
      <w:bookmarkEnd w:id="250"/>
      <w:bookmarkEnd w:id="251"/>
      <w:bookmarkEnd w:id="252"/>
      <w:bookmarkEnd w:id="253"/>
      <w:bookmarkEnd w:id="254"/>
      <w:bookmarkEnd w:id="255"/>
    </w:p>
    <w:p w14:paraId="533E164A">
      <w:pPr>
        <w:pStyle w:val="4"/>
        <w:spacing w:before="0" w:after="0" w:line="360" w:lineRule="auto"/>
        <w:jc w:val="center"/>
        <w:rPr>
          <w:rFonts w:hint="eastAsia" w:ascii="宋体" w:hAnsi="宋体" w:eastAsia="宋体" w:cs="宋体"/>
          <w:color w:val="auto"/>
          <w:highlight w:val="none"/>
        </w:rPr>
      </w:pPr>
      <w:bookmarkStart w:id="256" w:name="_Toc6338"/>
      <w:r>
        <w:rPr>
          <w:rFonts w:hint="eastAsia" w:ascii="宋体" w:hAnsi="宋体" w:eastAsia="宋体" w:cs="宋体"/>
          <w:color w:val="auto"/>
          <w:sz w:val="32"/>
          <w:highlight w:val="none"/>
        </w:rPr>
        <w:t>九、拟投入本项目的主要仪器设备一览表</w:t>
      </w:r>
      <w:bookmarkEnd w:id="256"/>
    </w:p>
    <w:tbl>
      <w:tblPr>
        <w:tblStyle w:val="16"/>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7FE4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36" w:type="dxa"/>
            <w:vMerge w:val="restart"/>
            <w:noWrap w:val="0"/>
            <w:vAlign w:val="center"/>
          </w:tcPr>
          <w:p w14:paraId="37897F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93" w:type="dxa"/>
            <w:vMerge w:val="restart"/>
            <w:noWrap w:val="0"/>
            <w:vAlign w:val="center"/>
          </w:tcPr>
          <w:p w14:paraId="1B25D5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900" w:type="dxa"/>
            <w:vMerge w:val="restart"/>
            <w:noWrap w:val="0"/>
            <w:vAlign w:val="center"/>
          </w:tcPr>
          <w:p w14:paraId="2C4590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p>
          <w:p w14:paraId="2F668E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数量基本要求</w:t>
            </w:r>
          </w:p>
        </w:tc>
        <w:tc>
          <w:tcPr>
            <w:tcW w:w="6314" w:type="dxa"/>
            <w:gridSpan w:val="5"/>
            <w:noWrap w:val="0"/>
            <w:vAlign w:val="center"/>
          </w:tcPr>
          <w:p w14:paraId="1C15DF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投标人填写</w:t>
            </w:r>
          </w:p>
        </w:tc>
      </w:tr>
      <w:tr w14:paraId="5480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noWrap w:val="0"/>
            <w:vAlign w:val="center"/>
          </w:tcPr>
          <w:p w14:paraId="394B035E">
            <w:pPr>
              <w:spacing w:line="360" w:lineRule="auto"/>
              <w:jc w:val="center"/>
              <w:rPr>
                <w:rFonts w:hint="eastAsia" w:ascii="宋体" w:hAnsi="宋体" w:eastAsia="宋体" w:cs="宋体"/>
                <w:color w:val="auto"/>
                <w:szCs w:val="21"/>
                <w:highlight w:val="none"/>
              </w:rPr>
            </w:pPr>
          </w:p>
        </w:tc>
        <w:tc>
          <w:tcPr>
            <w:tcW w:w="1793" w:type="dxa"/>
            <w:vMerge w:val="continue"/>
            <w:noWrap w:val="0"/>
            <w:vAlign w:val="center"/>
          </w:tcPr>
          <w:p w14:paraId="4386476A">
            <w:pPr>
              <w:spacing w:line="360" w:lineRule="auto"/>
              <w:jc w:val="center"/>
              <w:rPr>
                <w:rFonts w:hint="eastAsia" w:ascii="宋体" w:hAnsi="宋体" w:eastAsia="宋体" w:cs="宋体"/>
                <w:color w:val="auto"/>
                <w:szCs w:val="21"/>
                <w:highlight w:val="none"/>
              </w:rPr>
            </w:pPr>
          </w:p>
        </w:tc>
        <w:tc>
          <w:tcPr>
            <w:tcW w:w="900" w:type="dxa"/>
            <w:vMerge w:val="continue"/>
            <w:noWrap w:val="0"/>
            <w:vAlign w:val="center"/>
          </w:tcPr>
          <w:p w14:paraId="4CD35131">
            <w:pPr>
              <w:spacing w:line="360" w:lineRule="auto"/>
              <w:jc w:val="center"/>
              <w:rPr>
                <w:rFonts w:hint="eastAsia" w:ascii="宋体" w:hAnsi="宋体" w:eastAsia="宋体" w:cs="宋体"/>
                <w:color w:val="auto"/>
                <w:szCs w:val="21"/>
                <w:highlight w:val="none"/>
              </w:rPr>
            </w:pPr>
          </w:p>
        </w:tc>
        <w:tc>
          <w:tcPr>
            <w:tcW w:w="992" w:type="dxa"/>
            <w:noWrap w:val="0"/>
            <w:vAlign w:val="center"/>
          </w:tcPr>
          <w:p w14:paraId="17D819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785" w:type="dxa"/>
            <w:noWrap w:val="0"/>
            <w:vAlign w:val="center"/>
          </w:tcPr>
          <w:p w14:paraId="2056E0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检定/校准机构</w:t>
            </w:r>
          </w:p>
        </w:tc>
        <w:tc>
          <w:tcPr>
            <w:tcW w:w="1116" w:type="dxa"/>
            <w:noWrap w:val="0"/>
            <w:vAlign w:val="center"/>
          </w:tcPr>
          <w:p w14:paraId="227B66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c>
          <w:tcPr>
            <w:tcW w:w="1341" w:type="dxa"/>
            <w:noWrap w:val="0"/>
            <w:vAlign w:val="center"/>
          </w:tcPr>
          <w:p w14:paraId="378B23E4">
            <w:pPr>
              <w:spacing w:line="360" w:lineRule="auto"/>
              <w:jc w:val="center"/>
              <w:rPr>
                <w:rFonts w:hint="eastAsia" w:ascii="宋体" w:hAnsi="宋体" w:eastAsia="宋体" w:cs="宋体"/>
                <w:color w:val="auto"/>
                <w:szCs w:val="21"/>
                <w:highlight w:val="none"/>
              </w:rPr>
            </w:pPr>
            <w:bookmarkStart w:id="257" w:name="_Toc76"/>
            <w:bookmarkStart w:id="258" w:name="_Toc377719919"/>
            <w:bookmarkStart w:id="259" w:name="_Toc25992"/>
            <w:bookmarkStart w:id="260" w:name="_Toc31367"/>
            <w:bookmarkStart w:id="261" w:name="_Toc168"/>
            <w:bookmarkStart w:id="262" w:name="_Toc23148"/>
            <w:bookmarkStart w:id="263" w:name="_Toc30833"/>
            <w:bookmarkStart w:id="264" w:name="_Toc532367899"/>
            <w:bookmarkStart w:id="265" w:name="_Toc12595"/>
            <w:bookmarkStart w:id="266" w:name="_Toc13512"/>
            <w:r>
              <w:rPr>
                <w:rFonts w:hint="eastAsia" w:ascii="宋体" w:hAnsi="宋体" w:eastAsia="宋体" w:cs="宋体"/>
                <w:color w:val="auto"/>
                <w:szCs w:val="21"/>
                <w:highlight w:val="none"/>
              </w:rPr>
              <w:t>检定/</w:t>
            </w:r>
            <w:bookmarkEnd w:id="257"/>
            <w:bookmarkEnd w:id="258"/>
            <w:bookmarkEnd w:id="259"/>
            <w:bookmarkEnd w:id="260"/>
            <w:bookmarkEnd w:id="261"/>
            <w:bookmarkEnd w:id="262"/>
            <w:bookmarkEnd w:id="263"/>
            <w:bookmarkEnd w:id="264"/>
            <w:r>
              <w:rPr>
                <w:rFonts w:hint="eastAsia" w:ascii="宋体" w:hAnsi="宋体" w:eastAsia="宋体" w:cs="宋体"/>
                <w:color w:val="auto"/>
                <w:szCs w:val="21"/>
                <w:highlight w:val="none"/>
              </w:rPr>
              <w:t>校准周期</w:t>
            </w:r>
          </w:p>
        </w:tc>
        <w:tc>
          <w:tcPr>
            <w:tcW w:w="1080" w:type="dxa"/>
            <w:noWrap w:val="0"/>
            <w:vAlign w:val="center"/>
          </w:tcPr>
          <w:p w14:paraId="730B46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766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2A8224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93" w:type="dxa"/>
            <w:noWrap w:val="0"/>
            <w:vAlign w:val="center"/>
          </w:tcPr>
          <w:p w14:paraId="14DDBE15">
            <w:pPr>
              <w:spacing w:line="360" w:lineRule="auto"/>
              <w:jc w:val="center"/>
              <w:rPr>
                <w:rFonts w:hint="eastAsia" w:ascii="宋体" w:hAnsi="宋体" w:eastAsia="宋体" w:cs="宋体"/>
                <w:color w:val="auto"/>
                <w:szCs w:val="21"/>
                <w:highlight w:val="none"/>
              </w:rPr>
            </w:pPr>
          </w:p>
        </w:tc>
        <w:tc>
          <w:tcPr>
            <w:tcW w:w="900" w:type="dxa"/>
            <w:noWrap w:val="0"/>
            <w:vAlign w:val="center"/>
          </w:tcPr>
          <w:p w14:paraId="7A6717FF">
            <w:pPr>
              <w:spacing w:line="360" w:lineRule="auto"/>
              <w:jc w:val="center"/>
              <w:rPr>
                <w:rFonts w:hint="eastAsia" w:ascii="宋体" w:hAnsi="宋体" w:eastAsia="宋体" w:cs="宋体"/>
                <w:color w:val="auto"/>
                <w:szCs w:val="21"/>
                <w:highlight w:val="none"/>
              </w:rPr>
            </w:pPr>
          </w:p>
        </w:tc>
        <w:tc>
          <w:tcPr>
            <w:tcW w:w="992" w:type="dxa"/>
            <w:noWrap w:val="0"/>
            <w:vAlign w:val="center"/>
          </w:tcPr>
          <w:p w14:paraId="7DB22073">
            <w:pPr>
              <w:spacing w:line="360" w:lineRule="auto"/>
              <w:jc w:val="center"/>
              <w:rPr>
                <w:rFonts w:hint="eastAsia" w:ascii="宋体" w:hAnsi="宋体" w:eastAsia="宋体" w:cs="宋体"/>
                <w:color w:val="auto"/>
                <w:szCs w:val="21"/>
                <w:highlight w:val="none"/>
              </w:rPr>
            </w:pPr>
          </w:p>
        </w:tc>
        <w:tc>
          <w:tcPr>
            <w:tcW w:w="1785" w:type="dxa"/>
            <w:noWrap w:val="0"/>
            <w:vAlign w:val="center"/>
          </w:tcPr>
          <w:p w14:paraId="2AE8AFFE">
            <w:pPr>
              <w:spacing w:line="360" w:lineRule="auto"/>
              <w:jc w:val="center"/>
              <w:rPr>
                <w:rFonts w:hint="eastAsia" w:ascii="宋体" w:hAnsi="宋体" w:eastAsia="宋体" w:cs="宋体"/>
                <w:color w:val="auto"/>
                <w:szCs w:val="21"/>
                <w:highlight w:val="none"/>
              </w:rPr>
            </w:pPr>
          </w:p>
        </w:tc>
        <w:tc>
          <w:tcPr>
            <w:tcW w:w="1116" w:type="dxa"/>
            <w:noWrap w:val="0"/>
            <w:vAlign w:val="center"/>
          </w:tcPr>
          <w:p w14:paraId="268A2249">
            <w:pPr>
              <w:spacing w:line="360" w:lineRule="auto"/>
              <w:jc w:val="center"/>
              <w:rPr>
                <w:rFonts w:hint="eastAsia" w:ascii="宋体" w:hAnsi="宋体" w:eastAsia="宋体" w:cs="宋体"/>
                <w:color w:val="auto"/>
                <w:szCs w:val="21"/>
                <w:highlight w:val="none"/>
              </w:rPr>
            </w:pPr>
          </w:p>
        </w:tc>
        <w:tc>
          <w:tcPr>
            <w:tcW w:w="1341" w:type="dxa"/>
            <w:noWrap w:val="0"/>
            <w:vAlign w:val="center"/>
          </w:tcPr>
          <w:p w14:paraId="40F600CF">
            <w:pPr>
              <w:spacing w:line="360" w:lineRule="auto"/>
              <w:jc w:val="center"/>
              <w:rPr>
                <w:rFonts w:hint="eastAsia" w:ascii="宋体" w:hAnsi="宋体" w:eastAsia="宋体" w:cs="宋体"/>
                <w:color w:val="auto"/>
                <w:szCs w:val="21"/>
                <w:highlight w:val="none"/>
              </w:rPr>
            </w:pPr>
          </w:p>
        </w:tc>
        <w:tc>
          <w:tcPr>
            <w:tcW w:w="1080" w:type="dxa"/>
            <w:noWrap w:val="0"/>
            <w:vAlign w:val="center"/>
          </w:tcPr>
          <w:p w14:paraId="27894144">
            <w:pPr>
              <w:spacing w:line="360" w:lineRule="auto"/>
              <w:jc w:val="center"/>
              <w:rPr>
                <w:rFonts w:hint="eastAsia" w:ascii="宋体" w:hAnsi="宋体" w:eastAsia="宋体" w:cs="宋体"/>
                <w:color w:val="auto"/>
                <w:szCs w:val="21"/>
                <w:highlight w:val="none"/>
              </w:rPr>
            </w:pPr>
          </w:p>
        </w:tc>
      </w:tr>
      <w:tr w14:paraId="03F1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242063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793" w:type="dxa"/>
            <w:noWrap w:val="0"/>
            <w:vAlign w:val="center"/>
          </w:tcPr>
          <w:p w14:paraId="028A3A6A">
            <w:pPr>
              <w:spacing w:line="360" w:lineRule="auto"/>
              <w:jc w:val="center"/>
              <w:rPr>
                <w:rFonts w:hint="eastAsia" w:ascii="宋体" w:hAnsi="宋体" w:eastAsia="宋体" w:cs="宋体"/>
                <w:color w:val="auto"/>
                <w:szCs w:val="21"/>
                <w:highlight w:val="none"/>
              </w:rPr>
            </w:pPr>
          </w:p>
        </w:tc>
        <w:tc>
          <w:tcPr>
            <w:tcW w:w="900" w:type="dxa"/>
            <w:noWrap w:val="0"/>
            <w:vAlign w:val="center"/>
          </w:tcPr>
          <w:p w14:paraId="2B9E7AB2">
            <w:pPr>
              <w:spacing w:line="360" w:lineRule="auto"/>
              <w:jc w:val="center"/>
              <w:rPr>
                <w:rFonts w:hint="eastAsia" w:ascii="宋体" w:hAnsi="宋体" w:eastAsia="宋体" w:cs="宋体"/>
                <w:color w:val="auto"/>
                <w:szCs w:val="21"/>
                <w:highlight w:val="none"/>
              </w:rPr>
            </w:pPr>
          </w:p>
        </w:tc>
        <w:tc>
          <w:tcPr>
            <w:tcW w:w="992" w:type="dxa"/>
            <w:noWrap w:val="0"/>
            <w:vAlign w:val="center"/>
          </w:tcPr>
          <w:p w14:paraId="488099D7">
            <w:pPr>
              <w:spacing w:line="360" w:lineRule="auto"/>
              <w:jc w:val="center"/>
              <w:rPr>
                <w:rFonts w:hint="eastAsia" w:ascii="宋体" w:hAnsi="宋体" w:eastAsia="宋体" w:cs="宋体"/>
                <w:color w:val="auto"/>
                <w:szCs w:val="21"/>
                <w:highlight w:val="none"/>
              </w:rPr>
            </w:pPr>
          </w:p>
        </w:tc>
        <w:tc>
          <w:tcPr>
            <w:tcW w:w="1785" w:type="dxa"/>
            <w:noWrap w:val="0"/>
            <w:vAlign w:val="center"/>
          </w:tcPr>
          <w:p w14:paraId="58730E4E">
            <w:pPr>
              <w:spacing w:line="360" w:lineRule="auto"/>
              <w:jc w:val="center"/>
              <w:rPr>
                <w:rFonts w:hint="eastAsia" w:ascii="宋体" w:hAnsi="宋体" w:eastAsia="宋体" w:cs="宋体"/>
                <w:color w:val="auto"/>
                <w:szCs w:val="21"/>
                <w:highlight w:val="none"/>
              </w:rPr>
            </w:pPr>
          </w:p>
        </w:tc>
        <w:tc>
          <w:tcPr>
            <w:tcW w:w="1116" w:type="dxa"/>
            <w:noWrap w:val="0"/>
            <w:vAlign w:val="center"/>
          </w:tcPr>
          <w:p w14:paraId="7F9C20C6">
            <w:pPr>
              <w:spacing w:line="360" w:lineRule="auto"/>
              <w:jc w:val="center"/>
              <w:rPr>
                <w:rFonts w:hint="eastAsia" w:ascii="宋体" w:hAnsi="宋体" w:eastAsia="宋体" w:cs="宋体"/>
                <w:color w:val="auto"/>
                <w:szCs w:val="21"/>
                <w:highlight w:val="none"/>
              </w:rPr>
            </w:pPr>
          </w:p>
        </w:tc>
        <w:tc>
          <w:tcPr>
            <w:tcW w:w="1341" w:type="dxa"/>
            <w:noWrap w:val="0"/>
            <w:vAlign w:val="center"/>
          </w:tcPr>
          <w:p w14:paraId="5BB83D0B">
            <w:pPr>
              <w:spacing w:line="360" w:lineRule="auto"/>
              <w:jc w:val="center"/>
              <w:rPr>
                <w:rFonts w:hint="eastAsia" w:ascii="宋体" w:hAnsi="宋体" w:eastAsia="宋体" w:cs="宋体"/>
                <w:color w:val="auto"/>
                <w:szCs w:val="21"/>
                <w:highlight w:val="none"/>
              </w:rPr>
            </w:pPr>
          </w:p>
        </w:tc>
        <w:tc>
          <w:tcPr>
            <w:tcW w:w="1080" w:type="dxa"/>
            <w:noWrap w:val="0"/>
            <w:vAlign w:val="center"/>
          </w:tcPr>
          <w:p w14:paraId="050EF852">
            <w:pPr>
              <w:spacing w:line="360" w:lineRule="auto"/>
              <w:jc w:val="center"/>
              <w:rPr>
                <w:rFonts w:hint="eastAsia" w:ascii="宋体" w:hAnsi="宋体" w:eastAsia="宋体" w:cs="宋体"/>
                <w:i/>
                <w:color w:val="auto"/>
                <w:szCs w:val="21"/>
                <w:highlight w:val="none"/>
              </w:rPr>
            </w:pPr>
          </w:p>
        </w:tc>
      </w:tr>
      <w:tr w14:paraId="523A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0252E7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93" w:type="dxa"/>
            <w:noWrap w:val="0"/>
            <w:vAlign w:val="center"/>
          </w:tcPr>
          <w:p w14:paraId="23A86A1C">
            <w:pPr>
              <w:spacing w:line="360" w:lineRule="auto"/>
              <w:jc w:val="center"/>
              <w:rPr>
                <w:rFonts w:hint="eastAsia" w:ascii="宋体" w:hAnsi="宋体" w:eastAsia="宋体" w:cs="宋体"/>
                <w:color w:val="auto"/>
                <w:szCs w:val="21"/>
                <w:highlight w:val="none"/>
              </w:rPr>
            </w:pPr>
          </w:p>
        </w:tc>
        <w:tc>
          <w:tcPr>
            <w:tcW w:w="900" w:type="dxa"/>
            <w:noWrap w:val="0"/>
            <w:vAlign w:val="center"/>
          </w:tcPr>
          <w:p w14:paraId="39E6EAFB">
            <w:pPr>
              <w:spacing w:line="360" w:lineRule="auto"/>
              <w:jc w:val="center"/>
              <w:rPr>
                <w:rFonts w:hint="eastAsia" w:ascii="宋体" w:hAnsi="宋体" w:eastAsia="宋体" w:cs="宋体"/>
                <w:color w:val="auto"/>
                <w:szCs w:val="21"/>
                <w:highlight w:val="none"/>
              </w:rPr>
            </w:pPr>
          </w:p>
        </w:tc>
        <w:tc>
          <w:tcPr>
            <w:tcW w:w="992" w:type="dxa"/>
            <w:noWrap w:val="0"/>
            <w:vAlign w:val="center"/>
          </w:tcPr>
          <w:p w14:paraId="280A5BB2">
            <w:pPr>
              <w:spacing w:line="360" w:lineRule="auto"/>
              <w:jc w:val="center"/>
              <w:rPr>
                <w:rFonts w:hint="eastAsia" w:ascii="宋体" w:hAnsi="宋体" w:eastAsia="宋体" w:cs="宋体"/>
                <w:color w:val="auto"/>
                <w:szCs w:val="21"/>
                <w:highlight w:val="none"/>
              </w:rPr>
            </w:pPr>
          </w:p>
        </w:tc>
        <w:tc>
          <w:tcPr>
            <w:tcW w:w="1785" w:type="dxa"/>
            <w:noWrap w:val="0"/>
            <w:vAlign w:val="center"/>
          </w:tcPr>
          <w:p w14:paraId="074E4CCA">
            <w:pPr>
              <w:spacing w:line="360" w:lineRule="auto"/>
              <w:jc w:val="center"/>
              <w:rPr>
                <w:rFonts w:hint="eastAsia" w:ascii="宋体" w:hAnsi="宋体" w:eastAsia="宋体" w:cs="宋体"/>
                <w:color w:val="auto"/>
                <w:szCs w:val="21"/>
                <w:highlight w:val="none"/>
              </w:rPr>
            </w:pPr>
          </w:p>
        </w:tc>
        <w:tc>
          <w:tcPr>
            <w:tcW w:w="1116" w:type="dxa"/>
            <w:noWrap w:val="0"/>
            <w:vAlign w:val="center"/>
          </w:tcPr>
          <w:p w14:paraId="2CB9CF55">
            <w:pPr>
              <w:spacing w:line="360" w:lineRule="auto"/>
              <w:jc w:val="center"/>
              <w:rPr>
                <w:rFonts w:hint="eastAsia" w:ascii="宋体" w:hAnsi="宋体" w:eastAsia="宋体" w:cs="宋体"/>
                <w:color w:val="auto"/>
                <w:szCs w:val="21"/>
                <w:highlight w:val="none"/>
              </w:rPr>
            </w:pPr>
          </w:p>
        </w:tc>
        <w:tc>
          <w:tcPr>
            <w:tcW w:w="1341" w:type="dxa"/>
            <w:noWrap w:val="0"/>
            <w:vAlign w:val="center"/>
          </w:tcPr>
          <w:p w14:paraId="551A6FAA">
            <w:pPr>
              <w:spacing w:line="360" w:lineRule="auto"/>
              <w:jc w:val="center"/>
              <w:rPr>
                <w:rFonts w:hint="eastAsia" w:ascii="宋体" w:hAnsi="宋体" w:eastAsia="宋体" w:cs="宋体"/>
                <w:color w:val="auto"/>
                <w:szCs w:val="21"/>
                <w:highlight w:val="none"/>
              </w:rPr>
            </w:pPr>
          </w:p>
        </w:tc>
        <w:tc>
          <w:tcPr>
            <w:tcW w:w="1080" w:type="dxa"/>
            <w:noWrap w:val="0"/>
            <w:vAlign w:val="center"/>
          </w:tcPr>
          <w:p w14:paraId="7CF337AF">
            <w:pPr>
              <w:spacing w:line="360" w:lineRule="auto"/>
              <w:jc w:val="center"/>
              <w:rPr>
                <w:rFonts w:hint="eastAsia" w:ascii="宋体" w:hAnsi="宋体" w:eastAsia="宋体" w:cs="宋体"/>
                <w:color w:val="auto"/>
                <w:szCs w:val="21"/>
                <w:highlight w:val="none"/>
              </w:rPr>
            </w:pPr>
          </w:p>
        </w:tc>
      </w:tr>
      <w:tr w14:paraId="5CCC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353A7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93" w:type="dxa"/>
            <w:noWrap w:val="0"/>
            <w:vAlign w:val="center"/>
          </w:tcPr>
          <w:p w14:paraId="5A28EAD3">
            <w:pPr>
              <w:spacing w:line="360" w:lineRule="auto"/>
              <w:jc w:val="center"/>
              <w:rPr>
                <w:rFonts w:hint="eastAsia" w:ascii="宋体" w:hAnsi="宋体" w:eastAsia="宋体" w:cs="宋体"/>
                <w:color w:val="auto"/>
                <w:szCs w:val="21"/>
                <w:highlight w:val="none"/>
              </w:rPr>
            </w:pPr>
          </w:p>
        </w:tc>
        <w:tc>
          <w:tcPr>
            <w:tcW w:w="900" w:type="dxa"/>
            <w:noWrap w:val="0"/>
            <w:vAlign w:val="center"/>
          </w:tcPr>
          <w:p w14:paraId="5FFA780E">
            <w:pPr>
              <w:spacing w:line="360" w:lineRule="auto"/>
              <w:jc w:val="center"/>
              <w:rPr>
                <w:rFonts w:hint="eastAsia" w:ascii="宋体" w:hAnsi="宋体" w:eastAsia="宋体" w:cs="宋体"/>
                <w:color w:val="auto"/>
                <w:szCs w:val="21"/>
                <w:highlight w:val="none"/>
              </w:rPr>
            </w:pPr>
          </w:p>
        </w:tc>
        <w:tc>
          <w:tcPr>
            <w:tcW w:w="992" w:type="dxa"/>
            <w:noWrap w:val="0"/>
            <w:vAlign w:val="center"/>
          </w:tcPr>
          <w:p w14:paraId="0997350D">
            <w:pPr>
              <w:spacing w:line="360" w:lineRule="auto"/>
              <w:jc w:val="center"/>
              <w:rPr>
                <w:rFonts w:hint="eastAsia" w:ascii="宋体" w:hAnsi="宋体" w:eastAsia="宋体" w:cs="宋体"/>
                <w:color w:val="auto"/>
                <w:szCs w:val="21"/>
                <w:highlight w:val="none"/>
              </w:rPr>
            </w:pPr>
          </w:p>
        </w:tc>
        <w:tc>
          <w:tcPr>
            <w:tcW w:w="1785" w:type="dxa"/>
            <w:noWrap w:val="0"/>
            <w:vAlign w:val="center"/>
          </w:tcPr>
          <w:p w14:paraId="26D006EF">
            <w:pPr>
              <w:spacing w:line="360" w:lineRule="auto"/>
              <w:jc w:val="center"/>
              <w:rPr>
                <w:rFonts w:hint="eastAsia" w:ascii="宋体" w:hAnsi="宋体" w:eastAsia="宋体" w:cs="宋体"/>
                <w:color w:val="auto"/>
                <w:szCs w:val="21"/>
                <w:highlight w:val="none"/>
              </w:rPr>
            </w:pPr>
          </w:p>
        </w:tc>
        <w:tc>
          <w:tcPr>
            <w:tcW w:w="1116" w:type="dxa"/>
            <w:noWrap w:val="0"/>
            <w:vAlign w:val="center"/>
          </w:tcPr>
          <w:p w14:paraId="6BE42093">
            <w:pPr>
              <w:spacing w:line="360" w:lineRule="auto"/>
              <w:jc w:val="center"/>
              <w:rPr>
                <w:rFonts w:hint="eastAsia" w:ascii="宋体" w:hAnsi="宋体" w:eastAsia="宋体" w:cs="宋体"/>
                <w:color w:val="auto"/>
                <w:szCs w:val="21"/>
                <w:highlight w:val="none"/>
              </w:rPr>
            </w:pPr>
          </w:p>
        </w:tc>
        <w:tc>
          <w:tcPr>
            <w:tcW w:w="1341" w:type="dxa"/>
            <w:noWrap w:val="0"/>
            <w:vAlign w:val="center"/>
          </w:tcPr>
          <w:p w14:paraId="10E6B7AB">
            <w:pPr>
              <w:spacing w:line="360" w:lineRule="auto"/>
              <w:jc w:val="center"/>
              <w:rPr>
                <w:rFonts w:hint="eastAsia" w:ascii="宋体" w:hAnsi="宋体" w:eastAsia="宋体" w:cs="宋体"/>
                <w:color w:val="auto"/>
                <w:szCs w:val="21"/>
                <w:highlight w:val="none"/>
              </w:rPr>
            </w:pPr>
          </w:p>
        </w:tc>
        <w:tc>
          <w:tcPr>
            <w:tcW w:w="1080" w:type="dxa"/>
            <w:noWrap w:val="0"/>
            <w:vAlign w:val="center"/>
          </w:tcPr>
          <w:p w14:paraId="011B3C55">
            <w:pPr>
              <w:spacing w:line="360" w:lineRule="auto"/>
              <w:jc w:val="center"/>
              <w:rPr>
                <w:rFonts w:hint="eastAsia" w:ascii="宋体" w:hAnsi="宋体" w:eastAsia="宋体" w:cs="宋体"/>
                <w:color w:val="auto"/>
                <w:szCs w:val="21"/>
                <w:highlight w:val="none"/>
              </w:rPr>
            </w:pPr>
          </w:p>
        </w:tc>
      </w:tr>
      <w:tr w14:paraId="60B9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4A48459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793" w:type="dxa"/>
            <w:noWrap w:val="0"/>
            <w:vAlign w:val="center"/>
          </w:tcPr>
          <w:p w14:paraId="7655A573">
            <w:pPr>
              <w:spacing w:line="360" w:lineRule="auto"/>
              <w:jc w:val="center"/>
              <w:rPr>
                <w:rFonts w:hint="eastAsia" w:ascii="宋体" w:hAnsi="宋体" w:eastAsia="宋体" w:cs="宋体"/>
                <w:color w:val="auto"/>
                <w:szCs w:val="21"/>
                <w:highlight w:val="none"/>
              </w:rPr>
            </w:pPr>
          </w:p>
        </w:tc>
        <w:tc>
          <w:tcPr>
            <w:tcW w:w="900" w:type="dxa"/>
            <w:noWrap w:val="0"/>
            <w:vAlign w:val="center"/>
          </w:tcPr>
          <w:p w14:paraId="58791C34">
            <w:pPr>
              <w:spacing w:line="360" w:lineRule="auto"/>
              <w:jc w:val="center"/>
              <w:rPr>
                <w:rFonts w:hint="eastAsia" w:ascii="宋体" w:hAnsi="宋体" w:eastAsia="宋体" w:cs="宋体"/>
                <w:color w:val="auto"/>
                <w:szCs w:val="21"/>
                <w:highlight w:val="none"/>
              </w:rPr>
            </w:pPr>
          </w:p>
        </w:tc>
        <w:tc>
          <w:tcPr>
            <w:tcW w:w="992" w:type="dxa"/>
            <w:noWrap w:val="0"/>
            <w:vAlign w:val="center"/>
          </w:tcPr>
          <w:p w14:paraId="6B8A4653">
            <w:pPr>
              <w:spacing w:line="360" w:lineRule="auto"/>
              <w:jc w:val="center"/>
              <w:rPr>
                <w:rFonts w:hint="eastAsia" w:ascii="宋体" w:hAnsi="宋体" w:eastAsia="宋体" w:cs="宋体"/>
                <w:color w:val="auto"/>
                <w:szCs w:val="21"/>
                <w:highlight w:val="none"/>
              </w:rPr>
            </w:pPr>
          </w:p>
        </w:tc>
        <w:tc>
          <w:tcPr>
            <w:tcW w:w="1785" w:type="dxa"/>
            <w:noWrap w:val="0"/>
            <w:vAlign w:val="center"/>
          </w:tcPr>
          <w:p w14:paraId="4A36B41B">
            <w:pPr>
              <w:spacing w:line="360" w:lineRule="auto"/>
              <w:jc w:val="center"/>
              <w:rPr>
                <w:rFonts w:hint="eastAsia" w:ascii="宋体" w:hAnsi="宋体" w:eastAsia="宋体" w:cs="宋体"/>
                <w:color w:val="auto"/>
                <w:szCs w:val="21"/>
                <w:highlight w:val="none"/>
              </w:rPr>
            </w:pPr>
          </w:p>
        </w:tc>
        <w:tc>
          <w:tcPr>
            <w:tcW w:w="1116" w:type="dxa"/>
            <w:noWrap w:val="0"/>
            <w:vAlign w:val="center"/>
          </w:tcPr>
          <w:p w14:paraId="7930628F">
            <w:pPr>
              <w:spacing w:line="360" w:lineRule="auto"/>
              <w:jc w:val="center"/>
              <w:rPr>
                <w:rFonts w:hint="eastAsia" w:ascii="宋体" w:hAnsi="宋体" w:eastAsia="宋体" w:cs="宋体"/>
                <w:color w:val="auto"/>
                <w:szCs w:val="21"/>
                <w:highlight w:val="none"/>
              </w:rPr>
            </w:pPr>
          </w:p>
        </w:tc>
        <w:tc>
          <w:tcPr>
            <w:tcW w:w="1341" w:type="dxa"/>
            <w:noWrap w:val="0"/>
            <w:vAlign w:val="center"/>
          </w:tcPr>
          <w:p w14:paraId="2E48CE51">
            <w:pPr>
              <w:spacing w:line="360" w:lineRule="auto"/>
              <w:jc w:val="center"/>
              <w:rPr>
                <w:rFonts w:hint="eastAsia" w:ascii="宋体" w:hAnsi="宋体" w:eastAsia="宋体" w:cs="宋体"/>
                <w:color w:val="auto"/>
                <w:szCs w:val="21"/>
                <w:highlight w:val="none"/>
              </w:rPr>
            </w:pPr>
          </w:p>
        </w:tc>
        <w:tc>
          <w:tcPr>
            <w:tcW w:w="1080" w:type="dxa"/>
            <w:noWrap w:val="0"/>
            <w:vAlign w:val="center"/>
          </w:tcPr>
          <w:p w14:paraId="522125BA">
            <w:pPr>
              <w:spacing w:line="360" w:lineRule="auto"/>
              <w:jc w:val="center"/>
              <w:rPr>
                <w:rFonts w:hint="eastAsia" w:ascii="宋体" w:hAnsi="宋体" w:eastAsia="宋体" w:cs="宋体"/>
                <w:color w:val="auto"/>
                <w:szCs w:val="21"/>
                <w:highlight w:val="none"/>
              </w:rPr>
            </w:pPr>
          </w:p>
        </w:tc>
      </w:tr>
      <w:tr w14:paraId="263B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2EF941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793" w:type="dxa"/>
            <w:noWrap w:val="0"/>
            <w:vAlign w:val="center"/>
          </w:tcPr>
          <w:p w14:paraId="6E6CBF3E">
            <w:pPr>
              <w:spacing w:line="360" w:lineRule="auto"/>
              <w:jc w:val="center"/>
              <w:rPr>
                <w:rFonts w:hint="eastAsia" w:ascii="宋体" w:hAnsi="宋体" w:eastAsia="宋体" w:cs="宋体"/>
                <w:color w:val="auto"/>
                <w:szCs w:val="21"/>
                <w:highlight w:val="none"/>
              </w:rPr>
            </w:pPr>
          </w:p>
        </w:tc>
        <w:tc>
          <w:tcPr>
            <w:tcW w:w="900" w:type="dxa"/>
            <w:noWrap w:val="0"/>
            <w:vAlign w:val="center"/>
          </w:tcPr>
          <w:p w14:paraId="5FC48C91">
            <w:pPr>
              <w:spacing w:line="360" w:lineRule="auto"/>
              <w:jc w:val="center"/>
              <w:rPr>
                <w:rFonts w:hint="eastAsia" w:ascii="宋体" w:hAnsi="宋体" w:eastAsia="宋体" w:cs="宋体"/>
                <w:color w:val="auto"/>
                <w:szCs w:val="21"/>
                <w:highlight w:val="none"/>
              </w:rPr>
            </w:pPr>
          </w:p>
        </w:tc>
        <w:tc>
          <w:tcPr>
            <w:tcW w:w="992" w:type="dxa"/>
            <w:noWrap w:val="0"/>
            <w:vAlign w:val="center"/>
          </w:tcPr>
          <w:p w14:paraId="3937E4D2">
            <w:pPr>
              <w:spacing w:line="360" w:lineRule="auto"/>
              <w:jc w:val="center"/>
              <w:rPr>
                <w:rFonts w:hint="eastAsia" w:ascii="宋体" w:hAnsi="宋体" w:eastAsia="宋体" w:cs="宋体"/>
                <w:color w:val="auto"/>
                <w:szCs w:val="21"/>
                <w:highlight w:val="none"/>
              </w:rPr>
            </w:pPr>
          </w:p>
        </w:tc>
        <w:tc>
          <w:tcPr>
            <w:tcW w:w="1785" w:type="dxa"/>
            <w:noWrap w:val="0"/>
            <w:vAlign w:val="center"/>
          </w:tcPr>
          <w:p w14:paraId="4EF767D2">
            <w:pPr>
              <w:spacing w:line="360" w:lineRule="auto"/>
              <w:jc w:val="center"/>
              <w:rPr>
                <w:rFonts w:hint="eastAsia" w:ascii="宋体" w:hAnsi="宋体" w:eastAsia="宋体" w:cs="宋体"/>
                <w:color w:val="auto"/>
                <w:szCs w:val="21"/>
                <w:highlight w:val="none"/>
              </w:rPr>
            </w:pPr>
          </w:p>
        </w:tc>
        <w:tc>
          <w:tcPr>
            <w:tcW w:w="1116" w:type="dxa"/>
            <w:noWrap w:val="0"/>
            <w:vAlign w:val="center"/>
          </w:tcPr>
          <w:p w14:paraId="701EF1E4">
            <w:pPr>
              <w:spacing w:line="360" w:lineRule="auto"/>
              <w:jc w:val="center"/>
              <w:rPr>
                <w:rFonts w:hint="eastAsia" w:ascii="宋体" w:hAnsi="宋体" w:eastAsia="宋体" w:cs="宋体"/>
                <w:color w:val="auto"/>
                <w:szCs w:val="21"/>
                <w:highlight w:val="none"/>
              </w:rPr>
            </w:pPr>
          </w:p>
        </w:tc>
        <w:tc>
          <w:tcPr>
            <w:tcW w:w="1341" w:type="dxa"/>
            <w:noWrap w:val="0"/>
            <w:vAlign w:val="center"/>
          </w:tcPr>
          <w:p w14:paraId="5095B213">
            <w:pPr>
              <w:spacing w:line="360" w:lineRule="auto"/>
              <w:jc w:val="center"/>
              <w:rPr>
                <w:rFonts w:hint="eastAsia" w:ascii="宋体" w:hAnsi="宋体" w:eastAsia="宋体" w:cs="宋体"/>
                <w:color w:val="auto"/>
                <w:szCs w:val="21"/>
                <w:highlight w:val="none"/>
              </w:rPr>
            </w:pPr>
          </w:p>
        </w:tc>
        <w:tc>
          <w:tcPr>
            <w:tcW w:w="1080" w:type="dxa"/>
            <w:noWrap w:val="0"/>
            <w:vAlign w:val="center"/>
          </w:tcPr>
          <w:p w14:paraId="35DA47E8">
            <w:pPr>
              <w:spacing w:line="360" w:lineRule="auto"/>
              <w:jc w:val="center"/>
              <w:rPr>
                <w:rFonts w:hint="eastAsia" w:ascii="宋体" w:hAnsi="宋体" w:eastAsia="宋体" w:cs="宋体"/>
                <w:color w:val="auto"/>
                <w:szCs w:val="21"/>
                <w:highlight w:val="none"/>
              </w:rPr>
            </w:pPr>
          </w:p>
        </w:tc>
      </w:tr>
      <w:tr w14:paraId="2358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4E3816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793" w:type="dxa"/>
            <w:noWrap w:val="0"/>
            <w:vAlign w:val="center"/>
          </w:tcPr>
          <w:p w14:paraId="7AB32F4C">
            <w:pPr>
              <w:spacing w:line="360" w:lineRule="auto"/>
              <w:jc w:val="center"/>
              <w:rPr>
                <w:rFonts w:hint="eastAsia" w:ascii="宋体" w:hAnsi="宋体" w:eastAsia="宋体" w:cs="宋体"/>
                <w:color w:val="auto"/>
                <w:szCs w:val="21"/>
                <w:highlight w:val="none"/>
              </w:rPr>
            </w:pPr>
          </w:p>
        </w:tc>
        <w:tc>
          <w:tcPr>
            <w:tcW w:w="900" w:type="dxa"/>
            <w:noWrap w:val="0"/>
            <w:vAlign w:val="center"/>
          </w:tcPr>
          <w:p w14:paraId="694BDDB4">
            <w:pPr>
              <w:spacing w:line="360" w:lineRule="auto"/>
              <w:jc w:val="center"/>
              <w:rPr>
                <w:rFonts w:hint="eastAsia" w:ascii="宋体" w:hAnsi="宋体" w:eastAsia="宋体" w:cs="宋体"/>
                <w:color w:val="auto"/>
                <w:szCs w:val="21"/>
                <w:highlight w:val="none"/>
              </w:rPr>
            </w:pPr>
          </w:p>
        </w:tc>
        <w:tc>
          <w:tcPr>
            <w:tcW w:w="992" w:type="dxa"/>
            <w:noWrap w:val="0"/>
            <w:vAlign w:val="center"/>
          </w:tcPr>
          <w:p w14:paraId="15A17FFE">
            <w:pPr>
              <w:spacing w:line="360" w:lineRule="auto"/>
              <w:jc w:val="center"/>
              <w:rPr>
                <w:rFonts w:hint="eastAsia" w:ascii="宋体" w:hAnsi="宋体" w:eastAsia="宋体" w:cs="宋体"/>
                <w:color w:val="auto"/>
                <w:szCs w:val="21"/>
                <w:highlight w:val="none"/>
              </w:rPr>
            </w:pPr>
          </w:p>
        </w:tc>
        <w:tc>
          <w:tcPr>
            <w:tcW w:w="1785" w:type="dxa"/>
            <w:noWrap w:val="0"/>
            <w:vAlign w:val="center"/>
          </w:tcPr>
          <w:p w14:paraId="3E751674">
            <w:pPr>
              <w:spacing w:line="360" w:lineRule="auto"/>
              <w:jc w:val="center"/>
              <w:rPr>
                <w:rFonts w:hint="eastAsia" w:ascii="宋体" w:hAnsi="宋体" w:eastAsia="宋体" w:cs="宋体"/>
                <w:color w:val="auto"/>
                <w:szCs w:val="21"/>
                <w:highlight w:val="none"/>
              </w:rPr>
            </w:pPr>
          </w:p>
        </w:tc>
        <w:tc>
          <w:tcPr>
            <w:tcW w:w="1116" w:type="dxa"/>
            <w:noWrap w:val="0"/>
            <w:vAlign w:val="center"/>
          </w:tcPr>
          <w:p w14:paraId="708551D3">
            <w:pPr>
              <w:spacing w:line="360" w:lineRule="auto"/>
              <w:jc w:val="center"/>
              <w:rPr>
                <w:rFonts w:hint="eastAsia" w:ascii="宋体" w:hAnsi="宋体" w:eastAsia="宋体" w:cs="宋体"/>
                <w:color w:val="auto"/>
                <w:szCs w:val="21"/>
                <w:highlight w:val="none"/>
              </w:rPr>
            </w:pPr>
          </w:p>
        </w:tc>
        <w:tc>
          <w:tcPr>
            <w:tcW w:w="1341" w:type="dxa"/>
            <w:noWrap w:val="0"/>
            <w:vAlign w:val="center"/>
          </w:tcPr>
          <w:p w14:paraId="167CB927">
            <w:pPr>
              <w:spacing w:line="360" w:lineRule="auto"/>
              <w:jc w:val="center"/>
              <w:rPr>
                <w:rFonts w:hint="eastAsia" w:ascii="宋体" w:hAnsi="宋体" w:eastAsia="宋体" w:cs="宋体"/>
                <w:color w:val="auto"/>
                <w:szCs w:val="21"/>
                <w:highlight w:val="none"/>
              </w:rPr>
            </w:pPr>
          </w:p>
        </w:tc>
        <w:tc>
          <w:tcPr>
            <w:tcW w:w="1080" w:type="dxa"/>
            <w:noWrap w:val="0"/>
            <w:vAlign w:val="center"/>
          </w:tcPr>
          <w:p w14:paraId="16482FF3">
            <w:pPr>
              <w:spacing w:line="360" w:lineRule="auto"/>
              <w:jc w:val="center"/>
              <w:rPr>
                <w:rFonts w:hint="eastAsia" w:ascii="宋体" w:hAnsi="宋体" w:eastAsia="宋体" w:cs="宋体"/>
                <w:color w:val="auto"/>
                <w:szCs w:val="21"/>
                <w:highlight w:val="none"/>
              </w:rPr>
            </w:pPr>
          </w:p>
        </w:tc>
      </w:tr>
      <w:tr w14:paraId="5316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3D0C89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793" w:type="dxa"/>
            <w:noWrap w:val="0"/>
            <w:vAlign w:val="center"/>
          </w:tcPr>
          <w:p w14:paraId="189E214F">
            <w:pPr>
              <w:spacing w:line="360" w:lineRule="auto"/>
              <w:jc w:val="center"/>
              <w:rPr>
                <w:rFonts w:hint="eastAsia" w:ascii="宋体" w:hAnsi="宋体" w:eastAsia="宋体" w:cs="宋体"/>
                <w:color w:val="auto"/>
                <w:szCs w:val="21"/>
                <w:highlight w:val="none"/>
              </w:rPr>
            </w:pPr>
          </w:p>
        </w:tc>
        <w:tc>
          <w:tcPr>
            <w:tcW w:w="900" w:type="dxa"/>
            <w:noWrap w:val="0"/>
            <w:vAlign w:val="center"/>
          </w:tcPr>
          <w:p w14:paraId="7BAEECD8">
            <w:pPr>
              <w:spacing w:line="360" w:lineRule="auto"/>
              <w:jc w:val="center"/>
              <w:rPr>
                <w:rFonts w:hint="eastAsia" w:ascii="宋体" w:hAnsi="宋体" w:eastAsia="宋体" w:cs="宋体"/>
                <w:color w:val="auto"/>
                <w:szCs w:val="21"/>
                <w:highlight w:val="none"/>
              </w:rPr>
            </w:pPr>
          </w:p>
        </w:tc>
        <w:tc>
          <w:tcPr>
            <w:tcW w:w="992" w:type="dxa"/>
            <w:noWrap w:val="0"/>
            <w:vAlign w:val="center"/>
          </w:tcPr>
          <w:p w14:paraId="2CAF6CF5">
            <w:pPr>
              <w:spacing w:line="360" w:lineRule="auto"/>
              <w:jc w:val="center"/>
              <w:rPr>
                <w:rFonts w:hint="eastAsia" w:ascii="宋体" w:hAnsi="宋体" w:eastAsia="宋体" w:cs="宋体"/>
                <w:color w:val="auto"/>
                <w:szCs w:val="21"/>
                <w:highlight w:val="none"/>
              </w:rPr>
            </w:pPr>
          </w:p>
        </w:tc>
        <w:tc>
          <w:tcPr>
            <w:tcW w:w="1785" w:type="dxa"/>
            <w:noWrap w:val="0"/>
            <w:vAlign w:val="center"/>
          </w:tcPr>
          <w:p w14:paraId="23AFF682">
            <w:pPr>
              <w:spacing w:line="360" w:lineRule="auto"/>
              <w:jc w:val="center"/>
              <w:rPr>
                <w:rFonts w:hint="eastAsia" w:ascii="宋体" w:hAnsi="宋体" w:eastAsia="宋体" w:cs="宋体"/>
                <w:color w:val="auto"/>
                <w:szCs w:val="21"/>
                <w:highlight w:val="none"/>
              </w:rPr>
            </w:pPr>
          </w:p>
        </w:tc>
        <w:tc>
          <w:tcPr>
            <w:tcW w:w="1116" w:type="dxa"/>
            <w:noWrap w:val="0"/>
            <w:vAlign w:val="center"/>
          </w:tcPr>
          <w:p w14:paraId="2A4A357B">
            <w:pPr>
              <w:spacing w:line="360" w:lineRule="auto"/>
              <w:jc w:val="center"/>
              <w:rPr>
                <w:rFonts w:hint="eastAsia" w:ascii="宋体" w:hAnsi="宋体" w:eastAsia="宋体" w:cs="宋体"/>
                <w:color w:val="auto"/>
                <w:szCs w:val="21"/>
                <w:highlight w:val="none"/>
              </w:rPr>
            </w:pPr>
          </w:p>
        </w:tc>
        <w:tc>
          <w:tcPr>
            <w:tcW w:w="1341" w:type="dxa"/>
            <w:noWrap w:val="0"/>
            <w:vAlign w:val="center"/>
          </w:tcPr>
          <w:p w14:paraId="7DA0CBFA">
            <w:pPr>
              <w:spacing w:line="360" w:lineRule="auto"/>
              <w:jc w:val="center"/>
              <w:rPr>
                <w:rFonts w:hint="eastAsia" w:ascii="宋体" w:hAnsi="宋体" w:eastAsia="宋体" w:cs="宋体"/>
                <w:color w:val="auto"/>
                <w:szCs w:val="21"/>
                <w:highlight w:val="none"/>
              </w:rPr>
            </w:pPr>
          </w:p>
        </w:tc>
        <w:tc>
          <w:tcPr>
            <w:tcW w:w="1080" w:type="dxa"/>
            <w:noWrap w:val="0"/>
            <w:vAlign w:val="center"/>
          </w:tcPr>
          <w:p w14:paraId="5A4373E6">
            <w:pPr>
              <w:spacing w:line="360" w:lineRule="auto"/>
              <w:jc w:val="center"/>
              <w:rPr>
                <w:rFonts w:hint="eastAsia" w:ascii="宋体" w:hAnsi="宋体" w:eastAsia="宋体" w:cs="宋体"/>
                <w:color w:val="auto"/>
                <w:szCs w:val="21"/>
                <w:highlight w:val="none"/>
              </w:rPr>
            </w:pPr>
          </w:p>
        </w:tc>
      </w:tr>
      <w:tr w14:paraId="1A92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317F75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793" w:type="dxa"/>
            <w:noWrap w:val="0"/>
            <w:vAlign w:val="center"/>
          </w:tcPr>
          <w:p w14:paraId="32618E02">
            <w:pPr>
              <w:spacing w:line="360" w:lineRule="auto"/>
              <w:jc w:val="center"/>
              <w:rPr>
                <w:rFonts w:hint="eastAsia" w:ascii="宋体" w:hAnsi="宋体" w:eastAsia="宋体" w:cs="宋体"/>
                <w:color w:val="auto"/>
                <w:szCs w:val="21"/>
                <w:highlight w:val="none"/>
              </w:rPr>
            </w:pPr>
          </w:p>
        </w:tc>
        <w:tc>
          <w:tcPr>
            <w:tcW w:w="900" w:type="dxa"/>
            <w:noWrap w:val="0"/>
            <w:vAlign w:val="center"/>
          </w:tcPr>
          <w:p w14:paraId="4BE4EB81">
            <w:pPr>
              <w:spacing w:line="360" w:lineRule="auto"/>
              <w:jc w:val="center"/>
              <w:rPr>
                <w:rFonts w:hint="eastAsia" w:ascii="宋体" w:hAnsi="宋体" w:eastAsia="宋体" w:cs="宋体"/>
                <w:color w:val="auto"/>
                <w:szCs w:val="21"/>
                <w:highlight w:val="none"/>
              </w:rPr>
            </w:pPr>
          </w:p>
        </w:tc>
        <w:tc>
          <w:tcPr>
            <w:tcW w:w="992" w:type="dxa"/>
            <w:noWrap w:val="0"/>
            <w:vAlign w:val="center"/>
          </w:tcPr>
          <w:p w14:paraId="60E10AB8">
            <w:pPr>
              <w:spacing w:line="360" w:lineRule="auto"/>
              <w:jc w:val="center"/>
              <w:rPr>
                <w:rFonts w:hint="eastAsia" w:ascii="宋体" w:hAnsi="宋体" w:eastAsia="宋体" w:cs="宋体"/>
                <w:color w:val="auto"/>
                <w:szCs w:val="21"/>
                <w:highlight w:val="none"/>
              </w:rPr>
            </w:pPr>
          </w:p>
        </w:tc>
        <w:tc>
          <w:tcPr>
            <w:tcW w:w="1785" w:type="dxa"/>
            <w:noWrap w:val="0"/>
            <w:vAlign w:val="center"/>
          </w:tcPr>
          <w:p w14:paraId="14A8AA14">
            <w:pPr>
              <w:spacing w:line="360" w:lineRule="auto"/>
              <w:jc w:val="center"/>
              <w:rPr>
                <w:rFonts w:hint="eastAsia" w:ascii="宋体" w:hAnsi="宋体" w:eastAsia="宋体" w:cs="宋体"/>
                <w:color w:val="auto"/>
                <w:szCs w:val="21"/>
                <w:highlight w:val="none"/>
              </w:rPr>
            </w:pPr>
          </w:p>
        </w:tc>
        <w:tc>
          <w:tcPr>
            <w:tcW w:w="1116" w:type="dxa"/>
            <w:noWrap w:val="0"/>
            <w:vAlign w:val="center"/>
          </w:tcPr>
          <w:p w14:paraId="69DBE11B">
            <w:pPr>
              <w:spacing w:line="360" w:lineRule="auto"/>
              <w:jc w:val="center"/>
              <w:rPr>
                <w:rFonts w:hint="eastAsia" w:ascii="宋体" w:hAnsi="宋体" w:eastAsia="宋体" w:cs="宋体"/>
                <w:color w:val="auto"/>
                <w:szCs w:val="21"/>
                <w:highlight w:val="none"/>
              </w:rPr>
            </w:pPr>
          </w:p>
        </w:tc>
        <w:tc>
          <w:tcPr>
            <w:tcW w:w="1341" w:type="dxa"/>
            <w:noWrap w:val="0"/>
            <w:vAlign w:val="center"/>
          </w:tcPr>
          <w:p w14:paraId="60EDF771">
            <w:pPr>
              <w:spacing w:line="360" w:lineRule="auto"/>
              <w:jc w:val="center"/>
              <w:rPr>
                <w:rFonts w:hint="eastAsia" w:ascii="宋体" w:hAnsi="宋体" w:eastAsia="宋体" w:cs="宋体"/>
                <w:color w:val="auto"/>
                <w:szCs w:val="21"/>
                <w:highlight w:val="none"/>
              </w:rPr>
            </w:pPr>
          </w:p>
        </w:tc>
        <w:tc>
          <w:tcPr>
            <w:tcW w:w="1080" w:type="dxa"/>
            <w:noWrap w:val="0"/>
            <w:vAlign w:val="center"/>
          </w:tcPr>
          <w:p w14:paraId="16CDE98C">
            <w:pPr>
              <w:spacing w:line="360" w:lineRule="auto"/>
              <w:jc w:val="center"/>
              <w:rPr>
                <w:rFonts w:hint="eastAsia" w:ascii="宋体" w:hAnsi="宋体" w:eastAsia="宋体" w:cs="宋体"/>
                <w:color w:val="auto"/>
                <w:szCs w:val="21"/>
                <w:highlight w:val="none"/>
              </w:rPr>
            </w:pPr>
          </w:p>
        </w:tc>
      </w:tr>
      <w:tr w14:paraId="31CC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5B6E39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793" w:type="dxa"/>
            <w:noWrap w:val="0"/>
            <w:vAlign w:val="center"/>
          </w:tcPr>
          <w:p w14:paraId="77C9E88F">
            <w:pPr>
              <w:spacing w:line="360" w:lineRule="auto"/>
              <w:jc w:val="center"/>
              <w:rPr>
                <w:rFonts w:hint="eastAsia" w:ascii="宋体" w:hAnsi="宋体" w:eastAsia="宋体" w:cs="宋体"/>
                <w:color w:val="auto"/>
                <w:szCs w:val="21"/>
                <w:highlight w:val="none"/>
              </w:rPr>
            </w:pPr>
          </w:p>
        </w:tc>
        <w:tc>
          <w:tcPr>
            <w:tcW w:w="900" w:type="dxa"/>
            <w:noWrap w:val="0"/>
            <w:vAlign w:val="center"/>
          </w:tcPr>
          <w:p w14:paraId="51F55BCB">
            <w:pPr>
              <w:spacing w:line="360" w:lineRule="auto"/>
              <w:jc w:val="center"/>
              <w:rPr>
                <w:rFonts w:hint="eastAsia" w:ascii="宋体" w:hAnsi="宋体" w:eastAsia="宋体" w:cs="宋体"/>
                <w:color w:val="auto"/>
                <w:szCs w:val="21"/>
                <w:highlight w:val="none"/>
              </w:rPr>
            </w:pPr>
          </w:p>
        </w:tc>
        <w:tc>
          <w:tcPr>
            <w:tcW w:w="992" w:type="dxa"/>
            <w:noWrap w:val="0"/>
            <w:vAlign w:val="center"/>
          </w:tcPr>
          <w:p w14:paraId="68AA12C4">
            <w:pPr>
              <w:spacing w:line="360" w:lineRule="auto"/>
              <w:jc w:val="center"/>
              <w:rPr>
                <w:rFonts w:hint="eastAsia" w:ascii="宋体" w:hAnsi="宋体" w:eastAsia="宋体" w:cs="宋体"/>
                <w:color w:val="auto"/>
                <w:szCs w:val="21"/>
                <w:highlight w:val="none"/>
              </w:rPr>
            </w:pPr>
          </w:p>
        </w:tc>
        <w:tc>
          <w:tcPr>
            <w:tcW w:w="1785" w:type="dxa"/>
            <w:noWrap w:val="0"/>
            <w:vAlign w:val="center"/>
          </w:tcPr>
          <w:p w14:paraId="576B920C">
            <w:pPr>
              <w:spacing w:line="360" w:lineRule="auto"/>
              <w:jc w:val="center"/>
              <w:rPr>
                <w:rFonts w:hint="eastAsia" w:ascii="宋体" w:hAnsi="宋体" w:eastAsia="宋体" w:cs="宋体"/>
                <w:color w:val="auto"/>
                <w:szCs w:val="21"/>
                <w:highlight w:val="none"/>
              </w:rPr>
            </w:pPr>
          </w:p>
        </w:tc>
        <w:tc>
          <w:tcPr>
            <w:tcW w:w="1116" w:type="dxa"/>
            <w:noWrap w:val="0"/>
            <w:vAlign w:val="center"/>
          </w:tcPr>
          <w:p w14:paraId="68FD5F62">
            <w:pPr>
              <w:spacing w:line="360" w:lineRule="auto"/>
              <w:jc w:val="center"/>
              <w:rPr>
                <w:rFonts w:hint="eastAsia" w:ascii="宋体" w:hAnsi="宋体" w:eastAsia="宋体" w:cs="宋体"/>
                <w:color w:val="auto"/>
                <w:szCs w:val="21"/>
                <w:highlight w:val="none"/>
              </w:rPr>
            </w:pPr>
          </w:p>
        </w:tc>
        <w:tc>
          <w:tcPr>
            <w:tcW w:w="1341" w:type="dxa"/>
            <w:noWrap w:val="0"/>
            <w:vAlign w:val="center"/>
          </w:tcPr>
          <w:p w14:paraId="58A192DB">
            <w:pPr>
              <w:spacing w:line="360" w:lineRule="auto"/>
              <w:jc w:val="center"/>
              <w:rPr>
                <w:rFonts w:hint="eastAsia" w:ascii="宋体" w:hAnsi="宋体" w:eastAsia="宋体" w:cs="宋体"/>
                <w:color w:val="auto"/>
                <w:szCs w:val="21"/>
                <w:highlight w:val="none"/>
              </w:rPr>
            </w:pPr>
          </w:p>
        </w:tc>
        <w:tc>
          <w:tcPr>
            <w:tcW w:w="1080" w:type="dxa"/>
            <w:noWrap w:val="0"/>
            <w:vAlign w:val="center"/>
          </w:tcPr>
          <w:p w14:paraId="5CE0BEFF">
            <w:pPr>
              <w:spacing w:line="360" w:lineRule="auto"/>
              <w:jc w:val="center"/>
              <w:rPr>
                <w:rFonts w:hint="eastAsia" w:ascii="宋体" w:hAnsi="宋体" w:eastAsia="宋体" w:cs="宋体"/>
                <w:color w:val="auto"/>
                <w:szCs w:val="21"/>
                <w:highlight w:val="none"/>
              </w:rPr>
            </w:pPr>
          </w:p>
        </w:tc>
      </w:tr>
    </w:tbl>
    <w:p w14:paraId="60999C1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注：投标人应根据招标文件的要求在本表后附相关证明材料</w:t>
      </w:r>
    </w:p>
    <w:p w14:paraId="074F63C1">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highlight w:val="none"/>
        </w:rPr>
        <w:t>（本项不作为资格审查内容，但（如有）需提供，仅作为投标人的评标（综合评分）资料进行考察。表格格式可以根据实际情况调整。）</w:t>
      </w:r>
    </w:p>
    <w:p w14:paraId="065F6309">
      <w:pPr>
        <w:spacing w:line="360" w:lineRule="auto"/>
        <w:ind w:firstLine="565" w:firstLineChars="202"/>
        <w:jc w:val="left"/>
        <w:rPr>
          <w:rFonts w:hint="eastAsia" w:ascii="宋体" w:hAnsi="宋体" w:eastAsia="宋体" w:cs="宋体"/>
          <w:color w:val="auto"/>
          <w:sz w:val="28"/>
          <w:szCs w:val="28"/>
          <w:highlight w:val="none"/>
        </w:rPr>
      </w:pPr>
    </w:p>
    <w:p w14:paraId="24A4FFCC">
      <w:pPr>
        <w:spacing w:line="360" w:lineRule="auto"/>
        <w:ind w:firstLine="565" w:firstLineChars="202"/>
        <w:jc w:val="left"/>
        <w:rPr>
          <w:rFonts w:hint="eastAsia" w:ascii="宋体" w:hAnsi="宋体" w:eastAsia="宋体" w:cs="宋体"/>
          <w:color w:val="auto"/>
          <w:sz w:val="28"/>
          <w:szCs w:val="28"/>
          <w:highlight w:val="none"/>
        </w:rPr>
      </w:pPr>
    </w:p>
    <w:p w14:paraId="598C5585">
      <w:pPr>
        <w:keepNext/>
        <w:keepLines/>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267" w:name="_Toc24856"/>
      <w:r>
        <w:rPr>
          <w:rFonts w:hint="eastAsia" w:ascii="宋体" w:hAnsi="宋体" w:eastAsia="宋体" w:cs="宋体"/>
          <w:b/>
          <w:bCs/>
          <w:color w:val="auto"/>
          <w:sz w:val="32"/>
          <w:szCs w:val="32"/>
          <w:highlight w:val="none"/>
        </w:rPr>
        <w:t>十、检测监测技术方案</w:t>
      </w:r>
      <w:bookmarkEnd w:id="267"/>
    </w:p>
    <w:p w14:paraId="75771934">
      <w:pPr>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（格式自定）</w:t>
      </w:r>
      <w:bookmarkEnd w:id="265"/>
      <w:bookmarkEnd w:id="266"/>
    </w:p>
    <w:p w14:paraId="46018FFF">
      <w:pPr>
        <w:keepNext/>
        <w:keepLines/>
        <w:spacing w:line="360" w:lineRule="auto"/>
        <w:jc w:val="center"/>
        <w:outlineLvl w:val="1"/>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bookmarkStart w:id="268" w:name="_Toc24338"/>
      <w:r>
        <w:rPr>
          <w:rFonts w:hint="eastAsia" w:ascii="宋体" w:hAnsi="宋体" w:eastAsia="宋体" w:cs="宋体"/>
          <w:b/>
          <w:bCs/>
          <w:color w:val="auto"/>
          <w:sz w:val="32"/>
          <w:szCs w:val="32"/>
          <w:highlight w:val="none"/>
        </w:rPr>
        <w:t>十一、投标人认为应该提供的其他资料</w:t>
      </w:r>
      <w:bookmarkEnd w:id="268"/>
    </w:p>
    <w:p w14:paraId="04E2E1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投标人须知前附表规定的其他资料，投标人认为有必要提交的其他资料，格式自定。</w:t>
      </w:r>
    </w:p>
    <w:p w14:paraId="33395EDC">
      <w:pPr>
        <w:rPr>
          <w:color w:val="auto"/>
          <w:highlight w:val="none"/>
        </w:rPr>
      </w:pPr>
    </w:p>
    <w:bookmarkEnd w:id="269"/>
    <w:sectPr>
      <w:pgSz w:w="11905" w:h="16838"/>
      <w:pgMar w:top="1418" w:right="1701" w:bottom="1418" w:left="1701"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B0E4C">
    <w:pPr>
      <w:pStyle w:val="11"/>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D19E65">
                          <w:pPr>
                            <w:pStyle w:val="11"/>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1</w:t>
                          </w:r>
                          <w:r>
                            <w:rPr>
                              <w:rFonts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4D19E65">
                    <w:pPr>
                      <w:pStyle w:val="11"/>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1</w:t>
                    </w:r>
                    <w:r>
                      <w:rPr>
                        <w:rFonts w:eastAsia="宋体"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0DC74">
    <w:pPr>
      <w:rPr>
        <w:rFonts w:eastAsia="宋体" w:cs="Times New Roman"/>
      </w:rPr>
    </w:pPr>
    <w:r>
      <w:rPr>
        <w:rFonts w:eastAsia="宋体"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E8C8C3">
                          <w:pPr>
                            <w:pStyle w:val="11"/>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2</w:t>
                          </w:r>
                          <w:r>
                            <w:rPr>
                              <w:rFonts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2E8C8C3">
                    <w:pPr>
                      <w:pStyle w:val="11"/>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2</w:t>
                    </w:r>
                    <w:r>
                      <w:rPr>
                        <w:rFonts w:eastAsia="宋体"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2B325">
    <w:pPr>
      <w:rPr>
        <w:rFonts w:eastAsia="宋体" w:cs="Times New Roman"/>
      </w:rPr>
    </w:pPr>
    <w:r>
      <w:rPr>
        <w:rFonts w:eastAsia="宋体" w:cs="Times New Roman"/>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06010">
                          <w:pPr>
                            <w:pStyle w:val="11"/>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32</w:t>
                          </w:r>
                          <w:r>
                            <w:rPr>
                              <w:rFonts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5B06010">
                    <w:pPr>
                      <w:pStyle w:val="11"/>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32</w:t>
                    </w:r>
                    <w:r>
                      <w:rPr>
                        <w:rFonts w:eastAsia="宋体"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BEA92"/>
    <w:multiLevelType w:val="singleLevel"/>
    <w:tmpl w:val="E05BEA92"/>
    <w:lvl w:ilvl="0" w:tentative="0">
      <w:start w:val="6"/>
      <w:numFmt w:val="chineseCounting"/>
      <w:suff w:val="space"/>
      <w:lvlText w:val="第%1章"/>
      <w:lvlJc w:val="left"/>
      <w:rPr>
        <w:rFonts w:hint="eastAsia"/>
      </w:rPr>
    </w:lvl>
  </w:abstractNum>
  <w:abstractNum w:abstractNumId="1">
    <w:nsid w:val="E5FFC083"/>
    <w:multiLevelType w:val="singleLevel"/>
    <w:tmpl w:val="E5FFC083"/>
    <w:lvl w:ilvl="0" w:tentative="0">
      <w:start w:val="1"/>
      <w:numFmt w:val="chineseCounting"/>
      <w:suff w:val="space"/>
      <w:lvlText w:val="第%1章"/>
      <w:lvlJc w:val="left"/>
      <w:rPr>
        <w:rFonts w:hint="eastAsia"/>
      </w:rPr>
    </w:lvl>
  </w:abstractNum>
  <w:abstractNum w:abstractNumId="2">
    <w:nsid w:val="52516B35"/>
    <w:multiLevelType w:val="singleLevel"/>
    <w:tmpl w:val="52516B35"/>
    <w:lvl w:ilvl="0" w:tentative="0">
      <w:start w:val="1"/>
      <w:numFmt w:val="decimal"/>
      <w:suff w:val="nothing"/>
      <w:lvlText w:val="%1、"/>
      <w:lvlJc w:val="left"/>
      <w:rPr>
        <w:rFonts w:hint="default"/>
        <w:b w:val="0"/>
        <w:bCs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zA2ZDAzMjI2Mzg3ZDdjN2IzMmRjNmU0OWIyNGIifQ=="/>
  </w:docVars>
  <w:rsids>
    <w:rsidRoot w:val="429C3596"/>
    <w:rsid w:val="03083A13"/>
    <w:rsid w:val="0AB31712"/>
    <w:rsid w:val="0AE82A66"/>
    <w:rsid w:val="3CCA6C49"/>
    <w:rsid w:val="429C3596"/>
    <w:rsid w:val="4496535B"/>
    <w:rsid w:val="5E7C1D97"/>
    <w:rsid w:val="678D23C4"/>
    <w:rsid w:val="6CC27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next w:val="1"/>
    <w:qFormat/>
    <w:uiPriority w:val="0"/>
    <w:pPr>
      <w:keepNext/>
      <w:keepLines/>
      <w:widowControl w:val="0"/>
      <w:spacing w:line="578" w:lineRule="auto"/>
      <w:jc w:val="both"/>
      <w:outlineLvl w:val="0"/>
    </w:pPr>
    <w:rPr>
      <w:rFonts w:ascii="Calibri" w:hAnsi="Calibri" w:eastAsia="黑体" w:cs="Times New Roman"/>
      <w:b/>
      <w:bCs/>
      <w:kern w:val="44"/>
      <w:sz w:val="44"/>
      <w:szCs w:val="44"/>
      <w:lang w:val="en-US" w:eastAsia="zh-CN" w:bidi="ar-SA"/>
    </w:rPr>
  </w:style>
  <w:style w:type="paragraph" w:styleId="4">
    <w:name w:val="heading 2"/>
    <w:next w:val="1"/>
    <w:qFormat/>
    <w:uiPriority w:val="0"/>
    <w:pPr>
      <w:keepNext/>
      <w:keepLines/>
      <w:widowControl w:val="0"/>
      <w:spacing w:before="240" w:after="240" w:line="416" w:lineRule="auto"/>
      <w:jc w:val="both"/>
      <w:outlineLvl w:val="1"/>
    </w:pPr>
    <w:rPr>
      <w:rFonts w:ascii="Cambria" w:hAnsi="Cambria" w:eastAsia="仿宋" w:cs="Times New Roman"/>
      <w:b/>
      <w:bCs/>
      <w:kern w:val="0"/>
      <w:sz w:val="40"/>
      <w:szCs w:val="32"/>
      <w:lang w:val="en-US" w:eastAsia="zh-CN" w:bidi="ar-SA"/>
    </w:rPr>
  </w:style>
  <w:style w:type="paragraph" w:styleId="5">
    <w:name w:val="heading 7"/>
    <w:next w:val="1"/>
    <w:qFormat/>
    <w:uiPriority w:val="0"/>
    <w:pPr>
      <w:keepNext/>
      <w:keepLines/>
      <w:widowControl w:val="0"/>
      <w:spacing w:before="240" w:after="64" w:line="317" w:lineRule="auto"/>
      <w:jc w:val="both"/>
      <w:outlineLvl w:val="6"/>
    </w:pPr>
    <w:rPr>
      <w:rFonts w:ascii="Times New Roman" w:hAnsi="Times New Roman" w:eastAsia="宋体" w:cs="Times New Roman"/>
      <w:b/>
      <w:kern w:val="0"/>
      <w:sz w:val="24"/>
      <w:szCs w:val="20"/>
      <w:lang w:val="en-US" w:eastAsia="zh-CN" w:bidi="ar-SA"/>
    </w:rPr>
  </w:style>
  <w:style w:type="character" w:default="1" w:styleId="17">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6">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7">
    <w:name w:val="Body Text 3"/>
    <w:qFormat/>
    <w:uiPriority w:val="0"/>
    <w:pPr>
      <w:widowControl w:val="0"/>
      <w:jc w:val="both"/>
    </w:pPr>
    <w:rPr>
      <w:rFonts w:ascii="宋体" w:hAnsi="Calibri" w:eastAsia="宋体" w:cs="Times New Roman"/>
      <w:kern w:val="2"/>
      <w:sz w:val="24"/>
      <w:szCs w:val="20"/>
      <w:lang w:val="en-US" w:eastAsia="zh-CN" w:bidi="ar-SA"/>
    </w:rPr>
  </w:style>
  <w:style w:type="paragraph" w:styleId="8">
    <w:name w:val="Body Text"/>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0"/>
    <w:unhideWhenUsed/>
    <w:qFormat/>
    <w:uiPriority w:val="0"/>
    <w:pPr>
      <w:widowControl w:val="0"/>
      <w:spacing w:after="120"/>
      <w:ind w:left="420" w:leftChars="200"/>
      <w:jc w:val="both"/>
    </w:pPr>
    <w:rPr>
      <w:rFonts w:ascii="Calibri" w:hAnsi="Calibri" w:eastAsia="宋体" w:cs="Times New Roman"/>
      <w:kern w:val="0"/>
      <w:sz w:val="20"/>
      <w:szCs w:val="20"/>
      <w:lang w:val="en-US" w:eastAsia="zh-CN" w:bidi="ar-SA"/>
    </w:rPr>
  </w:style>
  <w:style w:type="paragraph" w:styleId="10">
    <w:name w:val="envelope return"/>
    <w:qFormat/>
    <w:uiPriority w:val="0"/>
    <w:pPr>
      <w:widowControl w:val="0"/>
      <w:snapToGrid w:val="0"/>
      <w:jc w:val="both"/>
    </w:pPr>
    <w:rPr>
      <w:rFonts w:ascii="Arial" w:hAnsi="Arial" w:eastAsia="宋体" w:cs="Arial"/>
      <w:kern w:val="2"/>
      <w:sz w:val="21"/>
      <w:szCs w:val="22"/>
      <w:lang w:val="en-US" w:eastAsia="zh-CN" w:bidi="ar-SA"/>
    </w:rPr>
  </w:style>
  <w:style w:type="paragraph" w:styleId="11">
    <w:name w:val="footer"/>
    <w:unhideWhenUsed/>
    <w:qFormat/>
    <w:uiPriority w:val="99"/>
    <w:pPr>
      <w:widowControl w:val="0"/>
      <w:tabs>
        <w:tab w:val="center" w:pos="4153"/>
        <w:tab w:val="right" w:pos="8306"/>
      </w:tabs>
      <w:snapToGrid w:val="0"/>
      <w:jc w:val="left"/>
    </w:pPr>
    <w:rPr>
      <w:rFonts w:ascii="Calibri" w:hAnsi="Calibri" w:eastAsia="宋体" w:cs="Times New Roman"/>
      <w:kern w:val="0"/>
      <w:sz w:val="18"/>
      <w:szCs w:val="18"/>
      <w:lang w:val="en-US" w:eastAsia="zh-CN" w:bidi="ar-SA"/>
    </w:rPr>
  </w:style>
  <w:style w:type="paragraph" w:styleId="12">
    <w:name w:val="toc 1"/>
    <w:next w:val="1"/>
    <w:unhideWhenUsed/>
    <w:qFormat/>
    <w:uiPriority w:val="39"/>
    <w:pPr>
      <w:widowControl w:val="0"/>
      <w:spacing w:before="120" w:after="120"/>
      <w:jc w:val="left"/>
    </w:pPr>
    <w:rPr>
      <w:rFonts w:ascii="Calibri" w:hAnsi="Calibri" w:eastAsia="宋体" w:cs="Times New Roman"/>
      <w:b/>
      <w:bCs/>
      <w:caps/>
      <w:kern w:val="2"/>
      <w:sz w:val="20"/>
      <w:szCs w:val="20"/>
      <w:lang w:val="en-US" w:eastAsia="zh-CN" w:bidi="ar-SA"/>
    </w:rPr>
  </w:style>
  <w:style w:type="paragraph" w:styleId="13">
    <w:name w:val="toc 2"/>
    <w:next w:val="1"/>
    <w:unhideWhenUsed/>
    <w:qFormat/>
    <w:uiPriority w:val="39"/>
    <w:pPr>
      <w:widowControl w:val="0"/>
      <w:ind w:left="210"/>
      <w:jc w:val="left"/>
    </w:pPr>
    <w:rPr>
      <w:rFonts w:ascii="Calibri" w:hAnsi="Calibri" w:eastAsia="宋体" w:cs="Times New Roman"/>
      <w:smallCaps/>
      <w:kern w:val="2"/>
      <w:sz w:val="20"/>
      <w:szCs w:val="20"/>
      <w:lang w:val="en-US" w:eastAsia="zh-CN" w:bidi="ar-SA"/>
    </w:rPr>
  </w:style>
  <w:style w:type="paragraph" w:styleId="14">
    <w:name w:val="Body Text First Indent"/>
    <w:next w:val="15"/>
    <w:qFormat/>
    <w:uiPriority w:val="0"/>
    <w:pPr>
      <w:widowControl w:val="0"/>
      <w:spacing w:after="120" w:line="312" w:lineRule="auto"/>
      <w:ind w:firstLine="420"/>
      <w:jc w:val="both"/>
    </w:pPr>
    <w:rPr>
      <w:rFonts w:ascii="Times New Roman" w:hAnsi="Times New Roman" w:eastAsia="宋体" w:cs="Times New Roman"/>
      <w:kern w:val="2"/>
      <w:sz w:val="21"/>
      <w:szCs w:val="24"/>
      <w:lang w:val="en-US" w:eastAsia="zh-CN" w:bidi="ar-SA"/>
    </w:rPr>
  </w:style>
  <w:style w:type="paragraph" w:styleId="15">
    <w:name w:val="Body Text First Indent 2"/>
    <w:unhideWhenUsed/>
    <w:qFormat/>
    <w:uiPriority w:val="99"/>
    <w:pPr>
      <w:widowControl/>
      <w:spacing w:after="120" w:line="256" w:lineRule="auto"/>
      <w:ind w:left="420" w:leftChars="200" w:firstLine="420" w:firstLineChars="200"/>
      <w:jc w:val="left"/>
    </w:pPr>
    <w:rPr>
      <w:rFonts w:ascii="Calibri" w:hAnsi="Calibri" w:eastAsia="Calibri" w:cs="Times New Roman"/>
      <w:color w:val="000000"/>
      <w:kern w:val="0"/>
      <w:sz w:val="22"/>
      <w:szCs w:val="20"/>
      <w:lang w:val="en-US" w:eastAsia="zh-CN" w:bidi="ar-SA"/>
    </w:rPr>
  </w:style>
  <w:style w:type="paragraph" w:customStyle="1" w:styleId="18">
    <w:name w:val="自定表格内容"/>
    <w:qFormat/>
    <w:uiPriority w:val="0"/>
    <w:pPr>
      <w:widowControl w:val="0"/>
      <w:spacing w:after="0" w:line="360" w:lineRule="auto"/>
      <w:jc w:val="left"/>
    </w:pPr>
    <w:rPr>
      <w:rFonts w:ascii="Calibri" w:hAnsi="Calibri" w:eastAsia="宋体" w:cs="Times New Roman"/>
      <w:kern w:val="2"/>
      <w:sz w:val="21"/>
      <w:szCs w:val="24"/>
      <w:lang w:val="en-US" w:eastAsia="zh-CN" w:bidi="ar-SA"/>
    </w:rPr>
  </w:style>
  <w:style w:type="paragraph" w:styleId="1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13</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2024-10-28T08:37:00Z</dcterms:created>
  <dc:creator>Administrator</dc:creator>
  <cp:lastModifiedBy>Administrator</cp:lastModifiedBy>
  <dcterms:modified xsi:type="dcterms:W3CDTF">2024-10-28T09:01:02Z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D039F619E08D4592A50E49CD00CAE3A8_11</vt:lpwstr>
  </property>
</Properties>
</file>