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44B25">
      <w:pPr>
        <w:pStyle w:val="11"/>
        <w:ind w:firstLine="400"/>
        <w:rPr>
          <w:rFonts w:hint="eastAsia" w:ascii="宋体" w:hAnsi="宋体" w:cs="宋体"/>
          <w:color w:val="auto"/>
          <w:sz w:val="20"/>
          <w:szCs w:val="20"/>
        </w:rPr>
      </w:pPr>
      <w:bookmarkStart w:id="585" w:name="_GoBack"/>
      <w:bookmarkEnd w:id="585"/>
    </w:p>
    <w:p w14:paraId="48C6265A">
      <w:pPr>
        <w:spacing w:line="400" w:lineRule="exact"/>
        <w:rPr>
          <w:rFonts w:hint="eastAsia" w:ascii="宋体" w:hAnsi="宋体" w:cs="宋体"/>
          <w:color w:val="auto"/>
        </w:rPr>
      </w:pPr>
    </w:p>
    <w:p w14:paraId="72D8288D">
      <w:pPr>
        <w:spacing w:line="480" w:lineRule="auto"/>
        <w:jc w:val="center"/>
        <w:rPr>
          <w:rFonts w:hint="eastAsia" w:ascii="宋体" w:hAnsi="宋体" w:cs="宋体"/>
          <w:color w:val="auto"/>
          <w:sz w:val="44"/>
          <w:szCs w:val="44"/>
        </w:rPr>
      </w:pPr>
      <w:r>
        <w:rPr>
          <w:rFonts w:hint="eastAsia" w:ascii="宋体" w:hAnsi="宋体" w:cs="宋体"/>
          <w:color w:val="auto"/>
          <w:sz w:val="44"/>
          <w:szCs w:val="44"/>
        </w:rPr>
        <w:t>广州市越秀区西湖路54-58号第一福北京路旗舰店改造项目设计施工一体化</w:t>
      </w:r>
    </w:p>
    <w:p w14:paraId="438BC9E2">
      <w:pPr>
        <w:spacing w:line="480" w:lineRule="auto"/>
        <w:rPr>
          <w:rFonts w:hint="eastAsia" w:ascii="宋体" w:hAnsi="宋体" w:cs="宋体"/>
          <w:color w:val="auto"/>
          <w:sz w:val="36"/>
          <w:szCs w:val="36"/>
        </w:rPr>
      </w:pPr>
    </w:p>
    <w:p w14:paraId="5C5091BE">
      <w:pPr>
        <w:rPr>
          <w:rFonts w:hint="eastAsia" w:ascii="宋体" w:hAnsi="宋体" w:cs="宋体"/>
          <w:color w:val="auto"/>
          <w:sz w:val="28"/>
          <w:szCs w:val="28"/>
        </w:rPr>
      </w:pPr>
    </w:p>
    <w:p w14:paraId="6E1A2E50">
      <w:pPr>
        <w:pStyle w:val="36"/>
        <w:rPr>
          <w:rFonts w:hint="eastAsia" w:eastAsia="宋体"/>
          <w:color w:val="auto"/>
          <w:lang w:eastAsia="zh-CN"/>
        </w:rPr>
      </w:pPr>
    </w:p>
    <w:p w14:paraId="5A41BBE7">
      <w:pPr>
        <w:pStyle w:val="36"/>
        <w:rPr>
          <w:color w:val="auto"/>
        </w:rPr>
      </w:pPr>
    </w:p>
    <w:p w14:paraId="46FDD1E6">
      <w:pPr>
        <w:pStyle w:val="36"/>
        <w:rPr>
          <w:color w:val="auto"/>
        </w:rPr>
      </w:pPr>
    </w:p>
    <w:p w14:paraId="5C89E033">
      <w:pPr>
        <w:pStyle w:val="36"/>
        <w:rPr>
          <w:color w:val="auto"/>
        </w:rPr>
      </w:pPr>
    </w:p>
    <w:p w14:paraId="0C8B9E24">
      <w:pPr>
        <w:pStyle w:val="36"/>
        <w:rPr>
          <w:color w:val="auto"/>
        </w:rPr>
      </w:pPr>
    </w:p>
    <w:p w14:paraId="77ACF8F3">
      <w:pPr>
        <w:jc w:val="center"/>
        <w:rPr>
          <w:rFonts w:hint="eastAsia" w:ascii="宋体" w:hAnsi="宋体" w:cs="宋体"/>
          <w:color w:val="auto"/>
          <w:sz w:val="96"/>
          <w:szCs w:val="96"/>
        </w:rPr>
      </w:pPr>
      <w:r>
        <w:rPr>
          <w:rFonts w:hint="eastAsia" w:ascii="宋体" w:hAnsi="宋体" w:cs="宋体"/>
          <w:color w:val="auto"/>
          <w:sz w:val="96"/>
          <w:szCs w:val="96"/>
        </w:rPr>
        <w:t>招标文件</w:t>
      </w:r>
    </w:p>
    <w:p w14:paraId="7A803999">
      <w:pPr>
        <w:spacing w:line="400" w:lineRule="exact"/>
        <w:rPr>
          <w:rFonts w:hint="eastAsia" w:ascii="宋体" w:hAnsi="宋体" w:cs="宋体"/>
          <w:color w:val="auto"/>
        </w:rPr>
      </w:pPr>
    </w:p>
    <w:p w14:paraId="477B0DE8">
      <w:pPr>
        <w:spacing w:line="400" w:lineRule="exact"/>
        <w:rPr>
          <w:rFonts w:hint="eastAsia" w:ascii="宋体" w:hAnsi="宋体" w:cs="宋体"/>
          <w:color w:val="auto"/>
        </w:rPr>
      </w:pPr>
    </w:p>
    <w:p w14:paraId="65BD527F">
      <w:pPr>
        <w:spacing w:line="400" w:lineRule="exact"/>
        <w:rPr>
          <w:rFonts w:hint="eastAsia" w:ascii="宋体" w:hAnsi="宋体" w:cs="宋体"/>
          <w:color w:val="auto"/>
        </w:rPr>
      </w:pPr>
    </w:p>
    <w:p w14:paraId="4E275397">
      <w:pPr>
        <w:spacing w:line="400" w:lineRule="exact"/>
        <w:rPr>
          <w:rFonts w:hint="eastAsia" w:ascii="宋体" w:hAnsi="宋体" w:cs="宋体"/>
          <w:color w:val="auto"/>
        </w:rPr>
      </w:pPr>
    </w:p>
    <w:p w14:paraId="0D57F197">
      <w:pPr>
        <w:spacing w:line="400" w:lineRule="exact"/>
        <w:rPr>
          <w:rFonts w:hint="eastAsia" w:ascii="宋体" w:hAnsi="宋体" w:cs="宋体"/>
          <w:color w:val="auto"/>
        </w:rPr>
      </w:pPr>
      <w:r>
        <w:rPr>
          <w:rFonts w:hint="eastAsia" w:ascii="宋体" w:hAnsi="宋体" w:cs="宋体"/>
          <w:color w:val="auto"/>
        </w:rPr>
        <w:t xml:space="preserve"> </w:t>
      </w:r>
    </w:p>
    <w:p w14:paraId="55060962">
      <w:pPr>
        <w:spacing w:line="400" w:lineRule="exact"/>
        <w:rPr>
          <w:rFonts w:hint="eastAsia" w:ascii="宋体" w:hAnsi="宋体" w:cs="宋体"/>
          <w:color w:val="auto"/>
        </w:rPr>
      </w:pPr>
    </w:p>
    <w:p w14:paraId="0FE9461B">
      <w:pPr>
        <w:spacing w:line="400" w:lineRule="exact"/>
        <w:rPr>
          <w:rFonts w:hint="eastAsia" w:ascii="宋体" w:hAnsi="宋体" w:cs="宋体"/>
          <w:color w:val="auto"/>
        </w:rPr>
      </w:pPr>
    </w:p>
    <w:p w14:paraId="392CEE20">
      <w:pPr>
        <w:spacing w:line="400" w:lineRule="exact"/>
        <w:rPr>
          <w:rFonts w:hint="eastAsia" w:ascii="宋体" w:hAnsi="宋体" w:cs="宋体"/>
          <w:color w:val="auto"/>
        </w:rPr>
      </w:pPr>
    </w:p>
    <w:p w14:paraId="01C61F46">
      <w:pPr>
        <w:spacing w:line="400" w:lineRule="exact"/>
        <w:rPr>
          <w:rFonts w:hint="eastAsia" w:ascii="宋体" w:hAnsi="宋体" w:cs="宋体"/>
          <w:color w:val="auto"/>
        </w:rPr>
      </w:pPr>
    </w:p>
    <w:p w14:paraId="3724D2DA">
      <w:pPr>
        <w:spacing w:line="400" w:lineRule="exact"/>
        <w:rPr>
          <w:rFonts w:hint="eastAsia" w:ascii="宋体" w:hAnsi="宋体" w:cs="宋体"/>
          <w:color w:val="auto"/>
        </w:rPr>
      </w:pPr>
    </w:p>
    <w:p w14:paraId="70E0871B">
      <w:pPr>
        <w:spacing w:line="400" w:lineRule="exact"/>
        <w:rPr>
          <w:rFonts w:hint="eastAsia" w:ascii="宋体" w:hAnsi="宋体" w:cs="宋体"/>
          <w:color w:val="auto"/>
        </w:rPr>
      </w:pPr>
    </w:p>
    <w:p w14:paraId="772C17B3">
      <w:pPr>
        <w:ind w:firstLine="1477" w:firstLineChars="211"/>
        <w:jc w:val="left"/>
        <w:rPr>
          <w:rFonts w:hint="eastAsia" w:ascii="宋体" w:hAnsi="宋体" w:cs="宋体"/>
          <w:color w:val="auto"/>
          <w:sz w:val="28"/>
          <w:szCs w:val="28"/>
        </w:rPr>
      </w:pPr>
      <w:r>
        <w:rPr>
          <w:rFonts w:hint="eastAsia" w:ascii="宋体" w:hAnsi="宋体" w:cs="宋体"/>
          <w:color w:val="auto"/>
          <w:spacing w:val="210"/>
          <w:kern w:val="0"/>
          <w:sz w:val="28"/>
          <w:szCs w:val="28"/>
          <w:fitText w:val="1680" w:id="378625737"/>
        </w:rPr>
        <w:t>招标</w:t>
      </w:r>
      <w:r>
        <w:rPr>
          <w:rFonts w:hint="eastAsia" w:ascii="宋体" w:hAnsi="宋体" w:cs="宋体"/>
          <w:color w:val="auto"/>
          <w:spacing w:val="0"/>
          <w:kern w:val="0"/>
          <w:sz w:val="28"/>
          <w:szCs w:val="28"/>
          <w:fitText w:val="1680" w:id="378625737"/>
        </w:rPr>
        <w:t>人</w:t>
      </w:r>
      <w:r>
        <w:rPr>
          <w:rFonts w:hint="eastAsia" w:ascii="宋体" w:hAnsi="宋体" w:cs="宋体"/>
          <w:color w:val="auto"/>
          <w:sz w:val="28"/>
          <w:szCs w:val="28"/>
        </w:rPr>
        <w:t>：</w:t>
      </w:r>
      <w:r>
        <w:rPr>
          <w:rFonts w:hint="eastAsia" w:ascii="宋体" w:hAnsi="宋体" w:cs="宋体"/>
          <w:color w:val="auto"/>
          <w:sz w:val="28"/>
          <w:szCs w:val="28"/>
          <w:u w:val="single"/>
        </w:rPr>
        <w:t>广州市大新文化创意发展有限公司</w:t>
      </w:r>
    </w:p>
    <w:p w14:paraId="10FE3679">
      <w:pPr>
        <w:ind w:firstLine="1478" w:firstLineChars="528"/>
        <w:jc w:val="left"/>
        <w:rPr>
          <w:rFonts w:hint="eastAsia" w:ascii="宋体" w:hAnsi="宋体" w:cs="宋体"/>
          <w:color w:val="auto"/>
          <w:sz w:val="28"/>
          <w:szCs w:val="28"/>
          <w:u w:val="single"/>
        </w:rPr>
      </w:pPr>
      <w:r>
        <w:rPr>
          <w:rFonts w:hint="eastAsia" w:ascii="宋体" w:hAnsi="宋体" w:cs="宋体"/>
          <w:color w:val="auto"/>
          <w:sz w:val="28"/>
          <w:szCs w:val="28"/>
        </w:rPr>
        <w:t>招标代理单位：</w:t>
      </w:r>
      <w:r>
        <w:rPr>
          <w:rFonts w:hint="eastAsia" w:ascii="宋体" w:hAnsi="宋体" w:cs="宋体"/>
          <w:color w:val="auto"/>
          <w:sz w:val="28"/>
          <w:szCs w:val="28"/>
          <w:u w:val="single"/>
        </w:rPr>
        <w:t>广州建筑工程监理有限公司</w:t>
      </w:r>
    </w:p>
    <w:p w14:paraId="205D676B">
      <w:pPr>
        <w:jc w:val="center"/>
        <w:rPr>
          <w:rFonts w:hint="eastAsia" w:ascii="宋体" w:hAnsi="宋体" w:cs="宋体"/>
          <w:color w:val="auto"/>
          <w:sz w:val="28"/>
          <w:szCs w:val="28"/>
        </w:rPr>
      </w:pPr>
      <w:r>
        <w:rPr>
          <w:rFonts w:hint="eastAsia" w:ascii="宋体" w:hAnsi="宋体" w:cs="宋体"/>
          <w:color w:val="auto"/>
          <w:sz w:val="28"/>
          <w:szCs w:val="28"/>
          <w:u w:val="single"/>
        </w:rPr>
        <w:t>2024</w:t>
      </w:r>
      <w:r>
        <w:rPr>
          <w:rFonts w:hint="eastAsia" w:ascii="宋体" w:hAnsi="宋体" w:cs="宋体"/>
          <w:color w:val="auto"/>
          <w:sz w:val="28"/>
          <w:szCs w:val="28"/>
        </w:rPr>
        <w:t>年</w:t>
      </w:r>
      <w:r>
        <w:rPr>
          <w:rFonts w:hint="eastAsia" w:ascii="宋体" w:hAnsi="宋体" w:cs="宋体"/>
          <w:color w:val="auto"/>
          <w:sz w:val="28"/>
          <w:szCs w:val="28"/>
          <w:u w:val="single"/>
          <w:lang w:val="en-US" w:eastAsia="zh-CN"/>
        </w:rPr>
        <w:t>12</w:t>
      </w:r>
      <w:r>
        <w:rPr>
          <w:rFonts w:hint="eastAsia" w:ascii="宋体" w:hAnsi="宋体" w:cs="宋体"/>
          <w:color w:val="auto"/>
          <w:sz w:val="28"/>
          <w:szCs w:val="28"/>
        </w:rPr>
        <w:t>月</w:t>
      </w:r>
    </w:p>
    <w:p w14:paraId="0FE68239">
      <w:pPr>
        <w:spacing w:line="400" w:lineRule="exact"/>
        <w:rPr>
          <w:rFonts w:hint="eastAsia" w:ascii="宋体" w:hAnsi="宋体" w:cs="宋体"/>
          <w:color w:val="auto"/>
        </w:rPr>
        <w:sectPr>
          <w:footerReference r:id="rId3" w:type="default"/>
          <w:pgSz w:w="11906" w:h="16838"/>
          <w:pgMar w:top="1440" w:right="1800" w:bottom="1440" w:left="1800" w:header="851" w:footer="992" w:gutter="0"/>
          <w:cols w:space="720" w:num="1"/>
          <w:docGrid w:type="lines" w:linePitch="312" w:charSpace="0"/>
        </w:sectPr>
      </w:pPr>
      <w:bookmarkStart w:id="0" w:name="_Toc152042286"/>
      <w:bookmarkStart w:id="1" w:name="_Toc144974478"/>
    </w:p>
    <w:p w14:paraId="26FF30EB">
      <w:pPr>
        <w:pStyle w:val="2"/>
        <w:jc w:val="center"/>
        <w:rPr>
          <w:rFonts w:hint="eastAsia" w:ascii="宋体" w:hAnsi="宋体" w:cs="宋体"/>
          <w:color w:val="auto"/>
        </w:rPr>
      </w:pPr>
      <w:bookmarkStart w:id="2" w:name="_Toc247527532"/>
      <w:bookmarkStart w:id="3" w:name="_Toc26428"/>
      <w:bookmarkStart w:id="4" w:name="_Toc11895"/>
      <w:bookmarkStart w:id="5" w:name="_Toc300834926"/>
      <w:r>
        <w:rPr>
          <w:rFonts w:hint="eastAsia" w:ascii="宋体" w:hAnsi="宋体" w:cs="宋体"/>
          <w:color w:val="auto"/>
        </w:rPr>
        <w:t>目     录</w:t>
      </w:r>
      <w:bookmarkEnd w:id="0"/>
      <w:bookmarkEnd w:id="1"/>
      <w:bookmarkEnd w:id="2"/>
      <w:bookmarkEnd w:id="3"/>
      <w:bookmarkEnd w:id="4"/>
      <w:bookmarkEnd w:id="5"/>
    </w:p>
    <w:p w14:paraId="6D2C384D">
      <w:pPr>
        <w:pStyle w:val="25"/>
        <w:tabs>
          <w:tab w:val="right" w:leader="dot" w:pos="9638"/>
        </w:tabs>
        <w:rPr>
          <w:color w:val="auto"/>
        </w:rPr>
      </w:pPr>
      <w:bookmarkStart w:id="6" w:name="_Toc247527533"/>
      <w:bookmarkStart w:id="7" w:name="_Toc247513932"/>
      <w:bookmarkStart w:id="8" w:name="_Toc152042287"/>
      <w:bookmarkStart w:id="9" w:name="_Toc152045511"/>
      <w:bookmarkStart w:id="10" w:name="_Toc144974479"/>
      <w:r>
        <w:rPr>
          <w:rFonts w:hint="eastAsia" w:ascii="宋体" w:hAnsi="宋体" w:cs="宋体"/>
          <w:caps w:val="0"/>
          <w:color w:val="auto"/>
        </w:rPr>
        <w:fldChar w:fldCharType="begin"/>
      </w:r>
      <w:r>
        <w:rPr>
          <w:rFonts w:hint="eastAsia" w:ascii="宋体" w:hAnsi="宋体" w:cs="宋体"/>
          <w:caps w:val="0"/>
          <w:color w:val="auto"/>
        </w:rPr>
        <w:instrText xml:space="preserve"> TOC \o "1-3" \h \z \u </w:instrText>
      </w:r>
      <w:r>
        <w:rPr>
          <w:rFonts w:hint="eastAsia" w:ascii="宋体" w:hAnsi="宋体" w:cs="宋体"/>
          <w:caps w:val="0"/>
          <w:color w:val="auto"/>
        </w:rPr>
        <w:fldChar w:fldCharType="separate"/>
      </w:r>
      <w:r>
        <w:rPr>
          <w:rFonts w:hint="eastAsia" w:ascii="宋体" w:hAnsi="宋体" w:cs="宋体"/>
          <w:caps w:val="0"/>
          <w:color w:val="auto"/>
        </w:rPr>
        <w:fldChar w:fldCharType="begin"/>
      </w:r>
      <w:r>
        <w:rPr>
          <w:rFonts w:hint="eastAsia" w:ascii="宋体" w:hAnsi="宋体" w:cs="宋体"/>
          <w:caps w:val="0"/>
          <w:color w:val="auto"/>
        </w:rPr>
        <w:instrText xml:space="preserve"> HYPERLINK \l _Toc26428 </w:instrText>
      </w:r>
      <w:r>
        <w:rPr>
          <w:rFonts w:hint="eastAsia" w:ascii="宋体" w:hAnsi="宋体" w:cs="宋体"/>
          <w:caps w:val="0"/>
          <w:color w:val="auto"/>
        </w:rPr>
        <w:fldChar w:fldCharType="separate"/>
      </w:r>
      <w:r>
        <w:rPr>
          <w:rFonts w:hint="eastAsia" w:ascii="宋体" w:hAnsi="宋体" w:cs="宋体"/>
          <w:color w:val="auto"/>
        </w:rPr>
        <w:t>目     录</w:t>
      </w:r>
      <w:r>
        <w:rPr>
          <w:color w:val="auto"/>
        </w:rPr>
        <w:tab/>
      </w:r>
      <w:r>
        <w:rPr>
          <w:color w:val="auto"/>
        </w:rPr>
        <w:fldChar w:fldCharType="begin"/>
      </w:r>
      <w:r>
        <w:rPr>
          <w:color w:val="auto"/>
        </w:rPr>
        <w:instrText xml:space="preserve"> PAGEREF _Toc26428 \h </w:instrText>
      </w:r>
      <w:r>
        <w:rPr>
          <w:color w:val="auto"/>
        </w:rPr>
        <w:fldChar w:fldCharType="separate"/>
      </w:r>
      <w:r>
        <w:rPr>
          <w:color w:val="auto"/>
        </w:rPr>
        <w:t>2</w:t>
      </w:r>
      <w:r>
        <w:rPr>
          <w:color w:val="auto"/>
        </w:rPr>
        <w:fldChar w:fldCharType="end"/>
      </w:r>
      <w:r>
        <w:rPr>
          <w:rFonts w:hint="eastAsia" w:ascii="宋体" w:hAnsi="宋体" w:cs="宋体"/>
          <w:caps w:val="0"/>
          <w:color w:val="auto"/>
        </w:rPr>
        <w:fldChar w:fldCharType="end"/>
      </w:r>
    </w:p>
    <w:p w14:paraId="61FD3477">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_Toc6074 </w:instrText>
      </w:r>
      <w:r>
        <w:rPr>
          <w:rFonts w:hint="eastAsia" w:ascii="宋体" w:hAnsi="宋体" w:cs="宋体"/>
          <w:color w:val="auto"/>
        </w:rPr>
        <w:fldChar w:fldCharType="separate"/>
      </w:r>
      <w:r>
        <w:rPr>
          <w:rFonts w:hint="eastAsia" w:ascii="宋体" w:hAnsi="宋体" w:cs="宋体"/>
          <w:color w:val="auto"/>
        </w:rPr>
        <w:t>第一卷</w:t>
      </w:r>
      <w:r>
        <w:rPr>
          <w:color w:val="auto"/>
        </w:rPr>
        <w:tab/>
      </w:r>
      <w:r>
        <w:rPr>
          <w:color w:val="auto"/>
        </w:rPr>
        <w:fldChar w:fldCharType="begin"/>
      </w:r>
      <w:r>
        <w:rPr>
          <w:color w:val="auto"/>
        </w:rPr>
        <w:instrText xml:space="preserve"> PAGEREF _Toc6074 \h </w:instrText>
      </w:r>
      <w:r>
        <w:rPr>
          <w:color w:val="auto"/>
        </w:rPr>
        <w:fldChar w:fldCharType="separate"/>
      </w:r>
      <w:r>
        <w:rPr>
          <w:color w:val="auto"/>
        </w:rPr>
        <w:t>5</w:t>
      </w:r>
      <w:r>
        <w:rPr>
          <w:color w:val="auto"/>
        </w:rPr>
        <w:fldChar w:fldCharType="end"/>
      </w:r>
      <w:r>
        <w:rPr>
          <w:rFonts w:hint="eastAsia" w:ascii="宋体" w:hAnsi="宋体" w:cs="宋体"/>
          <w:color w:val="auto"/>
        </w:rPr>
        <w:fldChar w:fldCharType="end"/>
      </w:r>
    </w:p>
    <w:p w14:paraId="468B0D8C">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_Toc18734 </w:instrText>
      </w:r>
      <w:r>
        <w:rPr>
          <w:rFonts w:hint="eastAsia" w:ascii="宋体" w:hAnsi="宋体" w:cs="宋体"/>
          <w:color w:val="auto"/>
        </w:rPr>
        <w:fldChar w:fldCharType="separate"/>
      </w:r>
      <w:r>
        <w:rPr>
          <w:rFonts w:hint="eastAsia" w:ascii="宋体" w:hAnsi="宋体" w:cs="宋体"/>
          <w:color w:val="auto"/>
        </w:rPr>
        <w:t>第一章 招标公告</w:t>
      </w:r>
      <w:r>
        <w:rPr>
          <w:color w:val="auto"/>
        </w:rPr>
        <w:tab/>
      </w:r>
      <w:r>
        <w:rPr>
          <w:color w:val="auto"/>
        </w:rPr>
        <w:fldChar w:fldCharType="begin"/>
      </w:r>
      <w:r>
        <w:rPr>
          <w:color w:val="auto"/>
        </w:rPr>
        <w:instrText xml:space="preserve"> PAGEREF _Toc18734 \h </w:instrText>
      </w:r>
      <w:r>
        <w:rPr>
          <w:color w:val="auto"/>
        </w:rPr>
        <w:fldChar w:fldCharType="separate"/>
      </w:r>
      <w:r>
        <w:rPr>
          <w:color w:val="auto"/>
        </w:rPr>
        <w:t>6</w:t>
      </w:r>
      <w:r>
        <w:rPr>
          <w:color w:val="auto"/>
        </w:rPr>
        <w:fldChar w:fldCharType="end"/>
      </w:r>
      <w:r>
        <w:rPr>
          <w:rFonts w:hint="eastAsia" w:ascii="宋体" w:hAnsi="宋体" w:cs="宋体"/>
          <w:color w:val="auto"/>
        </w:rPr>
        <w:fldChar w:fldCharType="end"/>
      </w:r>
    </w:p>
    <w:p w14:paraId="0B2D9DE9">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_Toc28602 </w:instrText>
      </w:r>
      <w:r>
        <w:rPr>
          <w:rFonts w:hint="eastAsia" w:ascii="宋体" w:hAnsi="宋体" w:cs="宋体"/>
          <w:color w:val="auto"/>
        </w:rPr>
        <w:fldChar w:fldCharType="separate"/>
      </w:r>
      <w:r>
        <w:rPr>
          <w:rFonts w:hint="eastAsia" w:ascii="宋体" w:hAnsi="宋体" w:cs="宋体"/>
          <w:color w:val="auto"/>
        </w:rPr>
        <w:t>第二章 投标人须知</w:t>
      </w:r>
      <w:r>
        <w:rPr>
          <w:color w:val="auto"/>
        </w:rPr>
        <w:tab/>
      </w:r>
      <w:r>
        <w:rPr>
          <w:color w:val="auto"/>
        </w:rPr>
        <w:fldChar w:fldCharType="begin"/>
      </w:r>
      <w:r>
        <w:rPr>
          <w:color w:val="auto"/>
        </w:rPr>
        <w:instrText xml:space="preserve"> PAGEREF _Toc28602 \h </w:instrText>
      </w:r>
      <w:r>
        <w:rPr>
          <w:color w:val="auto"/>
        </w:rPr>
        <w:fldChar w:fldCharType="separate"/>
      </w:r>
      <w:r>
        <w:rPr>
          <w:color w:val="auto"/>
        </w:rPr>
        <w:t>7</w:t>
      </w:r>
      <w:r>
        <w:rPr>
          <w:color w:val="auto"/>
        </w:rPr>
        <w:fldChar w:fldCharType="end"/>
      </w:r>
      <w:r>
        <w:rPr>
          <w:rFonts w:hint="eastAsia" w:ascii="宋体" w:hAnsi="宋体" w:cs="宋体"/>
          <w:color w:val="auto"/>
        </w:rPr>
        <w:fldChar w:fldCharType="end"/>
      </w:r>
    </w:p>
    <w:p w14:paraId="11F91CAB">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_Toc77 </w:instrText>
      </w:r>
      <w:r>
        <w:rPr>
          <w:rFonts w:hint="eastAsia" w:ascii="宋体" w:hAnsi="宋体" w:cs="宋体"/>
          <w:color w:val="auto"/>
        </w:rPr>
        <w:fldChar w:fldCharType="separate"/>
      </w:r>
      <w:r>
        <w:rPr>
          <w:rFonts w:hint="eastAsia" w:ascii="宋体" w:hAnsi="宋体" w:eastAsia="宋体" w:cs="宋体"/>
          <w:color w:val="auto"/>
        </w:rPr>
        <w:t>投标人须知前附表</w:t>
      </w:r>
      <w:r>
        <w:rPr>
          <w:color w:val="auto"/>
        </w:rPr>
        <w:tab/>
      </w:r>
      <w:r>
        <w:rPr>
          <w:color w:val="auto"/>
        </w:rPr>
        <w:fldChar w:fldCharType="begin"/>
      </w:r>
      <w:r>
        <w:rPr>
          <w:color w:val="auto"/>
        </w:rPr>
        <w:instrText xml:space="preserve"> PAGEREF _Toc77 \h </w:instrText>
      </w:r>
      <w:r>
        <w:rPr>
          <w:color w:val="auto"/>
        </w:rPr>
        <w:fldChar w:fldCharType="separate"/>
      </w:r>
      <w:r>
        <w:rPr>
          <w:color w:val="auto"/>
        </w:rPr>
        <w:t>7</w:t>
      </w:r>
      <w:r>
        <w:rPr>
          <w:color w:val="auto"/>
        </w:rPr>
        <w:fldChar w:fldCharType="end"/>
      </w:r>
      <w:r>
        <w:rPr>
          <w:rFonts w:hint="eastAsia" w:ascii="宋体" w:hAnsi="宋体" w:cs="宋体"/>
          <w:color w:val="auto"/>
        </w:rPr>
        <w:fldChar w:fldCharType="end"/>
      </w:r>
    </w:p>
    <w:p w14:paraId="2A39DDEB">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_Toc25375 </w:instrText>
      </w:r>
      <w:r>
        <w:rPr>
          <w:rFonts w:hint="eastAsia" w:ascii="宋体" w:hAnsi="宋体" w:cs="宋体"/>
          <w:color w:val="auto"/>
        </w:rPr>
        <w:fldChar w:fldCharType="separate"/>
      </w:r>
      <w:r>
        <w:rPr>
          <w:rFonts w:hint="eastAsia" w:ascii="宋体" w:hAnsi="宋体" w:eastAsia="宋体" w:cs="宋体"/>
          <w:color w:val="auto"/>
        </w:rPr>
        <w:t>1. 总则</w:t>
      </w:r>
      <w:r>
        <w:rPr>
          <w:color w:val="auto"/>
        </w:rPr>
        <w:tab/>
      </w:r>
      <w:r>
        <w:rPr>
          <w:color w:val="auto"/>
        </w:rPr>
        <w:fldChar w:fldCharType="begin"/>
      </w:r>
      <w:r>
        <w:rPr>
          <w:color w:val="auto"/>
        </w:rPr>
        <w:instrText xml:space="preserve"> PAGEREF _Toc25375 \h </w:instrText>
      </w:r>
      <w:r>
        <w:rPr>
          <w:color w:val="auto"/>
        </w:rPr>
        <w:fldChar w:fldCharType="separate"/>
      </w:r>
      <w:r>
        <w:rPr>
          <w:color w:val="auto"/>
        </w:rPr>
        <w:t>14</w:t>
      </w:r>
      <w:r>
        <w:rPr>
          <w:color w:val="auto"/>
        </w:rPr>
        <w:fldChar w:fldCharType="end"/>
      </w:r>
      <w:r>
        <w:rPr>
          <w:rFonts w:hint="eastAsia" w:ascii="宋体" w:hAnsi="宋体" w:cs="宋体"/>
          <w:color w:val="auto"/>
        </w:rPr>
        <w:fldChar w:fldCharType="end"/>
      </w:r>
    </w:p>
    <w:p w14:paraId="41AB9F14">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_Toc22901 </w:instrText>
      </w:r>
      <w:r>
        <w:rPr>
          <w:rFonts w:hint="eastAsia" w:ascii="宋体" w:hAnsi="宋体" w:cs="宋体"/>
          <w:color w:val="auto"/>
        </w:rPr>
        <w:fldChar w:fldCharType="separate"/>
      </w:r>
      <w:r>
        <w:rPr>
          <w:rFonts w:hint="eastAsia" w:ascii="宋体" w:eastAsia="宋体" w:cs="宋体"/>
          <w:color w:val="auto"/>
        </w:rPr>
        <w:t>1.1 项目概况</w:t>
      </w:r>
      <w:r>
        <w:rPr>
          <w:color w:val="auto"/>
        </w:rPr>
        <w:tab/>
      </w:r>
      <w:r>
        <w:rPr>
          <w:color w:val="auto"/>
        </w:rPr>
        <w:fldChar w:fldCharType="begin"/>
      </w:r>
      <w:r>
        <w:rPr>
          <w:color w:val="auto"/>
        </w:rPr>
        <w:instrText xml:space="preserve"> PAGEREF _Toc22901 \h </w:instrText>
      </w:r>
      <w:r>
        <w:rPr>
          <w:color w:val="auto"/>
        </w:rPr>
        <w:fldChar w:fldCharType="separate"/>
      </w:r>
      <w:r>
        <w:rPr>
          <w:color w:val="auto"/>
        </w:rPr>
        <w:t>14</w:t>
      </w:r>
      <w:r>
        <w:rPr>
          <w:color w:val="auto"/>
        </w:rPr>
        <w:fldChar w:fldCharType="end"/>
      </w:r>
      <w:r>
        <w:rPr>
          <w:rFonts w:hint="eastAsia" w:ascii="宋体" w:hAnsi="宋体" w:cs="宋体"/>
          <w:color w:val="auto"/>
        </w:rPr>
        <w:fldChar w:fldCharType="end"/>
      </w:r>
    </w:p>
    <w:p w14:paraId="7F2E0CFC">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_Toc17601 </w:instrText>
      </w:r>
      <w:r>
        <w:rPr>
          <w:rFonts w:hint="eastAsia" w:ascii="宋体" w:hAnsi="宋体" w:cs="宋体"/>
          <w:color w:val="auto"/>
        </w:rPr>
        <w:fldChar w:fldCharType="separate"/>
      </w:r>
      <w:r>
        <w:rPr>
          <w:rFonts w:hint="eastAsia" w:ascii="宋体" w:eastAsia="宋体" w:cs="宋体"/>
          <w:color w:val="auto"/>
        </w:rPr>
        <w:t>1.2 项目的资金来源和落实情况</w:t>
      </w:r>
      <w:r>
        <w:rPr>
          <w:color w:val="auto"/>
        </w:rPr>
        <w:tab/>
      </w:r>
      <w:r>
        <w:rPr>
          <w:color w:val="auto"/>
        </w:rPr>
        <w:fldChar w:fldCharType="begin"/>
      </w:r>
      <w:r>
        <w:rPr>
          <w:color w:val="auto"/>
        </w:rPr>
        <w:instrText xml:space="preserve"> PAGEREF _Toc17601 \h </w:instrText>
      </w:r>
      <w:r>
        <w:rPr>
          <w:color w:val="auto"/>
        </w:rPr>
        <w:fldChar w:fldCharType="separate"/>
      </w:r>
      <w:r>
        <w:rPr>
          <w:color w:val="auto"/>
        </w:rPr>
        <w:t>14</w:t>
      </w:r>
      <w:r>
        <w:rPr>
          <w:color w:val="auto"/>
        </w:rPr>
        <w:fldChar w:fldCharType="end"/>
      </w:r>
      <w:r>
        <w:rPr>
          <w:rFonts w:hint="eastAsia" w:ascii="宋体" w:hAnsi="宋体" w:cs="宋体"/>
          <w:color w:val="auto"/>
        </w:rPr>
        <w:fldChar w:fldCharType="end"/>
      </w:r>
    </w:p>
    <w:p w14:paraId="3606144A">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_Toc22496 </w:instrText>
      </w:r>
      <w:r>
        <w:rPr>
          <w:rFonts w:hint="eastAsia" w:ascii="宋体" w:hAnsi="宋体" w:cs="宋体"/>
          <w:color w:val="auto"/>
        </w:rPr>
        <w:fldChar w:fldCharType="separate"/>
      </w:r>
      <w:r>
        <w:rPr>
          <w:rFonts w:hint="eastAsia" w:ascii="宋体" w:eastAsia="宋体" w:cs="宋体"/>
          <w:color w:val="auto"/>
        </w:rPr>
        <w:t>1.3 招标范围、计划工期和质量标准</w:t>
      </w:r>
      <w:r>
        <w:rPr>
          <w:color w:val="auto"/>
        </w:rPr>
        <w:tab/>
      </w:r>
      <w:r>
        <w:rPr>
          <w:color w:val="auto"/>
        </w:rPr>
        <w:fldChar w:fldCharType="begin"/>
      </w:r>
      <w:r>
        <w:rPr>
          <w:color w:val="auto"/>
        </w:rPr>
        <w:instrText xml:space="preserve"> PAGEREF _Toc22496 \h </w:instrText>
      </w:r>
      <w:r>
        <w:rPr>
          <w:color w:val="auto"/>
        </w:rPr>
        <w:fldChar w:fldCharType="separate"/>
      </w:r>
      <w:r>
        <w:rPr>
          <w:color w:val="auto"/>
        </w:rPr>
        <w:t>14</w:t>
      </w:r>
      <w:r>
        <w:rPr>
          <w:color w:val="auto"/>
        </w:rPr>
        <w:fldChar w:fldCharType="end"/>
      </w:r>
      <w:r>
        <w:rPr>
          <w:rFonts w:hint="eastAsia" w:ascii="宋体" w:hAnsi="宋体" w:cs="宋体"/>
          <w:color w:val="auto"/>
        </w:rPr>
        <w:fldChar w:fldCharType="end"/>
      </w:r>
    </w:p>
    <w:p w14:paraId="494CB8DC">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_Toc8109 </w:instrText>
      </w:r>
      <w:r>
        <w:rPr>
          <w:rFonts w:hint="eastAsia" w:ascii="宋体" w:hAnsi="宋体" w:cs="宋体"/>
          <w:color w:val="auto"/>
        </w:rPr>
        <w:fldChar w:fldCharType="separate"/>
      </w:r>
      <w:r>
        <w:rPr>
          <w:rFonts w:hint="eastAsia" w:ascii="宋体" w:eastAsia="宋体" w:cs="宋体"/>
          <w:color w:val="auto"/>
        </w:rPr>
        <w:t>1.4 投标人资格要求</w:t>
      </w:r>
      <w:r>
        <w:rPr>
          <w:rFonts w:hint="eastAsia" w:ascii="新宋体" w:hAnsi="新宋体" w:eastAsia="新宋体" w:cs="新宋体"/>
          <w:color w:val="auto"/>
        </w:rPr>
        <w:t>（适用于未进行资格预审的）</w:t>
      </w:r>
      <w:r>
        <w:rPr>
          <w:color w:val="auto"/>
        </w:rPr>
        <w:tab/>
      </w:r>
      <w:r>
        <w:rPr>
          <w:color w:val="auto"/>
        </w:rPr>
        <w:fldChar w:fldCharType="begin"/>
      </w:r>
      <w:r>
        <w:rPr>
          <w:color w:val="auto"/>
        </w:rPr>
        <w:instrText xml:space="preserve"> PAGEREF _Toc8109 \h </w:instrText>
      </w:r>
      <w:r>
        <w:rPr>
          <w:color w:val="auto"/>
        </w:rPr>
        <w:fldChar w:fldCharType="separate"/>
      </w:r>
      <w:r>
        <w:rPr>
          <w:color w:val="auto"/>
        </w:rPr>
        <w:t>14</w:t>
      </w:r>
      <w:r>
        <w:rPr>
          <w:color w:val="auto"/>
        </w:rPr>
        <w:fldChar w:fldCharType="end"/>
      </w:r>
      <w:r>
        <w:rPr>
          <w:rFonts w:hint="eastAsia" w:ascii="宋体" w:hAnsi="宋体" w:cs="宋体"/>
          <w:color w:val="auto"/>
        </w:rPr>
        <w:fldChar w:fldCharType="end"/>
      </w:r>
    </w:p>
    <w:p w14:paraId="48AE0EA1">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_Toc1082 </w:instrText>
      </w:r>
      <w:r>
        <w:rPr>
          <w:rFonts w:hint="eastAsia" w:ascii="宋体" w:hAnsi="宋体" w:cs="宋体"/>
          <w:color w:val="auto"/>
        </w:rPr>
        <w:fldChar w:fldCharType="separate"/>
      </w:r>
      <w:r>
        <w:rPr>
          <w:rFonts w:hint="eastAsia" w:ascii="宋体" w:eastAsia="宋体" w:cs="宋体"/>
          <w:color w:val="auto"/>
        </w:rPr>
        <w:t>1.5 费用承担和设计成果补偿</w:t>
      </w:r>
      <w:r>
        <w:rPr>
          <w:color w:val="auto"/>
        </w:rPr>
        <w:tab/>
      </w:r>
      <w:r>
        <w:rPr>
          <w:color w:val="auto"/>
        </w:rPr>
        <w:fldChar w:fldCharType="begin"/>
      </w:r>
      <w:r>
        <w:rPr>
          <w:color w:val="auto"/>
        </w:rPr>
        <w:instrText xml:space="preserve"> PAGEREF _Toc1082 \h </w:instrText>
      </w:r>
      <w:r>
        <w:rPr>
          <w:color w:val="auto"/>
        </w:rPr>
        <w:fldChar w:fldCharType="separate"/>
      </w:r>
      <w:r>
        <w:rPr>
          <w:color w:val="auto"/>
        </w:rPr>
        <w:t>15</w:t>
      </w:r>
      <w:r>
        <w:rPr>
          <w:color w:val="auto"/>
        </w:rPr>
        <w:fldChar w:fldCharType="end"/>
      </w:r>
      <w:r>
        <w:rPr>
          <w:rFonts w:hint="eastAsia" w:ascii="宋体" w:hAnsi="宋体" w:cs="宋体"/>
          <w:color w:val="auto"/>
        </w:rPr>
        <w:fldChar w:fldCharType="end"/>
      </w:r>
    </w:p>
    <w:p w14:paraId="32359D26">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_Toc9317 </w:instrText>
      </w:r>
      <w:r>
        <w:rPr>
          <w:rFonts w:hint="eastAsia" w:ascii="宋体" w:hAnsi="宋体" w:cs="宋体"/>
          <w:color w:val="auto"/>
        </w:rPr>
        <w:fldChar w:fldCharType="separate"/>
      </w:r>
      <w:r>
        <w:rPr>
          <w:rFonts w:hint="eastAsia" w:ascii="宋体" w:eastAsia="宋体" w:cs="宋体"/>
          <w:color w:val="auto"/>
        </w:rPr>
        <w:t>1.6 保密</w:t>
      </w:r>
      <w:r>
        <w:rPr>
          <w:color w:val="auto"/>
        </w:rPr>
        <w:tab/>
      </w:r>
      <w:r>
        <w:rPr>
          <w:color w:val="auto"/>
        </w:rPr>
        <w:fldChar w:fldCharType="begin"/>
      </w:r>
      <w:r>
        <w:rPr>
          <w:color w:val="auto"/>
        </w:rPr>
        <w:instrText xml:space="preserve"> PAGEREF _Toc9317 \h </w:instrText>
      </w:r>
      <w:r>
        <w:rPr>
          <w:color w:val="auto"/>
        </w:rPr>
        <w:fldChar w:fldCharType="separate"/>
      </w:r>
      <w:r>
        <w:rPr>
          <w:color w:val="auto"/>
        </w:rPr>
        <w:t>16</w:t>
      </w:r>
      <w:r>
        <w:rPr>
          <w:color w:val="auto"/>
        </w:rPr>
        <w:fldChar w:fldCharType="end"/>
      </w:r>
      <w:r>
        <w:rPr>
          <w:rFonts w:hint="eastAsia" w:ascii="宋体" w:hAnsi="宋体" w:cs="宋体"/>
          <w:color w:val="auto"/>
        </w:rPr>
        <w:fldChar w:fldCharType="end"/>
      </w:r>
    </w:p>
    <w:p w14:paraId="7A4D7B5A">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_Toc5470 </w:instrText>
      </w:r>
      <w:r>
        <w:rPr>
          <w:rFonts w:hint="eastAsia" w:ascii="宋体" w:hAnsi="宋体" w:cs="宋体"/>
          <w:color w:val="auto"/>
        </w:rPr>
        <w:fldChar w:fldCharType="separate"/>
      </w:r>
      <w:r>
        <w:rPr>
          <w:rFonts w:hint="eastAsia" w:ascii="宋体" w:eastAsia="宋体" w:cs="宋体"/>
          <w:color w:val="auto"/>
        </w:rPr>
        <w:t>1.7 语言文字</w:t>
      </w:r>
      <w:r>
        <w:rPr>
          <w:color w:val="auto"/>
        </w:rPr>
        <w:tab/>
      </w:r>
      <w:r>
        <w:rPr>
          <w:color w:val="auto"/>
        </w:rPr>
        <w:fldChar w:fldCharType="begin"/>
      </w:r>
      <w:r>
        <w:rPr>
          <w:color w:val="auto"/>
        </w:rPr>
        <w:instrText xml:space="preserve"> PAGEREF _Toc5470 \h </w:instrText>
      </w:r>
      <w:r>
        <w:rPr>
          <w:color w:val="auto"/>
        </w:rPr>
        <w:fldChar w:fldCharType="separate"/>
      </w:r>
      <w:r>
        <w:rPr>
          <w:color w:val="auto"/>
        </w:rPr>
        <w:t>16</w:t>
      </w:r>
      <w:r>
        <w:rPr>
          <w:color w:val="auto"/>
        </w:rPr>
        <w:fldChar w:fldCharType="end"/>
      </w:r>
      <w:r>
        <w:rPr>
          <w:rFonts w:hint="eastAsia" w:ascii="宋体" w:hAnsi="宋体" w:cs="宋体"/>
          <w:color w:val="auto"/>
        </w:rPr>
        <w:fldChar w:fldCharType="end"/>
      </w:r>
    </w:p>
    <w:p w14:paraId="68B91AD3">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_Toc23862 </w:instrText>
      </w:r>
      <w:r>
        <w:rPr>
          <w:rFonts w:hint="eastAsia" w:ascii="宋体" w:hAnsi="宋体" w:cs="宋体"/>
          <w:color w:val="auto"/>
        </w:rPr>
        <w:fldChar w:fldCharType="separate"/>
      </w:r>
      <w:r>
        <w:rPr>
          <w:rFonts w:hint="eastAsia" w:ascii="宋体" w:eastAsia="宋体" w:cs="宋体"/>
          <w:color w:val="auto"/>
        </w:rPr>
        <w:t>1.8 计量单位</w:t>
      </w:r>
      <w:r>
        <w:rPr>
          <w:color w:val="auto"/>
        </w:rPr>
        <w:tab/>
      </w:r>
      <w:r>
        <w:rPr>
          <w:color w:val="auto"/>
        </w:rPr>
        <w:fldChar w:fldCharType="begin"/>
      </w:r>
      <w:r>
        <w:rPr>
          <w:color w:val="auto"/>
        </w:rPr>
        <w:instrText xml:space="preserve"> PAGEREF _Toc23862 \h </w:instrText>
      </w:r>
      <w:r>
        <w:rPr>
          <w:color w:val="auto"/>
        </w:rPr>
        <w:fldChar w:fldCharType="separate"/>
      </w:r>
      <w:r>
        <w:rPr>
          <w:color w:val="auto"/>
        </w:rPr>
        <w:t>16</w:t>
      </w:r>
      <w:r>
        <w:rPr>
          <w:color w:val="auto"/>
        </w:rPr>
        <w:fldChar w:fldCharType="end"/>
      </w:r>
      <w:r>
        <w:rPr>
          <w:rFonts w:hint="eastAsia" w:ascii="宋体" w:hAnsi="宋体" w:cs="宋体"/>
          <w:color w:val="auto"/>
        </w:rPr>
        <w:fldChar w:fldCharType="end"/>
      </w:r>
    </w:p>
    <w:p w14:paraId="139BED63">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_Toc18393 </w:instrText>
      </w:r>
      <w:r>
        <w:rPr>
          <w:rFonts w:hint="eastAsia" w:ascii="宋体" w:hAnsi="宋体" w:cs="宋体"/>
          <w:color w:val="auto"/>
        </w:rPr>
        <w:fldChar w:fldCharType="separate"/>
      </w:r>
      <w:r>
        <w:rPr>
          <w:rFonts w:hint="eastAsia" w:ascii="宋体" w:eastAsia="宋体" w:cs="宋体"/>
          <w:color w:val="auto"/>
        </w:rPr>
        <w:t>1.9 踏勘现场</w:t>
      </w:r>
      <w:r>
        <w:rPr>
          <w:color w:val="auto"/>
        </w:rPr>
        <w:tab/>
      </w:r>
      <w:r>
        <w:rPr>
          <w:color w:val="auto"/>
        </w:rPr>
        <w:fldChar w:fldCharType="begin"/>
      </w:r>
      <w:r>
        <w:rPr>
          <w:color w:val="auto"/>
        </w:rPr>
        <w:instrText xml:space="preserve"> PAGEREF _Toc18393 \h </w:instrText>
      </w:r>
      <w:r>
        <w:rPr>
          <w:color w:val="auto"/>
        </w:rPr>
        <w:fldChar w:fldCharType="separate"/>
      </w:r>
      <w:r>
        <w:rPr>
          <w:color w:val="auto"/>
        </w:rPr>
        <w:t>16</w:t>
      </w:r>
      <w:r>
        <w:rPr>
          <w:color w:val="auto"/>
        </w:rPr>
        <w:fldChar w:fldCharType="end"/>
      </w:r>
      <w:r>
        <w:rPr>
          <w:rFonts w:hint="eastAsia" w:ascii="宋体" w:hAnsi="宋体" w:cs="宋体"/>
          <w:color w:val="auto"/>
        </w:rPr>
        <w:fldChar w:fldCharType="end"/>
      </w:r>
    </w:p>
    <w:p w14:paraId="05667A78">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_Toc18976 </w:instrText>
      </w:r>
      <w:r>
        <w:rPr>
          <w:rFonts w:hint="eastAsia" w:ascii="宋体" w:hAnsi="宋体" w:cs="宋体"/>
          <w:color w:val="auto"/>
        </w:rPr>
        <w:fldChar w:fldCharType="separate"/>
      </w:r>
      <w:r>
        <w:rPr>
          <w:rFonts w:hint="eastAsia" w:ascii="宋体" w:hAnsi="宋体" w:cs="宋体"/>
          <w:bCs/>
          <w:color w:val="auto"/>
          <w:szCs w:val="28"/>
        </w:rPr>
        <w:t>1.10 投标预备会</w:t>
      </w:r>
      <w:r>
        <w:rPr>
          <w:color w:val="auto"/>
        </w:rPr>
        <w:tab/>
      </w:r>
      <w:r>
        <w:rPr>
          <w:color w:val="auto"/>
        </w:rPr>
        <w:fldChar w:fldCharType="begin"/>
      </w:r>
      <w:r>
        <w:rPr>
          <w:color w:val="auto"/>
        </w:rPr>
        <w:instrText xml:space="preserve"> PAGEREF _Toc18976 \h </w:instrText>
      </w:r>
      <w:r>
        <w:rPr>
          <w:color w:val="auto"/>
        </w:rPr>
        <w:fldChar w:fldCharType="separate"/>
      </w:r>
      <w:r>
        <w:rPr>
          <w:color w:val="auto"/>
        </w:rPr>
        <w:t>16</w:t>
      </w:r>
      <w:r>
        <w:rPr>
          <w:color w:val="auto"/>
        </w:rPr>
        <w:fldChar w:fldCharType="end"/>
      </w:r>
      <w:r>
        <w:rPr>
          <w:rFonts w:hint="eastAsia" w:ascii="宋体" w:hAnsi="宋体" w:cs="宋体"/>
          <w:color w:val="auto"/>
        </w:rPr>
        <w:fldChar w:fldCharType="end"/>
      </w:r>
    </w:p>
    <w:p w14:paraId="16AFB880">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_Toc8871 </w:instrText>
      </w:r>
      <w:r>
        <w:rPr>
          <w:rFonts w:hint="eastAsia" w:ascii="宋体" w:hAnsi="宋体" w:cs="宋体"/>
          <w:color w:val="auto"/>
        </w:rPr>
        <w:fldChar w:fldCharType="separate"/>
      </w:r>
      <w:r>
        <w:rPr>
          <w:rFonts w:hint="eastAsia" w:ascii="宋体" w:eastAsia="宋体" w:cs="宋体"/>
          <w:color w:val="auto"/>
        </w:rPr>
        <w:t>1.11 分包</w:t>
      </w:r>
      <w:r>
        <w:rPr>
          <w:color w:val="auto"/>
        </w:rPr>
        <w:tab/>
      </w:r>
      <w:r>
        <w:rPr>
          <w:color w:val="auto"/>
        </w:rPr>
        <w:fldChar w:fldCharType="begin"/>
      </w:r>
      <w:r>
        <w:rPr>
          <w:color w:val="auto"/>
        </w:rPr>
        <w:instrText xml:space="preserve"> PAGEREF _Toc8871 \h </w:instrText>
      </w:r>
      <w:r>
        <w:rPr>
          <w:color w:val="auto"/>
        </w:rPr>
        <w:fldChar w:fldCharType="separate"/>
      </w:r>
      <w:r>
        <w:rPr>
          <w:color w:val="auto"/>
        </w:rPr>
        <w:t>16</w:t>
      </w:r>
      <w:r>
        <w:rPr>
          <w:color w:val="auto"/>
        </w:rPr>
        <w:fldChar w:fldCharType="end"/>
      </w:r>
      <w:r>
        <w:rPr>
          <w:rFonts w:hint="eastAsia" w:ascii="宋体" w:hAnsi="宋体" w:cs="宋体"/>
          <w:color w:val="auto"/>
        </w:rPr>
        <w:fldChar w:fldCharType="end"/>
      </w:r>
    </w:p>
    <w:p w14:paraId="56DFE15E">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_Toc18730 </w:instrText>
      </w:r>
      <w:r>
        <w:rPr>
          <w:rFonts w:hint="eastAsia" w:ascii="宋体" w:hAnsi="宋体" w:cs="宋体"/>
          <w:color w:val="auto"/>
        </w:rPr>
        <w:fldChar w:fldCharType="separate"/>
      </w:r>
      <w:r>
        <w:rPr>
          <w:rFonts w:hint="eastAsia" w:ascii="宋体" w:eastAsia="宋体" w:cs="宋体"/>
          <w:color w:val="auto"/>
        </w:rPr>
        <w:t>1.12 偏离</w:t>
      </w:r>
      <w:r>
        <w:rPr>
          <w:color w:val="auto"/>
        </w:rPr>
        <w:tab/>
      </w:r>
      <w:r>
        <w:rPr>
          <w:color w:val="auto"/>
        </w:rPr>
        <w:fldChar w:fldCharType="begin"/>
      </w:r>
      <w:r>
        <w:rPr>
          <w:color w:val="auto"/>
        </w:rPr>
        <w:instrText xml:space="preserve"> PAGEREF _Toc18730 \h </w:instrText>
      </w:r>
      <w:r>
        <w:rPr>
          <w:color w:val="auto"/>
        </w:rPr>
        <w:fldChar w:fldCharType="separate"/>
      </w:r>
      <w:r>
        <w:rPr>
          <w:color w:val="auto"/>
        </w:rPr>
        <w:t>17</w:t>
      </w:r>
      <w:r>
        <w:rPr>
          <w:color w:val="auto"/>
        </w:rPr>
        <w:fldChar w:fldCharType="end"/>
      </w:r>
      <w:r>
        <w:rPr>
          <w:rFonts w:hint="eastAsia" w:ascii="宋体" w:hAnsi="宋体" w:cs="宋体"/>
          <w:color w:val="auto"/>
        </w:rPr>
        <w:fldChar w:fldCharType="end"/>
      </w:r>
    </w:p>
    <w:p w14:paraId="3AB85558">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_Toc6861 </w:instrText>
      </w:r>
      <w:r>
        <w:rPr>
          <w:rFonts w:hint="eastAsia" w:ascii="宋体" w:hAnsi="宋体" w:cs="宋体"/>
          <w:color w:val="auto"/>
        </w:rPr>
        <w:fldChar w:fldCharType="separate"/>
      </w:r>
      <w:r>
        <w:rPr>
          <w:rFonts w:hint="eastAsia" w:ascii="宋体" w:hAnsi="宋体" w:eastAsia="宋体" w:cs="宋体"/>
          <w:color w:val="auto"/>
        </w:rPr>
        <w:t>2. 招标文件</w:t>
      </w:r>
      <w:r>
        <w:rPr>
          <w:color w:val="auto"/>
        </w:rPr>
        <w:tab/>
      </w:r>
      <w:r>
        <w:rPr>
          <w:color w:val="auto"/>
        </w:rPr>
        <w:fldChar w:fldCharType="begin"/>
      </w:r>
      <w:r>
        <w:rPr>
          <w:color w:val="auto"/>
        </w:rPr>
        <w:instrText xml:space="preserve"> PAGEREF _Toc6861 \h </w:instrText>
      </w:r>
      <w:r>
        <w:rPr>
          <w:color w:val="auto"/>
        </w:rPr>
        <w:fldChar w:fldCharType="separate"/>
      </w:r>
      <w:r>
        <w:rPr>
          <w:color w:val="auto"/>
        </w:rPr>
        <w:t>17</w:t>
      </w:r>
      <w:r>
        <w:rPr>
          <w:color w:val="auto"/>
        </w:rPr>
        <w:fldChar w:fldCharType="end"/>
      </w:r>
      <w:r>
        <w:rPr>
          <w:rFonts w:hint="eastAsia" w:ascii="宋体" w:hAnsi="宋体" w:cs="宋体"/>
          <w:color w:val="auto"/>
        </w:rPr>
        <w:fldChar w:fldCharType="end"/>
      </w:r>
    </w:p>
    <w:p w14:paraId="66A4B9AC">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_Toc5648 </w:instrText>
      </w:r>
      <w:r>
        <w:rPr>
          <w:rFonts w:hint="eastAsia" w:ascii="宋体" w:hAnsi="宋体" w:cs="宋体"/>
          <w:color w:val="auto"/>
        </w:rPr>
        <w:fldChar w:fldCharType="separate"/>
      </w:r>
      <w:r>
        <w:rPr>
          <w:rFonts w:hint="eastAsia" w:ascii="宋体" w:eastAsia="宋体" w:cs="宋体"/>
          <w:color w:val="auto"/>
        </w:rPr>
        <w:t>2.1 招标文件的组成</w:t>
      </w:r>
      <w:r>
        <w:rPr>
          <w:color w:val="auto"/>
        </w:rPr>
        <w:tab/>
      </w:r>
      <w:r>
        <w:rPr>
          <w:color w:val="auto"/>
        </w:rPr>
        <w:fldChar w:fldCharType="begin"/>
      </w:r>
      <w:r>
        <w:rPr>
          <w:color w:val="auto"/>
        </w:rPr>
        <w:instrText xml:space="preserve"> PAGEREF _Toc5648 \h </w:instrText>
      </w:r>
      <w:r>
        <w:rPr>
          <w:color w:val="auto"/>
        </w:rPr>
        <w:fldChar w:fldCharType="separate"/>
      </w:r>
      <w:r>
        <w:rPr>
          <w:color w:val="auto"/>
        </w:rPr>
        <w:t>17</w:t>
      </w:r>
      <w:r>
        <w:rPr>
          <w:color w:val="auto"/>
        </w:rPr>
        <w:fldChar w:fldCharType="end"/>
      </w:r>
      <w:r>
        <w:rPr>
          <w:rFonts w:hint="eastAsia" w:ascii="宋体" w:hAnsi="宋体" w:cs="宋体"/>
          <w:color w:val="auto"/>
        </w:rPr>
        <w:fldChar w:fldCharType="end"/>
      </w:r>
    </w:p>
    <w:p w14:paraId="72C439D7">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_Toc21684 </w:instrText>
      </w:r>
      <w:r>
        <w:rPr>
          <w:rFonts w:hint="eastAsia" w:ascii="宋体" w:hAnsi="宋体" w:cs="宋体"/>
          <w:color w:val="auto"/>
        </w:rPr>
        <w:fldChar w:fldCharType="separate"/>
      </w:r>
      <w:r>
        <w:rPr>
          <w:rFonts w:hint="eastAsia" w:ascii="宋体" w:eastAsia="宋体" w:cs="宋体"/>
          <w:color w:val="auto"/>
        </w:rPr>
        <w:t>2.2 招标文件的澄清</w:t>
      </w:r>
      <w:r>
        <w:rPr>
          <w:color w:val="auto"/>
        </w:rPr>
        <w:tab/>
      </w:r>
      <w:r>
        <w:rPr>
          <w:color w:val="auto"/>
        </w:rPr>
        <w:fldChar w:fldCharType="begin"/>
      </w:r>
      <w:r>
        <w:rPr>
          <w:color w:val="auto"/>
        </w:rPr>
        <w:instrText xml:space="preserve"> PAGEREF _Toc21684 \h </w:instrText>
      </w:r>
      <w:r>
        <w:rPr>
          <w:color w:val="auto"/>
        </w:rPr>
        <w:fldChar w:fldCharType="separate"/>
      </w:r>
      <w:r>
        <w:rPr>
          <w:color w:val="auto"/>
        </w:rPr>
        <w:t>17</w:t>
      </w:r>
      <w:r>
        <w:rPr>
          <w:color w:val="auto"/>
        </w:rPr>
        <w:fldChar w:fldCharType="end"/>
      </w:r>
      <w:r>
        <w:rPr>
          <w:rFonts w:hint="eastAsia" w:ascii="宋体" w:hAnsi="宋体" w:cs="宋体"/>
          <w:color w:val="auto"/>
        </w:rPr>
        <w:fldChar w:fldCharType="end"/>
      </w:r>
    </w:p>
    <w:p w14:paraId="1E3980C8">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_Toc17584 </w:instrText>
      </w:r>
      <w:r>
        <w:rPr>
          <w:rFonts w:hint="eastAsia" w:ascii="宋体" w:hAnsi="宋体" w:cs="宋体"/>
          <w:color w:val="auto"/>
        </w:rPr>
        <w:fldChar w:fldCharType="separate"/>
      </w:r>
      <w:r>
        <w:rPr>
          <w:rFonts w:hint="eastAsia" w:ascii="宋体" w:eastAsia="宋体" w:cs="宋体"/>
          <w:color w:val="auto"/>
        </w:rPr>
        <w:t>2.3 招标文件的修改</w:t>
      </w:r>
      <w:r>
        <w:rPr>
          <w:color w:val="auto"/>
        </w:rPr>
        <w:tab/>
      </w:r>
      <w:r>
        <w:rPr>
          <w:color w:val="auto"/>
        </w:rPr>
        <w:fldChar w:fldCharType="begin"/>
      </w:r>
      <w:r>
        <w:rPr>
          <w:color w:val="auto"/>
        </w:rPr>
        <w:instrText xml:space="preserve"> PAGEREF _Toc17584 \h </w:instrText>
      </w:r>
      <w:r>
        <w:rPr>
          <w:color w:val="auto"/>
        </w:rPr>
        <w:fldChar w:fldCharType="separate"/>
      </w:r>
      <w:r>
        <w:rPr>
          <w:color w:val="auto"/>
        </w:rPr>
        <w:t>18</w:t>
      </w:r>
      <w:r>
        <w:rPr>
          <w:color w:val="auto"/>
        </w:rPr>
        <w:fldChar w:fldCharType="end"/>
      </w:r>
      <w:r>
        <w:rPr>
          <w:rFonts w:hint="eastAsia" w:ascii="宋体" w:hAnsi="宋体" w:cs="宋体"/>
          <w:color w:val="auto"/>
        </w:rPr>
        <w:fldChar w:fldCharType="end"/>
      </w:r>
    </w:p>
    <w:p w14:paraId="31C74106">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_Toc31093 </w:instrText>
      </w:r>
      <w:r>
        <w:rPr>
          <w:rFonts w:hint="eastAsia" w:ascii="宋体" w:hAnsi="宋体" w:cs="宋体"/>
          <w:color w:val="auto"/>
        </w:rPr>
        <w:fldChar w:fldCharType="separate"/>
      </w:r>
      <w:r>
        <w:rPr>
          <w:rFonts w:hint="eastAsia" w:ascii="宋体" w:hAnsi="宋体" w:eastAsia="宋体" w:cs="宋体"/>
          <w:color w:val="auto"/>
        </w:rPr>
        <w:t>3. 投标文件</w:t>
      </w:r>
      <w:r>
        <w:rPr>
          <w:color w:val="auto"/>
        </w:rPr>
        <w:tab/>
      </w:r>
      <w:r>
        <w:rPr>
          <w:color w:val="auto"/>
        </w:rPr>
        <w:fldChar w:fldCharType="begin"/>
      </w:r>
      <w:r>
        <w:rPr>
          <w:color w:val="auto"/>
        </w:rPr>
        <w:instrText xml:space="preserve"> PAGEREF _Toc31093 \h </w:instrText>
      </w:r>
      <w:r>
        <w:rPr>
          <w:color w:val="auto"/>
        </w:rPr>
        <w:fldChar w:fldCharType="separate"/>
      </w:r>
      <w:r>
        <w:rPr>
          <w:color w:val="auto"/>
        </w:rPr>
        <w:t>18</w:t>
      </w:r>
      <w:r>
        <w:rPr>
          <w:color w:val="auto"/>
        </w:rPr>
        <w:fldChar w:fldCharType="end"/>
      </w:r>
      <w:r>
        <w:rPr>
          <w:rFonts w:hint="eastAsia" w:ascii="宋体" w:hAnsi="宋体" w:cs="宋体"/>
          <w:color w:val="auto"/>
        </w:rPr>
        <w:fldChar w:fldCharType="end"/>
      </w:r>
    </w:p>
    <w:p w14:paraId="152792C0">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_Toc29607 </w:instrText>
      </w:r>
      <w:r>
        <w:rPr>
          <w:rFonts w:hint="eastAsia" w:ascii="宋体" w:hAnsi="宋体" w:cs="宋体"/>
          <w:color w:val="auto"/>
        </w:rPr>
        <w:fldChar w:fldCharType="separate"/>
      </w:r>
      <w:r>
        <w:rPr>
          <w:rFonts w:hint="eastAsia" w:ascii="宋体" w:eastAsia="宋体" w:cs="宋体"/>
          <w:color w:val="auto"/>
          <w:szCs w:val="21"/>
        </w:rPr>
        <w:t>3.1 投标文件的组成</w:t>
      </w:r>
      <w:r>
        <w:rPr>
          <w:color w:val="auto"/>
        </w:rPr>
        <w:tab/>
      </w:r>
      <w:r>
        <w:rPr>
          <w:color w:val="auto"/>
        </w:rPr>
        <w:fldChar w:fldCharType="begin"/>
      </w:r>
      <w:r>
        <w:rPr>
          <w:color w:val="auto"/>
        </w:rPr>
        <w:instrText xml:space="preserve"> PAGEREF _Toc29607 \h </w:instrText>
      </w:r>
      <w:r>
        <w:rPr>
          <w:color w:val="auto"/>
        </w:rPr>
        <w:fldChar w:fldCharType="separate"/>
      </w:r>
      <w:r>
        <w:rPr>
          <w:color w:val="auto"/>
        </w:rPr>
        <w:t>18</w:t>
      </w:r>
      <w:r>
        <w:rPr>
          <w:color w:val="auto"/>
        </w:rPr>
        <w:fldChar w:fldCharType="end"/>
      </w:r>
      <w:r>
        <w:rPr>
          <w:rFonts w:hint="eastAsia" w:ascii="宋体" w:hAnsi="宋体" w:cs="宋体"/>
          <w:color w:val="auto"/>
        </w:rPr>
        <w:fldChar w:fldCharType="end"/>
      </w:r>
    </w:p>
    <w:p w14:paraId="5016EC82">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_Toc1915 </w:instrText>
      </w:r>
      <w:r>
        <w:rPr>
          <w:rFonts w:hint="eastAsia" w:ascii="宋体" w:hAnsi="宋体" w:cs="宋体"/>
          <w:color w:val="auto"/>
        </w:rPr>
        <w:fldChar w:fldCharType="separate"/>
      </w:r>
      <w:r>
        <w:rPr>
          <w:rFonts w:hint="eastAsia" w:ascii="宋体" w:eastAsia="宋体" w:cs="宋体"/>
          <w:color w:val="auto"/>
        </w:rPr>
        <w:t>3.2 投标报价</w:t>
      </w:r>
      <w:r>
        <w:rPr>
          <w:color w:val="auto"/>
        </w:rPr>
        <w:tab/>
      </w:r>
      <w:r>
        <w:rPr>
          <w:color w:val="auto"/>
        </w:rPr>
        <w:fldChar w:fldCharType="begin"/>
      </w:r>
      <w:r>
        <w:rPr>
          <w:color w:val="auto"/>
        </w:rPr>
        <w:instrText xml:space="preserve"> PAGEREF _Toc1915 \h </w:instrText>
      </w:r>
      <w:r>
        <w:rPr>
          <w:color w:val="auto"/>
        </w:rPr>
        <w:fldChar w:fldCharType="separate"/>
      </w:r>
      <w:r>
        <w:rPr>
          <w:color w:val="auto"/>
        </w:rPr>
        <w:t>20</w:t>
      </w:r>
      <w:r>
        <w:rPr>
          <w:color w:val="auto"/>
        </w:rPr>
        <w:fldChar w:fldCharType="end"/>
      </w:r>
      <w:r>
        <w:rPr>
          <w:rFonts w:hint="eastAsia" w:ascii="宋体" w:hAnsi="宋体" w:cs="宋体"/>
          <w:color w:val="auto"/>
        </w:rPr>
        <w:fldChar w:fldCharType="end"/>
      </w:r>
    </w:p>
    <w:p w14:paraId="267B76F5">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_Toc8437 </w:instrText>
      </w:r>
      <w:r>
        <w:rPr>
          <w:rFonts w:hint="eastAsia" w:ascii="宋体" w:hAnsi="宋体" w:cs="宋体"/>
          <w:color w:val="auto"/>
        </w:rPr>
        <w:fldChar w:fldCharType="separate"/>
      </w:r>
      <w:r>
        <w:rPr>
          <w:rFonts w:hint="eastAsia" w:ascii="宋体" w:eastAsia="宋体" w:cs="宋体"/>
          <w:color w:val="auto"/>
        </w:rPr>
        <w:t>3.3 投标有效期</w:t>
      </w:r>
      <w:r>
        <w:rPr>
          <w:color w:val="auto"/>
        </w:rPr>
        <w:tab/>
      </w:r>
      <w:r>
        <w:rPr>
          <w:color w:val="auto"/>
        </w:rPr>
        <w:fldChar w:fldCharType="begin"/>
      </w:r>
      <w:r>
        <w:rPr>
          <w:color w:val="auto"/>
        </w:rPr>
        <w:instrText xml:space="preserve"> PAGEREF _Toc8437 \h </w:instrText>
      </w:r>
      <w:r>
        <w:rPr>
          <w:color w:val="auto"/>
        </w:rPr>
        <w:fldChar w:fldCharType="separate"/>
      </w:r>
      <w:r>
        <w:rPr>
          <w:color w:val="auto"/>
        </w:rPr>
        <w:t>20</w:t>
      </w:r>
      <w:r>
        <w:rPr>
          <w:color w:val="auto"/>
        </w:rPr>
        <w:fldChar w:fldCharType="end"/>
      </w:r>
      <w:r>
        <w:rPr>
          <w:rFonts w:hint="eastAsia" w:ascii="宋体" w:hAnsi="宋体" w:cs="宋体"/>
          <w:color w:val="auto"/>
        </w:rPr>
        <w:fldChar w:fldCharType="end"/>
      </w:r>
    </w:p>
    <w:p w14:paraId="73A246EE">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_Toc280 </w:instrText>
      </w:r>
      <w:r>
        <w:rPr>
          <w:rFonts w:hint="eastAsia" w:ascii="宋体" w:hAnsi="宋体" w:cs="宋体"/>
          <w:color w:val="auto"/>
        </w:rPr>
        <w:fldChar w:fldCharType="separate"/>
      </w:r>
      <w:r>
        <w:rPr>
          <w:rFonts w:hint="eastAsia" w:ascii="宋体" w:eastAsia="宋体" w:cs="宋体"/>
          <w:color w:val="auto"/>
        </w:rPr>
        <w:t>3.4 投标保证金</w:t>
      </w:r>
      <w:r>
        <w:rPr>
          <w:color w:val="auto"/>
        </w:rPr>
        <w:tab/>
      </w:r>
      <w:r>
        <w:rPr>
          <w:color w:val="auto"/>
        </w:rPr>
        <w:fldChar w:fldCharType="begin"/>
      </w:r>
      <w:r>
        <w:rPr>
          <w:color w:val="auto"/>
        </w:rPr>
        <w:instrText xml:space="preserve"> PAGEREF _Toc280 \h </w:instrText>
      </w:r>
      <w:r>
        <w:rPr>
          <w:color w:val="auto"/>
        </w:rPr>
        <w:fldChar w:fldCharType="separate"/>
      </w:r>
      <w:r>
        <w:rPr>
          <w:color w:val="auto"/>
        </w:rPr>
        <w:t>20</w:t>
      </w:r>
      <w:r>
        <w:rPr>
          <w:color w:val="auto"/>
        </w:rPr>
        <w:fldChar w:fldCharType="end"/>
      </w:r>
      <w:r>
        <w:rPr>
          <w:rFonts w:hint="eastAsia" w:ascii="宋体" w:hAnsi="宋体" w:cs="宋体"/>
          <w:color w:val="auto"/>
        </w:rPr>
        <w:fldChar w:fldCharType="end"/>
      </w:r>
    </w:p>
    <w:p w14:paraId="1EFB23BE">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_Toc6308 </w:instrText>
      </w:r>
      <w:r>
        <w:rPr>
          <w:rFonts w:hint="eastAsia" w:ascii="宋体" w:hAnsi="宋体" w:cs="宋体"/>
          <w:color w:val="auto"/>
        </w:rPr>
        <w:fldChar w:fldCharType="separate"/>
      </w:r>
      <w:r>
        <w:rPr>
          <w:rFonts w:hint="eastAsia" w:ascii="宋体" w:eastAsia="宋体" w:cs="宋体"/>
          <w:color w:val="auto"/>
        </w:rPr>
        <w:t>3.5 资格审查资料（适用于未进行资格预审的）</w:t>
      </w:r>
      <w:r>
        <w:rPr>
          <w:color w:val="auto"/>
        </w:rPr>
        <w:tab/>
      </w:r>
      <w:r>
        <w:rPr>
          <w:color w:val="auto"/>
        </w:rPr>
        <w:fldChar w:fldCharType="begin"/>
      </w:r>
      <w:r>
        <w:rPr>
          <w:color w:val="auto"/>
        </w:rPr>
        <w:instrText xml:space="preserve"> PAGEREF _Toc6308 \h </w:instrText>
      </w:r>
      <w:r>
        <w:rPr>
          <w:color w:val="auto"/>
        </w:rPr>
        <w:fldChar w:fldCharType="separate"/>
      </w:r>
      <w:r>
        <w:rPr>
          <w:color w:val="auto"/>
        </w:rPr>
        <w:t>21</w:t>
      </w:r>
      <w:r>
        <w:rPr>
          <w:color w:val="auto"/>
        </w:rPr>
        <w:fldChar w:fldCharType="end"/>
      </w:r>
      <w:r>
        <w:rPr>
          <w:rFonts w:hint="eastAsia" w:ascii="宋体" w:hAnsi="宋体" w:cs="宋体"/>
          <w:color w:val="auto"/>
        </w:rPr>
        <w:fldChar w:fldCharType="end"/>
      </w:r>
    </w:p>
    <w:p w14:paraId="64572F55">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_Toc12562 </w:instrText>
      </w:r>
      <w:r>
        <w:rPr>
          <w:rFonts w:hint="eastAsia" w:ascii="宋体" w:hAnsi="宋体" w:cs="宋体"/>
          <w:color w:val="auto"/>
        </w:rPr>
        <w:fldChar w:fldCharType="separate"/>
      </w:r>
      <w:r>
        <w:rPr>
          <w:rFonts w:hint="eastAsia" w:ascii="宋体" w:eastAsia="宋体" w:cs="宋体"/>
          <w:color w:val="auto"/>
        </w:rPr>
        <w:t>3.6 备选投标方案</w:t>
      </w:r>
      <w:r>
        <w:rPr>
          <w:color w:val="auto"/>
        </w:rPr>
        <w:tab/>
      </w:r>
      <w:r>
        <w:rPr>
          <w:color w:val="auto"/>
        </w:rPr>
        <w:fldChar w:fldCharType="begin"/>
      </w:r>
      <w:r>
        <w:rPr>
          <w:color w:val="auto"/>
        </w:rPr>
        <w:instrText xml:space="preserve"> PAGEREF _Toc12562 \h </w:instrText>
      </w:r>
      <w:r>
        <w:rPr>
          <w:color w:val="auto"/>
        </w:rPr>
        <w:fldChar w:fldCharType="separate"/>
      </w:r>
      <w:r>
        <w:rPr>
          <w:color w:val="auto"/>
        </w:rPr>
        <w:t>21</w:t>
      </w:r>
      <w:r>
        <w:rPr>
          <w:color w:val="auto"/>
        </w:rPr>
        <w:fldChar w:fldCharType="end"/>
      </w:r>
      <w:r>
        <w:rPr>
          <w:rFonts w:hint="eastAsia" w:ascii="宋体" w:hAnsi="宋体" w:cs="宋体"/>
          <w:color w:val="auto"/>
        </w:rPr>
        <w:fldChar w:fldCharType="end"/>
      </w:r>
    </w:p>
    <w:p w14:paraId="162AE36F">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_Toc30148 </w:instrText>
      </w:r>
      <w:r>
        <w:rPr>
          <w:rFonts w:hint="eastAsia" w:ascii="宋体" w:hAnsi="宋体" w:cs="宋体"/>
          <w:color w:val="auto"/>
        </w:rPr>
        <w:fldChar w:fldCharType="separate"/>
      </w:r>
      <w:r>
        <w:rPr>
          <w:rFonts w:hint="eastAsia" w:ascii="宋体" w:eastAsia="宋体" w:cs="宋体"/>
          <w:color w:val="auto"/>
        </w:rPr>
        <w:t>3.7 投标文件的编制</w:t>
      </w:r>
      <w:r>
        <w:rPr>
          <w:color w:val="auto"/>
        </w:rPr>
        <w:tab/>
      </w:r>
      <w:r>
        <w:rPr>
          <w:color w:val="auto"/>
        </w:rPr>
        <w:fldChar w:fldCharType="begin"/>
      </w:r>
      <w:r>
        <w:rPr>
          <w:color w:val="auto"/>
        </w:rPr>
        <w:instrText xml:space="preserve"> PAGEREF _Toc30148 \h </w:instrText>
      </w:r>
      <w:r>
        <w:rPr>
          <w:color w:val="auto"/>
        </w:rPr>
        <w:fldChar w:fldCharType="separate"/>
      </w:r>
      <w:r>
        <w:rPr>
          <w:color w:val="auto"/>
        </w:rPr>
        <w:t>21</w:t>
      </w:r>
      <w:r>
        <w:rPr>
          <w:color w:val="auto"/>
        </w:rPr>
        <w:fldChar w:fldCharType="end"/>
      </w:r>
      <w:r>
        <w:rPr>
          <w:rFonts w:hint="eastAsia" w:ascii="宋体" w:hAnsi="宋体" w:cs="宋体"/>
          <w:color w:val="auto"/>
        </w:rPr>
        <w:fldChar w:fldCharType="end"/>
      </w:r>
    </w:p>
    <w:p w14:paraId="6C971DF6">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_Toc15400 </w:instrText>
      </w:r>
      <w:r>
        <w:rPr>
          <w:rFonts w:hint="eastAsia" w:ascii="宋体" w:hAnsi="宋体" w:cs="宋体"/>
          <w:color w:val="auto"/>
        </w:rPr>
        <w:fldChar w:fldCharType="separate"/>
      </w:r>
      <w:r>
        <w:rPr>
          <w:rFonts w:hint="eastAsia" w:ascii="宋体" w:hAnsi="宋体" w:eastAsia="宋体" w:cs="宋体"/>
          <w:color w:val="auto"/>
        </w:rPr>
        <w:t>4. 投标</w:t>
      </w:r>
      <w:r>
        <w:rPr>
          <w:color w:val="auto"/>
        </w:rPr>
        <w:tab/>
      </w:r>
      <w:r>
        <w:rPr>
          <w:color w:val="auto"/>
        </w:rPr>
        <w:fldChar w:fldCharType="begin"/>
      </w:r>
      <w:r>
        <w:rPr>
          <w:color w:val="auto"/>
        </w:rPr>
        <w:instrText xml:space="preserve"> PAGEREF _Toc15400 \h </w:instrText>
      </w:r>
      <w:r>
        <w:rPr>
          <w:color w:val="auto"/>
        </w:rPr>
        <w:fldChar w:fldCharType="separate"/>
      </w:r>
      <w:r>
        <w:rPr>
          <w:color w:val="auto"/>
        </w:rPr>
        <w:t>21</w:t>
      </w:r>
      <w:r>
        <w:rPr>
          <w:color w:val="auto"/>
        </w:rPr>
        <w:fldChar w:fldCharType="end"/>
      </w:r>
      <w:r>
        <w:rPr>
          <w:rFonts w:hint="eastAsia" w:ascii="宋体" w:hAnsi="宋体" w:cs="宋体"/>
          <w:color w:val="auto"/>
        </w:rPr>
        <w:fldChar w:fldCharType="end"/>
      </w:r>
    </w:p>
    <w:p w14:paraId="4980D876">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_Toc12354 </w:instrText>
      </w:r>
      <w:r>
        <w:rPr>
          <w:rFonts w:hint="eastAsia" w:ascii="宋体" w:hAnsi="宋体" w:cs="宋体"/>
          <w:color w:val="auto"/>
        </w:rPr>
        <w:fldChar w:fldCharType="separate"/>
      </w:r>
      <w:r>
        <w:rPr>
          <w:rFonts w:hint="eastAsia" w:ascii="宋体" w:eastAsia="宋体" w:cs="宋体"/>
          <w:color w:val="auto"/>
        </w:rPr>
        <w:t>4.1 投标文件的密封和标记</w:t>
      </w:r>
      <w:r>
        <w:rPr>
          <w:color w:val="auto"/>
        </w:rPr>
        <w:tab/>
      </w:r>
      <w:r>
        <w:rPr>
          <w:color w:val="auto"/>
        </w:rPr>
        <w:fldChar w:fldCharType="begin"/>
      </w:r>
      <w:r>
        <w:rPr>
          <w:color w:val="auto"/>
        </w:rPr>
        <w:instrText xml:space="preserve"> PAGEREF _Toc12354 \h </w:instrText>
      </w:r>
      <w:r>
        <w:rPr>
          <w:color w:val="auto"/>
        </w:rPr>
        <w:fldChar w:fldCharType="separate"/>
      </w:r>
      <w:r>
        <w:rPr>
          <w:color w:val="auto"/>
        </w:rPr>
        <w:t>21</w:t>
      </w:r>
      <w:r>
        <w:rPr>
          <w:color w:val="auto"/>
        </w:rPr>
        <w:fldChar w:fldCharType="end"/>
      </w:r>
      <w:r>
        <w:rPr>
          <w:rFonts w:hint="eastAsia" w:ascii="宋体" w:hAnsi="宋体" w:cs="宋体"/>
          <w:color w:val="auto"/>
        </w:rPr>
        <w:fldChar w:fldCharType="end"/>
      </w:r>
    </w:p>
    <w:p w14:paraId="64D90125">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_Toc12312 </w:instrText>
      </w:r>
      <w:r>
        <w:rPr>
          <w:rFonts w:hint="eastAsia" w:ascii="宋体" w:hAnsi="宋体" w:cs="宋体"/>
          <w:color w:val="auto"/>
        </w:rPr>
        <w:fldChar w:fldCharType="separate"/>
      </w:r>
      <w:r>
        <w:rPr>
          <w:rFonts w:hint="eastAsia" w:ascii="宋体" w:eastAsia="宋体" w:cs="宋体"/>
          <w:color w:val="auto"/>
        </w:rPr>
        <w:t>4.2 投标文件的递交</w:t>
      </w:r>
      <w:r>
        <w:rPr>
          <w:color w:val="auto"/>
        </w:rPr>
        <w:tab/>
      </w:r>
      <w:r>
        <w:rPr>
          <w:color w:val="auto"/>
        </w:rPr>
        <w:fldChar w:fldCharType="begin"/>
      </w:r>
      <w:r>
        <w:rPr>
          <w:color w:val="auto"/>
        </w:rPr>
        <w:instrText xml:space="preserve"> PAGEREF _Toc12312 \h </w:instrText>
      </w:r>
      <w:r>
        <w:rPr>
          <w:color w:val="auto"/>
        </w:rPr>
        <w:fldChar w:fldCharType="separate"/>
      </w:r>
      <w:r>
        <w:rPr>
          <w:color w:val="auto"/>
        </w:rPr>
        <w:t>22</w:t>
      </w:r>
      <w:r>
        <w:rPr>
          <w:color w:val="auto"/>
        </w:rPr>
        <w:fldChar w:fldCharType="end"/>
      </w:r>
      <w:r>
        <w:rPr>
          <w:rFonts w:hint="eastAsia" w:ascii="宋体" w:hAnsi="宋体" w:cs="宋体"/>
          <w:color w:val="auto"/>
        </w:rPr>
        <w:fldChar w:fldCharType="end"/>
      </w:r>
    </w:p>
    <w:p w14:paraId="3CA63BAA">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_Toc18008 </w:instrText>
      </w:r>
      <w:r>
        <w:rPr>
          <w:rFonts w:hint="eastAsia" w:ascii="宋体" w:hAnsi="宋体" w:cs="宋体"/>
          <w:color w:val="auto"/>
        </w:rPr>
        <w:fldChar w:fldCharType="separate"/>
      </w:r>
      <w:r>
        <w:rPr>
          <w:rFonts w:hint="eastAsia" w:ascii="宋体" w:eastAsia="宋体" w:cs="宋体"/>
          <w:color w:val="auto"/>
        </w:rPr>
        <w:t>4.3 投标文件的修改与撤回</w:t>
      </w:r>
      <w:r>
        <w:rPr>
          <w:color w:val="auto"/>
        </w:rPr>
        <w:tab/>
      </w:r>
      <w:r>
        <w:rPr>
          <w:color w:val="auto"/>
        </w:rPr>
        <w:fldChar w:fldCharType="begin"/>
      </w:r>
      <w:r>
        <w:rPr>
          <w:color w:val="auto"/>
        </w:rPr>
        <w:instrText xml:space="preserve"> PAGEREF _Toc18008 \h </w:instrText>
      </w:r>
      <w:r>
        <w:rPr>
          <w:color w:val="auto"/>
        </w:rPr>
        <w:fldChar w:fldCharType="separate"/>
      </w:r>
      <w:r>
        <w:rPr>
          <w:color w:val="auto"/>
        </w:rPr>
        <w:t>22</w:t>
      </w:r>
      <w:r>
        <w:rPr>
          <w:color w:val="auto"/>
        </w:rPr>
        <w:fldChar w:fldCharType="end"/>
      </w:r>
      <w:r>
        <w:rPr>
          <w:rFonts w:hint="eastAsia" w:ascii="宋体" w:hAnsi="宋体" w:cs="宋体"/>
          <w:color w:val="auto"/>
        </w:rPr>
        <w:fldChar w:fldCharType="end"/>
      </w:r>
    </w:p>
    <w:p w14:paraId="255C7D26">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_Toc963 </w:instrText>
      </w:r>
      <w:r>
        <w:rPr>
          <w:rFonts w:hint="eastAsia" w:ascii="宋体" w:hAnsi="宋体" w:cs="宋体"/>
          <w:color w:val="auto"/>
        </w:rPr>
        <w:fldChar w:fldCharType="separate"/>
      </w:r>
      <w:r>
        <w:rPr>
          <w:rFonts w:hint="eastAsia" w:ascii="宋体" w:hAnsi="宋体" w:eastAsia="宋体" w:cs="宋体"/>
          <w:color w:val="auto"/>
        </w:rPr>
        <w:t>5. 开标</w:t>
      </w:r>
      <w:r>
        <w:rPr>
          <w:color w:val="auto"/>
        </w:rPr>
        <w:tab/>
      </w:r>
      <w:r>
        <w:rPr>
          <w:color w:val="auto"/>
        </w:rPr>
        <w:fldChar w:fldCharType="begin"/>
      </w:r>
      <w:r>
        <w:rPr>
          <w:color w:val="auto"/>
        </w:rPr>
        <w:instrText xml:space="preserve"> PAGEREF _Toc963 \h </w:instrText>
      </w:r>
      <w:r>
        <w:rPr>
          <w:color w:val="auto"/>
        </w:rPr>
        <w:fldChar w:fldCharType="separate"/>
      </w:r>
      <w:r>
        <w:rPr>
          <w:color w:val="auto"/>
        </w:rPr>
        <w:t>22</w:t>
      </w:r>
      <w:r>
        <w:rPr>
          <w:color w:val="auto"/>
        </w:rPr>
        <w:fldChar w:fldCharType="end"/>
      </w:r>
      <w:r>
        <w:rPr>
          <w:rFonts w:hint="eastAsia" w:ascii="宋体" w:hAnsi="宋体" w:cs="宋体"/>
          <w:color w:val="auto"/>
        </w:rPr>
        <w:fldChar w:fldCharType="end"/>
      </w:r>
    </w:p>
    <w:p w14:paraId="33D1EFED">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_Toc18095 </w:instrText>
      </w:r>
      <w:r>
        <w:rPr>
          <w:rFonts w:hint="eastAsia" w:ascii="宋体" w:hAnsi="宋体" w:cs="宋体"/>
          <w:color w:val="auto"/>
        </w:rPr>
        <w:fldChar w:fldCharType="separate"/>
      </w:r>
      <w:r>
        <w:rPr>
          <w:rFonts w:hint="eastAsia" w:ascii="宋体" w:eastAsia="宋体" w:cs="宋体"/>
          <w:color w:val="auto"/>
        </w:rPr>
        <w:t>5.1 开标时间和地点</w:t>
      </w:r>
      <w:r>
        <w:rPr>
          <w:color w:val="auto"/>
        </w:rPr>
        <w:tab/>
      </w:r>
      <w:r>
        <w:rPr>
          <w:color w:val="auto"/>
        </w:rPr>
        <w:fldChar w:fldCharType="begin"/>
      </w:r>
      <w:r>
        <w:rPr>
          <w:color w:val="auto"/>
        </w:rPr>
        <w:instrText xml:space="preserve"> PAGEREF _Toc18095 \h </w:instrText>
      </w:r>
      <w:r>
        <w:rPr>
          <w:color w:val="auto"/>
        </w:rPr>
        <w:fldChar w:fldCharType="separate"/>
      </w:r>
      <w:r>
        <w:rPr>
          <w:color w:val="auto"/>
        </w:rPr>
        <w:t>22</w:t>
      </w:r>
      <w:r>
        <w:rPr>
          <w:color w:val="auto"/>
        </w:rPr>
        <w:fldChar w:fldCharType="end"/>
      </w:r>
      <w:r>
        <w:rPr>
          <w:rFonts w:hint="eastAsia" w:ascii="宋体" w:hAnsi="宋体" w:cs="宋体"/>
          <w:color w:val="auto"/>
        </w:rPr>
        <w:fldChar w:fldCharType="end"/>
      </w:r>
    </w:p>
    <w:p w14:paraId="629F0B56">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_Toc22865 </w:instrText>
      </w:r>
      <w:r>
        <w:rPr>
          <w:rFonts w:hint="eastAsia" w:ascii="宋体" w:hAnsi="宋体" w:cs="宋体"/>
          <w:color w:val="auto"/>
        </w:rPr>
        <w:fldChar w:fldCharType="separate"/>
      </w:r>
      <w:r>
        <w:rPr>
          <w:rFonts w:hint="eastAsia" w:ascii="宋体" w:eastAsia="宋体" w:cs="宋体"/>
          <w:color w:val="auto"/>
        </w:rPr>
        <w:t>5.2 开标程序</w:t>
      </w:r>
      <w:r>
        <w:rPr>
          <w:color w:val="auto"/>
        </w:rPr>
        <w:tab/>
      </w:r>
      <w:r>
        <w:rPr>
          <w:color w:val="auto"/>
        </w:rPr>
        <w:fldChar w:fldCharType="begin"/>
      </w:r>
      <w:r>
        <w:rPr>
          <w:color w:val="auto"/>
        </w:rPr>
        <w:instrText xml:space="preserve"> PAGEREF _Toc22865 \h </w:instrText>
      </w:r>
      <w:r>
        <w:rPr>
          <w:color w:val="auto"/>
        </w:rPr>
        <w:fldChar w:fldCharType="separate"/>
      </w:r>
      <w:r>
        <w:rPr>
          <w:color w:val="auto"/>
        </w:rPr>
        <w:t>22</w:t>
      </w:r>
      <w:r>
        <w:rPr>
          <w:color w:val="auto"/>
        </w:rPr>
        <w:fldChar w:fldCharType="end"/>
      </w:r>
      <w:r>
        <w:rPr>
          <w:rFonts w:hint="eastAsia" w:ascii="宋体" w:hAnsi="宋体" w:cs="宋体"/>
          <w:color w:val="auto"/>
        </w:rPr>
        <w:fldChar w:fldCharType="end"/>
      </w:r>
    </w:p>
    <w:p w14:paraId="4FDD22E4">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_Toc26734 </w:instrText>
      </w:r>
      <w:r>
        <w:rPr>
          <w:rFonts w:hint="eastAsia" w:ascii="宋体" w:hAnsi="宋体" w:cs="宋体"/>
          <w:color w:val="auto"/>
        </w:rPr>
        <w:fldChar w:fldCharType="separate"/>
      </w:r>
      <w:r>
        <w:rPr>
          <w:rFonts w:hint="eastAsia" w:ascii="宋体" w:eastAsia="宋体" w:cs="宋体"/>
          <w:color w:val="auto"/>
        </w:rPr>
        <w:t>5.3 开标异议</w:t>
      </w:r>
      <w:r>
        <w:rPr>
          <w:color w:val="auto"/>
        </w:rPr>
        <w:tab/>
      </w:r>
      <w:r>
        <w:rPr>
          <w:color w:val="auto"/>
        </w:rPr>
        <w:fldChar w:fldCharType="begin"/>
      </w:r>
      <w:r>
        <w:rPr>
          <w:color w:val="auto"/>
        </w:rPr>
        <w:instrText xml:space="preserve"> PAGEREF _Toc26734 \h </w:instrText>
      </w:r>
      <w:r>
        <w:rPr>
          <w:color w:val="auto"/>
        </w:rPr>
        <w:fldChar w:fldCharType="separate"/>
      </w:r>
      <w:r>
        <w:rPr>
          <w:color w:val="auto"/>
        </w:rPr>
        <w:t>23</w:t>
      </w:r>
      <w:r>
        <w:rPr>
          <w:color w:val="auto"/>
        </w:rPr>
        <w:fldChar w:fldCharType="end"/>
      </w:r>
      <w:r>
        <w:rPr>
          <w:rFonts w:hint="eastAsia" w:ascii="宋体" w:hAnsi="宋体" w:cs="宋体"/>
          <w:color w:val="auto"/>
        </w:rPr>
        <w:fldChar w:fldCharType="end"/>
      </w:r>
    </w:p>
    <w:p w14:paraId="00E51537">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_Toc6783 </w:instrText>
      </w:r>
      <w:r>
        <w:rPr>
          <w:rFonts w:hint="eastAsia" w:ascii="宋体" w:hAnsi="宋体" w:cs="宋体"/>
          <w:color w:val="auto"/>
        </w:rPr>
        <w:fldChar w:fldCharType="separate"/>
      </w:r>
      <w:r>
        <w:rPr>
          <w:rFonts w:hint="eastAsia" w:ascii="宋体" w:hAnsi="宋体" w:cs="宋体"/>
          <w:bCs/>
          <w:color w:val="auto"/>
          <w:szCs w:val="28"/>
        </w:rPr>
        <w:t>6. 评标</w:t>
      </w:r>
      <w:r>
        <w:rPr>
          <w:color w:val="auto"/>
        </w:rPr>
        <w:tab/>
      </w:r>
      <w:r>
        <w:rPr>
          <w:color w:val="auto"/>
        </w:rPr>
        <w:fldChar w:fldCharType="begin"/>
      </w:r>
      <w:r>
        <w:rPr>
          <w:color w:val="auto"/>
        </w:rPr>
        <w:instrText xml:space="preserve"> PAGEREF _Toc6783 \h </w:instrText>
      </w:r>
      <w:r>
        <w:rPr>
          <w:color w:val="auto"/>
        </w:rPr>
        <w:fldChar w:fldCharType="separate"/>
      </w:r>
      <w:r>
        <w:rPr>
          <w:color w:val="auto"/>
        </w:rPr>
        <w:t>23</w:t>
      </w:r>
      <w:r>
        <w:rPr>
          <w:color w:val="auto"/>
        </w:rPr>
        <w:fldChar w:fldCharType="end"/>
      </w:r>
      <w:r>
        <w:rPr>
          <w:rFonts w:hint="eastAsia" w:ascii="宋体" w:hAnsi="宋体" w:cs="宋体"/>
          <w:color w:val="auto"/>
        </w:rPr>
        <w:fldChar w:fldCharType="end"/>
      </w:r>
    </w:p>
    <w:p w14:paraId="4513E64D">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_Toc2239 </w:instrText>
      </w:r>
      <w:r>
        <w:rPr>
          <w:rFonts w:hint="eastAsia" w:ascii="宋体" w:hAnsi="宋体" w:cs="宋体"/>
          <w:color w:val="auto"/>
        </w:rPr>
        <w:fldChar w:fldCharType="separate"/>
      </w:r>
      <w:r>
        <w:rPr>
          <w:rFonts w:hint="eastAsia" w:ascii="宋体" w:hAnsi="宋体" w:cs="宋体"/>
          <w:color w:val="auto"/>
        </w:rPr>
        <w:t>6.1 评标委员会</w:t>
      </w:r>
      <w:r>
        <w:rPr>
          <w:color w:val="auto"/>
        </w:rPr>
        <w:tab/>
      </w:r>
      <w:r>
        <w:rPr>
          <w:color w:val="auto"/>
        </w:rPr>
        <w:fldChar w:fldCharType="begin"/>
      </w:r>
      <w:r>
        <w:rPr>
          <w:color w:val="auto"/>
        </w:rPr>
        <w:instrText xml:space="preserve"> PAGEREF _Toc2239 \h </w:instrText>
      </w:r>
      <w:r>
        <w:rPr>
          <w:color w:val="auto"/>
        </w:rPr>
        <w:fldChar w:fldCharType="separate"/>
      </w:r>
      <w:r>
        <w:rPr>
          <w:color w:val="auto"/>
        </w:rPr>
        <w:t>24</w:t>
      </w:r>
      <w:r>
        <w:rPr>
          <w:color w:val="auto"/>
        </w:rPr>
        <w:fldChar w:fldCharType="end"/>
      </w:r>
      <w:r>
        <w:rPr>
          <w:rFonts w:hint="eastAsia" w:ascii="宋体" w:hAnsi="宋体" w:cs="宋体"/>
          <w:color w:val="auto"/>
        </w:rPr>
        <w:fldChar w:fldCharType="end"/>
      </w:r>
    </w:p>
    <w:p w14:paraId="2C46FEC0">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_Toc2192 </w:instrText>
      </w:r>
      <w:r>
        <w:rPr>
          <w:rFonts w:hint="eastAsia" w:ascii="宋体" w:hAnsi="宋体" w:cs="宋体"/>
          <w:color w:val="auto"/>
        </w:rPr>
        <w:fldChar w:fldCharType="separate"/>
      </w:r>
      <w:r>
        <w:rPr>
          <w:rFonts w:hint="eastAsia" w:ascii="宋体" w:eastAsia="宋体" w:cs="宋体"/>
          <w:color w:val="auto"/>
        </w:rPr>
        <w:t>6.2 评标原则</w:t>
      </w:r>
      <w:r>
        <w:rPr>
          <w:color w:val="auto"/>
        </w:rPr>
        <w:tab/>
      </w:r>
      <w:r>
        <w:rPr>
          <w:color w:val="auto"/>
        </w:rPr>
        <w:fldChar w:fldCharType="begin"/>
      </w:r>
      <w:r>
        <w:rPr>
          <w:color w:val="auto"/>
        </w:rPr>
        <w:instrText xml:space="preserve"> PAGEREF _Toc2192 \h </w:instrText>
      </w:r>
      <w:r>
        <w:rPr>
          <w:color w:val="auto"/>
        </w:rPr>
        <w:fldChar w:fldCharType="separate"/>
      </w:r>
      <w:r>
        <w:rPr>
          <w:color w:val="auto"/>
        </w:rPr>
        <w:t>24</w:t>
      </w:r>
      <w:r>
        <w:rPr>
          <w:color w:val="auto"/>
        </w:rPr>
        <w:fldChar w:fldCharType="end"/>
      </w:r>
      <w:r>
        <w:rPr>
          <w:rFonts w:hint="eastAsia" w:ascii="宋体" w:hAnsi="宋体" w:cs="宋体"/>
          <w:color w:val="auto"/>
        </w:rPr>
        <w:fldChar w:fldCharType="end"/>
      </w:r>
    </w:p>
    <w:p w14:paraId="229F3B15">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_Toc24990 </w:instrText>
      </w:r>
      <w:r>
        <w:rPr>
          <w:rFonts w:hint="eastAsia" w:ascii="宋体" w:hAnsi="宋体" w:cs="宋体"/>
          <w:color w:val="auto"/>
        </w:rPr>
        <w:fldChar w:fldCharType="separate"/>
      </w:r>
      <w:r>
        <w:rPr>
          <w:rFonts w:hint="eastAsia" w:ascii="宋体" w:eastAsia="宋体" w:cs="宋体"/>
          <w:color w:val="auto"/>
        </w:rPr>
        <w:t>6.3 评标</w:t>
      </w:r>
      <w:r>
        <w:rPr>
          <w:color w:val="auto"/>
        </w:rPr>
        <w:tab/>
      </w:r>
      <w:r>
        <w:rPr>
          <w:color w:val="auto"/>
        </w:rPr>
        <w:fldChar w:fldCharType="begin"/>
      </w:r>
      <w:r>
        <w:rPr>
          <w:color w:val="auto"/>
        </w:rPr>
        <w:instrText xml:space="preserve"> PAGEREF _Toc24990 \h </w:instrText>
      </w:r>
      <w:r>
        <w:rPr>
          <w:color w:val="auto"/>
        </w:rPr>
        <w:fldChar w:fldCharType="separate"/>
      </w:r>
      <w:r>
        <w:rPr>
          <w:color w:val="auto"/>
        </w:rPr>
        <w:t>24</w:t>
      </w:r>
      <w:r>
        <w:rPr>
          <w:color w:val="auto"/>
        </w:rPr>
        <w:fldChar w:fldCharType="end"/>
      </w:r>
      <w:r>
        <w:rPr>
          <w:rFonts w:hint="eastAsia" w:ascii="宋体" w:hAnsi="宋体" w:cs="宋体"/>
          <w:color w:val="auto"/>
        </w:rPr>
        <w:fldChar w:fldCharType="end"/>
      </w:r>
    </w:p>
    <w:p w14:paraId="07F0A009">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_Toc25703 </w:instrText>
      </w:r>
      <w:r>
        <w:rPr>
          <w:rFonts w:hint="eastAsia" w:ascii="宋体" w:hAnsi="宋体" w:cs="宋体"/>
          <w:color w:val="auto"/>
        </w:rPr>
        <w:fldChar w:fldCharType="separate"/>
      </w:r>
      <w:r>
        <w:rPr>
          <w:rFonts w:hint="eastAsia" w:ascii="宋体" w:hAnsi="宋体" w:eastAsia="宋体" w:cs="宋体"/>
          <w:color w:val="auto"/>
        </w:rPr>
        <w:t>7. 合同授予</w:t>
      </w:r>
      <w:r>
        <w:rPr>
          <w:color w:val="auto"/>
        </w:rPr>
        <w:tab/>
      </w:r>
      <w:r>
        <w:rPr>
          <w:color w:val="auto"/>
        </w:rPr>
        <w:fldChar w:fldCharType="begin"/>
      </w:r>
      <w:r>
        <w:rPr>
          <w:color w:val="auto"/>
        </w:rPr>
        <w:instrText xml:space="preserve"> PAGEREF _Toc25703 \h </w:instrText>
      </w:r>
      <w:r>
        <w:rPr>
          <w:color w:val="auto"/>
        </w:rPr>
        <w:fldChar w:fldCharType="separate"/>
      </w:r>
      <w:r>
        <w:rPr>
          <w:color w:val="auto"/>
        </w:rPr>
        <w:t>25</w:t>
      </w:r>
      <w:r>
        <w:rPr>
          <w:color w:val="auto"/>
        </w:rPr>
        <w:fldChar w:fldCharType="end"/>
      </w:r>
      <w:r>
        <w:rPr>
          <w:rFonts w:hint="eastAsia" w:ascii="宋体" w:hAnsi="宋体" w:cs="宋体"/>
          <w:color w:val="auto"/>
        </w:rPr>
        <w:fldChar w:fldCharType="end"/>
      </w:r>
    </w:p>
    <w:p w14:paraId="28B42C83">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_Toc11234 </w:instrText>
      </w:r>
      <w:r>
        <w:rPr>
          <w:rFonts w:hint="eastAsia" w:ascii="宋体" w:hAnsi="宋体" w:cs="宋体"/>
          <w:color w:val="auto"/>
        </w:rPr>
        <w:fldChar w:fldCharType="separate"/>
      </w:r>
      <w:r>
        <w:rPr>
          <w:rFonts w:hint="eastAsia" w:ascii="宋体" w:eastAsia="宋体" w:cs="宋体"/>
          <w:color w:val="auto"/>
        </w:rPr>
        <w:t>7.1 定标方式</w:t>
      </w:r>
      <w:r>
        <w:rPr>
          <w:color w:val="auto"/>
        </w:rPr>
        <w:tab/>
      </w:r>
      <w:r>
        <w:rPr>
          <w:color w:val="auto"/>
        </w:rPr>
        <w:fldChar w:fldCharType="begin"/>
      </w:r>
      <w:r>
        <w:rPr>
          <w:color w:val="auto"/>
        </w:rPr>
        <w:instrText xml:space="preserve"> PAGEREF _Toc11234 \h </w:instrText>
      </w:r>
      <w:r>
        <w:rPr>
          <w:color w:val="auto"/>
        </w:rPr>
        <w:fldChar w:fldCharType="separate"/>
      </w:r>
      <w:r>
        <w:rPr>
          <w:color w:val="auto"/>
        </w:rPr>
        <w:t>25</w:t>
      </w:r>
      <w:r>
        <w:rPr>
          <w:color w:val="auto"/>
        </w:rPr>
        <w:fldChar w:fldCharType="end"/>
      </w:r>
      <w:r>
        <w:rPr>
          <w:rFonts w:hint="eastAsia" w:ascii="宋体" w:hAnsi="宋体" w:cs="宋体"/>
          <w:color w:val="auto"/>
        </w:rPr>
        <w:fldChar w:fldCharType="end"/>
      </w:r>
    </w:p>
    <w:p w14:paraId="174BDE32">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_Toc14554 </w:instrText>
      </w:r>
      <w:r>
        <w:rPr>
          <w:rFonts w:hint="eastAsia" w:ascii="宋体" w:hAnsi="宋体" w:cs="宋体"/>
          <w:color w:val="auto"/>
        </w:rPr>
        <w:fldChar w:fldCharType="separate"/>
      </w:r>
      <w:r>
        <w:rPr>
          <w:rFonts w:hint="eastAsia" w:ascii="宋体" w:eastAsia="宋体" w:cs="宋体"/>
          <w:color w:val="auto"/>
        </w:rPr>
        <w:t>7.2 中标候选人公示</w:t>
      </w:r>
      <w:r>
        <w:rPr>
          <w:color w:val="auto"/>
        </w:rPr>
        <w:tab/>
      </w:r>
      <w:r>
        <w:rPr>
          <w:color w:val="auto"/>
        </w:rPr>
        <w:fldChar w:fldCharType="begin"/>
      </w:r>
      <w:r>
        <w:rPr>
          <w:color w:val="auto"/>
        </w:rPr>
        <w:instrText xml:space="preserve"> PAGEREF _Toc14554 \h </w:instrText>
      </w:r>
      <w:r>
        <w:rPr>
          <w:color w:val="auto"/>
        </w:rPr>
        <w:fldChar w:fldCharType="separate"/>
      </w:r>
      <w:r>
        <w:rPr>
          <w:color w:val="auto"/>
        </w:rPr>
        <w:t>25</w:t>
      </w:r>
      <w:r>
        <w:rPr>
          <w:color w:val="auto"/>
        </w:rPr>
        <w:fldChar w:fldCharType="end"/>
      </w:r>
      <w:r>
        <w:rPr>
          <w:rFonts w:hint="eastAsia" w:ascii="宋体" w:hAnsi="宋体" w:cs="宋体"/>
          <w:color w:val="auto"/>
        </w:rPr>
        <w:fldChar w:fldCharType="end"/>
      </w:r>
    </w:p>
    <w:p w14:paraId="4E3E729E">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_Toc12010 </w:instrText>
      </w:r>
      <w:r>
        <w:rPr>
          <w:rFonts w:hint="eastAsia" w:ascii="宋体" w:hAnsi="宋体" w:cs="宋体"/>
          <w:color w:val="auto"/>
        </w:rPr>
        <w:fldChar w:fldCharType="separate"/>
      </w:r>
      <w:r>
        <w:rPr>
          <w:rFonts w:hint="eastAsia" w:ascii="宋体" w:eastAsia="宋体" w:cs="宋体"/>
          <w:color w:val="auto"/>
        </w:rPr>
        <w:t>7.3 中标通知</w:t>
      </w:r>
      <w:r>
        <w:rPr>
          <w:color w:val="auto"/>
        </w:rPr>
        <w:tab/>
      </w:r>
      <w:r>
        <w:rPr>
          <w:color w:val="auto"/>
        </w:rPr>
        <w:fldChar w:fldCharType="begin"/>
      </w:r>
      <w:r>
        <w:rPr>
          <w:color w:val="auto"/>
        </w:rPr>
        <w:instrText xml:space="preserve"> PAGEREF _Toc12010 \h </w:instrText>
      </w:r>
      <w:r>
        <w:rPr>
          <w:color w:val="auto"/>
        </w:rPr>
        <w:fldChar w:fldCharType="separate"/>
      </w:r>
      <w:r>
        <w:rPr>
          <w:color w:val="auto"/>
        </w:rPr>
        <w:t>25</w:t>
      </w:r>
      <w:r>
        <w:rPr>
          <w:color w:val="auto"/>
        </w:rPr>
        <w:fldChar w:fldCharType="end"/>
      </w:r>
      <w:r>
        <w:rPr>
          <w:rFonts w:hint="eastAsia" w:ascii="宋体" w:hAnsi="宋体" w:cs="宋体"/>
          <w:color w:val="auto"/>
        </w:rPr>
        <w:fldChar w:fldCharType="end"/>
      </w:r>
    </w:p>
    <w:p w14:paraId="543A26F2">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_Toc24641 </w:instrText>
      </w:r>
      <w:r>
        <w:rPr>
          <w:rFonts w:hint="eastAsia" w:ascii="宋体" w:hAnsi="宋体" w:cs="宋体"/>
          <w:color w:val="auto"/>
        </w:rPr>
        <w:fldChar w:fldCharType="separate"/>
      </w:r>
      <w:r>
        <w:rPr>
          <w:rFonts w:hint="eastAsia" w:ascii="宋体" w:eastAsia="宋体" w:cs="宋体"/>
          <w:color w:val="auto"/>
        </w:rPr>
        <w:t>7.4 履约担保</w:t>
      </w:r>
      <w:r>
        <w:rPr>
          <w:color w:val="auto"/>
        </w:rPr>
        <w:tab/>
      </w:r>
      <w:r>
        <w:rPr>
          <w:color w:val="auto"/>
        </w:rPr>
        <w:fldChar w:fldCharType="begin"/>
      </w:r>
      <w:r>
        <w:rPr>
          <w:color w:val="auto"/>
        </w:rPr>
        <w:instrText xml:space="preserve"> PAGEREF _Toc24641 \h </w:instrText>
      </w:r>
      <w:r>
        <w:rPr>
          <w:color w:val="auto"/>
        </w:rPr>
        <w:fldChar w:fldCharType="separate"/>
      </w:r>
      <w:r>
        <w:rPr>
          <w:color w:val="auto"/>
        </w:rPr>
        <w:t>25</w:t>
      </w:r>
      <w:r>
        <w:rPr>
          <w:color w:val="auto"/>
        </w:rPr>
        <w:fldChar w:fldCharType="end"/>
      </w:r>
      <w:r>
        <w:rPr>
          <w:rFonts w:hint="eastAsia" w:ascii="宋体" w:hAnsi="宋体" w:cs="宋体"/>
          <w:color w:val="auto"/>
        </w:rPr>
        <w:fldChar w:fldCharType="end"/>
      </w:r>
    </w:p>
    <w:p w14:paraId="0B30BA17">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_Toc4692 </w:instrText>
      </w:r>
      <w:r>
        <w:rPr>
          <w:rFonts w:hint="eastAsia" w:ascii="宋体" w:hAnsi="宋体" w:cs="宋体"/>
          <w:color w:val="auto"/>
        </w:rPr>
        <w:fldChar w:fldCharType="separate"/>
      </w:r>
      <w:r>
        <w:rPr>
          <w:rFonts w:hint="eastAsia" w:ascii="宋体" w:eastAsia="宋体" w:cs="宋体"/>
          <w:color w:val="auto"/>
        </w:rPr>
        <w:t>7.5 签订合同</w:t>
      </w:r>
      <w:r>
        <w:rPr>
          <w:color w:val="auto"/>
        </w:rPr>
        <w:tab/>
      </w:r>
      <w:r>
        <w:rPr>
          <w:color w:val="auto"/>
        </w:rPr>
        <w:fldChar w:fldCharType="begin"/>
      </w:r>
      <w:r>
        <w:rPr>
          <w:color w:val="auto"/>
        </w:rPr>
        <w:instrText xml:space="preserve"> PAGEREF _Toc4692 \h </w:instrText>
      </w:r>
      <w:r>
        <w:rPr>
          <w:color w:val="auto"/>
        </w:rPr>
        <w:fldChar w:fldCharType="separate"/>
      </w:r>
      <w:r>
        <w:rPr>
          <w:color w:val="auto"/>
        </w:rPr>
        <w:t>25</w:t>
      </w:r>
      <w:r>
        <w:rPr>
          <w:color w:val="auto"/>
        </w:rPr>
        <w:fldChar w:fldCharType="end"/>
      </w:r>
      <w:r>
        <w:rPr>
          <w:rFonts w:hint="eastAsia" w:ascii="宋体" w:hAnsi="宋体" w:cs="宋体"/>
          <w:color w:val="auto"/>
        </w:rPr>
        <w:fldChar w:fldCharType="end"/>
      </w:r>
    </w:p>
    <w:p w14:paraId="54A159AD">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_Toc26568 </w:instrText>
      </w:r>
      <w:r>
        <w:rPr>
          <w:rFonts w:hint="eastAsia" w:ascii="宋体" w:hAnsi="宋体" w:cs="宋体"/>
          <w:color w:val="auto"/>
        </w:rPr>
        <w:fldChar w:fldCharType="separate"/>
      </w:r>
      <w:r>
        <w:rPr>
          <w:rFonts w:hint="eastAsia" w:ascii="宋体" w:hAnsi="宋体" w:eastAsia="宋体" w:cs="宋体"/>
          <w:color w:val="auto"/>
        </w:rPr>
        <w:t>8. 纪律和监督</w:t>
      </w:r>
      <w:r>
        <w:rPr>
          <w:color w:val="auto"/>
        </w:rPr>
        <w:tab/>
      </w:r>
      <w:r>
        <w:rPr>
          <w:color w:val="auto"/>
        </w:rPr>
        <w:fldChar w:fldCharType="begin"/>
      </w:r>
      <w:r>
        <w:rPr>
          <w:color w:val="auto"/>
        </w:rPr>
        <w:instrText xml:space="preserve"> PAGEREF _Toc26568 \h </w:instrText>
      </w:r>
      <w:r>
        <w:rPr>
          <w:color w:val="auto"/>
        </w:rPr>
        <w:fldChar w:fldCharType="separate"/>
      </w:r>
      <w:r>
        <w:rPr>
          <w:color w:val="auto"/>
        </w:rPr>
        <w:t>26</w:t>
      </w:r>
      <w:r>
        <w:rPr>
          <w:color w:val="auto"/>
        </w:rPr>
        <w:fldChar w:fldCharType="end"/>
      </w:r>
      <w:r>
        <w:rPr>
          <w:rFonts w:hint="eastAsia" w:ascii="宋体" w:hAnsi="宋体" w:cs="宋体"/>
          <w:color w:val="auto"/>
        </w:rPr>
        <w:fldChar w:fldCharType="end"/>
      </w:r>
    </w:p>
    <w:p w14:paraId="257E20D4">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_Toc10904 </w:instrText>
      </w:r>
      <w:r>
        <w:rPr>
          <w:rFonts w:hint="eastAsia" w:ascii="宋体" w:hAnsi="宋体" w:cs="宋体"/>
          <w:color w:val="auto"/>
        </w:rPr>
        <w:fldChar w:fldCharType="separate"/>
      </w:r>
      <w:r>
        <w:rPr>
          <w:rFonts w:hint="eastAsia" w:ascii="宋体" w:eastAsia="宋体" w:cs="宋体"/>
          <w:color w:val="auto"/>
        </w:rPr>
        <w:t>8.1 对招标人的纪律要求</w:t>
      </w:r>
      <w:r>
        <w:rPr>
          <w:color w:val="auto"/>
        </w:rPr>
        <w:tab/>
      </w:r>
      <w:r>
        <w:rPr>
          <w:color w:val="auto"/>
        </w:rPr>
        <w:fldChar w:fldCharType="begin"/>
      </w:r>
      <w:r>
        <w:rPr>
          <w:color w:val="auto"/>
        </w:rPr>
        <w:instrText xml:space="preserve"> PAGEREF _Toc10904 \h </w:instrText>
      </w:r>
      <w:r>
        <w:rPr>
          <w:color w:val="auto"/>
        </w:rPr>
        <w:fldChar w:fldCharType="separate"/>
      </w:r>
      <w:r>
        <w:rPr>
          <w:color w:val="auto"/>
        </w:rPr>
        <w:t>26</w:t>
      </w:r>
      <w:r>
        <w:rPr>
          <w:color w:val="auto"/>
        </w:rPr>
        <w:fldChar w:fldCharType="end"/>
      </w:r>
      <w:r>
        <w:rPr>
          <w:rFonts w:hint="eastAsia" w:ascii="宋体" w:hAnsi="宋体" w:cs="宋体"/>
          <w:color w:val="auto"/>
        </w:rPr>
        <w:fldChar w:fldCharType="end"/>
      </w:r>
    </w:p>
    <w:p w14:paraId="71F6D647">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_Toc17939 </w:instrText>
      </w:r>
      <w:r>
        <w:rPr>
          <w:rFonts w:hint="eastAsia" w:ascii="宋体" w:hAnsi="宋体" w:cs="宋体"/>
          <w:color w:val="auto"/>
        </w:rPr>
        <w:fldChar w:fldCharType="separate"/>
      </w:r>
      <w:r>
        <w:rPr>
          <w:rFonts w:hint="eastAsia" w:ascii="宋体" w:eastAsia="宋体" w:cs="宋体"/>
          <w:color w:val="auto"/>
        </w:rPr>
        <w:t>8.2 对投标人的纪律要求</w:t>
      </w:r>
      <w:r>
        <w:rPr>
          <w:color w:val="auto"/>
        </w:rPr>
        <w:tab/>
      </w:r>
      <w:r>
        <w:rPr>
          <w:color w:val="auto"/>
        </w:rPr>
        <w:fldChar w:fldCharType="begin"/>
      </w:r>
      <w:r>
        <w:rPr>
          <w:color w:val="auto"/>
        </w:rPr>
        <w:instrText xml:space="preserve"> PAGEREF _Toc17939 \h </w:instrText>
      </w:r>
      <w:r>
        <w:rPr>
          <w:color w:val="auto"/>
        </w:rPr>
        <w:fldChar w:fldCharType="separate"/>
      </w:r>
      <w:r>
        <w:rPr>
          <w:color w:val="auto"/>
        </w:rPr>
        <w:t>26</w:t>
      </w:r>
      <w:r>
        <w:rPr>
          <w:color w:val="auto"/>
        </w:rPr>
        <w:fldChar w:fldCharType="end"/>
      </w:r>
      <w:r>
        <w:rPr>
          <w:rFonts w:hint="eastAsia" w:ascii="宋体" w:hAnsi="宋体" w:cs="宋体"/>
          <w:color w:val="auto"/>
        </w:rPr>
        <w:fldChar w:fldCharType="end"/>
      </w:r>
    </w:p>
    <w:p w14:paraId="609F3A8A">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_Toc32659 </w:instrText>
      </w:r>
      <w:r>
        <w:rPr>
          <w:rFonts w:hint="eastAsia" w:ascii="宋体" w:hAnsi="宋体" w:cs="宋体"/>
          <w:color w:val="auto"/>
        </w:rPr>
        <w:fldChar w:fldCharType="separate"/>
      </w:r>
      <w:r>
        <w:rPr>
          <w:rFonts w:hint="eastAsia" w:ascii="宋体" w:eastAsia="宋体" w:cs="宋体"/>
          <w:color w:val="auto"/>
        </w:rPr>
        <w:t>8.3 对评标委员会成员的纪律要求</w:t>
      </w:r>
      <w:r>
        <w:rPr>
          <w:color w:val="auto"/>
        </w:rPr>
        <w:tab/>
      </w:r>
      <w:r>
        <w:rPr>
          <w:color w:val="auto"/>
        </w:rPr>
        <w:fldChar w:fldCharType="begin"/>
      </w:r>
      <w:r>
        <w:rPr>
          <w:color w:val="auto"/>
        </w:rPr>
        <w:instrText xml:space="preserve"> PAGEREF _Toc32659 \h </w:instrText>
      </w:r>
      <w:r>
        <w:rPr>
          <w:color w:val="auto"/>
        </w:rPr>
        <w:fldChar w:fldCharType="separate"/>
      </w:r>
      <w:r>
        <w:rPr>
          <w:color w:val="auto"/>
        </w:rPr>
        <w:t>26</w:t>
      </w:r>
      <w:r>
        <w:rPr>
          <w:color w:val="auto"/>
        </w:rPr>
        <w:fldChar w:fldCharType="end"/>
      </w:r>
      <w:r>
        <w:rPr>
          <w:rFonts w:hint="eastAsia" w:ascii="宋体" w:hAnsi="宋体" w:cs="宋体"/>
          <w:color w:val="auto"/>
        </w:rPr>
        <w:fldChar w:fldCharType="end"/>
      </w:r>
    </w:p>
    <w:p w14:paraId="3F7AFA9A">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_Toc18477 </w:instrText>
      </w:r>
      <w:r>
        <w:rPr>
          <w:rFonts w:hint="eastAsia" w:ascii="宋体" w:hAnsi="宋体" w:cs="宋体"/>
          <w:color w:val="auto"/>
        </w:rPr>
        <w:fldChar w:fldCharType="separate"/>
      </w:r>
      <w:r>
        <w:rPr>
          <w:rFonts w:hint="eastAsia" w:ascii="宋体" w:eastAsia="宋体" w:cs="宋体"/>
          <w:color w:val="auto"/>
        </w:rPr>
        <w:t>8.4 对与评标活动有关的工作人员的纪律要求</w:t>
      </w:r>
      <w:r>
        <w:rPr>
          <w:color w:val="auto"/>
        </w:rPr>
        <w:tab/>
      </w:r>
      <w:r>
        <w:rPr>
          <w:color w:val="auto"/>
        </w:rPr>
        <w:fldChar w:fldCharType="begin"/>
      </w:r>
      <w:r>
        <w:rPr>
          <w:color w:val="auto"/>
        </w:rPr>
        <w:instrText xml:space="preserve"> PAGEREF _Toc18477 \h </w:instrText>
      </w:r>
      <w:r>
        <w:rPr>
          <w:color w:val="auto"/>
        </w:rPr>
        <w:fldChar w:fldCharType="separate"/>
      </w:r>
      <w:r>
        <w:rPr>
          <w:color w:val="auto"/>
        </w:rPr>
        <w:t>26</w:t>
      </w:r>
      <w:r>
        <w:rPr>
          <w:color w:val="auto"/>
        </w:rPr>
        <w:fldChar w:fldCharType="end"/>
      </w:r>
      <w:r>
        <w:rPr>
          <w:rFonts w:hint="eastAsia" w:ascii="宋体" w:hAnsi="宋体" w:cs="宋体"/>
          <w:color w:val="auto"/>
        </w:rPr>
        <w:fldChar w:fldCharType="end"/>
      </w:r>
    </w:p>
    <w:p w14:paraId="4830A58D">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_Toc1085 </w:instrText>
      </w:r>
      <w:r>
        <w:rPr>
          <w:rFonts w:hint="eastAsia" w:ascii="宋体" w:hAnsi="宋体" w:cs="宋体"/>
          <w:color w:val="auto"/>
        </w:rPr>
        <w:fldChar w:fldCharType="separate"/>
      </w:r>
      <w:r>
        <w:rPr>
          <w:rFonts w:hint="eastAsia" w:ascii="宋体" w:eastAsia="宋体" w:cs="宋体"/>
          <w:color w:val="auto"/>
        </w:rPr>
        <w:t>8.5 投诉</w:t>
      </w:r>
      <w:r>
        <w:rPr>
          <w:color w:val="auto"/>
        </w:rPr>
        <w:tab/>
      </w:r>
      <w:r>
        <w:rPr>
          <w:color w:val="auto"/>
        </w:rPr>
        <w:fldChar w:fldCharType="begin"/>
      </w:r>
      <w:r>
        <w:rPr>
          <w:color w:val="auto"/>
        </w:rPr>
        <w:instrText xml:space="preserve"> PAGEREF _Toc1085 \h </w:instrText>
      </w:r>
      <w:r>
        <w:rPr>
          <w:color w:val="auto"/>
        </w:rPr>
        <w:fldChar w:fldCharType="separate"/>
      </w:r>
      <w:r>
        <w:rPr>
          <w:color w:val="auto"/>
        </w:rPr>
        <w:t>26</w:t>
      </w:r>
      <w:r>
        <w:rPr>
          <w:color w:val="auto"/>
        </w:rPr>
        <w:fldChar w:fldCharType="end"/>
      </w:r>
      <w:r>
        <w:rPr>
          <w:rFonts w:hint="eastAsia" w:ascii="宋体" w:hAnsi="宋体" w:cs="宋体"/>
          <w:color w:val="auto"/>
        </w:rPr>
        <w:fldChar w:fldCharType="end"/>
      </w:r>
    </w:p>
    <w:p w14:paraId="3854EED6">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_Toc28389 </w:instrText>
      </w:r>
      <w:r>
        <w:rPr>
          <w:rFonts w:hint="eastAsia" w:ascii="宋体" w:hAnsi="宋体" w:cs="宋体"/>
          <w:color w:val="auto"/>
        </w:rPr>
        <w:fldChar w:fldCharType="separate"/>
      </w:r>
      <w:r>
        <w:rPr>
          <w:rFonts w:hint="eastAsia" w:ascii="宋体" w:hAnsi="宋体" w:eastAsia="宋体" w:cs="宋体"/>
          <w:color w:val="auto"/>
        </w:rPr>
        <w:t>9. 需要补充的其他内容</w:t>
      </w:r>
      <w:r>
        <w:rPr>
          <w:color w:val="auto"/>
        </w:rPr>
        <w:tab/>
      </w:r>
      <w:r>
        <w:rPr>
          <w:color w:val="auto"/>
        </w:rPr>
        <w:fldChar w:fldCharType="begin"/>
      </w:r>
      <w:r>
        <w:rPr>
          <w:color w:val="auto"/>
        </w:rPr>
        <w:instrText xml:space="preserve"> PAGEREF _Toc28389 \h </w:instrText>
      </w:r>
      <w:r>
        <w:rPr>
          <w:color w:val="auto"/>
        </w:rPr>
        <w:fldChar w:fldCharType="separate"/>
      </w:r>
      <w:r>
        <w:rPr>
          <w:color w:val="auto"/>
        </w:rPr>
        <w:t>26</w:t>
      </w:r>
      <w:r>
        <w:rPr>
          <w:color w:val="auto"/>
        </w:rPr>
        <w:fldChar w:fldCharType="end"/>
      </w:r>
      <w:r>
        <w:rPr>
          <w:rFonts w:hint="eastAsia" w:ascii="宋体" w:hAnsi="宋体" w:cs="宋体"/>
          <w:color w:val="auto"/>
        </w:rPr>
        <w:fldChar w:fldCharType="end"/>
      </w:r>
    </w:p>
    <w:p w14:paraId="3A04324E">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_Toc28950 </w:instrText>
      </w:r>
      <w:r>
        <w:rPr>
          <w:rFonts w:hint="eastAsia" w:ascii="宋体" w:hAnsi="宋体" w:cs="宋体"/>
          <w:color w:val="auto"/>
        </w:rPr>
        <w:fldChar w:fldCharType="separate"/>
      </w:r>
      <w:r>
        <w:rPr>
          <w:rFonts w:hint="eastAsia" w:ascii="宋体" w:hAnsi="宋体" w:eastAsia="宋体" w:cs="宋体"/>
          <w:color w:val="auto"/>
        </w:rPr>
        <w:t>10. 电子招标投标</w:t>
      </w:r>
      <w:r>
        <w:rPr>
          <w:color w:val="auto"/>
        </w:rPr>
        <w:tab/>
      </w:r>
      <w:r>
        <w:rPr>
          <w:color w:val="auto"/>
        </w:rPr>
        <w:fldChar w:fldCharType="begin"/>
      </w:r>
      <w:r>
        <w:rPr>
          <w:color w:val="auto"/>
        </w:rPr>
        <w:instrText xml:space="preserve"> PAGEREF _Toc28950 \h </w:instrText>
      </w:r>
      <w:r>
        <w:rPr>
          <w:color w:val="auto"/>
        </w:rPr>
        <w:fldChar w:fldCharType="separate"/>
      </w:r>
      <w:r>
        <w:rPr>
          <w:color w:val="auto"/>
        </w:rPr>
        <w:t>27</w:t>
      </w:r>
      <w:r>
        <w:rPr>
          <w:color w:val="auto"/>
        </w:rPr>
        <w:fldChar w:fldCharType="end"/>
      </w:r>
      <w:r>
        <w:rPr>
          <w:rFonts w:hint="eastAsia" w:ascii="宋体" w:hAnsi="宋体" w:cs="宋体"/>
          <w:color w:val="auto"/>
        </w:rPr>
        <w:fldChar w:fldCharType="end"/>
      </w:r>
    </w:p>
    <w:p w14:paraId="4D226207">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_Toc2041 </w:instrText>
      </w:r>
      <w:r>
        <w:rPr>
          <w:rFonts w:hint="eastAsia" w:ascii="宋体" w:hAnsi="宋体" w:cs="宋体"/>
          <w:color w:val="auto"/>
        </w:rPr>
        <w:fldChar w:fldCharType="separate"/>
      </w:r>
      <w:r>
        <w:rPr>
          <w:rFonts w:hint="eastAsia" w:ascii="宋体" w:hAnsi="宋体" w:cs="宋体"/>
          <w:bCs/>
          <w:color w:val="auto"/>
          <w:szCs w:val="28"/>
        </w:rPr>
        <w:t>附件一：开标记录表</w:t>
      </w:r>
      <w:r>
        <w:rPr>
          <w:color w:val="auto"/>
        </w:rPr>
        <w:tab/>
      </w:r>
      <w:r>
        <w:rPr>
          <w:color w:val="auto"/>
        </w:rPr>
        <w:fldChar w:fldCharType="begin"/>
      </w:r>
      <w:r>
        <w:rPr>
          <w:color w:val="auto"/>
        </w:rPr>
        <w:instrText xml:space="preserve"> PAGEREF _Toc2041 \h </w:instrText>
      </w:r>
      <w:r>
        <w:rPr>
          <w:color w:val="auto"/>
        </w:rPr>
        <w:fldChar w:fldCharType="separate"/>
      </w:r>
      <w:r>
        <w:rPr>
          <w:color w:val="auto"/>
        </w:rPr>
        <w:t>28</w:t>
      </w:r>
      <w:r>
        <w:rPr>
          <w:color w:val="auto"/>
        </w:rPr>
        <w:fldChar w:fldCharType="end"/>
      </w:r>
      <w:r>
        <w:rPr>
          <w:rFonts w:hint="eastAsia" w:ascii="宋体" w:hAnsi="宋体" w:cs="宋体"/>
          <w:color w:val="auto"/>
        </w:rPr>
        <w:fldChar w:fldCharType="end"/>
      </w:r>
    </w:p>
    <w:p w14:paraId="58F6D490">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_Toc32539 </w:instrText>
      </w:r>
      <w:r>
        <w:rPr>
          <w:rFonts w:hint="eastAsia" w:ascii="宋体" w:hAnsi="宋体" w:cs="宋体"/>
          <w:color w:val="auto"/>
        </w:rPr>
        <w:fldChar w:fldCharType="separate"/>
      </w:r>
      <w:r>
        <w:rPr>
          <w:rFonts w:hint="eastAsia" w:ascii="宋体" w:eastAsia="宋体" w:cs="宋体"/>
          <w:color w:val="auto"/>
        </w:rPr>
        <w:t>附件二：问题澄清通知</w:t>
      </w:r>
      <w:r>
        <w:rPr>
          <w:color w:val="auto"/>
        </w:rPr>
        <w:tab/>
      </w:r>
      <w:r>
        <w:rPr>
          <w:color w:val="auto"/>
        </w:rPr>
        <w:fldChar w:fldCharType="begin"/>
      </w:r>
      <w:r>
        <w:rPr>
          <w:color w:val="auto"/>
        </w:rPr>
        <w:instrText xml:space="preserve"> PAGEREF _Toc32539 \h </w:instrText>
      </w:r>
      <w:r>
        <w:rPr>
          <w:color w:val="auto"/>
        </w:rPr>
        <w:fldChar w:fldCharType="separate"/>
      </w:r>
      <w:r>
        <w:rPr>
          <w:color w:val="auto"/>
        </w:rPr>
        <w:t>29</w:t>
      </w:r>
      <w:r>
        <w:rPr>
          <w:color w:val="auto"/>
        </w:rPr>
        <w:fldChar w:fldCharType="end"/>
      </w:r>
      <w:r>
        <w:rPr>
          <w:rFonts w:hint="eastAsia" w:ascii="宋体" w:hAnsi="宋体" w:cs="宋体"/>
          <w:color w:val="auto"/>
        </w:rPr>
        <w:fldChar w:fldCharType="end"/>
      </w:r>
    </w:p>
    <w:p w14:paraId="756404AE">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_Toc27079 </w:instrText>
      </w:r>
      <w:r>
        <w:rPr>
          <w:rFonts w:hint="eastAsia" w:ascii="宋体" w:hAnsi="宋体" w:cs="宋体"/>
          <w:color w:val="auto"/>
        </w:rPr>
        <w:fldChar w:fldCharType="separate"/>
      </w:r>
      <w:r>
        <w:rPr>
          <w:rFonts w:hint="eastAsia" w:ascii="宋体" w:eastAsia="宋体" w:cs="宋体"/>
          <w:color w:val="auto"/>
        </w:rPr>
        <w:t>附件三：问题的澄清</w:t>
      </w:r>
      <w:r>
        <w:rPr>
          <w:color w:val="auto"/>
        </w:rPr>
        <w:tab/>
      </w:r>
      <w:r>
        <w:rPr>
          <w:color w:val="auto"/>
        </w:rPr>
        <w:fldChar w:fldCharType="begin"/>
      </w:r>
      <w:r>
        <w:rPr>
          <w:color w:val="auto"/>
        </w:rPr>
        <w:instrText xml:space="preserve"> PAGEREF _Toc27079 \h </w:instrText>
      </w:r>
      <w:r>
        <w:rPr>
          <w:color w:val="auto"/>
        </w:rPr>
        <w:fldChar w:fldCharType="separate"/>
      </w:r>
      <w:r>
        <w:rPr>
          <w:color w:val="auto"/>
        </w:rPr>
        <w:t>30</w:t>
      </w:r>
      <w:r>
        <w:rPr>
          <w:color w:val="auto"/>
        </w:rPr>
        <w:fldChar w:fldCharType="end"/>
      </w:r>
      <w:r>
        <w:rPr>
          <w:rFonts w:hint="eastAsia" w:ascii="宋体" w:hAnsi="宋体" w:cs="宋体"/>
          <w:color w:val="auto"/>
        </w:rPr>
        <w:fldChar w:fldCharType="end"/>
      </w:r>
    </w:p>
    <w:p w14:paraId="4B43A5F8">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_Toc28476 </w:instrText>
      </w:r>
      <w:r>
        <w:rPr>
          <w:rFonts w:hint="eastAsia" w:ascii="宋体" w:hAnsi="宋体" w:cs="宋体"/>
          <w:color w:val="auto"/>
        </w:rPr>
        <w:fldChar w:fldCharType="separate"/>
      </w:r>
      <w:r>
        <w:rPr>
          <w:rFonts w:hint="eastAsia" w:ascii="宋体" w:eastAsia="宋体" w:cs="宋体"/>
          <w:color w:val="auto"/>
        </w:rPr>
        <w:t>附件四：评标委员会成员声明</w:t>
      </w:r>
      <w:r>
        <w:rPr>
          <w:color w:val="auto"/>
        </w:rPr>
        <w:tab/>
      </w:r>
      <w:r>
        <w:rPr>
          <w:color w:val="auto"/>
        </w:rPr>
        <w:fldChar w:fldCharType="begin"/>
      </w:r>
      <w:r>
        <w:rPr>
          <w:color w:val="auto"/>
        </w:rPr>
        <w:instrText xml:space="preserve"> PAGEREF _Toc28476 \h </w:instrText>
      </w:r>
      <w:r>
        <w:rPr>
          <w:color w:val="auto"/>
        </w:rPr>
        <w:fldChar w:fldCharType="separate"/>
      </w:r>
      <w:r>
        <w:rPr>
          <w:color w:val="auto"/>
        </w:rPr>
        <w:t>31</w:t>
      </w:r>
      <w:r>
        <w:rPr>
          <w:color w:val="auto"/>
        </w:rPr>
        <w:fldChar w:fldCharType="end"/>
      </w:r>
      <w:r>
        <w:rPr>
          <w:rFonts w:hint="eastAsia" w:ascii="宋体" w:hAnsi="宋体" w:cs="宋体"/>
          <w:color w:val="auto"/>
        </w:rPr>
        <w:fldChar w:fldCharType="end"/>
      </w:r>
    </w:p>
    <w:p w14:paraId="609699FF">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_Toc11613 </w:instrText>
      </w:r>
      <w:r>
        <w:rPr>
          <w:rFonts w:hint="eastAsia" w:ascii="宋体" w:hAnsi="宋体" w:cs="宋体"/>
          <w:color w:val="auto"/>
        </w:rPr>
        <w:fldChar w:fldCharType="separate"/>
      </w:r>
      <w:r>
        <w:rPr>
          <w:rFonts w:hint="eastAsia" w:ascii="宋体" w:hAnsi="宋体" w:cs="宋体"/>
          <w:color w:val="auto"/>
          <w:highlight w:val="none"/>
        </w:rPr>
        <w:t>第三章 评标办法（综合评估法）</w:t>
      </w:r>
      <w:r>
        <w:rPr>
          <w:color w:val="auto"/>
        </w:rPr>
        <w:tab/>
      </w:r>
      <w:r>
        <w:rPr>
          <w:color w:val="auto"/>
        </w:rPr>
        <w:fldChar w:fldCharType="begin"/>
      </w:r>
      <w:r>
        <w:rPr>
          <w:color w:val="auto"/>
        </w:rPr>
        <w:instrText xml:space="preserve"> PAGEREF _Toc11613 \h </w:instrText>
      </w:r>
      <w:r>
        <w:rPr>
          <w:color w:val="auto"/>
        </w:rPr>
        <w:fldChar w:fldCharType="separate"/>
      </w:r>
      <w:r>
        <w:rPr>
          <w:color w:val="auto"/>
        </w:rPr>
        <w:t>32</w:t>
      </w:r>
      <w:r>
        <w:rPr>
          <w:color w:val="auto"/>
        </w:rPr>
        <w:fldChar w:fldCharType="end"/>
      </w:r>
      <w:r>
        <w:rPr>
          <w:rFonts w:hint="eastAsia" w:ascii="宋体" w:hAnsi="宋体" w:cs="宋体"/>
          <w:color w:val="auto"/>
        </w:rPr>
        <w:fldChar w:fldCharType="end"/>
      </w:r>
    </w:p>
    <w:p w14:paraId="4A500D4F">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_Toc27308 </w:instrText>
      </w:r>
      <w:r>
        <w:rPr>
          <w:rFonts w:hint="eastAsia" w:ascii="宋体" w:hAnsi="宋体" w:cs="宋体"/>
          <w:color w:val="auto"/>
        </w:rPr>
        <w:fldChar w:fldCharType="separate"/>
      </w:r>
      <w:r>
        <w:rPr>
          <w:rFonts w:hint="eastAsia" w:ascii="宋体" w:hAnsi="宋体" w:eastAsia="宋体" w:cs="宋体"/>
          <w:color w:val="auto"/>
        </w:rPr>
        <w:t>评标办法前附表</w:t>
      </w:r>
      <w:r>
        <w:rPr>
          <w:color w:val="auto"/>
        </w:rPr>
        <w:tab/>
      </w:r>
      <w:r>
        <w:rPr>
          <w:color w:val="auto"/>
        </w:rPr>
        <w:fldChar w:fldCharType="begin"/>
      </w:r>
      <w:r>
        <w:rPr>
          <w:color w:val="auto"/>
        </w:rPr>
        <w:instrText xml:space="preserve"> PAGEREF _Toc27308 \h </w:instrText>
      </w:r>
      <w:r>
        <w:rPr>
          <w:color w:val="auto"/>
        </w:rPr>
        <w:fldChar w:fldCharType="separate"/>
      </w:r>
      <w:r>
        <w:rPr>
          <w:color w:val="auto"/>
        </w:rPr>
        <w:t>32</w:t>
      </w:r>
      <w:r>
        <w:rPr>
          <w:color w:val="auto"/>
        </w:rPr>
        <w:fldChar w:fldCharType="end"/>
      </w:r>
      <w:r>
        <w:rPr>
          <w:rFonts w:hint="eastAsia" w:ascii="宋体" w:hAnsi="宋体" w:cs="宋体"/>
          <w:color w:val="auto"/>
        </w:rPr>
        <w:fldChar w:fldCharType="end"/>
      </w:r>
    </w:p>
    <w:p w14:paraId="65D01634">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_Toc25110 </w:instrText>
      </w:r>
      <w:r>
        <w:rPr>
          <w:rFonts w:hint="eastAsia" w:ascii="宋体" w:hAnsi="宋体" w:cs="宋体"/>
          <w:color w:val="auto"/>
        </w:rPr>
        <w:fldChar w:fldCharType="separate"/>
      </w:r>
      <w:r>
        <w:rPr>
          <w:rFonts w:hint="eastAsia" w:ascii="宋体" w:hAnsi="宋体" w:cs="宋体"/>
          <w:bCs/>
          <w:color w:val="auto"/>
          <w:szCs w:val="32"/>
        </w:rPr>
        <w:t>1. 评标方法</w:t>
      </w:r>
      <w:r>
        <w:rPr>
          <w:color w:val="auto"/>
        </w:rPr>
        <w:tab/>
      </w:r>
      <w:r>
        <w:rPr>
          <w:color w:val="auto"/>
        </w:rPr>
        <w:fldChar w:fldCharType="begin"/>
      </w:r>
      <w:r>
        <w:rPr>
          <w:color w:val="auto"/>
        </w:rPr>
        <w:instrText xml:space="preserve"> PAGEREF _Toc25110 \h </w:instrText>
      </w:r>
      <w:r>
        <w:rPr>
          <w:color w:val="auto"/>
        </w:rPr>
        <w:fldChar w:fldCharType="separate"/>
      </w:r>
      <w:r>
        <w:rPr>
          <w:color w:val="auto"/>
        </w:rPr>
        <w:t>40</w:t>
      </w:r>
      <w:r>
        <w:rPr>
          <w:color w:val="auto"/>
        </w:rPr>
        <w:fldChar w:fldCharType="end"/>
      </w:r>
      <w:r>
        <w:rPr>
          <w:rFonts w:hint="eastAsia" w:ascii="宋体" w:hAnsi="宋体" w:cs="宋体"/>
          <w:color w:val="auto"/>
        </w:rPr>
        <w:fldChar w:fldCharType="end"/>
      </w:r>
    </w:p>
    <w:p w14:paraId="28E7836F">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_Toc27267 </w:instrText>
      </w:r>
      <w:r>
        <w:rPr>
          <w:rFonts w:hint="eastAsia" w:ascii="宋体" w:hAnsi="宋体" w:cs="宋体"/>
          <w:color w:val="auto"/>
        </w:rPr>
        <w:fldChar w:fldCharType="separate"/>
      </w:r>
      <w:r>
        <w:rPr>
          <w:rFonts w:hint="eastAsia" w:ascii="宋体" w:hAnsi="宋体" w:eastAsia="宋体" w:cs="宋体"/>
          <w:color w:val="auto"/>
        </w:rPr>
        <w:t>2. 评审标准</w:t>
      </w:r>
      <w:r>
        <w:rPr>
          <w:color w:val="auto"/>
        </w:rPr>
        <w:tab/>
      </w:r>
      <w:r>
        <w:rPr>
          <w:color w:val="auto"/>
        </w:rPr>
        <w:fldChar w:fldCharType="begin"/>
      </w:r>
      <w:r>
        <w:rPr>
          <w:color w:val="auto"/>
        </w:rPr>
        <w:instrText xml:space="preserve"> PAGEREF _Toc27267 \h </w:instrText>
      </w:r>
      <w:r>
        <w:rPr>
          <w:color w:val="auto"/>
        </w:rPr>
        <w:fldChar w:fldCharType="separate"/>
      </w:r>
      <w:r>
        <w:rPr>
          <w:color w:val="auto"/>
        </w:rPr>
        <w:t>40</w:t>
      </w:r>
      <w:r>
        <w:rPr>
          <w:color w:val="auto"/>
        </w:rPr>
        <w:fldChar w:fldCharType="end"/>
      </w:r>
      <w:r>
        <w:rPr>
          <w:rFonts w:hint="eastAsia" w:ascii="宋体" w:hAnsi="宋体" w:cs="宋体"/>
          <w:color w:val="auto"/>
        </w:rPr>
        <w:fldChar w:fldCharType="end"/>
      </w:r>
    </w:p>
    <w:p w14:paraId="5BC873C1">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_Toc20272 </w:instrText>
      </w:r>
      <w:r>
        <w:rPr>
          <w:rFonts w:hint="eastAsia" w:ascii="宋体" w:hAnsi="宋体" w:cs="宋体"/>
          <w:color w:val="auto"/>
        </w:rPr>
        <w:fldChar w:fldCharType="separate"/>
      </w:r>
      <w:r>
        <w:rPr>
          <w:rFonts w:hint="eastAsia" w:ascii="宋体" w:eastAsia="宋体" w:cs="宋体"/>
          <w:color w:val="auto"/>
        </w:rPr>
        <w:t>2.1 初步评审标准</w:t>
      </w:r>
      <w:r>
        <w:rPr>
          <w:color w:val="auto"/>
        </w:rPr>
        <w:tab/>
      </w:r>
      <w:r>
        <w:rPr>
          <w:color w:val="auto"/>
        </w:rPr>
        <w:fldChar w:fldCharType="begin"/>
      </w:r>
      <w:r>
        <w:rPr>
          <w:color w:val="auto"/>
        </w:rPr>
        <w:instrText xml:space="preserve"> PAGEREF _Toc20272 \h </w:instrText>
      </w:r>
      <w:r>
        <w:rPr>
          <w:color w:val="auto"/>
        </w:rPr>
        <w:fldChar w:fldCharType="separate"/>
      </w:r>
      <w:r>
        <w:rPr>
          <w:color w:val="auto"/>
        </w:rPr>
        <w:t>40</w:t>
      </w:r>
      <w:r>
        <w:rPr>
          <w:color w:val="auto"/>
        </w:rPr>
        <w:fldChar w:fldCharType="end"/>
      </w:r>
      <w:r>
        <w:rPr>
          <w:rFonts w:hint="eastAsia" w:ascii="宋体" w:hAnsi="宋体" w:cs="宋体"/>
          <w:color w:val="auto"/>
        </w:rPr>
        <w:fldChar w:fldCharType="end"/>
      </w:r>
    </w:p>
    <w:p w14:paraId="0548FDF5">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_Toc2431 </w:instrText>
      </w:r>
      <w:r>
        <w:rPr>
          <w:rFonts w:hint="eastAsia" w:ascii="宋体" w:hAnsi="宋体" w:cs="宋体"/>
          <w:color w:val="auto"/>
        </w:rPr>
        <w:fldChar w:fldCharType="separate"/>
      </w:r>
      <w:r>
        <w:rPr>
          <w:rFonts w:hint="eastAsia" w:ascii="宋体" w:eastAsia="宋体" w:cs="宋体"/>
          <w:color w:val="auto"/>
        </w:rPr>
        <w:t>2.2 分值构成与评分标准</w:t>
      </w:r>
      <w:r>
        <w:rPr>
          <w:color w:val="auto"/>
        </w:rPr>
        <w:tab/>
      </w:r>
      <w:r>
        <w:rPr>
          <w:color w:val="auto"/>
        </w:rPr>
        <w:fldChar w:fldCharType="begin"/>
      </w:r>
      <w:r>
        <w:rPr>
          <w:color w:val="auto"/>
        </w:rPr>
        <w:instrText xml:space="preserve"> PAGEREF _Toc2431 \h </w:instrText>
      </w:r>
      <w:r>
        <w:rPr>
          <w:color w:val="auto"/>
        </w:rPr>
        <w:fldChar w:fldCharType="separate"/>
      </w:r>
      <w:r>
        <w:rPr>
          <w:color w:val="auto"/>
        </w:rPr>
        <w:t>40</w:t>
      </w:r>
      <w:r>
        <w:rPr>
          <w:color w:val="auto"/>
        </w:rPr>
        <w:fldChar w:fldCharType="end"/>
      </w:r>
      <w:r>
        <w:rPr>
          <w:rFonts w:hint="eastAsia" w:ascii="宋体" w:hAnsi="宋体" w:cs="宋体"/>
          <w:color w:val="auto"/>
        </w:rPr>
        <w:fldChar w:fldCharType="end"/>
      </w:r>
    </w:p>
    <w:p w14:paraId="7D7B81A3">
      <w:pPr>
        <w:pStyle w:val="29"/>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_Toc15100 </w:instrText>
      </w:r>
      <w:r>
        <w:rPr>
          <w:rFonts w:hint="eastAsia" w:ascii="宋体" w:hAnsi="宋体" w:cs="宋体"/>
          <w:color w:val="auto"/>
        </w:rPr>
        <w:fldChar w:fldCharType="separate"/>
      </w:r>
      <w:r>
        <w:rPr>
          <w:rFonts w:hint="eastAsia" w:ascii="宋体" w:hAnsi="宋体" w:eastAsia="宋体" w:cs="宋体"/>
          <w:color w:val="auto"/>
        </w:rPr>
        <w:t>3. 评标程序</w:t>
      </w:r>
      <w:r>
        <w:rPr>
          <w:color w:val="auto"/>
        </w:rPr>
        <w:tab/>
      </w:r>
      <w:r>
        <w:rPr>
          <w:color w:val="auto"/>
        </w:rPr>
        <w:fldChar w:fldCharType="begin"/>
      </w:r>
      <w:r>
        <w:rPr>
          <w:color w:val="auto"/>
        </w:rPr>
        <w:instrText xml:space="preserve"> PAGEREF _Toc15100 \h </w:instrText>
      </w:r>
      <w:r>
        <w:rPr>
          <w:color w:val="auto"/>
        </w:rPr>
        <w:fldChar w:fldCharType="separate"/>
      </w:r>
      <w:r>
        <w:rPr>
          <w:color w:val="auto"/>
        </w:rPr>
        <w:t>41</w:t>
      </w:r>
      <w:r>
        <w:rPr>
          <w:color w:val="auto"/>
        </w:rPr>
        <w:fldChar w:fldCharType="end"/>
      </w:r>
      <w:r>
        <w:rPr>
          <w:rFonts w:hint="eastAsia" w:ascii="宋体" w:hAnsi="宋体" w:cs="宋体"/>
          <w:color w:val="auto"/>
        </w:rPr>
        <w:fldChar w:fldCharType="end"/>
      </w:r>
    </w:p>
    <w:p w14:paraId="4A54DD6D">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_Toc30970 </w:instrText>
      </w:r>
      <w:r>
        <w:rPr>
          <w:rFonts w:hint="eastAsia" w:ascii="宋体" w:hAnsi="宋体" w:cs="宋体"/>
          <w:color w:val="auto"/>
        </w:rPr>
        <w:fldChar w:fldCharType="separate"/>
      </w:r>
      <w:r>
        <w:rPr>
          <w:rFonts w:hint="eastAsia" w:ascii="宋体" w:eastAsia="宋体" w:cs="宋体"/>
          <w:color w:val="auto"/>
        </w:rPr>
        <w:t>3.1设计方案评审</w:t>
      </w:r>
      <w:r>
        <w:rPr>
          <w:color w:val="auto"/>
        </w:rPr>
        <w:tab/>
      </w:r>
      <w:r>
        <w:rPr>
          <w:color w:val="auto"/>
        </w:rPr>
        <w:fldChar w:fldCharType="begin"/>
      </w:r>
      <w:r>
        <w:rPr>
          <w:color w:val="auto"/>
        </w:rPr>
        <w:instrText xml:space="preserve"> PAGEREF _Toc30970 \h </w:instrText>
      </w:r>
      <w:r>
        <w:rPr>
          <w:color w:val="auto"/>
        </w:rPr>
        <w:fldChar w:fldCharType="separate"/>
      </w:r>
      <w:r>
        <w:rPr>
          <w:color w:val="auto"/>
        </w:rPr>
        <w:t>41</w:t>
      </w:r>
      <w:r>
        <w:rPr>
          <w:color w:val="auto"/>
        </w:rPr>
        <w:fldChar w:fldCharType="end"/>
      </w:r>
      <w:r>
        <w:rPr>
          <w:rFonts w:hint="eastAsia" w:ascii="宋体" w:hAnsi="宋体" w:cs="宋体"/>
          <w:color w:val="auto"/>
        </w:rPr>
        <w:fldChar w:fldCharType="end"/>
      </w:r>
    </w:p>
    <w:p w14:paraId="68641394">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_Toc11410 </w:instrText>
      </w:r>
      <w:r>
        <w:rPr>
          <w:rFonts w:hint="eastAsia" w:ascii="宋体" w:hAnsi="宋体" w:cs="宋体"/>
          <w:color w:val="auto"/>
        </w:rPr>
        <w:fldChar w:fldCharType="separate"/>
      </w:r>
      <w:r>
        <w:rPr>
          <w:rFonts w:hint="eastAsia" w:ascii="宋体" w:eastAsia="宋体" w:cs="宋体"/>
          <w:color w:val="auto"/>
        </w:rPr>
        <w:t>3.2形式审查及资格审查</w:t>
      </w:r>
      <w:r>
        <w:rPr>
          <w:color w:val="auto"/>
        </w:rPr>
        <w:tab/>
      </w:r>
      <w:r>
        <w:rPr>
          <w:color w:val="auto"/>
        </w:rPr>
        <w:fldChar w:fldCharType="begin"/>
      </w:r>
      <w:r>
        <w:rPr>
          <w:color w:val="auto"/>
        </w:rPr>
        <w:instrText xml:space="preserve"> PAGEREF _Toc11410 \h </w:instrText>
      </w:r>
      <w:r>
        <w:rPr>
          <w:color w:val="auto"/>
        </w:rPr>
        <w:fldChar w:fldCharType="separate"/>
      </w:r>
      <w:r>
        <w:rPr>
          <w:color w:val="auto"/>
        </w:rPr>
        <w:t>41</w:t>
      </w:r>
      <w:r>
        <w:rPr>
          <w:color w:val="auto"/>
        </w:rPr>
        <w:fldChar w:fldCharType="end"/>
      </w:r>
      <w:r>
        <w:rPr>
          <w:rFonts w:hint="eastAsia" w:ascii="宋体" w:hAnsi="宋体" w:cs="宋体"/>
          <w:color w:val="auto"/>
        </w:rPr>
        <w:fldChar w:fldCharType="end"/>
      </w:r>
    </w:p>
    <w:p w14:paraId="34357ABB">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_Toc23107 </w:instrText>
      </w:r>
      <w:r>
        <w:rPr>
          <w:rFonts w:hint="eastAsia" w:ascii="宋体" w:hAnsi="宋体" w:cs="宋体"/>
          <w:color w:val="auto"/>
        </w:rPr>
        <w:fldChar w:fldCharType="separate"/>
      </w:r>
      <w:r>
        <w:rPr>
          <w:rFonts w:hint="eastAsia" w:ascii="宋体" w:eastAsia="宋体" w:cs="宋体"/>
          <w:color w:val="auto"/>
        </w:rPr>
        <w:t>3.3工程承包实施方案评审</w:t>
      </w:r>
      <w:r>
        <w:rPr>
          <w:color w:val="auto"/>
        </w:rPr>
        <w:tab/>
      </w:r>
      <w:r>
        <w:rPr>
          <w:color w:val="auto"/>
        </w:rPr>
        <w:fldChar w:fldCharType="begin"/>
      </w:r>
      <w:r>
        <w:rPr>
          <w:color w:val="auto"/>
        </w:rPr>
        <w:instrText xml:space="preserve"> PAGEREF _Toc23107 \h </w:instrText>
      </w:r>
      <w:r>
        <w:rPr>
          <w:color w:val="auto"/>
        </w:rPr>
        <w:fldChar w:fldCharType="separate"/>
      </w:r>
      <w:r>
        <w:rPr>
          <w:color w:val="auto"/>
        </w:rPr>
        <w:t>42</w:t>
      </w:r>
      <w:r>
        <w:rPr>
          <w:color w:val="auto"/>
        </w:rPr>
        <w:fldChar w:fldCharType="end"/>
      </w:r>
      <w:r>
        <w:rPr>
          <w:rFonts w:hint="eastAsia" w:ascii="宋体" w:hAnsi="宋体" w:cs="宋体"/>
          <w:color w:val="auto"/>
        </w:rPr>
        <w:fldChar w:fldCharType="end"/>
      </w:r>
    </w:p>
    <w:p w14:paraId="109B0E05">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_Toc1078 </w:instrText>
      </w:r>
      <w:r>
        <w:rPr>
          <w:rFonts w:hint="eastAsia" w:ascii="宋体" w:hAnsi="宋体" w:cs="宋体"/>
          <w:color w:val="auto"/>
        </w:rPr>
        <w:fldChar w:fldCharType="separate"/>
      </w:r>
      <w:r>
        <w:rPr>
          <w:rFonts w:hint="eastAsia" w:ascii="宋体" w:eastAsia="宋体" w:cs="宋体"/>
          <w:color w:val="auto"/>
        </w:rPr>
        <w:t>3.4投标报价得分</w:t>
      </w:r>
      <w:r>
        <w:rPr>
          <w:color w:val="auto"/>
        </w:rPr>
        <w:tab/>
      </w:r>
      <w:r>
        <w:rPr>
          <w:color w:val="auto"/>
        </w:rPr>
        <w:fldChar w:fldCharType="begin"/>
      </w:r>
      <w:r>
        <w:rPr>
          <w:color w:val="auto"/>
        </w:rPr>
        <w:instrText xml:space="preserve"> PAGEREF _Toc1078 \h </w:instrText>
      </w:r>
      <w:r>
        <w:rPr>
          <w:color w:val="auto"/>
        </w:rPr>
        <w:fldChar w:fldCharType="separate"/>
      </w:r>
      <w:r>
        <w:rPr>
          <w:color w:val="auto"/>
        </w:rPr>
        <w:t>43</w:t>
      </w:r>
      <w:r>
        <w:rPr>
          <w:color w:val="auto"/>
        </w:rPr>
        <w:fldChar w:fldCharType="end"/>
      </w:r>
      <w:r>
        <w:rPr>
          <w:rFonts w:hint="eastAsia" w:ascii="宋体" w:hAnsi="宋体" w:cs="宋体"/>
          <w:color w:val="auto"/>
        </w:rPr>
        <w:fldChar w:fldCharType="end"/>
      </w:r>
    </w:p>
    <w:p w14:paraId="3493B743">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_Toc26575 </w:instrText>
      </w:r>
      <w:r>
        <w:rPr>
          <w:rFonts w:hint="eastAsia" w:ascii="宋体" w:hAnsi="宋体" w:cs="宋体"/>
          <w:color w:val="auto"/>
        </w:rPr>
        <w:fldChar w:fldCharType="separate"/>
      </w:r>
      <w:r>
        <w:rPr>
          <w:rFonts w:hint="eastAsia" w:ascii="宋体" w:eastAsia="宋体" w:cs="宋体"/>
          <w:color w:val="auto"/>
        </w:rPr>
        <w:t>3.5评审汇总</w:t>
      </w:r>
      <w:r>
        <w:rPr>
          <w:color w:val="auto"/>
        </w:rPr>
        <w:tab/>
      </w:r>
      <w:r>
        <w:rPr>
          <w:color w:val="auto"/>
        </w:rPr>
        <w:fldChar w:fldCharType="begin"/>
      </w:r>
      <w:r>
        <w:rPr>
          <w:color w:val="auto"/>
        </w:rPr>
        <w:instrText xml:space="preserve"> PAGEREF _Toc26575 \h </w:instrText>
      </w:r>
      <w:r>
        <w:rPr>
          <w:color w:val="auto"/>
        </w:rPr>
        <w:fldChar w:fldCharType="separate"/>
      </w:r>
      <w:r>
        <w:rPr>
          <w:color w:val="auto"/>
        </w:rPr>
        <w:t>43</w:t>
      </w:r>
      <w:r>
        <w:rPr>
          <w:color w:val="auto"/>
        </w:rPr>
        <w:fldChar w:fldCharType="end"/>
      </w:r>
      <w:r>
        <w:rPr>
          <w:rFonts w:hint="eastAsia" w:ascii="宋体" w:hAnsi="宋体" w:cs="宋体"/>
          <w:color w:val="auto"/>
        </w:rPr>
        <w:fldChar w:fldCharType="end"/>
      </w:r>
    </w:p>
    <w:p w14:paraId="475E4256">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_Toc30498 </w:instrText>
      </w:r>
      <w:r>
        <w:rPr>
          <w:rFonts w:hint="eastAsia" w:ascii="宋体" w:hAnsi="宋体" w:cs="宋体"/>
          <w:color w:val="auto"/>
        </w:rPr>
        <w:fldChar w:fldCharType="separate"/>
      </w:r>
      <w:r>
        <w:rPr>
          <w:rFonts w:hint="eastAsia" w:ascii="宋体" w:eastAsia="宋体" w:cs="宋体"/>
          <w:color w:val="auto"/>
        </w:rPr>
        <w:t>3.6投标文件的澄清和补正</w:t>
      </w:r>
      <w:r>
        <w:rPr>
          <w:color w:val="auto"/>
        </w:rPr>
        <w:tab/>
      </w:r>
      <w:r>
        <w:rPr>
          <w:color w:val="auto"/>
        </w:rPr>
        <w:fldChar w:fldCharType="begin"/>
      </w:r>
      <w:r>
        <w:rPr>
          <w:color w:val="auto"/>
        </w:rPr>
        <w:instrText xml:space="preserve"> PAGEREF _Toc30498 \h </w:instrText>
      </w:r>
      <w:r>
        <w:rPr>
          <w:color w:val="auto"/>
        </w:rPr>
        <w:fldChar w:fldCharType="separate"/>
      </w:r>
      <w:r>
        <w:rPr>
          <w:color w:val="auto"/>
        </w:rPr>
        <w:t>44</w:t>
      </w:r>
      <w:r>
        <w:rPr>
          <w:color w:val="auto"/>
        </w:rPr>
        <w:fldChar w:fldCharType="end"/>
      </w:r>
      <w:r>
        <w:rPr>
          <w:rFonts w:hint="eastAsia" w:ascii="宋体" w:hAnsi="宋体" w:cs="宋体"/>
          <w:color w:val="auto"/>
        </w:rPr>
        <w:fldChar w:fldCharType="end"/>
      </w:r>
    </w:p>
    <w:p w14:paraId="573517D6">
      <w:pPr>
        <w:pStyle w:val="18"/>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_Toc11290 </w:instrText>
      </w:r>
      <w:r>
        <w:rPr>
          <w:rFonts w:hint="eastAsia" w:ascii="宋体" w:hAnsi="宋体" w:cs="宋体"/>
          <w:color w:val="auto"/>
        </w:rPr>
        <w:fldChar w:fldCharType="separate"/>
      </w:r>
      <w:r>
        <w:rPr>
          <w:rFonts w:hint="eastAsia" w:ascii="宋体" w:eastAsia="宋体" w:cs="宋体"/>
          <w:color w:val="auto"/>
        </w:rPr>
        <w:t>3.7评标结果</w:t>
      </w:r>
      <w:r>
        <w:rPr>
          <w:color w:val="auto"/>
        </w:rPr>
        <w:tab/>
      </w:r>
      <w:r>
        <w:rPr>
          <w:color w:val="auto"/>
        </w:rPr>
        <w:fldChar w:fldCharType="begin"/>
      </w:r>
      <w:r>
        <w:rPr>
          <w:color w:val="auto"/>
        </w:rPr>
        <w:instrText xml:space="preserve"> PAGEREF _Toc11290 \h </w:instrText>
      </w:r>
      <w:r>
        <w:rPr>
          <w:color w:val="auto"/>
        </w:rPr>
        <w:fldChar w:fldCharType="separate"/>
      </w:r>
      <w:r>
        <w:rPr>
          <w:color w:val="auto"/>
        </w:rPr>
        <w:t>44</w:t>
      </w:r>
      <w:r>
        <w:rPr>
          <w:color w:val="auto"/>
        </w:rPr>
        <w:fldChar w:fldCharType="end"/>
      </w:r>
      <w:r>
        <w:rPr>
          <w:rFonts w:hint="eastAsia" w:ascii="宋体" w:hAnsi="宋体" w:cs="宋体"/>
          <w:color w:val="auto"/>
        </w:rPr>
        <w:fldChar w:fldCharType="end"/>
      </w:r>
    </w:p>
    <w:p w14:paraId="02F7777E">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_Toc22031 </w:instrText>
      </w:r>
      <w:r>
        <w:rPr>
          <w:rFonts w:hint="eastAsia" w:ascii="宋体" w:hAnsi="宋体" w:cs="宋体"/>
          <w:color w:val="auto"/>
        </w:rPr>
        <w:fldChar w:fldCharType="separate"/>
      </w:r>
      <w:r>
        <w:rPr>
          <w:rFonts w:hint="eastAsia" w:ascii="宋体" w:hAnsi="宋体" w:cs="宋体"/>
          <w:color w:val="auto"/>
        </w:rPr>
        <w:t>第四章 合同条款及格式</w:t>
      </w:r>
      <w:r>
        <w:rPr>
          <w:color w:val="auto"/>
        </w:rPr>
        <w:tab/>
      </w:r>
      <w:r>
        <w:rPr>
          <w:color w:val="auto"/>
        </w:rPr>
        <w:fldChar w:fldCharType="begin"/>
      </w:r>
      <w:r>
        <w:rPr>
          <w:color w:val="auto"/>
        </w:rPr>
        <w:instrText xml:space="preserve"> PAGEREF _Toc22031 \h </w:instrText>
      </w:r>
      <w:r>
        <w:rPr>
          <w:color w:val="auto"/>
        </w:rPr>
        <w:fldChar w:fldCharType="separate"/>
      </w:r>
      <w:r>
        <w:rPr>
          <w:color w:val="auto"/>
        </w:rPr>
        <w:t>45</w:t>
      </w:r>
      <w:r>
        <w:rPr>
          <w:color w:val="auto"/>
        </w:rPr>
        <w:fldChar w:fldCharType="end"/>
      </w:r>
      <w:r>
        <w:rPr>
          <w:rFonts w:hint="eastAsia" w:ascii="宋体" w:hAnsi="宋体" w:cs="宋体"/>
          <w:color w:val="auto"/>
        </w:rPr>
        <w:fldChar w:fldCharType="end"/>
      </w:r>
    </w:p>
    <w:p w14:paraId="5D808441">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_Toc26758 </w:instrText>
      </w:r>
      <w:r>
        <w:rPr>
          <w:rFonts w:hint="eastAsia" w:ascii="宋体" w:hAnsi="宋体" w:cs="宋体"/>
          <w:color w:val="auto"/>
        </w:rPr>
        <w:fldChar w:fldCharType="separate"/>
      </w:r>
      <w:r>
        <w:rPr>
          <w:rFonts w:hint="eastAsia" w:ascii="宋体" w:hAnsi="宋体" w:cs="宋体"/>
          <w:color w:val="auto"/>
        </w:rPr>
        <w:t>第二卷</w:t>
      </w:r>
      <w:r>
        <w:rPr>
          <w:color w:val="auto"/>
        </w:rPr>
        <w:tab/>
      </w:r>
      <w:r>
        <w:rPr>
          <w:color w:val="auto"/>
        </w:rPr>
        <w:fldChar w:fldCharType="begin"/>
      </w:r>
      <w:r>
        <w:rPr>
          <w:color w:val="auto"/>
        </w:rPr>
        <w:instrText xml:space="preserve"> PAGEREF _Toc26758 \h </w:instrText>
      </w:r>
      <w:r>
        <w:rPr>
          <w:color w:val="auto"/>
        </w:rPr>
        <w:fldChar w:fldCharType="separate"/>
      </w:r>
      <w:r>
        <w:rPr>
          <w:color w:val="auto"/>
        </w:rPr>
        <w:t>46</w:t>
      </w:r>
      <w:r>
        <w:rPr>
          <w:color w:val="auto"/>
        </w:rPr>
        <w:fldChar w:fldCharType="end"/>
      </w:r>
      <w:r>
        <w:rPr>
          <w:rFonts w:hint="eastAsia" w:ascii="宋体" w:hAnsi="宋体" w:cs="宋体"/>
          <w:color w:val="auto"/>
        </w:rPr>
        <w:fldChar w:fldCharType="end"/>
      </w:r>
    </w:p>
    <w:p w14:paraId="5F9EF759">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_Toc32592 </w:instrText>
      </w:r>
      <w:r>
        <w:rPr>
          <w:rFonts w:hint="eastAsia" w:ascii="宋体" w:hAnsi="宋体" w:cs="宋体"/>
          <w:color w:val="auto"/>
        </w:rPr>
        <w:fldChar w:fldCharType="separate"/>
      </w:r>
      <w:r>
        <w:rPr>
          <w:rFonts w:hint="eastAsia" w:ascii="宋体" w:hAnsi="宋体" w:cs="宋体"/>
          <w:color w:val="auto"/>
        </w:rPr>
        <w:t>第五章  招标人要求</w:t>
      </w:r>
      <w:r>
        <w:rPr>
          <w:color w:val="auto"/>
        </w:rPr>
        <w:tab/>
      </w:r>
      <w:r>
        <w:rPr>
          <w:color w:val="auto"/>
        </w:rPr>
        <w:fldChar w:fldCharType="begin"/>
      </w:r>
      <w:r>
        <w:rPr>
          <w:color w:val="auto"/>
        </w:rPr>
        <w:instrText xml:space="preserve"> PAGEREF _Toc32592 \h </w:instrText>
      </w:r>
      <w:r>
        <w:rPr>
          <w:color w:val="auto"/>
        </w:rPr>
        <w:fldChar w:fldCharType="separate"/>
      </w:r>
      <w:r>
        <w:rPr>
          <w:color w:val="auto"/>
        </w:rPr>
        <w:t>47</w:t>
      </w:r>
      <w:r>
        <w:rPr>
          <w:color w:val="auto"/>
        </w:rPr>
        <w:fldChar w:fldCharType="end"/>
      </w:r>
      <w:r>
        <w:rPr>
          <w:rFonts w:hint="eastAsia" w:ascii="宋体" w:hAnsi="宋体" w:cs="宋体"/>
          <w:color w:val="auto"/>
        </w:rPr>
        <w:fldChar w:fldCharType="end"/>
      </w:r>
    </w:p>
    <w:p w14:paraId="0B45483A">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_Toc4824 </w:instrText>
      </w:r>
      <w:r>
        <w:rPr>
          <w:rFonts w:hint="eastAsia" w:ascii="宋体" w:hAnsi="宋体" w:cs="宋体"/>
          <w:color w:val="auto"/>
        </w:rPr>
        <w:fldChar w:fldCharType="separate"/>
      </w:r>
      <w:r>
        <w:rPr>
          <w:rFonts w:ascii="Times New Roman" w:hAnsi="Times New Roman" w:eastAsia="黑体" w:cs="Times New Roman"/>
          <w:color w:val="auto"/>
          <w:szCs w:val="44"/>
        </w:rPr>
        <w:t>设计任务书</w:t>
      </w:r>
      <w:r>
        <w:rPr>
          <w:color w:val="auto"/>
        </w:rPr>
        <w:tab/>
      </w:r>
      <w:r>
        <w:rPr>
          <w:color w:val="auto"/>
        </w:rPr>
        <w:fldChar w:fldCharType="begin"/>
      </w:r>
      <w:r>
        <w:rPr>
          <w:color w:val="auto"/>
        </w:rPr>
        <w:instrText xml:space="preserve"> PAGEREF _Toc4824 \h </w:instrText>
      </w:r>
      <w:r>
        <w:rPr>
          <w:color w:val="auto"/>
        </w:rPr>
        <w:fldChar w:fldCharType="separate"/>
      </w:r>
      <w:r>
        <w:rPr>
          <w:color w:val="auto"/>
        </w:rPr>
        <w:t>48</w:t>
      </w:r>
      <w:r>
        <w:rPr>
          <w:color w:val="auto"/>
        </w:rPr>
        <w:fldChar w:fldCharType="end"/>
      </w:r>
      <w:r>
        <w:rPr>
          <w:rFonts w:hint="eastAsia" w:ascii="宋体" w:hAnsi="宋体" w:cs="宋体"/>
          <w:color w:val="auto"/>
        </w:rPr>
        <w:fldChar w:fldCharType="end"/>
      </w:r>
    </w:p>
    <w:p w14:paraId="2AE8B8FF">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_Toc18748 </w:instrText>
      </w:r>
      <w:r>
        <w:rPr>
          <w:rFonts w:hint="eastAsia" w:ascii="宋体" w:hAnsi="宋体" w:cs="宋体"/>
          <w:color w:val="auto"/>
        </w:rPr>
        <w:fldChar w:fldCharType="separate"/>
      </w:r>
      <w:r>
        <w:rPr>
          <w:rFonts w:hint="eastAsia" w:ascii="宋体" w:hAnsi="宋体" w:cs="宋体"/>
          <w:color w:val="auto"/>
        </w:rPr>
        <w:t>第六章  招标人提供的资料</w:t>
      </w:r>
      <w:r>
        <w:rPr>
          <w:color w:val="auto"/>
        </w:rPr>
        <w:tab/>
      </w:r>
      <w:r>
        <w:rPr>
          <w:color w:val="auto"/>
        </w:rPr>
        <w:fldChar w:fldCharType="begin"/>
      </w:r>
      <w:r>
        <w:rPr>
          <w:color w:val="auto"/>
        </w:rPr>
        <w:instrText xml:space="preserve"> PAGEREF _Toc18748 \h </w:instrText>
      </w:r>
      <w:r>
        <w:rPr>
          <w:color w:val="auto"/>
        </w:rPr>
        <w:fldChar w:fldCharType="separate"/>
      </w:r>
      <w:r>
        <w:rPr>
          <w:color w:val="auto"/>
        </w:rPr>
        <w:t>55</w:t>
      </w:r>
      <w:r>
        <w:rPr>
          <w:color w:val="auto"/>
        </w:rPr>
        <w:fldChar w:fldCharType="end"/>
      </w:r>
      <w:r>
        <w:rPr>
          <w:rFonts w:hint="eastAsia" w:ascii="宋体" w:hAnsi="宋体" w:cs="宋体"/>
          <w:color w:val="auto"/>
        </w:rPr>
        <w:fldChar w:fldCharType="end"/>
      </w:r>
    </w:p>
    <w:p w14:paraId="02F0E9A3">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_Toc10506 </w:instrText>
      </w:r>
      <w:r>
        <w:rPr>
          <w:rFonts w:hint="eastAsia" w:ascii="宋体" w:hAnsi="宋体" w:cs="宋体"/>
          <w:color w:val="auto"/>
        </w:rPr>
        <w:fldChar w:fldCharType="separate"/>
      </w:r>
      <w:r>
        <w:rPr>
          <w:rFonts w:hint="eastAsia" w:ascii="宋体" w:hAnsi="宋体" w:cs="宋体"/>
          <w:color w:val="auto"/>
        </w:rPr>
        <w:t>第三卷</w:t>
      </w:r>
      <w:r>
        <w:rPr>
          <w:color w:val="auto"/>
        </w:rPr>
        <w:tab/>
      </w:r>
      <w:r>
        <w:rPr>
          <w:color w:val="auto"/>
        </w:rPr>
        <w:fldChar w:fldCharType="begin"/>
      </w:r>
      <w:r>
        <w:rPr>
          <w:color w:val="auto"/>
        </w:rPr>
        <w:instrText xml:space="preserve"> PAGEREF _Toc10506 \h </w:instrText>
      </w:r>
      <w:r>
        <w:rPr>
          <w:color w:val="auto"/>
        </w:rPr>
        <w:fldChar w:fldCharType="separate"/>
      </w:r>
      <w:r>
        <w:rPr>
          <w:color w:val="auto"/>
        </w:rPr>
        <w:t>57</w:t>
      </w:r>
      <w:r>
        <w:rPr>
          <w:color w:val="auto"/>
        </w:rPr>
        <w:fldChar w:fldCharType="end"/>
      </w:r>
      <w:r>
        <w:rPr>
          <w:rFonts w:hint="eastAsia" w:ascii="宋体" w:hAnsi="宋体" w:cs="宋体"/>
          <w:color w:val="auto"/>
        </w:rPr>
        <w:fldChar w:fldCharType="end"/>
      </w:r>
    </w:p>
    <w:p w14:paraId="583AAC88">
      <w:pPr>
        <w:pStyle w:val="25"/>
        <w:tabs>
          <w:tab w:val="right" w:leader="dot" w:pos="9638"/>
        </w:tabs>
        <w:rPr>
          <w:color w:val="auto"/>
        </w:rPr>
      </w:pPr>
      <w:r>
        <w:rPr>
          <w:rFonts w:hint="eastAsia" w:ascii="宋体" w:hAnsi="宋体" w:cs="宋体"/>
          <w:color w:val="auto"/>
        </w:rPr>
        <w:fldChar w:fldCharType="begin"/>
      </w:r>
      <w:r>
        <w:rPr>
          <w:rFonts w:hint="eastAsia" w:ascii="宋体" w:hAnsi="宋体" w:cs="宋体"/>
          <w:color w:val="auto"/>
        </w:rPr>
        <w:instrText xml:space="preserve"> HYPERLINK \l _Toc16099 </w:instrText>
      </w:r>
      <w:r>
        <w:rPr>
          <w:rFonts w:hint="eastAsia" w:ascii="宋体" w:hAnsi="宋体" w:cs="宋体"/>
          <w:color w:val="auto"/>
        </w:rPr>
        <w:fldChar w:fldCharType="separate"/>
      </w:r>
      <w:r>
        <w:rPr>
          <w:rFonts w:hint="eastAsia" w:ascii="宋体" w:hAnsi="宋体" w:cs="宋体"/>
          <w:color w:val="auto"/>
        </w:rPr>
        <w:t>第七章  投标文件格式</w:t>
      </w:r>
      <w:r>
        <w:rPr>
          <w:color w:val="auto"/>
        </w:rPr>
        <w:tab/>
      </w:r>
      <w:r>
        <w:rPr>
          <w:color w:val="auto"/>
        </w:rPr>
        <w:fldChar w:fldCharType="begin"/>
      </w:r>
      <w:r>
        <w:rPr>
          <w:color w:val="auto"/>
        </w:rPr>
        <w:instrText xml:space="preserve"> PAGEREF _Toc16099 \h </w:instrText>
      </w:r>
      <w:r>
        <w:rPr>
          <w:color w:val="auto"/>
        </w:rPr>
        <w:fldChar w:fldCharType="separate"/>
      </w:r>
      <w:r>
        <w:rPr>
          <w:color w:val="auto"/>
        </w:rPr>
        <w:t>58</w:t>
      </w:r>
      <w:r>
        <w:rPr>
          <w:color w:val="auto"/>
        </w:rPr>
        <w:fldChar w:fldCharType="end"/>
      </w:r>
      <w:r>
        <w:rPr>
          <w:rFonts w:hint="eastAsia" w:ascii="宋体" w:hAnsi="宋体" w:cs="宋体"/>
          <w:color w:val="auto"/>
        </w:rPr>
        <w:fldChar w:fldCharType="end"/>
      </w:r>
    </w:p>
    <w:p w14:paraId="05708D95">
      <w:pPr>
        <w:pStyle w:val="2"/>
        <w:jc w:val="center"/>
        <w:rPr>
          <w:rFonts w:hint="eastAsia" w:ascii="宋体" w:hAnsi="宋体" w:cs="宋体"/>
          <w:color w:val="auto"/>
        </w:rPr>
        <w:sectPr>
          <w:footerReference r:id="rId4" w:type="default"/>
          <w:pgSz w:w="11906" w:h="16838"/>
          <w:pgMar w:top="1418" w:right="1134" w:bottom="1418" w:left="1134" w:header="851" w:footer="992" w:gutter="0"/>
          <w:cols w:space="720" w:num="1"/>
          <w:docGrid w:type="lines" w:linePitch="312" w:charSpace="0"/>
        </w:sectPr>
      </w:pPr>
      <w:r>
        <w:rPr>
          <w:rFonts w:hint="eastAsia" w:ascii="宋体" w:hAnsi="宋体" w:cs="宋体"/>
          <w:color w:val="auto"/>
        </w:rPr>
        <w:fldChar w:fldCharType="end"/>
      </w:r>
    </w:p>
    <w:p w14:paraId="399F3628">
      <w:pPr>
        <w:pStyle w:val="2"/>
        <w:jc w:val="center"/>
        <w:rPr>
          <w:rFonts w:hint="eastAsia" w:ascii="宋体" w:hAnsi="宋体" w:cs="宋体"/>
          <w:caps/>
          <w:color w:val="auto"/>
          <w:kern w:val="2"/>
          <w:sz w:val="20"/>
          <w:szCs w:val="20"/>
        </w:rPr>
      </w:pPr>
    </w:p>
    <w:p w14:paraId="2EF5B717">
      <w:pPr>
        <w:pStyle w:val="2"/>
        <w:jc w:val="center"/>
        <w:rPr>
          <w:rFonts w:hint="eastAsia" w:ascii="宋体" w:hAnsi="宋体" w:cs="宋体"/>
          <w:color w:val="auto"/>
        </w:rPr>
      </w:pPr>
      <w:bookmarkStart w:id="11" w:name="_Toc6074"/>
      <w:bookmarkStart w:id="12" w:name="_Toc31879"/>
      <w:r>
        <w:rPr>
          <w:rFonts w:hint="eastAsia" w:ascii="宋体" w:hAnsi="宋体" w:cs="宋体"/>
          <w:color w:val="auto"/>
        </w:rPr>
        <w:t>第一卷</w:t>
      </w:r>
      <w:bookmarkEnd w:id="6"/>
      <w:bookmarkEnd w:id="7"/>
      <w:bookmarkEnd w:id="11"/>
      <w:bookmarkEnd w:id="12"/>
    </w:p>
    <w:p w14:paraId="22E9C4A1">
      <w:pPr>
        <w:pStyle w:val="2"/>
        <w:jc w:val="center"/>
        <w:rPr>
          <w:rFonts w:hint="eastAsia" w:ascii="宋体" w:hAnsi="宋体" w:cs="宋体"/>
          <w:color w:val="auto"/>
        </w:rPr>
      </w:pPr>
      <w:r>
        <w:rPr>
          <w:rFonts w:hint="eastAsia" w:ascii="宋体" w:hAnsi="宋体" w:cs="宋体"/>
          <w:color w:val="auto"/>
        </w:rPr>
        <w:br w:type="page"/>
      </w:r>
    </w:p>
    <w:p w14:paraId="397877B3">
      <w:pPr>
        <w:pStyle w:val="2"/>
        <w:jc w:val="center"/>
        <w:rPr>
          <w:rFonts w:hint="eastAsia" w:ascii="宋体" w:hAnsi="宋体" w:cs="宋体"/>
          <w:color w:val="auto"/>
        </w:rPr>
      </w:pPr>
      <w:bookmarkStart w:id="13" w:name="_Toc29409"/>
      <w:bookmarkStart w:id="14" w:name="_Toc247527534"/>
      <w:bookmarkStart w:id="15" w:name="_Toc247513933"/>
      <w:bookmarkStart w:id="16" w:name="_Toc18734"/>
      <w:r>
        <w:rPr>
          <w:rFonts w:hint="eastAsia" w:ascii="宋体" w:hAnsi="宋体" w:cs="宋体"/>
          <w:color w:val="auto"/>
        </w:rPr>
        <w:t>第一章 招标公告</w:t>
      </w:r>
      <w:bookmarkEnd w:id="8"/>
      <w:bookmarkEnd w:id="9"/>
      <w:bookmarkEnd w:id="10"/>
      <w:bookmarkEnd w:id="13"/>
      <w:bookmarkEnd w:id="14"/>
      <w:bookmarkEnd w:id="15"/>
      <w:bookmarkEnd w:id="16"/>
    </w:p>
    <w:p w14:paraId="1E3822E3">
      <w:pPr>
        <w:jc w:val="center"/>
        <w:rPr>
          <w:rFonts w:hint="eastAsia" w:ascii="宋体" w:hAnsi="宋体" w:cs="宋体"/>
          <w:color w:val="auto"/>
        </w:rPr>
      </w:pPr>
      <w:r>
        <w:rPr>
          <w:rFonts w:hint="eastAsia" w:ascii="宋体" w:hAnsi="宋体" w:cs="宋体"/>
          <w:color w:val="auto"/>
        </w:rPr>
        <w:t>（另册）</w:t>
      </w:r>
    </w:p>
    <w:p w14:paraId="335B02F1">
      <w:pPr>
        <w:rPr>
          <w:rFonts w:hint="eastAsia" w:ascii="宋体" w:hAnsi="宋体" w:cs="宋体"/>
          <w:b/>
          <w:bCs/>
          <w:color w:val="auto"/>
        </w:rPr>
      </w:pPr>
    </w:p>
    <w:p w14:paraId="61D1F669">
      <w:pPr>
        <w:pStyle w:val="19"/>
        <w:rPr>
          <w:rFonts w:hint="eastAsia" w:ascii="宋体" w:hAnsi="宋体" w:eastAsia="宋体" w:cs="宋体"/>
          <w:b/>
          <w:bCs/>
          <w:color w:val="auto"/>
        </w:rPr>
      </w:pPr>
    </w:p>
    <w:p w14:paraId="7D08370C">
      <w:pPr>
        <w:pStyle w:val="19"/>
        <w:rPr>
          <w:rFonts w:hint="eastAsia" w:ascii="宋体" w:hAnsi="宋体" w:eastAsia="宋体" w:cs="宋体"/>
          <w:b/>
          <w:bCs/>
          <w:color w:val="auto"/>
        </w:rPr>
      </w:pPr>
    </w:p>
    <w:p w14:paraId="2AF905A5">
      <w:pPr>
        <w:pStyle w:val="19"/>
        <w:rPr>
          <w:rFonts w:hint="eastAsia" w:ascii="宋体" w:hAnsi="宋体" w:eastAsia="宋体" w:cs="宋体"/>
          <w:b/>
          <w:bCs/>
          <w:color w:val="auto"/>
        </w:rPr>
      </w:pPr>
    </w:p>
    <w:p w14:paraId="2E36F296">
      <w:pPr>
        <w:pStyle w:val="19"/>
        <w:rPr>
          <w:rFonts w:hint="eastAsia" w:ascii="宋体" w:hAnsi="宋体" w:eastAsia="宋体" w:cs="宋体"/>
          <w:b/>
          <w:bCs/>
          <w:color w:val="auto"/>
        </w:rPr>
      </w:pPr>
    </w:p>
    <w:p w14:paraId="5EC47635">
      <w:pPr>
        <w:pStyle w:val="19"/>
        <w:rPr>
          <w:rFonts w:hint="eastAsia" w:ascii="宋体" w:hAnsi="宋体" w:eastAsia="宋体" w:cs="宋体"/>
          <w:b/>
          <w:bCs/>
          <w:color w:val="auto"/>
        </w:rPr>
      </w:pPr>
    </w:p>
    <w:p w14:paraId="403B72AD">
      <w:pPr>
        <w:pStyle w:val="19"/>
        <w:rPr>
          <w:rFonts w:hint="eastAsia" w:ascii="宋体" w:hAnsi="宋体" w:eastAsia="宋体" w:cs="宋体"/>
          <w:b/>
          <w:bCs/>
          <w:color w:val="auto"/>
        </w:rPr>
      </w:pPr>
    </w:p>
    <w:p w14:paraId="5F3635A8">
      <w:pPr>
        <w:pStyle w:val="19"/>
        <w:rPr>
          <w:rFonts w:hint="eastAsia" w:ascii="宋体" w:hAnsi="宋体" w:eastAsia="宋体" w:cs="宋体"/>
          <w:b/>
          <w:bCs/>
          <w:color w:val="auto"/>
        </w:rPr>
      </w:pPr>
    </w:p>
    <w:p w14:paraId="3218E60E">
      <w:pPr>
        <w:pStyle w:val="19"/>
        <w:rPr>
          <w:rFonts w:hint="eastAsia" w:ascii="宋体" w:hAnsi="宋体" w:eastAsia="宋体" w:cs="宋体"/>
          <w:b/>
          <w:bCs/>
          <w:color w:val="auto"/>
        </w:rPr>
      </w:pPr>
    </w:p>
    <w:p w14:paraId="69D8ABBF">
      <w:pPr>
        <w:pStyle w:val="19"/>
        <w:rPr>
          <w:rFonts w:hint="eastAsia" w:ascii="宋体" w:hAnsi="宋体" w:eastAsia="宋体" w:cs="宋体"/>
          <w:b/>
          <w:bCs/>
          <w:color w:val="auto"/>
        </w:rPr>
      </w:pPr>
    </w:p>
    <w:p w14:paraId="4BBBCE81">
      <w:pPr>
        <w:pStyle w:val="19"/>
        <w:rPr>
          <w:rFonts w:hint="eastAsia" w:ascii="宋体" w:hAnsi="宋体" w:eastAsia="宋体" w:cs="宋体"/>
          <w:b/>
          <w:bCs/>
          <w:color w:val="auto"/>
        </w:rPr>
      </w:pPr>
    </w:p>
    <w:p w14:paraId="515D473C">
      <w:pPr>
        <w:pStyle w:val="19"/>
        <w:rPr>
          <w:rFonts w:hint="eastAsia" w:ascii="宋体" w:hAnsi="宋体" w:eastAsia="宋体" w:cs="宋体"/>
          <w:b/>
          <w:bCs/>
          <w:color w:val="auto"/>
        </w:rPr>
      </w:pPr>
    </w:p>
    <w:p w14:paraId="17643280">
      <w:pPr>
        <w:pStyle w:val="19"/>
        <w:rPr>
          <w:rFonts w:hint="eastAsia" w:ascii="宋体" w:hAnsi="宋体" w:eastAsia="宋体" w:cs="宋体"/>
          <w:b/>
          <w:bCs/>
          <w:color w:val="auto"/>
        </w:rPr>
      </w:pPr>
    </w:p>
    <w:p w14:paraId="24FCE8CE">
      <w:pPr>
        <w:pStyle w:val="19"/>
        <w:rPr>
          <w:rFonts w:hint="eastAsia" w:ascii="宋体" w:hAnsi="宋体" w:eastAsia="宋体" w:cs="宋体"/>
          <w:b/>
          <w:bCs/>
          <w:color w:val="auto"/>
        </w:rPr>
      </w:pPr>
    </w:p>
    <w:p w14:paraId="75CC3D1A">
      <w:pPr>
        <w:pStyle w:val="19"/>
        <w:rPr>
          <w:rFonts w:hint="eastAsia" w:ascii="宋体" w:hAnsi="宋体" w:eastAsia="宋体" w:cs="宋体"/>
          <w:b/>
          <w:bCs/>
          <w:color w:val="auto"/>
        </w:rPr>
      </w:pPr>
    </w:p>
    <w:p w14:paraId="561A7282">
      <w:pPr>
        <w:pStyle w:val="19"/>
        <w:rPr>
          <w:rFonts w:hint="eastAsia" w:ascii="宋体" w:hAnsi="宋体" w:eastAsia="宋体" w:cs="宋体"/>
          <w:b/>
          <w:bCs/>
          <w:color w:val="auto"/>
        </w:rPr>
      </w:pPr>
    </w:p>
    <w:p w14:paraId="0DD600F1">
      <w:pPr>
        <w:pStyle w:val="19"/>
        <w:rPr>
          <w:rFonts w:hint="eastAsia" w:ascii="宋体" w:hAnsi="宋体" w:eastAsia="宋体" w:cs="宋体"/>
          <w:b/>
          <w:bCs/>
          <w:color w:val="auto"/>
        </w:rPr>
      </w:pPr>
    </w:p>
    <w:p w14:paraId="186EB3B6">
      <w:pPr>
        <w:pStyle w:val="19"/>
        <w:rPr>
          <w:rFonts w:hint="eastAsia" w:ascii="宋体" w:hAnsi="宋体" w:eastAsia="宋体" w:cs="宋体"/>
          <w:b/>
          <w:bCs/>
          <w:color w:val="auto"/>
        </w:rPr>
      </w:pPr>
    </w:p>
    <w:p w14:paraId="20737AB7">
      <w:pPr>
        <w:pStyle w:val="19"/>
        <w:rPr>
          <w:rFonts w:hint="eastAsia" w:ascii="宋体" w:hAnsi="宋体" w:eastAsia="宋体" w:cs="宋体"/>
          <w:b/>
          <w:bCs/>
          <w:color w:val="auto"/>
        </w:rPr>
      </w:pPr>
    </w:p>
    <w:p w14:paraId="28CBF328">
      <w:pPr>
        <w:rPr>
          <w:rFonts w:hint="eastAsia" w:ascii="宋体" w:hAnsi="宋体" w:cs="宋体"/>
          <w:color w:val="auto"/>
        </w:rPr>
      </w:pPr>
      <w:bookmarkStart w:id="17" w:name="_Toc28794"/>
    </w:p>
    <w:p w14:paraId="16C5615E">
      <w:pPr>
        <w:pStyle w:val="19"/>
        <w:rPr>
          <w:rFonts w:hint="eastAsia" w:ascii="宋体" w:hAnsi="宋体" w:eastAsia="宋体" w:cs="宋体"/>
          <w:color w:val="auto"/>
        </w:rPr>
      </w:pPr>
    </w:p>
    <w:p w14:paraId="688032D0">
      <w:pPr>
        <w:rPr>
          <w:color w:val="auto"/>
        </w:rPr>
      </w:pPr>
    </w:p>
    <w:p w14:paraId="3BE7E1FE">
      <w:pPr>
        <w:pStyle w:val="19"/>
        <w:rPr>
          <w:rFonts w:hint="eastAsia" w:ascii="宋体" w:hAnsi="宋体" w:eastAsia="宋体" w:cs="宋体"/>
          <w:color w:val="auto"/>
        </w:rPr>
      </w:pPr>
    </w:p>
    <w:p w14:paraId="4431759E">
      <w:pPr>
        <w:pStyle w:val="19"/>
        <w:rPr>
          <w:rFonts w:hint="eastAsia" w:ascii="宋体" w:hAnsi="宋体" w:eastAsia="宋体" w:cs="宋体"/>
          <w:color w:val="auto"/>
        </w:rPr>
      </w:pPr>
    </w:p>
    <w:p w14:paraId="67D1FF72">
      <w:pPr>
        <w:pStyle w:val="19"/>
        <w:rPr>
          <w:rFonts w:hint="eastAsia" w:ascii="宋体" w:hAnsi="宋体" w:eastAsia="宋体" w:cs="宋体"/>
          <w:color w:val="auto"/>
        </w:rPr>
      </w:pPr>
    </w:p>
    <w:p w14:paraId="0F536007">
      <w:pPr>
        <w:pStyle w:val="19"/>
        <w:rPr>
          <w:rFonts w:hint="eastAsia" w:ascii="宋体" w:hAnsi="宋体" w:eastAsia="宋体" w:cs="宋体"/>
          <w:color w:val="auto"/>
        </w:rPr>
      </w:pPr>
    </w:p>
    <w:bookmarkEnd w:id="17"/>
    <w:p w14:paraId="3DE1904E">
      <w:pPr>
        <w:spacing w:line="400" w:lineRule="exact"/>
        <w:rPr>
          <w:rFonts w:hint="eastAsia" w:ascii="宋体" w:hAnsi="宋体" w:cs="宋体"/>
          <w:color w:val="auto"/>
        </w:rPr>
      </w:pPr>
    </w:p>
    <w:p w14:paraId="10D057FF">
      <w:pPr>
        <w:widowControl/>
        <w:jc w:val="left"/>
        <w:rPr>
          <w:rFonts w:hint="eastAsia" w:ascii="宋体" w:hAnsi="宋体" w:cs="宋体"/>
          <w:b/>
          <w:bCs/>
          <w:color w:val="auto"/>
          <w:kern w:val="44"/>
          <w:sz w:val="44"/>
          <w:szCs w:val="44"/>
        </w:rPr>
      </w:pPr>
      <w:bookmarkStart w:id="18" w:name="_Toc247513950"/>
      <w:bookmarkStart w:id="19" w:name="_Toc16711"/>
      <w:bookmarkStart w:id="20" w:name="_Toc247527551"/>
      <w:bookmarkStart w:id="21" w:name="_Toc144974495"/>
      <w:bookmarkStart w:id="22" w:name="_Toc152042303"/>
      <w:bookmarkStart w:id="23" w:name="_Toc152045527"/>
      <w:r>
        <w:rPr>
          <w:rFonts w:ascii="宋体" w:hAnsi="宋体" w:cs="宋体"/>
          <w:color w:val="auto"/>
        </w:rPr>
        <w:br w:type="page"/>
      </w:r>
    </w:p>
    <w:p w14:paraId="5137C2B3">
      <w:pPr>
        <w:pStyle w:val="2"/>
        <w:jc w:val="center"/>
        <w:rPr>
          <w:rFonts w:hint="eastAsia" w:ascii="宋体" w:hAnsi="宋体" w:cs="宋体"/>
          <w:color w:val="auto"/>
        </w:rPr>
      </w:pPr>
      <w:bookmarkStart w:id="24" w:name="_Toc28602"/>
      <w:r>
        <w:rPr>
          <w:rFonts w:hint="eastAsia" w:ascii="宋体" w:hAnsi="宋体" w:cs="宋体"/>
          <w:color w:val="auto"/>
        </w:rPr>
        <w:t>第二章 投标人须知</w:t>
      </w:r>
      <w:bookmarkEnd w:id="18"/>
      <w:bookmarkEnd w:id="19"/>
      <w:bookmarkEnd w:id="20"/>
      <w:bookmarkEnd w:id="21"/>
      <w:bookmarkEnd w:id="22"/>
      <w:bookmarkEnd w:id="23"/>
      <w:bookmarkEnd w:id="24"/>
    </w:p>
    <w:p w14:paraId="1709EBC1">
      <w:pPr>
        <w:pStyle w:val="3"/>
        <w:spacing w:before="0" w:after="0" w:line="0" w:lineRule="atLeast"/>
        <w:jc w:val="center"/>
        <w:rPr>
          <w:rFonts w:hint="eastAsia" w:ascii="宋体" w:hAnsi="宋体" w:eastAsia="宋体" w:cs="宋体"/>
          <w:color w:val="auto"/>
        </w:rPr>
      </w:pPr>
      <w:bookmarkStart w:id="25" w:name="_Toc152045528"/>
      <w:bookmarkStart w:id="26" w:name="_Toc144974496"/>
      <w:bookmarkStart w:id="27" w:name="_Toc9681"/>
      <w:bookmarkStart w:id="28" w:name="_Toc247513951"/>
      <w:bookmarkStart w:id="29" w:name="_Toc152042304"/>
      <w:bookmarkStart w:id="30" w:name="_Toc247527552"/>
      <w:bookmarkStart w:id="31" w:name="_Toc77"/>
      <w:r>
        <w:rPr>
          <w:rFonts w:hint="eastAsia" w:ascii="宋体" w:hAnsi="宋体" w:eastAsia="宋体" w:cs="宋体"/>
          <w:color w:val="auto"/>
        </w:rPr>
        <w:t>投标人须知前附表</w:t>
      </w:r>
      <w:bookmarkEnd w:id="25"/>
      <w:bookmarkEnd w:id="26"/>
      <w:bookmarkEnd w:id="27"/>
      <w:bookmarkEnd w:id="28"/>
      <w:bookmarkEnd w:id="29"/>
      <w:bookmarkEnd w:id="30"/>
      <w:bookmarkEnd w:id="31"/>
    </w:p>
    <w:tbl>
      <w:tblPr>
        <w:tblStyle w:val="37"/>
        <w:tblW w:w="0" w:type="auto"/>
        <w:tblInd w:w="0" w:type="dxa"/>
        <w:tblLayout w:type="fixed"/>
        <w:tblCellMar>
          <w:top w:w="0" w:type="dxa"/>
          <w:left w:w="108" w:type="dxa"/>
          <w:bottom w:w="0" w:type="dxa"/>
          <w:right w:w="108" w:type="dxa"/>
        </w:tblCellMar>
      </w:tblPr>
      <w:tblGrid>
        <w:gridCol w:w="1165"/>
        <w:gridCol w:w="2353"/>
        <w:gridCol w:w="5659"/>
      </w:tblGrid>
      <w:tr w14:paraId="091788A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EC32CCB">
            <w:pPr>
              <w:spacing w:line="0" w:lineRule="atLeast"/>
              <w:jc w:val="center"/>
              <w:rPr>
                <w:rFonts w:hint="eastAsia" w:ascii="宋体" w:hAnsi="宋体" w:cs="宋体"/>
                <w:b/>
                <w:color w:val="auto"/>
                <w:szCs w:val="21"/>
              </w:rPr>
            </w:pPr>
            <w:r>
              <w:rPr>
                <w:rFonts w:hint="eastAsia" w:ascii="宋体" w:hAnsi="宋体" w:cs="宋体"/>
                <w:b/>
                <w:color w:val="auto"/>
                <w:szCs w:val="21"/>
              </w:rPr>
              <w:t>条款号</w:t>
            </w:r>
          </w:p>
        </w:tc>
        <w:tc>
          <w:tcPr>
            <w:tcW w:w="2353" w:type="dxa"/>
            <w:tcBorders>
              <w:top w:val="single" w:color="auto" w:sz="4" w:space="0"/>
              <w:left w:val="single" w:color="auto" w:sz="4" w:space="0"/>
              <w:bottom w:val="single" w:color="auto" w:sz="4" w:space="0"/>
              <w:right w:val="single" w:color="auto" w:sz="4" w:space="0"/>
            </w:tcBorders>
            <w:vAlign w:val="center"/>
          </w:tcPr>
          <w:p w14:paraId="221193ED">
            <w:pPr>
              <w:spacing w:line="0" w:lineRule="atLeast"/>
              <w:jc w:val="center"/>
              <w:rPr>
                <w:rFonts w:hint="eastAsia" w:ascii="宋体" w:hAnsi="宋体" w:cs="宋体"/>
                <w:b/>
                <w:color w:val="auto"/>
                <w:szCs w:val="21"/>
              </w:rPr>
            </w:pPr>
            <w:r>
              <w:rPr>
                <w:rFonts w:hint="eastAsia" w:ascii="宋体" w:hAnsi="宋体" w:cs="宋体"/>
                <w:b/>
                <w:color w:val="auto"/>
                <w:szCs w:val="21"/>
              </w:rPr>
              <w:t>条  款  名  称</w:t>
            </w:r>
          </w:p>
        </w:tc>
        <w:tc>
          <w:tcPr>
            <w:tcW w:w="5659" w:type="dxa"/>
            <w:tcBorders>
              <w:top w:val="single" w:color="auto" w:sz="4" w:space="0"/>
              <w:left w:val="single" w:color="auto" w:sz="4" w:space="0"/>
              <w:bottom w:val="single" w:color="auto" w:sz="4" w:space="0"/>
              <w:right w:val="single" w:color="auto" w:sz="4" w:space="0"/>
            </w:tcBorders>
            <w:vAlign w:val="center"/>
          </w:tcPr>
          <w:p w14:paraId="17745EC3">
            <w:pPr>
              <w:spacing w:line="0" w:lineRule="atLeast"/>
              <w:jc w:val="center"/>
              <w:rPr>
                <w:rFonts w:hint="eastAsia" w:ascii="宋体" w:hAnsi="宋体" w:cs="宋体"/>
                <w:b/>
                <w:color w:val="auto"/>
                <w:szCs w:val="21"/>
              </w:rPr>
            </w:pPr>
            <w:r>
              <w:rPr>
                <w:rFonts w:hint="eastAsia" w:ascii="宋体" w:hAnsi="宋体" w:cs="宋体"/>
                <w:b/>
                <w:color w:val="auto"/>
                <w:szCs w:val="21"/>
              </w:rPr>
              <w:t>编  列  内  容</w:t>
            </w:r>
          </w:p>
        </w:tc>
      </w:tr>
      <w:tr w14:paraId="5EB7DF9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B2913AE">
            <w:pPr>
              <w:spacing w:line="0" w:lineRule="atLeast"/>
              <w:jc w:val="center"/>
              <w:rPr>
                <w:rFonts w:hint="eastAsia" w:ascii="宋体" w:hAnsi="宋体" w:cs="宋体"/>
                <w:color w:val="auto"/>
                <w:szCs w:val="21"/>
              </w:rPr>
            </w:pPr>
            <w:r>
              <w:rPr>
                <w:rFonts w:hint="eastAsia" w:ascii="宋体" w:hAnsi="宋体" w:cs="宋体"/>
                <w:color w:val="auto"/>
                <w:szCs w:val="21"/>
              </w:rPr>
              <w:t>1.1.2</w:t>
            </w:r>
          </w:p>
        </w:tc>
        <w:tc>
          <w:tcPr>
            <w:tcW w:w="2353" w:type="dxa"/>
            <w:tcBorders>
              <w:top w:val="single" w:color="auto" w:sz="4" w:space="0"/>
              <w:left w:val="single" w:color="auto" w:sz="4" w:space="0"/>
              <w:bottom w:val="single" w:color="auto" w:sz="4" w:space="0"/>
              <w:right w:val="single" w:color="auto" w:sz="4" w:space="0"/>
            </w:tcBorders>
            <w:vAlign w:val="center"/>
          </w:tcPr>
          <w:p w14:paraId="74A5A39C">
            <w:pPr>
              <w:spacing w:line="0" w:lineRule="atLeast"/>
              <w:jc w:val="center"/>
              <w:rPr>
                <w:rFonts w:hint="eastAsia" w:ascii="宋体" w:hAnsi="宋体" w:cs="宋体"/>
                <w:color w:val="auto"/>
                <w:szCs w:val="21"/>
              </w:rPr>
            </w:pPr>
            <w:r>
              <w:rPr>
                <w:rFonts w:hint="eastAsia" w:ascii="宋体" w:hAnsi="宋体" w:cs="宋体"/>
                <w:color w:val="auto"/>
                <w:szCs w:val="21"/>
              </w:rPr>
              <w:t>招标人</w:t>
            </w:r>
          </w:p>
        </w:tc>
        <w:tc>
          <w:tcPr>
            <w:tcW w:w="5659" w:type="dxa"/>
            <w:tcBorders>
              <w:top w:val="single" w:color="auto" w:sz="4" w:space="0"/>
              <w:left w:val="single" w:color="auto" w:sz="4" w:space="0"/>
              <w:bottom w:val="single" w:color="auto" w:sz="4" w:space="0"/>
              <w:right w:val="single" w:color="auto" w:sz="4" w:space="0"/>
            </w:tcBorders>
            <w:vAlign w:val="center"/>
          </w:tcPr>
          <w:p w14:paraId="04F6CB2F">
            <w:pPr>
              <w:spacing w:line="0" w:lineRule="atLeast"/>
              <w:rPr>
                <w:rFonts w:hint="eastAsia" w:ascii="宋体" w:hAnsi="宋体" w:cs="宋体"/>
                <w:color w:val="auto"/>
                <w:szCs w:val="21"/>
              </w:rPr>
            </w:pPr>
            <w:r>
              <w:rPr>
                <w:rFonts w:hint="eastAsia" w:ascii="宋体" w:hAnsi="宋体" w:cs="宋体"/>
                <w:color w:val="auto"/>
                <w:szCs w:val="21"/>
              </w:rPr>
              <w:t>名称：广州市大新文化创意发展有限公司</w:t>
            </w:r>
          </w:p>
          <w:p w14:paraId="4F817CB2">
            <w:pPr>
              <w:spacing w:line="0" w:lineRule="atLeast"/>
              <w:rPr>
                <w:rFonts w:hint="eastAsia" w:ascii="宋体" w:hAnsi="宋体" w:cs="宋体"/>
                <w:color w:val="auto"/>
                <w:szCs w:val="21"/>
              </w:rPr>
            </w:pPr>
            <w:r>
              <w:rPr>
                <w:rFonts w:hint="eastAsia" w:ascii="宋体" w:hAnsi="宋体" w:cs="宋体"/>
                <w:color w:val="auto"/>
                <w:szCs w:val="21"/>
              </w:rPr>
              <w:t xml:space="preserve">地址：广州市越秀区府前路2号府前大厦13楼 </w:t>
            </w:r>
          </w:p>
          <w:p w14:paraId="460536F0">
            <w:pPr>
              <w:spacing w:line="0" w:lineRule="atLeast"/>
              <w:rPr>
                <w:rFonts w:hint="eastAsia" w:ascii="宋体" w:hAnsi="宋体" w:cs="宋体"/>
                <w:color w:val="auto"/>
                <w:szCs w:val="21"/>
              </w:rPr>
            </w:pPr>
            <w:r>
              <w:rPr>
                <w:rFonts w:hint="eastAsia" w:ascii="宋体" w:hAnsi="宋体" w:cs="宋体"/>
                <w:color w:val="auto"/>
                <w:szCs w:val="21"/>
              </w:rPr>
              <w:t xml:space="preserve">联系人：任工   </w:t>
            </w:r>
          </w:p>
          <w:p w14:paraId="0766B5F8">
            <w:pPr>
              <w:spacing w:line="0" w:lineRule="atLeast"/>
              <w:rPr>
                <w:rFonts w:hint="eastAsia" w:ascii="宋体" w:hAnsi="宋体" w:cs="宋体"/>
                <w:color w:val="auto"/>
                <w:szCs w:val="21"/>
              </w:rPr>
            </w:pPr>
            <w:r>
              <w:rPr>
                <w:rFonts w:hint="eastAsia" w:ascii="宋体" w:hAnsi="宋体" w:cs="宋体"/>
                <w:color w:val="auto"/>
                <w:szCs w:val="21"/>
              </w:rPr>
              <w:t>电话：020-81841915</w:t>
            </w:r>
            <w:r>
              <w:rPr>
                <w:rFonts w:ascii="宋体" w:hAnsi="宋体" w:cs="宋体"/>
                <w:color w:val="auto"/>
                <w:szCs w:val="21"/>
              </w:rPr>
              <w:tab/>
            </w:r>
            <w:r>
              <w:rPr>
                <w:rFonts w:hint="eastAsia" w:ascii="宋体" w:hAnsi="宋体" w:cs="宋体"/>
                <w:color w:val="auto"/>
                <w:szCs w:val="21"/>
              </w:rPr>
              <w:t xml:space="preserve">   </w:t>
            </w:r>
          </w:p>
        </w:tc>
      </w:tr>
      <w:tr w14:paraId="6394A30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1074E04">
            <w:pPr>
              <w:spacing w:line="0" w:lineRule="atLeast"/>
              <w:jc w:val="center"/>
              <w:rPr>
                <w:rFonts w:hint="eastAsia" w:ascii="宋体" w:hAnsi="宋体" w:cs="宋体"/>
                <w:color w:val="auto"/>
                <w:szCs w:val="21"/>
              </w:rPr>
            </w:pPr>
            <w:r>
              <w:rPr>
                <w:rFonts w:hint="eastAsia" w:ascii="宋体" w:hAnsi="宋体" w:cs="宋体"/>
                <w:color w:val="auto"/>
                <w:szCs w:val="21"/>
              </w:rPr>
              <w:t>1.1.3</w:t>
            </w:r>
          </w:p>
        </w:tc>
        <w:tc>
          <w:tcPr>
            <w:tcW w:w="2353" w:type="dxa"/>
            <w:tcBorders>
              <w:top w:val="single" w:color="auto" w:sz="4" w:space="0"/>
              <w:left w:val="single" w:color="auto" w:sz="4" w:space="0"/>
              <w:bottom w:val="single" w:color="auto" w:sz="4" w:space="0"/>
              <w:right w:val="single" w:color="auto" w:sz="4" w:space="0"/>
            </w:tcBorders>
            <w:vAlign w:val="center"/>
          </w:tcPr>
          <w:p w14:paraId="5EBFDDCA">
            <w:pPr>
              <w:spacing w:line="0" w:lineRule="atLeast"/>
              <w:jc w:val="center"/>
              <w:rPr>
                <w:rFonts w:hint="eastAsia" w:ascii="宋体" w:hAnsi="宋体" w:cs="宋体"/>
                <w:color w:val="auto"/>
                <w:szCs w:val="21"/>
              </w:rPr>
            </w:pPr>
            <w:r>
              <w:rPr>
                <w:rFonts w:hint="eastAsia" w:ascii="宋体" w:hAnsi="宋体" w:cs="宋体"/>
                <w:color w:val="auto"/>
                <w:szCs w:val="21"/>
              </w:rPr>
              <w:t>招标代理机构</w:t>
            </w:r>
          </w:p>
        </w:tc>
        <w:tc>
          <w:tcPr>
            <w:tcW w:w="5659" w:type="dxa"/>
            <w:tcBorders>
              <w:top w:val="single" w:color="auto" w:sz="4" w:space="0"/>
              <w:left w:val="single" w:color="auto" w:sz="4" w:space="0"/>
              <w:bottom w:val="single" w:color="auto" w:sz="4" w:space="0"/>
              <w:right w:val="single" w:color="auto" w:sz="4" w:space="0"/>
            </w:tcBorders>
            <w:vAlign w:val="center"/>
          </w:tcPr>
          <w:p w14:paraId="3653C30E">
            <w:pPr>
              <w:spacing w:line="0" w:lineRule="atLeast"/>
              <w:rPr>
                <w:rFonts w:hint="eastAsia" w:ascii="宋体" w:hAnsi="宋体" w:cs="宋体"/>
                <w:color w:val="auto"/>
                <w:szCs w:val="21"/>
              </w:rPr>
            </w:pPr>
            <w:r>
              <w:rPr>
                <w:rFonts w:hint="eastAsia" w:ascii="宋体" w:hAnsi="宋体" w:cs="宋体"/>
                <w:color w:val="auto"/>
                <w:szCs w:val="21"/>
              </w:rPr>
              <w:t>名称：广州建筑工程监理有限公司</w:t>
            </w:r>
          </w:p>
          <w:p w14:paraId="06B161EC">
            <w:pPr>
              <w:spacing w:line="0" w:lineRule="atLeast"/>
              <w:rPr>
                <w:rFonts w:hint="eastAsia" w:ascii="宋体" w:hAnsi="宋体" w:cs="宋体"/>
                <w:color w:val="auto"/>
                <w:szCs w:val="21"/>
              </w:rPr>
            </w:pPr>
            <w:r>
              <w:rPr>
                <w:rFonts w:hint="eastAsia" w:ascii="宋体" w:hAnsi="宋体" w:cs="宋体"/>
                <w:color w:val="auto"/>
                <w:szCs w:val="21"/>
              </w:rPr>
              <w:t>地址：广州市越秀区广卫路4号18楼</w:t>
            </w:r>
          </w:p>
          <w:p w14:paraId="4C15CD3D">
            <w:pPr>
              <w:spacing w:line="0" w:lineRule="atLeast"/>
              <w:rPr>
                <w:rFonts w:hint="eastAsia" w:ascii="宋体" w:hAnsi="宋体" w:cs="宋体"/>
                <w:color w:val="auto"/>
                <w:szCs w:val="21"/>
              </w:rPr>
            </w:pPr>
            <w:r>
              <w:rPr>
                <w:rFonts w:hint="eastAsia" w:ascii="宋体" w:hAnsi="宋体" w:cs="宋体"/>
                <w:color w:val="auto"/>
                <w:szCs w:val="21"/>
              </w:rPr>
              <w:t>联系人：李工</w:t>
            </w:r>
          </w:p>
          <w:p w14:paraId="7CEBE927">
            <w:pPr>
              <w:spacing w:line="0" w:lineRule="atLeast"/>
              <w:rPr>
                <w:rFonts w:hint="eastAsia" w:ascii="宋体" w:hAnsi="宋体" w:cs="宋体"/>
                <w:color w:val="auto"/>
                <w:szCs w:val="21"/>
              </w:rPr>
            </w:pPr>
            <w:r>
              <w:rPr>
                <w:rFonts w:hint="eastAsia" w:ascii="宋体" w:hAnsi="宋体" w:cs="宋体"/>
                <w:color w:val="auto"/>
                <w:szCs w:val="21"/>
              </w:rPr>
              <w:t>电话： 020-61101333-2401</w:t>
            </w:r>
          </w:p>
        </w:tc>
      </w:tr>
      <w:tr w14:paraId="30B55504">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18D33F2">
            <w:pPr>
              <w:spacing w:line="0" w:lineRule="atLeast"/>
              <w:jc w:val="center"/>
              <w:rPr>
                <w:rFonts w:hint="eastAsia" w:ascii="宋体" w:hAnsi="宋体" w:cs="宋体"/>
                <w:color w:val="auto"/>
                <w:szCs w:val="21"/>
              </w:rPr>
            </w:pPr>
            <w:r>
              <w:rPr>
                <w:rFonts w:hint="eastAsia" w:ascii="宋体" w:hAnsi="宋体" w:cs="宋体"/>
                <w:color w:val="auto"/>
                <w:szCs w:val="21"/>
              </w:rPr>
              <w:t>1.1.4</w:t>
            </w:r>
          </w:p>
        </w:tc>
        <w:tc>
          <w:tcPr>
            <w:tcW w:w="2353" w:type="dxa"/>
            <w:tcBorders>
              <w:top w:val="single" w:color="auto" w:sz="4" w:space="0"/>
              <w:left w:val="single" w:color="auto" w:sz="4" w:space="0"/>
              <w:bottom w:val="single" w:color="auto" w:sz="4" w:space="0"/>
              <w:right w:val="single" w:color="auto" w:sz="4" w:space="0"/>
            </w:tcBorders>
            <w:vAlign w:val="center"/>
          </w:tcPr>
          <w:p w14:paraId="5BA927A2">
            <w:pPr>
              <w:spacing w:line="0" w:lineRule="atLeast"/>
              <w:jc w:val="center"/>
              <w:rPr>
                <w:rFonts w:hint="eastAsia" w:ascii="宋体" w:hAnsi="宋体" w:cs="宋体"/>
                <w:color w:val="auto"/>
                <w:szCs w:val="21"/>
              </w:rPr>
            </w:pPr>
            <w:r>
              <w:rPr>
                <w:rFonts w:hint="eastAsia" w:ascii="宋体" w:hAnsi="宋体" w:cs="宋体"/>
                <w:color w:val="auto"/>
                <w:szCs w:val="21"/>
              </w:rPr>
              <w:t>项目名称</w:t>
            </w:r>
          </w:p>
        </w:tc>
        <w:tc>
          <w:tcPr>
            <w:tcW w:w="5659" w:type="dxa"/>
            <w:tcBorders>
              <w:top w:val="single" w:color="auto" w:sz="4" w:space="0"/>
              <w:left w:val="single" w:color="auto" w:sz="4" w:space="0"/>
              <w:bottom w:val="single" w:color="auto" w:sz="4" w:space="0"/>
              <w:right w:val="single" w:color="auto" w:sz="4" w:space="0"/>
            </w:tcBorders>
            <w:vAlign w:val="center"/>
          </w:tcPr>
          <w:p w14:paraId="422EC626">
            <w:pPr>
              <w:spacing w:line="0" w:lineRule="atLeast"/>
              <w:rPr>
                <w:rFonts w:hint="eastAsia" w:ascii="宋体" w:hAnsi="宋体" w:cs="宋体"/>
                <w:color w:val="auto"/>
                <w:szCs w:val="21"/>
              </w:rPr>
            </w:pPr>
            <w:r>
              <w:rPr>
                <w:rFonts w:hint="eastAsia" w:ascii="宋体" w:hAnsi="宋体" w:cs="宋体"/>
                <w:color w:val="auto"/>
                <w:szCs w:val="21"/>
              </w:rPr>
              <w:t>广州市越秀区西湖路54-58号第一福北京路旗舰店改造项目设计施工一体化</w:t>
            </w:r>
          </w:p>
        </w:tc>
      </w:tr>
      <w:tr w14:paraId="30EEDC3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481B203D">
            <w:pPr>
              <w:spacing w:line="0" w:lineRule="atLeast"/>
              <w:jc w:val="center"/>
              <w:rPr>
                <w:rFonts w:hint="eastAsia" w:ascii="宋体" w:hAnsi="宋体" w:cs="宋体"/>
                <w:color w:val="auto"/>
                <w:szCs w:val="21"/>
              </w:rPr>
            </w:pPr>
            <w:r>
              <w:rPr>
                <w:rFonts w:hint="eastAsia" w:ascii="宋体" w:hAnsi="宋体" w:cs="宋体"/>
                <w:color w:val="auto"/>
                <w:szCs w:val="21"/>
              </w:rPr>
              <w:t>1.1.5</w:t>
            </w:r>
          </w:p>
        </w:tc>
        <w:tc>
          <w:tcPr>
            <w:tcW w:w="2353" w:type="dxa"/>
            <w:tcBorders>
              <w:top w:val="single" w:color="auto" w:sz="4" w:space="0"/>
              <w:left w:val="single" w:color="auto" w:sz="4" w:space="0"/>
              <w:bottom w:val="single" w:color="auto" w:sz="4" w:space="0"/>
              <w:right w:val="single" w:color="auto" w:sz="4" w:space="0"/>
            </w:tcBorders>
            <w:vAlign w:val="center"/>
          </w:tcPr>
          <w:p w14:paraId="21304586">
            <w:pPr>
              <w:spacing w:line="0" w:lineRule="atLeast"/>
              <w:jc w:val="center"/>
              <w:rPr>
                <w:rFonts w:hint="eastAsia" w:ascii="宋体" w:hAnsi="宋体" w:cs="宋体"/>
                <w:color w:val="auto"/>
                <w:szCs w:val="21"/>
              </w:rPr>
            </w:pPr>
            <w:r>
              <w:rPr>
                <w:rFonts w:hint="eastAsia" w:ascii="宋体" w:hAnsi="宋体" w:cs="宋体"/>
                <w:color w:val="auto"/>
                <w:szCs w:val="21"/>
              </w:rPr>
              <w:t>建设地点</w:t>
            </w:r>
          </w:p>
        </w:tc>
        <w:tc>
          <w:tcPr>
            <w:tcW w:w="5659" w:type="dxa"/>
            <w:tcBorders>
              <w:top w:val="single" w:color="auto" w:sz="4" w:space="0"/>
              <w:left w:val="single" w:color="auto" w:sz="4" w:space="0"/>
              <w:bottom w:val="single" w:color="auto" w:sz="4" w:space="0"/>
              <w:right w:val="single" w:color="auto" w:sz="4" w:space="0"/>
            </w:tcBorders>
            <w:vAlign w:val="center"/>
          </w:tcPr>
          <w:p w14:paraId="1BB7FBA1">
            <w:pPr>
              <w:spacing w:line="0" w:lineRule="atLeast"/>
              <w:rPr>
                <w:rFonts w:hint="eastAsia" w:ascii="宋体" w:hAnsi="宋体" w:cs="宋体"/>
                <w:color w:val="auto"/>
                <w:szCs w:val="21"/>
              </w:rPr>
            </w:pPr>
            <w:r>
              <w:rPr>
                <w:rFonts w:hint="eastAsia" w:ascii="宋体" w:hAnsi="宋体" w:cs="宋体"/>
                <w:color w:val="auto"/>
                <w:szCs w:val="21"/>
              </w:rPr>
              <w:t>详</w:t>
            </w:r>
            <w:r>
              <w:rPr>
                <w:rFonts w:hint="eastAsia" w:ascii="宋体" w:hAnsi="宋体" w:cs="宋体"/>
                <w:color w:val="auto"/>
                <w:kern w:val="0"/>
                <w:szCs w:val="21"/>
              </w:rPr>
              <w:t>见本项目招标公告</w:t>
            </w:r>
          </w:p>
        </w:tc>
      </w:tr>
      <w:tr w14:paraId="45E0B051">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AE550F7">
            <w:pPr>
              <w:spacing w:line="0" w:lineRule="atLeast"/>
              <w:jc w:val="center"/>
              <w:rPr>
                <w:rFonts w:hint="eastAsia" w:ascii="宋体" w:hAnsi="宋体" w:cs="宋体"/>
                <w:color w:val="auto"/>
                <w:szCs w:val="21"/>
              </w:rPr>
            </w:pPr>
            <w:r>
              <w:rPr>
                <w:rFonts w:hint="eastAsia" w:ascii="宋体" w:hAnsi="宋体" w:cs="宋体"/>
                <w:color w:val="auto"/>
                <w:szCs w:val="21"/>
              </w:rPr>
              <w:t>1.2.1</w:t>
            </w:r>
          </w:p>
        </w:tc>
        <w:tc>
          <w:tcPr>
            <w:tcW w:w="2353" w:type="dxa"/>
            <w:tcBorders>
              <w:top w:val="single" w:color="auto" w:sz="4" w:space="0"/>
              <w:left w:val="single" w:color="auto" w:sz="4" w:space="0"/>
              <w:bottom w:val="single" w:color="auto" w:sz="4" w:space="0"/>
              <w:right w:val="single" w:color="auto" w:sz="4" w:space="0"/>
            </w:tcBorders>
            <w:vAlign w:val="center"/>
          </w:tcPr>
          <w:p w14:paraId="23EA2F69">
            <w:pPr>
              <w:spacing w:line="0" w:lineRule="atLeast"/>
              <w:jc w:val="center"/>
              <w:rPr>
                <w:rFonts w:hint="eastAsia" w:ascii="宋体" w:hAnsi="宋体" w:cs="宋体"/>
                <w:color w:val="auto"/>
                <w:szCs w:val="21"/>
              </w:rPr>
            </w:pPr>
            <w:r>
              <w:rPr>
                <w:rFonts w:hint="eastAsia" w:ascii="宋体" w:hAnsi="宋体" w:cs="宋体"/>
                <w:color w:val="auto"/>
                <w:szCs w:val="21"/>
              </w:rPr>
              <w:t>资金来源及比例</w:t>
            </w:r>
          </w:p>
        </w:tc>
        <w:tc>
          <w:tcPr>
            <w:tcW w:w="5659" w:type="dxa"/>
            <w:tcBorders>
              <w:top w:val="single" w:color="auto" w:sz="4" w:space="0"/>
              <w:left w:val="single" w:color="auto" w:sz="4" w:space="0"/>
              <w:bottom w:val="single" w:color="auto" w:sz="4" w:space="0"/>
              <w:right w:val="single" w:color="auto" w:sz="4" w:space="0"/>
            </w:tcBorders>
            <w:vAlign w:val="center"/>
          </w:tcPr>
          <w:p w14:paraId="550412B2">
            <w:pPr>
              <w:spacing w:line="0" w:lineRule="atLeast"/>
              <w:rPr>
                <w:rFonts w:hint="eastAsia" w:ascii="宋体" w:hAnsi="宋体" w:cs="宋体"/>
                <w:color w:val="auto"/>
                <w:szCs w:val="21"/>
              </w:rPr>
            </w:pPr>
            <w:r>
              <w:rPr>
                <w:rFonts w:hint="eastAsia" w:ascii="宋体" w:hAnsi="宋体" w:cs="宋体"/>
                <w:color w:val="auto"/>
                <w:szCs w:val="21"/>
              </w:rPr>
              <w:t>详</w:t>
            </w:r>
            <w:r>
              <w:rPr>
                <w:rFonts w:hint="eastAsia" w:ascii="宋体" w:hAnsi="宋体" w:cs="宋体"/>
                <w:color w:val="auto"/>
                <w:kern w:val="0"/>
                <w:szCs w:val="21"/>
              </w:rPr>
              <w:t>见本项目招标公告</w:t>
            </w:r>
          </w:p>
        </w:tc>
      </w:tr>
      <w:tr w14:paraId="384F04A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472C36A">
            <w:pPr>
              <w:spacing w:line="0" w:lineRule="atLeast"/>
              <w:jc w:val="center"/>
              <w:rPr>
                <w:rFonts w:hint="eastAsia" w:ascii="宋体" w:hAnsi="宋体" w:cs="宋体"/>
                <w:color w:val="auto"/>
                <w:szCs w:val="21"/>
              </w:rPr>
            </w:pPr>
            <w:r>
              <w:rPr>
                <w:rFonts w:hint="eastAsia" w:ascii="宋体" w:hAnsi="宋体" w:cs="宋体"/>
                <w:color w:val="auto"/>
                <w:szCs w:val="21"/>
              </w:rPr>
              <w:t>1.2.2</w:t>
            </w:r>
          </w:p>
        </w:tc>
        <w:tc>
          <w:tcPr>
            <w:tcW w:w="2353" w:type="dxa"/>
            <w:tcBorders>
              <w:top w:val="single" w:color="auto" w:sz="4" w:space="0"/>
              <w:left w:val="single" w:color="auto" w:sz="4" w:space="0"/>
              <w:bottom w:val="single" w:color="auto" w:sz="4" w:space="0"/>
              <w:right w:val="single" w:color="auto" w:sz="4" w:space="0"/>
            </w:tcBorders>
            <w:vAlign w:val="center"/>
          </w:tcPr>
          <w:p w14:paraId="2ED4073C">
            <w:pPr>
              <w:spacing w:line="0" w:lineRule="atLeast"/>
              <w:jc w:val="center"/>
              <w:rPr>
                <w:rFonts w:hint="eastAsia" w:ascii="宋体" w:hAnsi="宋体" w:cs="宋体"/>
                <w:color w:val="auto"/>
                <w:szCs w:val="21"/>
              </w:rPr>
            </w:pPr>
            <w:r>
              <w:rPr>
                <w:rFonts w:hint="eastAsia" w:ascii="宋体" w:hAnsi="宋体" w:cs="宋体"/>
                <w:color w:val="auto"/>
                <w:szCs w:val="21"/>
              </w:rPr>
              <w:t>资金落实情况</w:t>
            </w:r>
          </w:p>
        </w:tc>
        <w:tc>
          <w:tcPr>
            <w:tcW w:w="5659" w:type="dxa"/>
            <w:tcBorders>
              <w:top w:val="single" w:color="auto" w:sz="4" w:space="0"/>
              <w:left w:val="single" w:color="auto" w:sz="4" w:space="0"/>
              <w:bottom w:val="single" w:color="auto" w:sz="4" w:space="0"/>
              <w:right w:val="single" w:color="auto" w:sz="4" w:space="0"/>
            </w:tcBorders>
            <w:vAlign w:val="center"/>
          </w:tcPr>
          <w:p w14:paraId="2413AE54">
            <w:pPr>
              <w:spacing w:line="0" w:lineRule="atLeast"/>
              <w:rPr>
                <w:rFonts w:hint="eastAsia" w:ascii="宋体" w:hAnsi="宋体" w:cs="宋体"/>
                <w:color w:val="auto"/>
                <w:szCs w:val="21"/>
              </w:rPr>
            </w:pPr>
            <w:r>
              <w:rPr>
                <w:rFonts w:hint="eastAsia" w:ascii="宋体" w:hAnsi="宋体" w:cs="宋体"/>
                <w:color w:val="auto"/>
                <w:szCs w:val="21"/>
              </w:rPr>
              <w:t>资金已落实</w:t>
            </w:r>
          </w:p>
        </w:tc>
      </w:tr>
      <w:tr w14:paraId="7BE11262">
        <w:tblPrEx>
          <w:tblCellMar>
            <w:top w:w="0" w:type="dxa"/>
            <w:left w:w="108" w:type="dxa"/>
            <w:bottom w:w="0" w:type="dxa"/>
            <w:right w:w="108" w:type="dxa"/>
          </w:tblCellMar>
        </w:tblPrEx>
        <w:trPr>
          <w:trHeight w:val="90" w:hRule="atLeast"/>
        </w:trPr>
        <w:tc>
          <w:tcPr>
            <w:tcW w:w="1165" w:type="dxa"/>
            <w:tcBorders>
              <w:top w:val="single" w:color="auto" w:sz="4" w:space="0"/>
              <w:left w:val="single" w:color="auto" w:sz="4" w:space="0"/>
              <w:bottom w:val="single" w:color="auto" w:sz="4" w:space="0"/>
              <w:right w:val="single" w:color="auto" w:sz="4" w:space="0"/>
            </w:tcBorders>
            <w:vAlign w:val="center"/>
          </w:tcPr>
          <w:p w14:paraId="3C2F2C22">
            <w:pPr>
              <w:spacing w:line="0" w:lineRule="atLeast"/>
              <w:jc w:val="center"/>
              <w:rPr>
                <w:rFonts w:hint="eastAsia" w:ascii="宋体" w:hAnsi="宋体" w:cs="宋体"/>
                <w:color w:val="auto"/>
                <w:szCs w:val="21"/>
              </w:rPr>
            </w:pPr>
            <w:r>
              <w:rPr>
                <w:rFonts w:hint="eastAsia" w:ascii="宋体" w:hAnsi="宋体" w:cs="宋体"/>
                <w:color w:val="auto"/>
                <w:szCs w:val="21"/>
              </w:rPr>
              <w:t>1.3.1</w:t>
            </w:r>
          </w:p>
        </w:tc>
        <w:tc>
          <w:tcPr>
            <w:tcW w:w="2353" w:type="dxa"/>
            <w:tcBorders>
              <w:top w:val="single" w:color="auto" w:sz="4" w:space="0"/>
              <w:left w:val="single" w:color="auto" w:sz="4" w:space="0"/>
              <w:bottom w:val="single" w:color="auto" w:sz="4" w:space="0"/>
              <w:right w:val="single" w:color="auto" w:sz="4" w:space="0"/>
            </w:tcBorders>
            <w:vAlign w:val="center"/>
          </w:tcPr>
          <w:p w14:paraId="272542B2">
            <w:pPr>
              <w:spacing w:line="0" w:lineRule="atLeast"/>
              <w:jc w:val="center"/>
              <w:rPr>
                <w:rFonts w:hint="eastAsia" w:ascii="宋体" w:hAnsi="宋体" w:cs="宋体"/>
                <w:color w:val="auto"/>
                <w:szCs w:val="21"/>
              </w:rPr>
            </w:pPr>
            <w:r>
              <w:rPr>
                <w:rFonts w:hint="eastAsia" w:ascii="宋体" w:hAnsi="宋体" w:cs="宋体"/>
                <w:color w:val="auto"/>
                <w:szCs w:val="21"/>
              </w:rPr>
              <w:t>招标范围</w:t>
            </w:r>
          </w:p>
        </w:tc>
        <w:tc>
          <w:tcPr>
            <w:tcW w:w="5659" w:type="dxa"/>
            <w:tcBorders>
              <w:top w:val="single" w:color="auto" w:sz="4" w:space="0"/>
              <w:left w:val="single" w:color="auto" w:sz="4" w:space="0"/>
              <w:bottom w:val="single" w:color="auto" w:sz="4" w:space="0"/>
              <w:right w:val="single" w:color="auto" w:sz="4" w:space="0"/>
            </w:tcBorders>
            <w:vAlign w:val="center"/>
          </w:tcPr>
          <w:p w14:paraId="3252A310">
            <w:pPr>
              <w:spacing w:line="0" w:lineRule="atLeast"/>
              <w:rPr>
                <w:rFonts w:hint="eastAsia" w:ascii="宋体" w:hAnsi="宋体" w:cs="宋体"/>
                <w:color w:val="auto"/>
                <w:szCs w:val="21"/>
              </w:rPr>
            </w:pPr>
            <w:r>
              <w:rPr>
                <w:rFonts w:hint="eastAsia" w:ascii="宋体" w:hAnsi="宋体" w:cs="宋体"/>
                <w:color w:val="auto"/>
                <w:szCs w:val="21"/>
              </w:rPr>
              <w:t>详见本项目招标公告及合同约定条款</w:t>
            </w:r>
          </w:p>
        </w:tc>
      </w:tr>
      <w:tr w14:paraId="37804B7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A511B0C">
            <w:pPr>
              <w:spacing w:line="0" w:lineRule="atLeast"/>
              <w:jc w:val="center"/>
              <w:rPr>
                <w:rFonts w:hint="eastAsia" w:ascii="宋体" w:hAnsi="宋体" w:cs="宋体"/>
                <w:color w:val="auto"/>
                <w:szCs w:val="21"/>
              </w:rPr>
            </w:pPr>
            <w:r>
              <w:rPr>
                <w:rFonts w:hint="eastAsia" w:ascii="宋体" w:hAnsi="宋体" w:cs="宋体"/>
                <w:color w:val="auto"/>
                <w:szCs w:val="21"/>
              </w:rPr>
              <w:t>1.3.2</w:t>
            </w:r>
          </w:p>
        </w:tc>
        <w:tc>
          <w:tcPr>
            <w:tcW w:w="2353" w:type="dxa"/>
            <w:tcBorders>
              <w:top w:val="single" w:color="auto" w:sz="4" w:space="0"/>
              <w:left w:val="single" w:color="auto" w:sz="4" w:space="0"/>
              <w:bottom w:val="single" w:color="auto" w:sz="4" w:space="0"/>
              <w:right w:val="single" w:color="auto" w:sz="4" w:space="0"/>
            </w:tcBorders>
            <w:vAlign w:val="center"/>
          </w:tcPr>
          <w:p w14:paraId="16D5AC8D">
            <w:pPr>
              <w:spacing w:line="0" w:lineRule="atLeast"/>
              <w:jc w:val="center"/>
              <w:rPr>
                <w:rFonts w:hint="eastAsia" w:ascii="宋体" w:hAnsi="宋体" w:cs="宋体"/>
                <w:color w:val="auto"/>
                <w:szCs w:val="21"/>
                <w:highlight w:val="none"/>
              </w:rPr>
            </w:pPr>
            <w:r>
              <w:rPr>
                <w:rFonts w:hint="eastAsia" w:ascii="宋体" w:hAnsi="宋体" w:cs="宋体"/>
                <w:color w:val="auto"/>
                <w:szCs w:val="21"/>
                <w:highlight w:val="none"/>
              </w:rPr>
              <w:t>计划工期</w:t>
            </w:r>
          </w:p>
        </w:tc>
        <w:tc>
          <w:tcPr>
            <w:tcW w:w="5659" w:type="dxa"/>
            <w:tcBorders>
              <w:top w:val="single" w:color="auto" w:sz="4" w:space="0"/>
              <w:left w:val="single" w:color="auto" w:sz="4" w:space="0"/>
              <w:bottom w:val="single" w:color="auto" w:sz="4" w:space="0"/>
              <w:right w:val="single" w:color="auto" w:sz="4" w:space="0"/>
            </w:tcBorders>
            <w:vAlign w:val="center"/>
          </w:tcPr>
          <w:p w14:paraId="2D8B633D">
            <w:pPr>
              <w:adjustRightInd w:val="0"/>
              <w:snapToGrid w:val="0"/>
              <w:ind w:right="11"/>
              <w:rPr>
                <w:rFonts w:hint="eastAsia" w:ascii="宋体" w:hAnsi="宋体" w:cs="宋体"/>
                <w:color w:val="auto"/>
                <w:szCs w:val="21"/>
                <w:highlight w:val="none"/>
              </w:rPr>
            </w:pPr>
            <w:r>
              <w:rPr>
                <w:rFonts w:hint="eastAsia" w:ascii="宋体" w:hAnsi="宋体"/>
                <w:bCs/>
                <w:snapToGrid w:val="0"/>
                <w:color w:val="auto"/>
                <w:kern w:val="0"/>
                <w:szCs w:val="21"/>
                <w:highlight w:val="none"/>
              </w:rPr>
              <w:t>总工期100个日历天，其中：设计工期30个日历天（含施工前准备时间），施工工期70个日历天。以监理单位发出开工令为准，招标人有权根据实际情况进行调整。</w:t>
            </w:r>
          </w:p>
        </w:tc>
      </w:tr>
      <w:tr w14:paraId="10FE1249">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047A237">
            <w:pPr>
              <w:spacing w:line="0" w:lineRule="atLeast"/>
              <w:jc w:val="center"/>
              <w:rPr>
                <w:rFonts w:hint="eastAsia" w:ascii="宋体" w:hAnsi="宋体" w:cs="宋体"/>
                <w:color w:val="auto"/>
                <w:szCs w:val="21"/>
              </w:rPr>
            </w:pPr>
            <w:r>
              <w:rPr>
                <w:rFonts w:hint="eastAsia" w:ascii="宋体" w:hAnsi="宋体" w:cs="宋体"/>
                <w:color w:val="auto"/>
                <w:szCs w:val="21"/>
              </w:rPr>
              <w:t>1.3.3</w:t>
            </w:r>
          </w:p>
        </w:tc>
        <w:tc>
          <w:tcPr>
            <w:tcW w:w="2353" w:type="dxa"/>
            <w:tcBorders>
              <w:top w:val="single" w:color="auto" w:sz="4" w:space="0"/>
              <w:left w:val="single" w:color="auto" w:sz="4" w:space="0"/>
              <w:bottom w:val="single" w:color="auto" w:sz="4" w:space="0"/>
              <w:right w:val="single" w:color="auto" w:sz="4" w:space="0"/>
            </w:tcBorders>
            <w:vAlign w:val="center"/>
          </w:tcPr>
          <w:p w14:paraId="2F120E8E">
            <w:pPr>
              <w:spacing w:line="0" w:lineRule="atLeast"/>
              <w:jc w:val="center"/>
              <w:rPr>
                <w:rFonts w:hint="eastAsia" w:ascii="宋体" w:hAnsi="宋体" w:cs="宋体"/>
                <w:color w:val="auto"/>
                <w:szCs w:val="21"/>
              </w:rPr>
            </w:pPr>
            <w:r>
              <w:rPr>
                <w:rFonts w:hint="eastAsia" w:ascii="宋体" w:hAnsi="宋体" w:cs="宋体"/>
                <w:color w:val="auto"/>
                <w:szCs w:val="21"/>
              </w:rPr>
              <w:t>质量标准</w:t>
            </w:r>
          </w:p>
        </w:tc>
        <w:tc>
          <w:tcPr>
            <w:tcW w:w="5659" w:type="dxa"/>
            <w:tcBorders>
              <w:top w:val="single" w:color="auto" w:sz="4" w:space="0"/>
              <w:left w:val="single" w:color="auto" w:sz="4" w:space="0"/>
              <w:bottom w:val="single" w:color="auto" w:sz="4" w:space="0"/>
              <w:right w:val="single" w:color="auto" w:sz="4" w:space="0"/>
            </w:tcBorders>
            <w:vAlign w:val="center"/>
          </w:tcPr>
          <w:p w14:paraId="7EC93692">
            <w:pPr>
              <w:adjustRightInd w:val="0"/>
              <w:snapToGrid w:val="0"/>
              <w:ind w:right="11"/>
              <w:rPr>
                <w:rFonts w:hint="eastAsia" w:ascii="宋体" w:hAnsi="宋体"/>
                <w:bCs/>
                <w:snapToGrid w:val="0"/>
                <w:color w:val="auto"/>
                <w:kern w:val="0"/>
                <w:szCs w:val="21"/>
              </w:rPr>
            </w:pPr>
            <w:r>
              <w:rPr>
                <w:rFonts w:hint="eastAsia" w:ascii="宋体" w:hAnsi="宋体"/>
                <w:bCs/>
                <w:snapToGrid w:val="0"/>
                <w:color w:val="auto"/>
                <w:kern w:val="0"/>
                <w:szCs w:val="21"/>
              </w:rPr>
              <w:t>1.设计要求：符合《建设工程质量管理条例》、《建设工程勘察设计管理条例》、《建筑工程设计文件编制深度规定（2016年版）》等国家及地方有关工程设计管理法规和规章，达到行业相关规范技术标准等要求。</w:t>
            </w:r>
          </w:p>
          <w:p w14:paraId="660D748A">
            <w:pPr>
              <w:spacing w:line="0" w:lineRule="atLeast"/>
              <w:rPr>
                <w:rFonts w:hint="eastAsia" w:ascii="宋体" w:hAnsi="宋体" w:cs="宋体"/>
                <w:color w:val="auto"/>
                <w:szCs w:val="21"/>
              </w:rPr>
            </w:pPr>
            <w:r>
              <w:rPr>
                <w:rFonts w:hint="eastAsia" w:ascii="宋体" w:hAnsi="宋体"/>
                <w:bCs/>
                <w:snapToGrid w:val="0"/>
                <w:color w:val="auto"/>
                <w:kern w:val="0"/>
                <w:szCs w:val="21"/>
              </w:rPr>
              <w:t>2.施工要求：按照国家最新颁布《建筑工程施工质量验收统一标准》（GB50300-2013）及相应配套的各专业验收规范，一次验收合格。</w:t>
            </w:r>
          </w:p>
        </w:tc>
      </w:tr>
      <w:tr w14:paraId="1E8744CA">
        <w:tblPrEx>
          <w:tblCellMar>
            <w:top w:w="0" w:type="dxa"/>
            <w:left w:w="108" w:type="dxa"/>
            <w:bottom w:w="0" w:type="dxa"/>
            <w:right w:w="108" w:type="dxa"/>
          </w:tblCellMar>
        </w:tblPrEx>
        <w:trPr>
          <w:trHeight w:val="3049" w:hRule="atLeast"/>
        </w:trPr>
        <w:tc>
          <w:tcPr>
            <w:tcW w:w="1165" w:type="dxa"/>
            <w:tcBorders>
              <w:top w:val="single" w:color="auto" w:sz="4" w:space="0"/>
              <w:left w:val="single" w:color="auto" w:sz="4" w:space="0"/>
              <w:bottom w:val="single" w:color="auto" w:sz="4" w:space="0"/>
              <w:right w:val="single" w:color="auto" w:sz="4" w:space="0"/>
            </w:tcBorders>
            <w:vAlign w:val="center"/>
          </w:tcPr>
          <w:p w14:paraId="58F528CD">
            <w:pPr>
              <w:spacing w:line="0" w:lineRule="atLeast"/>
              <w:jc w:val="center"/>
              <w:rPr>
                <w:rFonts w:hint="eastAsia" w:ascii="宋体" w:hAnsi="宋体" w:cs="宋体"/>
                <w:color w:val="auto"/>
                <w:szCs w:val="21"/>
              </w:rPr>
            </w:pPr>
            <w:r>
              <w:rPr>
                <w:rFonts w:hint="eastAsia" w:ascii="宋体" w:hAnsi="宋体" w:cs="宋体"/>
                <w:color w:val="auto"/>
                <w:szCs w:val="21"/>
              </w:rPr>
              <w:t>1.4.1</w:t>
            </w:r>
          </w:p>
        </w:tc>
        <w:tc>
          <w:tcPr>
            <w:tcW w:w="2353" w:type="dxa"/>
            <w:tcBorders>
              <w:top w:val="single" w:color="auto" w:sz="4" w:space="0"/>
              <w:left w:val="single" w:color="auto" w:sz="4" w:space="0"/>
              <w:bottom w:val="single" w:color="auto" w:sz="4" w:space="0"/>
              <w:right w:val="single" w:color="auto" w:sz="4" w:space="0"/>
            </w:tcBorders>
            <w:vAlign w:val="center"/>
          </w:tcPr>
          <w:p w14:paraId="4556209B">
            <w:pPr>
              <w:spacing w:line="0" w:lineRule="atLeast"/>
              <w:jc w:val="center"/>
              <w:rPr>
                <w:rFonts w:hint="eastAsia" w:ascii="宋体" w:hAnsi="宋体" w:cs="宋体"/>
                <w:color w:val="auto"/>
                <w:szCs w:val="21"/>
              </w:rPr>
            </w:pPr>
            <w:r>
              <w:rPr>
                <w:rFonts w:hint="eastAsia" w:ascii="宋体" w:hAnsi="宋体" w:cs="宋体"/>
                <w:color w:val="auto"/>
                <w:szCs w:val="21"/>
              </w:rPr>
              <w:t>投标人资质条件、能力和信誉</w:t>
            </w:r>
          </w:p>
        </w:tc>
        <w:tc>
          <w:tcPr>
            <w:tcW w:w="5659" w:type="dxa"/>
            <w:tcBorders>
              <w:top w:val="single" w:color="auto" w:sz="4" w:space="0"/>
              <w:left w:val="single" w:color="auto" w:sz="4" w:space="0"/>
              <w:bottom w:val="single" w:color="auto" w:sz="4" w:space="0"/>
              <w:right w:val="single" w:color="auto" w:sz="4" w:space="0"/>
            </w:tcBorders>
            <w:vAlign w:val="center"/>
          </w:tcPr>
          <w:p w14:paraId="3D5B7422">
            <w:pPr>
              <w:spacing w:line="0" w:lineRule="atLeast"/>
              <w:rPr>
                <w:rFonts w:hint="eastAsia" w:ascii="新宋体" w:hAnsi="新宋体" w:eastAsia="新宋体" w:cs="新宋体"/>
                <w:color w:val="auto"/>
                <w:szCs w:val="21"/>
              </w:rPr>
            </w:pPr>
            <w:r>
              <w:rPr>
                <w:rFonts w:hint="eastAsia" w:ascii="新宋体" w:hAnsi="新宋体" w:eastAsia="新宋体" w:cs="新宋体"/>
                <w:color w:val="auto"/>
                <w:szCs w:val="21"/>
              </w:rPr>
              <w:t>资质条件：</w:t>
            </w:r>
            <w:r>
              <w:rPr>
                <w:rFonts w:hint="eastAsia" w:ascii="新宋体" w:hAnsi="新宋体" w:eastAsia="新宋体" w:cs="新宋体"/>
                <w:color w:val="auto"/>
                <w:szCs w:val="21"/>
                <w:u w:val="single"/>
              </w:rPr>
              <w:t>见招标公告投标人资格要求。</w:t>
            </w:r>
          </w:p>
          <w:p w14:paraId="3B36A897">
            <w:pPr>
              <w:spacing w:line="0" w:lineRule="atLeast"/>
              <w:rPr>
                <w:rFonts w:hint="eastAsia" w:ascii="新宋体" w:hAnsi="新宋体" w:eastAsia="新宋体" w:cs="新宋体"/>
                <w:color w:val="auto"/>
                <w:szCs w:val="21"/>
              </w:rPr>
            </w:pPr>
            <w:r>
              <w:rPr>
                <w:rFonts w:hint="eastAsia" w:ascii="新宋体" w:hAnsi="新宋体" w:eastAsia="新宋体" w:cs="新宋体"/>
                <w:color w:val="auto"/>
                <w:szCs w:val="21"/>
                <w:u w:val="single"/>
              </w:rPr>
              <w:t>项目负责人(兼施工负责人)的资格要求</w:t>
            </w:r>
            <w:r>
              <w:rPr>
                <w:rFonts w:hint="eastAsia" w:ascii="新宋体" w:hAnsi="新宋体" w:eastAsia="新宋体" w:cs="新宋体"/>
                <w:color w:val="auto"/>
                <w:szCs w:val="21"/>
              </w:rPr>
              <w:t>：</w:t>
            </w:r>
            <w:r>
              <w:rPr>
                <w:rFonts w:hint="eastAsia" w:ascii="新宋体" w:hAnsi="新宋体" w:eastAsia="新宋体" w:cs="新宋体"/>
                <w:color w:val="auto"/>
                <w:szCs w:val="21"/>
                <w:u w:val="single"/>
              </w:rPr>
              <w:t>见招标公告投标人资格要求。</w:t>
            </w:r>
          </w:p>
          <w:p w14:paraId="6924652B">
            <w:pPr>
              <w:spacing w:line="0" w:lineRule="atLeast"/>
              <w:rPr>
                <w:rFonts w:hint="eastAsia" w:ascii="新宋体" w:hAnsi="新宋体" w:eastAsia="新宋体" w:cs="新宋体"/>
                <w:color w:val="auto"/>
                <w:szCs w:val="21"/>
              </w:rPr>
            </w:pPr>
            <w:r>
              <w:rPr>
                <w:rFonts w:hint="eastAsia" w:ascii="新宋体" w:hAnsi="新宋体" w:eastAsia="新宋体" w:cs="新宋体"/>
                <w:color w:val="auto"/>
                <w:szCs w:val="21"/>
              </w:rPr>
              <w:t>设计负责人的资格要求：</w:t>
            </w:r>
            <w:r>
              <w:rPr>
                <w:rFonts w:hint="eastAsia" w:ascii="新宋体" w:hAnsi="新宋体" w:eastAsia="新宋体" w:cs="新宋体"/>
                <w:color w:val="auto"/>
                <w:szCs w:val="21"/>
                <w:u w:val="single"/>
              </w:rPr>
              <w:t>见招标公告投标人资格要求。</w:t>
            </w:r>
          </w:p>
          <w:p w14:paraId="18B67CE7">
            <w:pPr>
              <w:spacing w:line="0" w:lineRule="atLeast"/>
              <w:rPr>
                <w:rFonts w:hint="eastAsia" w:ascii="新宋体" w:hAnsi="新宋体" w:eastAsia="新宋体" w:cs="新宋体"/>
                <w:strike/>
                <w:color w:val="auto"/>
                <w:szCs w:val="21"/>
              </w:rPr>
            </w:pPr>
            <w:r>
              <w:rPr>
                <w:rFonts w:hint="eastAsia" w:ascii="新宋体" w:hAnsi="新宋体" w:eastAsia="新宋体" w:cs="新宋体"/>
                <w:strike/>
                <w:color w:val="auto"/>
                <w:szCs w:val="21"/>
              </w:rPr>
              <w:t>施工负责人的资格要求：</w:t>
            </w:r>
            <w:r>
              <w:rPr>
                <w:rFonts w:hint="eastAsia" w:ascii="新宋体" w:hAnsi="新宋体" w:eastAsia="新宋体" w:cs="新宋体"/>
                <w:strike/>
                <w:color w:val="auto"/>
                <w:szCs w:val="21"/>
                <w:u w:val="single"/>
              </w:rPr>
              <w:t>见招标公告投标人资格要求。</w:t>
            </w:r>
          </w:p>
          <w:p w14:paraId="45729DC9">
            <w:pPr>
              <w:spacing w:line="0" w:lineRule="atLeast"/>
              <w:rPr>
                <w:rFonts w:hint="eastAsia" w:ascii="新宋体" w:hAnsi="新宋体" w:eastAsia="新宋体" w:cs="新宋体"/>
                <w:color w:val="auto"/>
              </w:rPr>
            </w:pPr>
            <w:r>
              <w:rPr>
                <w:rFonts w:hint="eastAsia" w:ascii="新宋体" w:hAnsi="新宋体" w:eastAsia="新宋体" w:cs="新宋体"/>
                <w:color w:val="auto"/>
              </w:rPr>
              <w:t>施工技术负责人资格要求 ：</w:t>
            </w:r>
            <w:r>
              <w:rPr>
                <w:rFonts w:hint="eastAsia" w:ascii="新宋体" w:hAnsi="新宋体" w:eastAsia="新宋体" w:cs="新宋体"/>
                <w:color w:val="auto"/>
                <w:szCs w:val="21"/>
                <w:u w:val="single"/>
              </w:rPr>
              <w:t>见招标公告投标人资格要求。</w:t>
            </w:r>
          </w:p>
          <w:p w14:paraId="2B1FE5B9">
            <w:pPr>
              <w:spacing w:line="0" w:lineRule="atLeast"/>
              <w:rPr>
                <w:rFonts w:hint="eastAsia" w:ascii="新宋体" w:hAnsi="新宋体" w:eastAsia="新宋体" w:cs="新宋体"/>
                <w:color w:val="auto"/>
              </w:rPr>
            </w:pPr>
            <w:r>
              <w:rPr>
                <w:rFonts w:hint="eastAsia" w:ascii="新宋体" w:hAnsi="新宋体" w:eastAsia="新宋体" w:cs="新宋体"/>
                <w:color w:val="auto"/>
              </w:rPr>
              <w:t>专职安全员资格要求：</w:t>
            </w:r>
            <w:r>
              <w:rPr>
                <w:rFonts w:hint="eastAsia" w:ascii="新宋体" w:hAnsi="新宋体" w:eastAsia="新宋体" w:cs="新宋体"/>
                <w:color w:val="auto"/>
                <w:szCs w:val="21"/>
                <w:u w:val="single"/>
              </w:rPr>
              <w:t>见招标公告投标人资格要求。</w:t>
            </w:r>
          </w:p>
          <w:p w14:paraId="080A0921">
            <w:pPr>
              <w:spacing w:line="0" w:lineRule="atLeast"/>
              <w:rPr>
                <w:rFonts w:hint="eastAsia" w:ascii="新宋体" w:hAnsi="新宋体" w:eastAsia="新宋体" w:cs="新宋体"/>
                <w:color w:val="auto"/>
                <w:szCs w:val="21"/>
              </w:rPr>
            </w:pPr>
            <w:r>
              <w:rPr>
                <w:rFonts w:hint="eastAsia" w:ascii="新宋体" w:hAnsi="新宋体" w:eastAsia="新宋体" w:cs="新宋体"/>
                <w:color w:val="auto"/>
                <w:szCs w:val="21"/>
              </w:rPr>
              <w:t>施工机械设备：</w:t>
            </w:r>
            <w:r>
              <w:rPr>
                <w:rFonts w:hint="eastAsia" w:ascii="新宋体" w:hAnsi="新宋体" w:eastAsia="新宋体" w:cs="新宋体"/>
                <w:color w:val="auto"/>
                <w:u w:val="single"/>
              </w:rPr>
              <w:t>/。</w:t>
            </w:r>
          </w:p>
          <w:p w14:paraId="7938D8E9">
            <w:pPr>
              <w:spacing w:line="0" w:lineRule="atLeast"/>
              <w:rPr>
                <w:rFonts w:hint="eastAsia" w:ascii="新宋体" w:hAnsi="新宋体" w:eastAsia="新宋体" w:cs="新宋体"/>
                <w:color w:val="auto"/>
                <w:szCs w:val="21"/>
              </w:rPr>
            </w:pPr>
            <w:r>
              <w:rPr>
                <w:rFonts w:hint="eastAsia" w:ascii="新宋体" w:hAnsi="新宋体" w:eastAsia="新宋体" w:cs="新宋体"/>
                <w:color w:val="auto"/>
                <w:szCs w:val="21"/>
              </w:rPr>
              <w:t>项目管理机构及人员：</w:t>
            </w:r>
            <w:r>
              <w:rPr>
                <w:rFonts w:hint="eastAsia" w:ascii="新宋体" w:hAnsi="新宋体" w:eastAsia="新宋体" w:cs="新宋体"/>
                <w:color w:val="auto"/>
                <w:u w:val="single"/>
              </w:rPr>
              <w:t>/。</w:t>
            </w:r>
          </w:p>
          <w:p w14:paraId="279061D6">
            <w:pPr>
              <w:spacing w:line="0" w:lineRule="atLeast"/>
              <w:rPr>
                <w:rFonts w:hint="eastAsia" w:ascii="宋体" w:hAnsi="宋体" w:cs="宋体"/>
                <w:color w:val="auto"/>
                <w:szCs w:val="21"/>
              </w:rPr>
            </w:pPr>
            <w:r>
              <w:rPr>
                <w:rFonts w:hint="eastAsia" w:ascii="新宋体" w:hAnsi="新宋体" w:eastAsia="新宋体" w:cs="新宋体"/>
                <w:color w:val="auto"/>
                <w:szCs w:val="21"/>
              </w:rPr>
              <w:t>其他要求：</w:t>
            </w:r>
            <w:r>
              <w:rPr>
                <w:rFonts w:hint="eastAsia" w:ascii="新宋体" w:hAnsi="新宋体" w:eastAsia="新宋体" w:cs="新宋体"/>
                <w:color w:val="auto"/>
                <w:szCs w:val="21"/>
                <w:u w:val="single"/>
              </w:rPr>
              <w:t>见招标公告投标人资格要求。</w:t>
            </w:r>
          </w:p>
        </w:tc>
      </w:tr>
      <w:tr w14:paraId="581D8DB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690B37D">
            <w:pPr>
              <w:spacing w:line="0" w:lineRule="atLeast"/>
              <w:jc w:val="center"/>
              <w:rPr>
                <w:rFonts w:hint="eastAsia" w:ascii="宋体" w:hAnsi="宋体" w:cs="宋体"/>
                <w:color w:val="auto"/>
                <w:szCs w:val="21"/>
              </w:rPr>
            </w:pPr>
            <w:r>
              <w:rPr>
                <w:rFonts w:hint="eastAsia" w:ascii="宋体" w:hAnsi="宋体" w:cs="宋体"/>
                <w:color w:val="auto"/>
                <w:szCs w:val="21"/>
              </w:rPr>
              <w:t>1.4.2</w:t>
            </w:r>
          </w:p>
        </w:tc>
        <w:tc>
          <w:tcPr>
            <w:tcW w:w="2353" w:type="dxa"/>
            <w:tcBorders>
              <w:top w:val="single" w:color="auto" w:sz="4" w:space="0"/>
              <w:left w:val="single" w:color="auto" w:sz="4" w:space="0"/>
              <w:bottom w:val="single" w:color="auto" w:sz="4" w:space="0"/>
              <w:right w:val="single" w:color="auto" w:sz="4" w:space="0"/>
            </w:tcBorders>
            <w:vAlign w:val="center"/>
          </w:tcPr>
          <w:p w14:paraId="571E7F57">
            <w:pPr>
              <w:spacing w:line="0" w:lineRule="atLeast"/>
              <w:jc w:val="center"/>
              <w:rPr>
                <w:rFonts w:hint="eastAsia" w:ascii="宋体" w:hAnsi="宋体" w:cs="宋体"/>
                <w:color w:val="auto"/>
                <w:szCs w:val="21"/>
              </w:rPr>
            </w:pPr>
            <w:r>
              <w:rPr>
                <w:rFonts w:hint="eastAsia" w:ascii="宋体" w:hAnsi="宋体" w:cs="宋体"/>
                <w:color w:val="auto"/>
                <w:szCs w:val="21"/>
              </w:rPr>
              <w:t>是否接受联合体投标</w:t>
            </w:r>
          </w:p>
        </w:tc>
        <w:tc>
          <w:tcPr>
            <w:tcW w:w="5659" w:type="dxa"/>
            <w:tcBorders>
              <w:top w:val="single" w:color="auto" w:sz="4" w:space="0"/>
              <w:left w:val="single" w:color="auto" w:sz="4" w:space="0"/>
              <w:bottom w:val="single" w:color="auto" w:sz="4" w:space="0"/>
              <w:right w:val="single" w:color="auto" w:sz="4" w:space="0"/>
            </w:tcBorders>
            <w:vAlign w:val="center"/>
          </w:tcPr>
          <w:p w14:paraId="24AFAD93">
            <w:pPr>
              <w:pStyle w:val="14"/>
              <w:topLinePunct/>
              <w:spacing w:line="0" w:lineRule="atLeast"/>
              <w:rPr>
                <w:rFonts w:hint="eastAsia" w:hAnsi="宋体" w:cs="宋体"/>
                <w:color w:val="auto"/>
                <w:sz w:val="21"/>
                <w:szCs w:val="21"/>
              </w:rPr>
            </w:pPr>
            <w:r>
              <w:rPr>
                <w:rFonts w:hint="eastAsia" w:hAnsi="宋体" w:cs="宋体"/>
                <w:color w:val="auto"/>
                <w:sz w:val="32"/>
                <w:szCs w:val="32"/>
              </w:rPr>
              <w:t>□</w:t>
            </w:r>
            <w:r>
              <w:rPr>
                <w:rFonts w:hint="eastAsia" w:hAnsi="宋体" w:cs="宋体"/>
                <w:color w:val="auto"/>
                <w:sz w:val="21"/>
                <w:szCs w:val="21"/>
              </w:rPr>
              <w:t>不接受</w:t>
            </w:r>
          </w:p>
          <w:p w14:paraId="0C0A7BE6">
            <w:pPr>
              <w:spacing w:line="0" w:lineRule="atLeast"/>
              <w:rPr>
                <w:rFonts w:hint="eastAsia" w:ascii="宋体" w:hAnsi="宋体" w:cs="宋体"/>
                <w:color w:val="auto"/>
                <w:szCs w:val="21"/>
              </w:rPr>
            </w:pPr>
            <w:r>
              <w:rPr>
                <w:rFonts w:hint="eastAsia" w:ascii="宋体" w:hAnsi="宋体" w:cs="宋体"/>
                <w:color w:val="auto"/>
                <w:sz w:val="32"/>
                <w:szCs w:val="32"/>
              </w:rPr>
              <w:t>■</w:t>
            </w:r>
            <w:r>
              <w:rPr>
                <w:rFonts w:hint="eastAsia" w:ascii="宋体" w:hAnsi="宋体" w:cs="宋体"/>
                <w:color w:val="auto"/>
                <w:szCs w:val="21"/>
              </w:rPr>
              <w:t>接受，应满足下列要求：见本项目招标公告要求。</w:t>
            </w:r>
          </w:p>
        </w:tc>
      </w:tr>
      <w:tr w14:paraId="53DEE88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65A7958">
            <w:pPr>
              <w:spacing w:line="0" w:lineRule="atLeast"/>
              <w:jc w:val="center"/>
              <w:rPr>
                <w:rFonts w:hint="eastAsia" w:ascii="宋体" w:hAnsi="宋体" w:cs="宋体"/>
                <w:color w:val="auto"/>
                <w:szCs w:val="21"/>
              </w:rPr>
            </w:pPr>
            <w:r>
              <w:rPr>
                <w:rFonts w:hint="eastAsia" w:ascii="宋体" w:hAnsi="宋体" w:cs="宋体"/>
                <w:color w:val="auto"/>
                <w:szCs w:val="21"/>
              </w:rPr>
              <w:t>1.5</w:t>
            </w:r>
          </w:p>
        </w:tc>
        <w:tc>
          <w:tcPr>
            <w:tcW w:w="2353" w:type="dxa"/>
            <w:tcBorders>
              <w:top w:val="single" w:color="auto" w:sz="4" w:space="0"/>
              <w:left w:val="single" w:color="auto" w:sz="4" w:space="0"/>
              <w:bottom w:val="single" w:color="auto" w:sz="4" w:space="0"/>
              <w:right w:val="single" w:color="auto" w:sz="4" w:space="0"/>
            </w:tcBorders>
            <w:vAlign w:val="center"/>
          </w:tcPr>
          <w:p w14:paraId="2366FAD7">
            <w:pPr>
              <w:spacing w:line="0" w:lineRule="atLeast"/>
              <w:jc w:val="center"/>
              <w:rPr>
                <w:rFonts w:hint="eastAsia" w:ascii="宋体" w:hAnsi="宋体" w:cs="宋体"/>
                <w:color w:val="auto"/>
                <w:szCs w:val="21"/>
              </w:rPr>
            </w:pPr>
            <w:r>
              <w:rPr>
                <w:rFonts w:hint="eastAsia" w:ascii="宋体" w:hAnsi="宋体" w:cs="宋体"/>
                <w:color w:val="auto"/>
                <w:szCs w:val="21"/>
              </w:rPr>
              <w:t>费用承担和设计成果补偿</w:t>
            </w:r>
          </w:p>
        </w:tc>
        <w:tc>
          <w:tcPr>
            <w:tcW w:w="5659" w:type="dxa"/>
            <w:tcBorders>
              <w:top w:val="single" w:color="auto" w:sz="4" w:space="0"/>
              <w:left w:val="single" w:color="auto" w:sz="4" w:space="0"/>
              <w:bottom w:val="single" w:color="auto" w:sz="4" w:space="0"/>
              <w:right w:val="single" w:color="auto" w:sz="4" w:space="0"/>
            </w:tcBorders>
            <w:vAlign w:val="center"/>
          </w:tcPr>
          <w:p w14:paraId="3A8889F8">
            <w:pPr>
              <w:spacing w:line="0" w:lineRule="atLeast"/>
              <w:rPr>
                <w:rFonts w:hint="eastAsia" w:ascii="宋体" w:hAnsi="宋体" w:cs="宋体"/>
                <w:color w:val="auto"/>
                <w:szCs w:val="21"/>
              </w:rPr>
            </w:pPr>
            <w:r>
              <w:rPr>
                <w:rFonts w:hint="eastAsia" w:ascii="宋体" w:hAnsi="宋体" w:cs="宋体"/>
                <w:color w:val="auto"/>
                <w:sz w:val="32"/>
                <w:szCs w:val="32"/>
              </w:rPr>
              <w:t>■</w:t>
            </w:r>
            <w:r>
              <w:rPr>
                <w:rFonts w:hint="eastAsia" w:ascii="宋体" w:hAnsi="宋体" w:cs="宋体"/>
                <w:color w:val="auto"/>
                <w:szCs w:val="21"/>
              </w:rPr>
              <w:t>不补偿</w:t>
            </w:r>
          </w:p>
          <w:p w14:paraId="2FCC8838">
            <w:pPr>
              <w:spacing w:line="0" w:lineRule="atLeast"/>
              <w:rPr>
                <w:rFonts w:hint="eastAsia" w:ascii="宋体" w:hAnsi="宋体" w:cs="宋体"/>
                <w:color w:val="auto"/>
                <w:sz w:val="32"/>
                <w:szCs w:val="32"/>
              </w:rPr>
            </w:pPr>
            <w:r>
              <w:rPr>
                <w:rFonts w:hint="eastAsia" w:ascii="宋体" w:hAnsi="宋体" w:cs="宋体"/>
                <w:color w:val="auto"/>
                <w:sz w:val="32"/>
                <w:szCs w:val="32"/>
              </w:rPr>
              <w:t>□</w:t>
            </w:r>
            <w:r>
              <w:rPr>
                <w:rFonts w:hint="eastAsia" w:ascii="宋体" w:hAnsi="宋体" w:cs="宋体"/>
                <w:color w:val="auto"/>
                <w:szCs w:val="21"/>
              </w:rPr>
              <w:t>补偿，补偿标准：</w:t>
            </w:r>
          </w:p>
        </w:tc>
      </w:tr>
      <w:tr w14:paraId="5FA5400A">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E8DC268">
            <w:pPr>
              <w:spacing w:line="0" w:lineRule="atLeast"/>
              <w:jc w:val="center"/>
              <w:rPr>
                <w:rFonts w:hint="eastAsia" w:ascii="宋体" w:hAnsi="宋体" w:cs="宋体"/>
                <w:color w:val="auto"/>
                <w:szCs w:val="21"/>
              </w:rPr>
            </w:pPr>
            <w:r>
              <w:rPr>
                <w:rFonts w:hint="eastAsia" w:ascii="宋体" w:hAnsi="宋体" w:cs="宋体"/>
                <w:color w:val="auto"/>
                <w:szCs w:val="21"/>
              </w:rPr>
              <w:t>1.9.1</w:t>
            </w:r>
          </w:p>
        </w:tc>
        <w:tc>
          <w:tcPr>
            <w:tcW w:w="2353" w:type="dxa"/>
            <w:tcBorders>
              <w:top w:val="single" w:color="auto" w:sz="4" w:space="0"/>
              <w:left w:val="single" w:color="auto" w:sz="4" w:space="0"/>
              <w:bottom w:val="single" w:color="auto" w:sz="4" w:space="0"/>
              <w:right w:val="single" w:color="auto" w:sz="4" w:space="0"/>
            </w:tcBorders>
            <w:vAlign w:val="center"/>
          </w:tcPr>
          <w:p w14:paraId="4B5FE08E">
            <w:pPr>
              <w:spacing w:line="0" w:lineRule="atLeast"/>
              <w:jc w:val="center"/>
              <w:rPr>
                <w:rFonts w:hint="eastAsia" w:ascii="宋体" w:hAnsi="宋体" w:cs="宋体"/>
                <w:color w:val="auto"/>
                <w:szCs w:val="21"/>
              </w:rPr>
            </w:pPr>
            <w:r>
              <w:rPr>
                <w:rFonts w:hint="eastAsia" w:ascii="宋体" w:hAnsi="宋体" w:cs="宋体"/>
                <w:color w:val="auto"/>
                <w:szCs w:val="21"/>
              </w:rPr>
              <w:t>踏勘</w:t>
            </w:r>
          </w:p>
        </w:tc>
        <w:tc>
          <w:tcPr>
            <w:tcW w:w="5659" w:type="dxa"/>
            <w:tcBorders>
              <w:top w:val="single" w:color="auto" w:sz="4" w:space="0"/>
              <w:left w:val="single" w:color="auto" w:sz="4" w:space="0"/>
              <w:bottom w:val="single" w:color="auto" w:sz="4" w:space="0"/>
              <w:right w:val="single" w:color="auto" w:sz="4" w:space="0"/>
            </w:tcBorders>
            <w:vAlign w:val="center"/>
          </w:tcPr>
          <w:p w14:paraId="0439BB5A">
            <w:pPr>
              <w:spacing w:line="0" w:lineRule="atLeast"/>
              <w:ind w:firstLine="1280" w:firstLineChars="400"/>
              <w:rPr>
                <w:rFonts w:hint="eastAsia" w:ascii="宋体" w:hAnsi="宋体" w:cs="宋体"/>
                <w:color w:val="auto"/>
                <w:szCs w:val="21"/>
              </w:rPr>
            </w:pPr>
            <w:r>
              <w:rPr>
                <w:rFonts w:hint="eastAsia" w:ascii="宋体" w:hAnsi="宋体" w:cs="宋体"/>
                <w:color w:val="auto"/>
                <w:sz w:val="32"/>
                <w:szCs w:val="32"/>
              </w:rPr>
              <w:t>/</w:t>
            </w:r>
          </w:p>
        </w:tc>
      </w:tr>
      <w:tr w14:paraId="54FD6AA6">
        <w:tblPrEx>
          <w:tblCellMar>
            <w:top w:w="0" w:type="dxa"/>
            <w:left w:w="108" w:type="dxa"/>
            <w:bottom w:w="0" w:type="dxa"/>
            <w:right w:w="108" w:type="dxa"/>
          </w:tblCellMar>
        </w:tblPrEx>
        <w:trPr>
          <w:trHeight w:val="418" w:hRule="atLeast"/>
        </w:trPr>
        <w:tc>
          <w:tcPr>
            <w:tcW w:w="1165" w:type="dxa"/>
            <w:tcBorders>
              <w:top w:val="single" w:color="auto" w:sz="4" w:space="0"/>
              <w:left w:val="single" w:color="auto" w:sz="4" w:space="0"/>
              <w:bottom w:val="single" w:color="auto" w:sz="4" w:space="0"/>
              <w:right w:val="single" w:color="auto" w:sz="4" w:space="0"/>
            </w:tcBorders>
            <w:vAlign w:val="center"/>
          </w:tcPr>
          <w:p w14:paraId="495E43A6">
            <w:pPr>
              <w:spacing w:line="0" w:lineRule="atLeast"/>
              <w:jc w:val="center"/>
              <w:rPr>
                <w:rFonts w:hint="eastAsia" w:ascii="宋体" w:hAnsi="宋体" w:cs="宋体"/>
                <w:color w:val="auto"/>
                <w:szCs w:val="21"/>
              </w:rPr>
            </w:pPr>
            <w:r>
              <w:rPr>
                <w:rFonts w:hint="eastAsia" w:ascii="宋体" w:hAnsi="宋体" w:cs="宋体"/>
                <w:color w:val="auto"/>
                <w:szCs w:val="21"/>
              </w:rPr>
              <w:t>1.10.1</w:t>
            </w:r>
          </w:p>
        </w:tc>
        <w:tc>
          <w:tcPr>
            <w:tcW w:w="2353" w:type="dxa"/>
            <w:tcBorders>
              <w:top w:val="single" w:color="auto" w:sz="4" w:space="0"/>
              <w:left w:val="single" w:color="auto" w:sz="4" w:space="0"/>
              <w:bottom w:val="single" w:color="auto" w:sz="4" w:space="0"/>
              <w:right w:val="single" w:color="auto" w:sz="4" w:space="0"/>
            </w:tcBorders>
            <w:vAlign w:val="center"/>
          </w:tcPr>
          <w:p w14:paraId="2B9F6F05">
            <w:pPr>
              <w:spacing w:line="0" w:lineRule="atLeast"/>
              <w:jc w:val="center"/>
              <w:rPr>
                <w:rFonts w:hint="eastAsia" w:ascii="宋体" w:hAnsi="宋体" w:cs="宋体"/>
                <w:color w:val="auto"/>
                <w:szCs w:val="21"/>
              </w:rPr>
            </w:pPr>
            <w:r>
              <w:rPr>
                <w:rFonts w:hint="eastAsia" w:ascii="宋体" w:hAnsi="宋体" w:cs="宋体"/>
                <w:color w:val="auto"/>
                <w:szCs w:val="21"/>
              </w:rPr>
              <w:t>投标预备会</w:t>
            </w:r>
          </w:p>
        </w:tc>
        <w:tc>
          <w:tcPr>
            <w:tcW w:w="5659" w:type="dxa"/>
            <w:tcBorders>
              <w:top w:val="single" w:color="auto" w:sz="4" w:space="0"/>
              <w:left w:val="single" w:color="auto" w:sz="4" w:space="0"/>
              <w:bottom w:val="single" w:color="auto" w:sz="4" w:space="0"/>
              <w:right w:val="single" w:color="auto" w:sz="4" w:space="0"/>
            </w:tcBorders>
            <w:vAlign w:val="center"/>
          </w:tcPr>
          <w:p w14:paraId="5E087708">
            <w:pPr>
              <w:spacing w:line="0" w:lineRule="atLeast"/>
              <w:ind w:firstLine="1280" w:firstLineChars="400"/>
              <w:rPr>
                <w:rFonts w:hint="eastAsia" w:ascii="宋体" w:hAnsi="宋体" w:cs="宋体"/>
                <w:color w:val="auto"/>
                <w:szCs w:val="21"/>
              </w:rPr>
            </w:pPr>
            <w:r>
              <w:rPr>
                <w:rFonts w:hint="eastAsia" w:ascii="宋体" w:hAnsi="宋体" w:cs="宋体"/>
                <w:color w:val="auto"/>
                <w:sz w:val="32"/>
                <w:szCs w:val="32"/>
              </w:rPr>
              <w:t>/</w:t>
            </w:r>
          </w:p>
        </w:tc>
      </w:tr>
      <w:tr w14:paraId="6B796BAE">
        <w:tblPrEx>
          <w:tblCellMar>
            <w:top w:w="0" w:type="dxa"/>
            <w:left w:w="108" w:type="dxa"/>
            <w:bottom w:w="0" w:type="dxa"/>
            <w:right w:w="108" w:type="dxa"/>
          </w:tblCellMar>
        </w:tblPrEx>
        <w:trPr>
          <w:trHeight w:val="90" w:hRule="atLeast"/>
        </w:trPr>
        <w:tc>
          <w:tcPr>
            <w:tcW w:w="1165" w:type="dxa"/>
            <w:tcBorders>
              <w:top w:val="single" w:color="auto" w:sz="4" w:space="0"/>
              <w:left w:val="single" w:color="auto" w:sz="4" w:space="0"/>
              <w:bottom w:val="single" w:color="auto" w:sz="4" w:space="0"/>
              <w:right w:val="single" w:color="auto" w:sz="4" w:space="0"/>
            </w:tcBorders>
            <w:vAlign w:val="center"/>
          </w:tcPr>
          <w:p w14:paraId="6A6CB09A">
            <w:pPr>
              <w:spacing w:line="0" w:lineRule="atLeast"/>
              <w:jc w:val="center"/>
              <w:rPr>
                <w:rFonts w:hint="eastAsia" w:ascii="宋体" w:hAnsi="宋体" w:cs="宋体"/>
                <w:color w:val="auto"/>
                <w:szCs w:val="21"/>
              </w:rPr>
            </w:pPr>
            <w:r>
              <w:rPr>
                <w:rFonts w:hint="eastAsia" w:ascii="宋体" w:hAnsi="宋体" w:cs="宋体"/>
                <w:color w:val="auto"/>
                <w:szCs w:val="21"/>
              </w:rPr>
              <w:t>1.11.1</w:t>
            </w:r>
          </w:p>
        </w:tc>
        <w:tc>
          <w:tcPr>
            <w:tcW w:w="2353" w:type="dxa"/>
            <w:tcBorders>
              <w:top w:val="single" w:color="auto" w:sz="4" w:space="0"/>
              <w:left w:val="single" w:color="auto" w:sz="4" w:space="0"/>
              <w:bottom w:val="single" w:color="auto" w:sz="4" w:space="0"/>
              <w:right w:val="single" w:color="auto" w:sz="4" w:space="0"/>
            </w:tcBorders>
            <w:vAlign w:val="center"/>
          </w:tcPr>
          <w:p w14:paraId="3F66088A">
            <w:pPr>
              <w:spacing w:line="0" w:lineRule="atLeast"/>
              <w:jc w:val="center"/>
              <w:rPr>
                <w:rFonts w:hint="eastAsia" w:ascii="宋体" w:hAnsi="宋体" w:cs="宋体"/>
                <w:color w:val="auto"/>
                <w:szCs w:val="21"/>
              </w:rPr>
            </w:pPr>
            <w:r>
              <w:rPr>
                <w:rFonts w:hint="eastAsia" w:ascii="宋体" w:hAnsi="宋体" w:cs="宋体"/>
                <w:color w:val="auto"/>
                <w:szCs w:val="21"/>
              </w:rPr>
              <w:t>招标人规定由分包人承担的工作</w:t>
            </w:r>
          </w:p>
        </w:tc>
        <w:tc>
          <w:tcPr>
            <w:tcW w:w="5659" w:type="dxa"/>
            <w:tcBorders>
              <w:top w:val="single" w:color="auto" w:sz="4" w:space="0"/>
              <w:left w:val="single" w:color="auto" w:sz="4" w:space="0"/>
              <w:bottom w:val="single" w:color="auto" w:sz="4" w:space="0"/>
              <w:right w:val="single" w:color="auto" w:sz="4" w:space="0"/>
            </w:tcBorders>
            <w:vAlign w:val="center"/>
          </w:tcPr>
          <w:p w14:paraId="2A470AD1">
            <w:pPr>
              <w:spacing w:line="0" w:lineRule="atLeast"/>
              <w:rPr>
                <w:rFonts w:hint="eastAsia" w:ascii="宋体" w:hAnsi="宋体" w:cs="宋体"/>
                <w:color w:val="auto"/>
                <w:szCs w:val="21"/>
              </w:rPr>
            </w:pPr>
            <w:r>
              <w:rPr>
                <w:rFonts w:hint="eastAsia" w:ascii="宋体" w:hAnsi="宋体" w:cs="宋体"/>
                <w:color w:val="auto"/>
                <w:szCs w:val="21"/>
              </w:rPr>
              <w:t>无</w:t>
            </w:r>
          </w:p>
        </w:tc>
      </w:tr>
      <w:tr w14:paraId="5D9BC0C2">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459B80F">
            <w:pPr>
              <w:spacing w:line="0" w:lineRule="atLeast"/>
              <w:jc w:val="center"/>
              <w:rPr>
                <w:rFonts w:hint="eastAsia" w:ascii="宋体" w:hAnsi="宋体" w:cs="宋体"/>
                <w:color w:val="auto"/>
                <w:szCs w:val="21"/>
              </w:rPr>
            </w:pPr>
            <w:r>
              <w:rPr>
                <w:rFonts w:hint="eastAsia" w:ascii="宋体" w:hAnsi="宋体" w:cs="宋体"/>
                <w:color w:val="auto"/>
                <w:szCs w:val="21"/>
              </w:rPr>
              <w:t>1.11.2</w:t>
            </w:r>
          </w:p>
        </w:tc>
        <w:tc>
          <w:tcPr>
            <w:tcW w:w="2353" w:type="dxa"/>
            <w:tcBorders>
              <w:top w:val="single" w:color="auto" w:sz="4" w:space="0"/>
              <w:left w:val="single" w:color="auto" w:sz="4" w:space="0"/>
              <w:bottom w:val="single" w:color="auto" w:sz="4" w:space="0"/>
              <w:right w:val="single" w:color="auto" w:sz="4" w:space="0"/>
            </w:tcBorders>
            <w:vAlign w:val="center"/>
          </w:tcPr>
          <w:p w14:paraId="1715AC2E">
            <w:pPr>
              <w:spacing w:line="0" w:lineRule="atLeast"/>
              <w:jc w:val="center"/>
              <w:rPr>
                <w:rFonts w:hint="eastAsia" w:ascii="宋体" w:hAnsi="宋体" w:cs="宋体"/>
                <w:color w:val="auto"/>
                <w:szCs w:val="21"/>
              </w:rPr>
            </w:pPr>
            <w:r>
              <w:rPr>
                <w:rFonts w:hint="eastAsia" w:ascii="宋体" w:hAnsi="宋体" w:cs="宋体"/>
                <w:color w:val="auto"/>
                <w:szCs w:val="21"/>
              </w:rPr>
              <w:t>投标人拟分包的工作</w:t>
            </w:r>
          </w:p>
        </w:tc>
        <w:tc>
          <w:tcPr>
            <w:tcW w:w="5659" w:type="dxa"/>
            <w:tcBorders>
              <w:top w:val="single" w:color="auto" w:sz="4" w:space="0"/>
              <w:left w:val="single" w:color="auto" w:sz="4" w:space="0"/>
              <w:bottom w:val="single" w:color="auto" w:sz="4" w:space="0"/>
              <w:right w:val="single" w:color="auto" w:sz="4" w:space="0"/>
            </w:tcBorders>
            <w:vAlign w:val="center"/>
          </w:tcPr>
          <w:p w14:paraId="2D51DF15">
            <w:pPr>
              <w:pStyle w:val="14"/>
              <w:topLinePunct/>
              <w:spacing w:line="0" w:lineRule="atLeast"/>
              <w:rPr>
                <w:rFonts w:hint="eastAsia" w:hAnsi="宋体" w:cs="宋体"/>
                <w:color w:val="auto"/>
                <w:sz w:val="21"/>
                <w:szCs w:val="21"/>
              </w:rPr>
            </w:pPr>
            <w:r>
              <w:rPr>
                <w:rFonts w:hint="eastAsia" w:hAnsi="宋体" w:cs="宋体"/>
                <w:color w:val="auto"/>
                <w:sz w:val="32"/>
                <w:szCs w:val="32"/>
              </w:rPr>
              <w:t>□</w:t>
            </w:r>
            <w:r>
              <w:rPr>
                <w:rFonts w:hint="eastAsia" w:hAnsi="宋体" w:cs="宋体"/>
                <w:color w:val="auto"/>
                <w:sz w:val="21"/>
                <w:szCs w:val="21"/>
              </w:rPr>
              <w:t>不允许</w:t>
            </w:r>
          </w:p>
          <w:p w14:paraId="2F08D220">
            <w:pPr>
              <w:spacing w:line="0" w:lineRule="atLeast"/>
              <w:rPr>
                <w:rFonts w:hint="eastAsia" w:ascii="宋体" w:hAnsi="宋体" w:cs="宋体"/>
                <w:color w:val="auto"/>
                <w:szCs w:val="21"/>
              </w:rPr>
            </w:pPr>
            <w:r>
              <w:rPr>
                <w:rFonts w:hint="eastAsia" w:hAnsi="宋体" w:cs="宋体"/>
                <w:color w:val="auto"/>
                <w:sz w:val="32"/>
                <w:szCs w:val="32"/>
              </w:rPr>
              <w:t>■</w:t>
            </w:r>
            <w:r>
              <w:rPr>
                <w:rFonts w:hint="eastAsia" w:ascii="宋体" w:hAnsi="宋体" w:cs="宋体"/>
                <w:color w:val="auto"/>
                <w:szCs w:val="21"/>
              </w:rPr>
              <w:t>允许:</w:t>
            </w:r>
            <w:r>
              <w:rPr>
                <w:rFonts w:hint="eastAsia"/>
                <w:color w:val="auto"/>
              </w:rPr>
              <w:t xml:space="preserve"> </w:t>
            </w:r>
            <w:r>
              <w:rPr>
                <w:rFonts w:hint="eastAsia" w:ascii="宋体" w:hAnsi="宋体" w:cs="宋体"/>
                <w:color w:val="auto"/>
                <w:szCs w:val="21"/>
                <w:u w:val="single"/>
              </w:rPr>
              <w:t>如中标人不具备相关专业设计资质，应当自行完成本项目建筑装饰装修工程设计业务，并将其他部分专业设计业务依法分包。施工部分不允许分包。</w:t>
            </w:r>
          </w:p>
        </w:tc>
      </w:tr>
      <w:tr w14:paraId="120CBD7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5A417E8A">
            <w:pPr>
              <w:spacing w:line="0" w:lineRule="atLeast"/>
              <w:jc w:val="center"/>
              <w:rPr>
                <w:rFonts w:hint="eastAsia" w:ascii="宋体" w:hAnsi="宋体" w:cs="宋体"/>
                <w:color w:val="auto"/>
                <w:szCs w:val="21"/>
              </w:rPr>
            </w:pPr>
            <w:r>
              <w:rPr>
                <w:rFonts w:hint="eastAsia" w:ascii="宋体" w:hAnsi="宋体" w:cs="宋体"/>
                <w:color w:val="auto"/>
                <w:szCs w:val="21"/>
              </w:rPr>
              <w:t>1.12</w:t>
            </w:r>
          </w:p>
        </w:tc>
        <w:tc>
          <w:tcPr>
            <w:tcW w:w="2353" w:type="dxa"/>
            <w:tcBorders>
              <w:top w:val="single" w:color="auto" w:sz="4" w:space="0"/>
              <w:left w:val="single" w:color="auto" w:sz="4" w:space="0"/>
              <w:bottom w:val="single" w:color="auto" w:sz="4" w:space="0"/>
              <w:right w:val="single" w:color="auto" w:sz="4" w:space="0"/>
            </w:tcBorders>
            <w:vAlign w:val="center"/>
          </w:tcPr>
          <w:p w14:paraId="6652B5DF">
            <w:pPr>
              <w:spacing w:line="0" w:lineRule="atLeast"/>
              <w:jc w:val="center"/>
              <w:rPr>
                <w:rFonts w:hint="eastAsia" w:ascii="宋体" w:hAnsi="宋体" w:cs="宋体"/>
                <w:color w:val="auto"/>
                <w:szCs w:val="21"/>
              </w:rPr>
            </w:pPr>
            <w:r>
              <w:rPr>
                <w:rFonts w:hint="eastAsia" w:ascii="宋体" w:hAnsi="宋体" w:cs="宋体"/>
                <w:color w:val="auto"/>
                <w:szCs w:val="21"/>
              </w:rPr>
              <w:t>偏离</w:t>
            </w:r>
          </w:p>
        </w:tc>
        <w:tc>
          <w:tcPr>
            <w:tcW w:w="5659" w:type="dxa"/>
            <w:tcBorders>
              <w:top w:val="single" w:color="auto" w:sz="4" w:space="0"/>
              <w:left w:val="single" w:color="auto" w:sz="4" w:space="0"/>
              <w:bottom w:val="single" w:color="auto" w:sz="4" w:space="0"/>
              <w:right w:val="single" w:color="auto" w:sz="4" w:space="0"/>
            </w:tcBorders>
            <w:vAlign w:val="center"/>
          </w:tcPr>
          <w:p w14:paraId="0DF9B3F1">
            <w:pPr>
              <w:pStyle w:val="14"/>
              <w:topLinePunct/>
              <w:spacing w:line="0" w:lineRule="atLeast"/>
              <w:rPr>
                <w:rFonts w:hint="eastAsia" w:hAnsi="宋体" w:cs="宋体"/>
                <w:color w:val="auto"/>
                <w:sz w:val="21"/>
                <w:szCs w:val="21"/>
              </w:rPr>
            </w:pPr>
            <w:r>
              <w:rPr>
                <w:rFonts w:hint="eastAsia" w:hAnsi="宋体" w:cs="宋体"/>
                <w:color w:val="auto"/>
                <w:sz w:val="32"/>
                <w:szCs w:val="32"/>
              </w:rPr>
              <w:t>■</w:t>
            </w:r>
            <w:r>
              <w:rPr>
                <w:rFonts w:hint="eastAsia" w:hAnsi="宋体" w:cs="宋体"/>
                <w:color w:val="auto"/>
                <w:sz w:val="21"/>
                <w:szCs w:val="21"/>
              </w:rPr>
              <w:t>不允许</w:t>
            </w:r>
          </w:p>
          <w:p w14:paraId="6C49F248">
            <w:pPr>
              <w:pStyle w:val="14"/>
              <w:topLinePunct/>
              <w:spacing w:line="0" w:lineRule="atLeast"/>
              <w:rPr>
                <w:rFonts w:hint="eastAsia" w:hAnsi="宋体" w:cs="宋体"/>
                <w:color w:val="auto"/>
                <w:sz w:val="21"/>
                <w:szCs w:val="21"/>
              </w:rPr>
            </w:pPr>
            <w:r>
              <w:rPr>
                <w:rFonts w:hint="eastAsia" w:hAnsi="宋体" w:cs="宋体"/>
                <w:color w:val="auto"/>
                <w:sz w:val="32"/>
                <w:szCs w:val="32"/>
              </w:rPr>
              <w:t>□</w:t>
            </w:r>
            <w:r>
              <w:rPr>
                <w:rFonts w:hint="eastAsia" w:hAnsi="宋体" w:cs="宋体"/>
                <w:color w:val="auto"/>
                <w:sz w:val="21"/>
                <w:szCs w:val="21"/>
              </w:rPr>
              <w:t>允许，允许偏离的内容、偏离范围和幅度：</w:t>
            </w:r>
            <w:r>
              <w:rPr>
                <w:rFonts w:hint="eastAsia" w:hAnsi="宋体" w:cs="宋体"/>
                <w:color w:val="auto"/>
                <w:sz w:val="21"/>
                <w:szCs w:val="21"/>
                <w:u w:val="single"/>
              </w:rPr>
              <w:t>/</w:t>
            </w:r>
          </w:p>
        </w:tc>
      </w:tr>
      <w:tr w14:paraId="52303B8C">
        <w:tblPrEx>
          <w:tblCellMar>
            <w:top w:w="0" w:type="dxa"/>
            <w:left w:w="108" w:type="dxa"/>
            <w:bottom w:w="0" w:type="dxa"/>
            <w:right w:w="108" w:type="dxa"/>
          </w:tblCellMar>
        </w:tblPrEx>
        <w:trPr>
          <w:trHeight w:val="526" w:hRule="atLeast"/>
        </w:trPr>
        <w:tc>
          <w:tcPr>
            <w:tcW w:w="1165" w:type="dxa"/>
            <w:tcBorders>
              <w:top w:val="single" w:color="auto" w:sz="4" w:space="0"/>
              <w:left w:val="single" w:color="auto" w:sz="4" w:space="0"/>
              <w:bottom w:val="single" w:color="auto" w:sz="4" w:space="0"/>
              <w:right w:val="single" w:color="auto" w:sz="4" w:space="0"/>
            </w:tcBorders>
            <w:vAlign w:val="center"/>
          </w:tcPr>
          <w:p w14:paraId="4F7550FD">
            <w:pPr>
              <w:spacing w:line="0" w:lineRule="atLeast"/>
              <w:jc w:val="center"/>
              <w:rPr>
                <w:rFonts w:hint="eastAsia" w:ascii="宋体" w:hAnsi="宋体" w:cs="宋体"/>
                <w:color w:val="auto"/>
                <w:szCs w:val="21"/>
              </w:rPr>
            </w:pPr>
            <w:r>
              <w:rPr>
                <w:rFonts w:hint="eastAsia" w:ascii="宋体" w:hAnsi="宋体" w:cs="宋体"/>
                <w:color w:val="auto"/>
                <w:szCs w:val="21"/>
              </w:rPr>
              <w:t>2.1</w:t>
            </w:r>
          </w:p>
        </w:tc>
        <w:tc>
          <w:tcPr>
            <w:tcW w:w="2353" w:type="dxa"/>
            <w:tcBorders>
              <w:top w:val="single" w:color="auto" w:sz="4" w:space="0"/>
              <w:left w:val="single" w:color="auto" w:sz="4" w:space="0"/>
              <w:bottom w:val="single" w:color="auto" w:sz="4" w:space="0"/>
              <w:right w:val="single" w:color="auto" w:sz="4" w:space="0"/>
            </w:tcBorders>
            <w:vAlign w:val="center"/>
          </w:tcPr>
          <w:p w14:paraId="1B668A04">
            <w:pPr>
              <w:spacing w:line="0" w:lineRule="atLeast"/>
              <w:jc w:val="center"/>
              <w:rPr>
                <w:rFonts w:hint="eastAsia" w:ascii="宋体" w:hAnsi="宋体" w:cs="宋体"/>
                <w:color w:val="auto"/>
                <w:szCs w:val="21"/>
              </w:rPr>
            </w:pPr>
            <w:r>
              <w:rPr>
                <w:rFonts w:hint="eastAsia" w:ascii="宋体" w:hAnsi="宋体" w:cs="宋体"/>
                <w:color w:val="auto"/>
                <w:szCs w:val="21"/>
              </w:rPr>
              <w:t>构成招标文件的其他资料</w:t>
            </w:r>
          </w:p>
        </w:tc>
        <w:tc>
          <w:tcPr>
            <w:tcW w:w="5659" w:type="dxa"/>
            <w:tcBorders>
              <w:top w:val="single" w:color="auto" w:sz="4" w:space="0"/>
              <w:left w:val="single" w:color="auto" w:sz="4" w:space="0"/>
              <w:bottom w:val="single" w:color="auto" w:sz="4" w:space="0"/>
              <w:right w:val="single" w:color="auto" w:sz="4" w:space="0"/>
            </w:tcBorders>
            <w:vAlign w:val="center"/>
          </w:tcPr>
          <w:p w14:paraId="396078A5">
            <w:pPr>
              <w:spacing w:line="0" w:lineRule="atLeast"/>
              <w:rPr>
                <w:rFonts w:hint="eastAsia" w:ascii="宋体" w:hAnsi="宋体" w:cs="宋体"/>
                <w:color w:val="auto"/>
                <w:szCs w:val="21"/>
              </w:rPr>
            </w:pPr>
            <w:r>
              <w:rPr>
                <w:rFonts w:hint="eastAsia" w:ascii="宋体" w:hAnsi="宋体" w:cs="宋体"/>
                <w:color w:val="auto"/>
                <w:szCs w:val="21"/>
              </w:rPr>
              <w:t>《设计任务书》</w:t>
            </w:r>
          </w:p>
        </w:tc>
      </w:tr>
      <w:tr w14:paraId="2DFCC39A">
        <w:tblPrEx>
          <w:tblCellMar>
            <w:top w:w="0" w:type="dxa"/>
            <w:left w:w="108" w:type="dxa"/>
            <w:bottom w:w="0" w:type="dxa"/>
            <w:right w:w="108" w:type="dxa"/>
          </w:tblCellMar>
        </w:tblPrEx>
        <w:trPr>
          <w:trHeight w:val="654" w:hRule="atLeast"/>
        </w:trPr>
        <w:tc>
          <w:tcPr>
            <w:tcW w:w="1165" w:type="dxa"/>
            <w:tcBorders>
              <w:top w:val="single" w:color="auto" w:sz="4" w:space="0"/>
              <w:left w:val="single" w:color="auto" w:sz="4" w:space="0"/>
              <w:bottom w:val="single" w:color="auto" w:sz="4" w:space="0"/>
              <w:right w:val="single" w:color="auto" w:sz="4" w:space="0"/>
            </w:tcBorders>
            <w:vAlign w:val="center"/>
          </w:tcPr>
          <w:p w14:paraId="4DF1ADDE">
            <w:pPr>
              <w:spacing w:line="0" w:lineRule="atLeast"/>
              <w:jc w:val="center"/>
              <w:rPr>
                <w:rFonts w:hint="eastAsia" w:ascii="宋体" w:hAnsi="宋体" w:cs="宋体"/>
                <w:color w:val="auto"/>
                <w:szCs w:val="21"/>
              </w:rPr>
            </w:pPr>
            <w:r>
              <w:rPr>
                <w:rFonts w:hint="eastAsia" w:ascii="宋体" w:hAnsi="宋体" w:cs="宋体"/>
                <w:color w:val="auto"/>
                <w:szCs w:val="21"/>
              </w:rPr>
              <w:t>2.2.1</w:t>
            </w:r>
          </w:p>
        </w:tc>
        <w:tc>
          <w:tcPr>
            <w:tcW w:w="2353" w:type="dxa"/>
            <w:tcBorders>
              <w:top w:val="single" w:color="auto" w:sz="4" w:space="0"/>
              <w:left w:val="single" w:color="auto" w:sz="4" w:space="0"/>
              <w:bottom w:val="single" w:color="auto" w:sz="4" w:space="0"/>
              <w:right w:val="single" w:color="auto" w:sz="4" w:space="0"/>
            </w:tcBorders>
            <w:vAlign w:val="center"/>
          </w:tcPr>
          <w:p w14:paraId="2756450C">
            <w:pPr>
              <w:spacing w:line="0" w:lineRule="atLeast"/>
              <w:jc w:val="center"/>
              <w:rPr>
                <w:rFonts w:hint="eastAsia" w:ascii="宋体" w:hAnsi="宋体" w:cs="宋体"/>
                <w:color w:val="auto"/>
                <w:szCs w:val="21"/>
              </w:rPr>
            </w:pPr>
            <w:r>
              <w:rPr>
                <w:rFonts w:hint="eastAsia" w:ascii="宋体" w:hAnsi="宋体" w:cs="宋体"/>
                <w:color w:val="auto"/>
                <w:szCs w:val="21"/>
              </w:rPr>
              <w:t>投标人要求澄清招标文件的截止时间</w:t>
            </w:r>
          </w:p>
        </w:tc>
        <w:tc>
          <w:tcPr>
            <w:tcW w:w="5659" w:type="dxa"/>
            <w:tcBorders>
              <w:top w:val="single" w:color="auto" w:sz="4" w:space="0"/>
              <w:left w:val="single" w:color="auto" w:sz="4" w:space="0"/>
              <w:bottom w:val="single" w:color="auto" w:sz="4" w:space="0"/>
              <w:right w:val="single" w:color="auto" w:sz="4" w:space="0"/>
            </w:tcBorders>
            <w:vAlign w:val="center"/>
          </w:tcPr>
          <w:p w14:paraId="3DEEDB29">
            <w:pPr>
              <w:spacing w:line="0" w:lineRule="atLeast"/>
              <w:rPr>
                <w:rFonts w:hint="eastAsia" w:ascii="宋体" w:hAnsi="宋体" w:cs="宋体"/>
                <w:color w:val="auto"/>
                <w:kern w:val="0"/>
                <w:szCs w:val="21"/>
              </w:rPr>
            </w:pPr>
            <w:r>
              <w:rPr>
                <w:rFonts w:hint="eastAsia" w:ascii="宋体" w:hAnsi="宋体" w:cs="宋体"/>
                <w:color w:val="auto"/>
                <w:kern w:val="0"/>
                <w:szCs w:val="21"/>
              </w:rPr>
              <w:t>1、本项目采用网上答疑方式。</w:t>
            </w:r>
          </w:p>
          <w:p w14:paraId="70E5DD09">
            <w:pPr>
              <w:spacing w:line="0" w:lineRule="atLeast"/>
              <w:rPr>
                <w:rFonts w:hint="eastAsia" w:ascii="宋体" w:hAnsi="宋体" w:cs="宋体"/>
                <w:color w:val="auto"/>
                <w:kern w:val="0"/>
                <w:szCs w:val="21"/>
              </w:rPr>
            </w:pPr>
            <w:r>
              <w:rPr>
                <w:rFonts w:hint="eastAsia" w:ascii="宋体" w:hAnsi="宋体" w:cs="宋体"/>
                <w:color w:val="auto"/>
                <w:kern w:val="0"/>
                <w:szCs w:val="21"/>
              </w:rPr>
              <w:t>2、投标人疑问期限：在投标截止日期18日前，将投标疑问通过广州交易集团有限公司（广州公共资源交易中心）交易平台提交。</w:t>
            </w:r>
          </w:p>
          <w:p w14:paraId="118EC2D3">
            <w:pPr>
              <w:spacing w:line="0" w:lineRule="atLeast"/>
              <w:rPr>
                <w:rFonts w:hint="eastAsia" w:ascii="宋体" w:hAnsi="宋体" w:cs="宋体"/>
                <w:color w:val="auto"/>
                <w:kern w:val="0"/>
                <w:szCs w:val="21"/>
              </w:rPr>
            </w:pPr>
            <w:r>
              <w:rPr>
                <w:rFonts w:hint="eastAsia" w:ascii="宋体" w:hAnsi="宋体" w:cs="宋体"/>
                <w:color w:val="auto"/>
                <w:kern w:val="0"/>
                <w:szCs w:val="21"/>
              </w:rPr>
              <w:t>3、招标人澄清、修补或答疑期限：在递交投标文件截止日期15日前，在广州交易集团有限公司（广州公共资源交易中心）网站“招标答疑”专区发布，一经发布，视作已发放给所有投标人。</w:t>
            </w:r>
          </w:p>
          <w:p w14:paraId="7E4345C2">
            <w:pPr>
              <w:spacing w:line="0" w:lineRule="atLeast"/>
              <w:rPr>
                <w:rFonts w:hint="eastAsia" w:ascii="宋体" w:hAnsi="宋体" w:cs="宋体"/>
                <w:color w:val="auto"/>
                <w:szCs w:val="21"/>
              </w:rPr>
            </w:pPr>
            <w:r>
              <w:rPr>
                <w:rFonts w:hint="eastAsia" w:ascii="宋体" w:hAnsi="宋体" w:cs="宋体"/>
                <w:color w:val="auto"/>
                <w:kern w:val="0"/>
                <w:szCs w:val="21"/>
              </w:rPr>
              <w:t>4、网上答疑的相关事项详见本章第2.2款。</w:t>
            </w:r>
          </w:p>
        </w:tc>
      </w:tr>
      <w:tr w14:paraId="0884410C">
        <w:tblPrEx>
          <w:tblCellMar>
            <w:top w:w="0" w:type="dxa"/>
            <w:left w:w="108" w:type="dxa"/>
            <w:bottom w:w="0" w:type="dxa"/>
            <w:right w:w="108" w:type="dxa"/>
          </w:tblCellMar>
        </w:tblPrEx>
        <w:trPr>
          <w:trHeight w:val="397" w:hRule="atLeast"/>
        </w:trPr>
        <w:tc>
          <w:tcPr>
            <w:tcW w:w="1165" w:type="dxa"/>
            <w:tcBorders>
              <w:top w:val="single" w:color="auto" w:sz="4" w:space="0"/>
              <w:left w:val="single" w:color="auto" w:sz="4" w:space="0"/>
              <w:bottom w:val="single" w:color="auto" w:sz="4" w:space="0"/>
              <w:right w:val="single" w:color="auto" w:sz="4" w:space="0"/>
            </w:tcBorders>
            <w:vAlign w:val="center"/>
          </w:tcPr>
          <w:p w14:paraId="3318C767">
            <w:pPr>
              <w:spacing w:line="0" w:lineRule="atLeast"/>
              <w:jc w:val="center"/>
              <w:rPr>
                <w:rFonts w:hint="eastAsia" w:ascii="宋体" w:hAnsi="宋体" w:cs="宋体"/>
                <w:color w:val="auto"/>
                <w:szCs w:val="21"/>
              </w:rPr>
            </w:pPr>
            <w:r>
              <w:rPr>
                <w:rFonts w:hint="eastAsia" w:ascii="宋体" w:hAnsi="宋体" w:cs="宋体"/>
                <w:color w:val="auto"/>
                <w:szCs w:val="21"/>
              </w:rPr>
              <w:t>2.2.2</w:t>
            </w:r>
          </w:p>
        </w:tc>
        <w:tc>
          <w:tcPr>
            <w:tcW w:w="2353" w:type="dxa"/>
            <w:tcBorders>
              <w:top w:val="single" w:color="auto" w:sz="4" w:space="0"/>
              <w:left w:val="single" w:color="auto" w:sz="4" w:space="0"/>
              <w:bottom w:val="single" w:color="auto" w:sz="4" w:space="0"/>
              <w:right w:val="single" w:color="auto" w:sz="4" w:space="0"/>
            </w:tcBorders>
            <w:vAlign w:val="center"/>
          </w:tcPr>
          <w:p w14:paraId="11B2732E">
            <w:pPr>
              <w:spacing w:line="0" w:lineRule="atLeast"/>
              <w:jc w:val="center"/>
              <w:rPr>
                <w:rFonts w:hint="eastAsia" w:ascii="宋体" w:hAnsi="宋体" w:cs="宋体"/>
                <w:color w:val="auto"/>
                <w:szCs w:val="21"/>
              </w:rPr>
            </w:pPr>
            <w:r>
              <w:rPr>
                <w:rFonts w:hint="eastAsia" w:ascii="宋体" w:hAnsi="宋体" w:cs="宋体"/>
                <w:color w:val="auto"/>
                <w:szCs w:val="21"/>
              </w:rPr>
              <w:t>投标截止时间</w:t>
            </w:r>
          </w:p>
        </w:tc>
        <w:tc>
          <w:tcPr>
            <w:tcW w:w="5659" w:type="dxa"/>
            <w:tcBorders>
              <w:top w:val="single" w:color="auto" w:sz="4" w:space="0"/>
              <w:left w:val="single" w:color="auto" w:sz="4" w:space="0"/>
              <w:bottom w:val="single" w:color="auto" w:sz="4" w:space="0"/>
              <w:right w:val="single" w:color="auto" w:sz="4" w:space="0"/>
            </w:tcBorders>
            <w:vAlign w:val="center"/>
          </w:tcPr>
          <w:p w14:paraId="21110D70">
            <w:pPr>
              <w:spacing w:line="0" w:lineRule="atLeast"/>
              <w:rPr>
                <w:rFonts w:hint="eastAsia" w:ascii="宋体" w:hAnsi="宋体" w:cs="宋体"/>
                <w:color w:val="auto"/>
                <w:szCs w:val="21"/>
              </w:rPr>
            </w:pPr>
            <w:r>
              <w:rPr>
                <w:rFonts w:hint="eastAsia" w:ascii="宋体" w:hAnsi="宋体" w:cs="宋体"/>
                <w:color w:val="auto"/>
                <w:szCs w:val="21"/>
              </w:rPr>
              <w:t>详</w:t>
            </w:r>
            <w:r>
              <w:rPr>
                <w:rFonts w:hint="eastAsia" w:ascii="宋体" w:hAnsi="宋体" w:cs="宋体"/>
                <w:color w:val="auto"/>
                <w:kern w:val="0"/>
                <w:szCs w:val="21"/>
              </w:rPr>
              <w:t>见本项目招标公告</w:t>
            </w:r>
          </w:p>
        </w:tc>
      </w:tr>
      <w:tr w14:paraId="19616ED2">
        <w:tblPrEx>
          <w:tblCellMar>
            <w:top w:w="0" w:type="dxa"/>
            <w:left w:w="108" w:type="dxa"/>
            <w:bottom w:w="0" w:type="dxa"/>
            <w:right w:w="108" w:type="dxa"/>
          </w:tblCellMar>
        </w:tblPrEx>
        <w:trPr>
          <w:trHeight w:val="1087" w:hRule="atLeast"/>
        </w:trPr>
        <w:tc>
          <w:tcPr>
            <w:tcW w:w="1165" w:type="dxa"/>
            <w:tcBorders>
              <w:top w:val="single" w:color="auto" w:sz="4" w:space="0"/>
              <w:left w:val="single" w:color="auto" w:sz="4" w:space="0"/>
              <w:bottom w:val="single" w:color="auto" w:sz="4" w:space="0"/>
              <w:right w:val="single" w:color="auto" w:sz="4" w:space="0"/>
            </w:tcBorders>
            <w:vAlign w:val="center"/>
          </w:tcPr>
          <w:p w14:paraId="4B10830C">
            <w:pPr>
              <w:spacing w:line="0" w:lineRule="atLeast"/>
              <w:jc w:val="center"/>
              <w:rPr>
                <w:rFonts w:hint="eastAsia" w:ascii="宋体" w:hAnsi="宋体" w:cs="宋体"/>
                <w:color w:val="auto"/>
                <w:szCs w:val="21"/>
              </w:rPr>
            </w:pPr>
            <w:r>
              <w:rPr>
                <w:rFonts w:hint="eastAsia" w:ascii="宋体" w:hAnsi="宋体" w:cs="宋体"/>
                <w:color w:val="auto"/>
                <w:szCs w:val="21"/>
              </w:rPr>
              <w:t>2.2.3</w:t>
            </w:r>
          </w:p>
        </w:tc>
        <w:tc>
          <w:tcPr>
            <w:tcW w:w="2353" w:type="dxa"/>
            <w:tcBorders>
              <w:top w:val="single" w:color="auto" w:sz="4" w:space="0"/>
              <w:left w:val="single" w:color="auto" w:sz="4" w:space="0"/>
              <w:bottom w:val="single" w:color="auto" w:sz="4" w:space="0"/>
              <w:right w:val="single" w:color="auto" w:sz="4" w:space="0"/>
            </w:tcBorders>
            <w:vAlign w:val="center"/>
          </w:tcPr>
          <w:p w14:paraId="7C46B52F">
            <w:pPr>
              <w:spacing w:line="0" w:lineRule="atLeast"/>
              <w:jc w:val="center"/>
              <w:rPr>
                <w:rFonts w:hint="eastAsia" w:ascii="宋体" w:hAnsi="宋体" w:cs="宋体"/>
                <w:color w:val="auto"/>
                <w:szCs w:val="21"/>
              </w:rPr>
            </w:pPr>
            <w:r>
              <w:rPr>
                <w:rFonts w:hint="eastAsia" w:ascii="宋体" w:hAnsi="宋体" w:cs="宋体"/>
                <w:color w:val="auto"/>
                <w:szCs w:val="21"/>
              </w:rPr>
              <w:t>投标人确认收到招标文件澄清的时间</w:t>
            </w:r>
          </w:p>
        </w:tc>
        <w:tc>
          <w:tcPr>
            <w:tcW w:w="5659" w:type="dxa"/>
            <w:tcBorders>
              <w:top w:val="single" w:color="auto" w:sz="4" w:space="0"/>
              <w:left w:val="single" w:color="auto" w:sz="4" w:space="0"/>
              <w:bottom w:val="single" w:color="auto" w:sz="4" w:space="0"/>
              <w:right w:val="single" w:color="auto" w:sz="4" w:space="0"/>
            </w:tcBorders>
            <w:vAlign w:val="center"/>
          </w:tcPr>
          <w:p w14:paraId="60795715">
            <w:pPr>
              <w:spacing w:line="0" w:lineRule="atLeast"/>
              <w:rPr>
                <w:rFonts w:hint="eastAsia" w:ascii="宋体" w:hAnsi="宋体" w:cs="宋体"/>
                <w:color w:val="auto"/>
                <w:szCs w:val="21"/>
              </w:rPr>
            </w:pPr>
            <w:r>
              <w:rPr>
                <w:rFonts w:hint="eastAsia" w:ascii="宋体" w:hAnsi="宋体" w:cs="宋体"/>
                <w:color w:val="auto"/>
                <w:szCs w:val="21"/>
              </w:rPr>
              <w:t>招标文件澄清在交易平台网站通过项目答疑专区网上公开发布，发出即视作收到，以交易平台网站发布时间作为送达时间。无需投标人确认。投标人应自行关注，招标人不再一一通知。</w:t>
            </w:r>
          </w:p>
        </w:tc>
      </w:tr>
      <w:tr w14:paraId="38B3A92B">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C906F67">
            <w:pPr>
              <w:spacing w:line="0" w:lineRule="atLeast"/>
              <w:jc w:val="center"/>
              <w:rPr>
                <w:rFonts w:hint="eastAsia" w:ascii="宋体" w:hAnsi="宋体" w:cs="宋体"/>
                <w:color w:val="auto"/>
                <w:szCs w:val="21"/>
              </w:rPr>
            </w:pPr>
            <w:r>
              <w:rPr>
                <w:rFonts w:hint="eastAsia" w:ascii="宋体" w:hAnsi="宋体" w:cs="宋体"/>
                <w:color w:val="auto"/>
                <w:szCs w:val="21"/>
              </w:rPr>
              <w:t>2.3.2</w:t>
            </w:r>
          </w:p>
        </w:tc>
        <w:tc>
          <w:tcPr>
            <w:tcW w:w="2353" w:type="dxa"/>
            <w:tcBorders>
              <w:top w:val="single" w:color="auto" w:sz="4" w:space="0"/>
              <w:left w:val="single" w:color="auto" w:sz="4" w:space="0"/>
              <w:bottom w:val="single" w:color="auto" w:sz="4" w:space="0"/>
              <w:right w:val="single" w:color="auto" w:sz="4" w:space="0"/>
            </w:tcBorders>
            <w:vAlign w:val="center"/>
          </w:tcPr>
          <w:p w14:paraId="6BAF020B">
            <w:pPr>
              <w:spacing w:line="0" w:lineRule="atLeast"/>
              <w:jc w:val="center"/>
              <w:rPr>
                <w:rFonts w:hint="eastAsia" w:ascii="宋体" w:hAnsi="宋体" w:cs="宋体"/>
                <w:color w:val="auto"/>
                <w:szCs w:val="21"/>
              </w:rPr>
            </w:pPr>
            <w:r>
              <w:rPr>
                <w:rFonts w:hint="eastAsia" w:ascii="宋体" w:hAnsi="宋体" w:cs="宋体"/>
                <w:color w:val="auto"/>
                <w:szCs w:val="21"/>
              </w:rPr>
              <w:t>投标人确认收到招标文件修改的时间</w:t>
            </w:r>
          </w:p>
        </w:tc>
        <w:tc>
          <w:tcPr>
            <w:tcW w:w="5659" w:type="dxa"/>
            <w:tcBorders>
              <w:top w:val="single" w:color="auto" w:sz="4" w:space="0"/>
              <w:left w:val="single" w:color="auto" w:sz="4" w:space="0"/>
              <w:bottom w:val="single" w:color="auto" w:sz="4" w:space="0"/>
              <w:right w:val="single" w:color="auto" w:sz="4" w:space="0"/>
            </w:tcBorders>
            <w:vAlign w:val="center"/>
          </w:tcPr>
          <w:p w14:paraId="69C69B4E">
            <w:pPr>
              <w:spacing w:line="0" w:lineRule="atLeast"/>
              <w:rPr>
                <w:rFonts w:hint="eastAsia" w:ascii="宋体" w:hAnsi="宋体" w:cs="宋体"/>
                <w:color w:val="auto"/>
                <w:szCs w:val="21"/>
              </w:rPr>
            </w:pPr>
            <w:r>
              <w:rPr>
                <w:rFonts w:hint="eastAsia" w:ascii="宋体" w:hAnsi="宋体" w:cs="宋体"/>
                <w:color w:val="auto"/>
                <w:szCs w:val="21"/>
              </w:rPr>
              <w:t>招标文件修改（或补充公告）一经在交易平台网站发布，视作已发放给所有投标人，以交易平台网站发布时间作为送达时间。无需投标人确认。投标人应自行关注，招标人不再一一通知。</w:t>
            </w:r>
          </w:p>
        </w:tc>
      </w:tr>
      <w:tr w14:paraId="30D073A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47774CD">
            <w:pPr>
              <w:spacing w:line="0" w:lineRule="atLeast"/>
              <w:jc w:val="center"/>
              <w:rPr>
                <w:rFonts w:hint="eastAsia" w:ascii="宋体" w:hAnsi="宋体" w:cs="宋体"/>
                <w:color w:val="auto"/>
                <w:szCs w:val="21"/>
              </w:rPr>
            </w:pPr>
            <w:r>
              <w:rPr>
                <w:rFonts w:hint="eastAsia" w:ascii="宋体" w:hAnsi="宋体" w:cs="宋体"/>
                <w:color w:val="auto"/>
                <w:szCs w:val="21"/>
              </w:rPr>
              <w:t>3.1.1</w:t>
            </w:r>
          </w:p>
        </w:tc>
        <w:tc>
          <w:tcPr>
            <w:tcW w:w="2353" w:type="dxa"/>
            <w:tcBorders>
              <w:top w:val="single" w:color="auto" w:sz="4" w:space="0"/>
              <w:left w:val="single" w:color="auto" w:sz="4" w:space="0"/>
              <w:bottom w:val="single" w:color="auto" w:sz="4" w:space="0"/>
              <w:right w:val="single" w:color="auto" w:sz="4" w:space="0"/>
            </w:tcBorders>
            <w:vAlign w:val="center"/>
          </w:tcPr>
          <w:p w14:paraId="6F62E2EB">
            <w:pPr>
              <w:spacing w:line="0" w:lineRule="atLeast"/>
              <w:jc w:val="center"/>
              <w:rPr>
                <w:rFonts w:hint="eastAsia" w:ascii="宋体" w:hAnsi="宋体" w:cs="宋体"/>
                <w:color w:val="auto"/>
                <w:szCs w:val="21"/>
              </w:rPr>
            </w:pPr>
            <w:r>
              <w:rPr>
                <w:rFonts w:hint="eastAsia" w:ascii="宋体" w:hAnsi="宋体" w:cs="宋体"/>
                <w:color w:val="auto"/>
                <w:szCs w:val="21"/>
              </w:rPr>
              <w:t>构成投标文件的其他资料</w:t>
            </w:r>
          </w:p>
        </w:tc>
        <w:tc>
          <w:tcPr>
            <w:tcW w:w="5659" w:type="dxa"/>
            <w:tcBorders>
              <w:top w:val="single" w:color="auto" w:sz="4" w:space="0"/>
              <w:left w:val="single" w:color="auto" w:sz="4" w:space="0"/>
              <w:bottom w:val="single" w:color="auto" w:sz="4" w:space="0"/>
              <w:right w:val="single" w:color="auto" w:sz="4" w:space="0"/>
            </w:tcBorders>
            <w:vAlign w:val="center"/>
          </w:tcPr>
          <w:p w14:paraId="47C24C08">
            <w:pPr>
              <w:spacing w:line="0" w:lineRule="atLeast"/>
              <w:rPr>
                <w:rFonts w:hint="eastAsia" w:ascii="宋体" w:hAnsi="宋体" w:cs="宋体"/>
                <w:color w:val="auto"/>
                <w:szCs w:val="21"/>
              </w:rPr>
            </w:pPr>
            <w:r>
              <w:rPr>
                <w:rFonts w:hint="eastAsia" w:ascii="宋体" w:hAnsi="宋体" w:cs="宋体"/>
                <w:color w:val="auto"/>
                <w:szCs w:val="21"/>
              </w:rPr>
              <w:t>见第七章《投标文件格式》要求</w:t>
            </w:r>
          </w:p>
        </w:tc>
      </w:tr>
      <w:tr w14:paraId="2A04F199">
        <w:tblPrEx>
          <w:tblCellMar>
            <w:top w:w="0" w:type="dxa"/>
            <w:left w:w="108" w:type="dxa"/>
            <w:bottom w:w="0" w:type="dxa"/>
            <w:right w:w="108" w:type="dxa"/>
          </w:tblCellMar>
        </w:tblPrEx>
        <w:trPr>
          <w:trHeight w:val="1437" w:hRule="atLeast"/>
        </w:trPr>
        <w:tc>
          <w:tcPr>
            <w:tcW w:w="1165" w:type="dxa"/>
            <w:tcBorders>
              <w:top w:val="single" w:color="auto" w:sz="4" w:space="0"/>
              <w:left w:val="single" w:color="auto" w:sz="4" w:space="0"/>
              <w:bottom w:val="single" w:color="auto" w:sz="4" w:space="0"/>
              <w:right w:val="single" w:color="auto" w:sz="4" w:space="0"/>
            </w:tcBorders>
            <w:vAlign w:val="center"/>
          </w:tcPr>
          <w:p w14:paraId="3E2677C9">
            <w:pPr>
              <w:spacing w:line="0" w:lineRule="atLeast"/>
              <w:jc w:val="center"/>
              <w:rPr>
                <w:rFonts w:hint="eastAsia" w:ascii="宋体" w:hAnsi="宋体" w:cs="宋体"/>
                <w:color w:val="auto"/>
                <w:szCs w:val="21"/>
              </w:rPr>
            </w:pPr>
            <w:r>
              <w:rPr>
                <w:rFonts w:hint="eastAsia" w:ascii="宋体" w:hAnsi="宋体" w:cs="宋体"/>
                <w:color w:val="auto"/>
              </w:rPr>
              <w:t>3.2.4</w:t>
            </w:r>
          </w:p>
        </w:tc>
        <w:tc>
          <w:tcPr>
            <w:tcW w:w="2353" w:type="dxa"/>
            <w:tcBorders>
              <w:top w:val="single" w:color="auto" w:sz="4" w:space="0"/>
              <w:left w:val="single" w:color="auto" w:sz="4" w:space="0"/>
              <w:bottom w:val="single" w:color="auto" w:sz="4" w:space="0"/>
              <w:right w:val="single" w:color="auto" w:sz="4" w:space="0"/>
            </w:tcBorders>
            <w:vAlign w:val="center"/>
          </w:tcPr>
          <w:p w14:paraId="5C19F70E">
            <w:pPr>
              <w:spacing w:line="0" w:lineRule="atLeast"/>
              <w:jc w:val="center"/>
              <w:rPr>
                <w:rFonts w:hint="eastAsia" w:ascii="宋体" w:hAnsi="宋体" w:cs="宋体"/>
                <w:color w:val="auto"/>
                <w:szCs w:val="21"/>
              </w:rPr>
            </w:pPr>
            <w:r>
              <w:rPr>
                <w:rFonts w:hint="eastAsia" w:ascii="宋体" w:hAnsi="宋体" w:cs="宋体"/>
                <w:color w:val="auto"/>
                <w:szCs w:val="21"/>
              </w:rPr>
              <w:t>最高投标限价或其计算方法</w:t>
            </w:r>
          </w:p>
        </w:tc>
        <w:tc>
          <w:tcPr>
            <w:tcW w:w="5659" w:type="dxa"/>
            <w:tcBorders>
              <w:top w:val="single" w:color="auto" w:sz="4" w:space="0"/>
              <w:left w:val="single" w:color="auto" w:sz="4" w:space="0"/>
              <w:bottom w:val="single" w:color="auto" w:sz="4" w:space="0"/>
              <w:right w:val="single" w:color="auto" w:sz="4" w:space="0"/>
            </w:tcBorders>
            <w:vAlign w:val="center"/>
          </w:tcPr>
          <w:p w14:paraId="6E8F909D">
            <w:pPr>
              <w:pStyle w:val="19"/>
              <w:spacing w:line="0" w:lineRule="atLeast"/>
              <w:rPr>
                <w:rFonts w:hint="eastAsia" w:ascii="宋体" w:hAnsi="宋体" w:eastAsia="宋体" w:cs="宋体"/>
                <w:color w:val="auto"/>
                <w:szCs w:val="21"/>
                <w:highlight w:val="none"/>
              </w:rPr>
            </w:pPr>
            <w:r>
              <w:rPr>
                <w:rFonts w:hint="eastAsia" w:ascii="宋体" w:hAnsi="宋体" w:eastAsia="宋体"/>
                <w:color w:val="auto"/>
                <w:szCs w:val="24"/>
                <w:highlight w:val="none"/>
              </w:rPr>
              <w:t>本次招标最高投标限价为9,000,000元，其中：设计费最高投标限价为人民币340,000元，建安工程费最高投标限价为人民币8,660,000元。</w:t>
            </w:r>
          </w:p>
          <w:p w14:paraId="720F5939">
            <w:pPr>
              <w:pStyle w:val="19"/>
              <w:spacing w:line="0" w:lineRule="atLeast"/>
              <w:rPr>
                <w:rFonts w:ascii="Times New Roman" w:hAnsi="Times New Roman" w:eastAsia="宋体"/>
                <w:b/>
                <w:color w:val="auto"/>
                <w:szCs w:val="24"/>
              </w:rPr>
            </w:pPr>
            <w:r>
              <w:rPr>
                <w:rFonts w:hint="eastAsia" w:ascii="宋体" w:hAnsi="宋体" w:eastAsia="宋体"/>
                <w:b/>
                <w:color w:val="auto"/>
                <w:szCs w:val="24"/>
              </w:rPr>
              <w:t>备注：投标人的投标总价或设计费或建安工程费超过上述最高投标限价的为无效标。</w:t>
            </w:r>
          </w:p>
        </w:tc>
      </w:tr>
      <w:tr w14:paraId="0A2B2E6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656EED2">
            <w:pPr>
              <w:spacing w:line="0" w:lineRule="atLeast"/>
              <w:jc w:val="center"/>
              <w:rPr>
                <w:rFonts w:hint="eastAsia" w:ascii="宋体" w:hAnsi="宋体" w:cs="宋体"/>
                <w:color w:val="auto"/>
              </w:rPr>
            </w:pPr>
            <w:r>
              <w:rPr>
                <w:rFonts w:hint="eastAsia" w:ascii="宋体" w:hAnsi="宋体" w:cs="宋体"/>
                <w:color w:val="auto"/>
              </w:rPr>
              <w:t>3.2.5</w:t>
            </w:r>
          </w:p>
        </w:tc>
        <w:tc>
          <w:tcPr>
            <w:tcW w:w="2353" w:type="dxa"/>
            <w:tcBorders>
              <w:top w:val="single" w:color="auto" w:sz="4" w:space="0"/>
              <w:left w:val="single" w:color="auto" w:sz="4" w:space="0"/>
              <w:bottom w:val="single" w:color="auto" w:sz="4" w:space="0"/>
              <w:right w:val="single" w:color="auto" w:sz="4" w:space="0"/>
            </w:tcBorders>
            <w:vAlign w:val="center"/>
          </w:tcPr>
          <w:p w14:paraId="4820639E">
            <w:pPr>
              <w:spacing w:line="0" w:lineRule="atLeast"/>
              <w:jc w:val="center"/>
              <w:rPr>
                <w:rFonts w:hint="eastAsia" w:ascii="宋体" w:hAnsi="宋体" w:cs="宋体"/>
                <w:color w:val="auto"/>
                <w:szCs w:val="21"/>
              </w:rPr>
            </w:pPr>
            <w:r>
              <w:rPr>
                <w:rFonts w:hint="eastAsia" w:ascii="宋体" w:hAnsi="宋体" w:cs="宋体"/>
                <w:color w:val="auto"/>
                <w:szCs w:val="21"/>
              </w:rPr>
              <w:t>投标报价的其他要求</w:t>
            </w:r>
          </w:p>
        </w:tc>
        <w:tc>
          <w:tcPr>
            <w:tcW w:w="5659" w:type="dxa"/>
            <w:tcBorders>
              <w:top w:val="single" w:color="auto" w:sz="4" w:space="0"/>
              <w:left w:val="single" w:color="auto" w:sz="4" w:space="0"/>
              <w:bottom w:val="single" w:color="auto" w:sz="4" w:space="0"/>
              <w:right w:val="single" w:color="auto" w:sz="4" w:space="0"/>
            </w:tcBorders>
            <w:vAlign w:val="center"/>
          </w:tcPr>
          <w:p w14:paraId="0FF26FEB">
            <w:pPr>
              <w:spacing w:line="0" w:lineRule="atLeast"/>
              <w:rPr>
                <w:rFonts w:hint="eastAsia" w:ascii="宋体" w:hAnsi="宋体" w:cs="宋体"/>
                <w:color w:val="auto"/>
                <w:szCs w:val="21"/>
              </w:rPr>
            </w:pPr>
            <w:r>
              <w:rPr>
                <w:rFonts w:hint="eastAsia" w:ascii="宋体" w:hAnsi="宋体" w:cs="宋体"/>
                <w:color w:val="auto"/>
                <w:szCs w:val="21"/>
              </w:rPr>
              <w:t>1、投标人必须详细审阅全部招标文件,充分考虑职责和义务,全面地理解招标文件对投标报价的要求,并按招标人提出的条件及内容进行报价。</w:t>
            </w:r>
          </w:p>
          <w:p w14:paraId="1CC910D4">
            <w:pPr>
              <w:spacing w:line="0" w:lineRule="atLeast"/>
              <w:rPr>
                <w:rFonts w:hint="eastAsia" w:ascii="宋体" w:hAnsi="宋体" w:cs="宋体"/>
                <w:color w:val="auto"/>
                <w:szCs w:val="21"/>
              </w:rPr>
            </w:pPr>
            <w:r>
              <w:rPr>
                <w:rFonts w:hint="eastAsia" w:ascii="宋体" w:hAnsi="宋体" w:cs="宋体"/>
                <w:color w:val="auto"/>
                <w:szCs w:val="21"/>
              </w:rPr>
              <w:t>（1）设计费：投标报价不得高于</w:t>
            </w:r>
            <w:r>
              <w:rPr>
                <w:rFonts w:hint="eastAsia" w:ascii="宋体" w:hAnsi="宋体"/>
                <w:color w:val="auto"/>
                <w:kern w:val="0"/>
                <w:szCs w:val="21"/>
              </w:rPr>
              <w:t>设计费</w:t>
            </w:r>
            <w:r>
              <w:rPr>
                <w:rFonts w:hint="eastAsia" w:ascii="宋体" w:hAnsi="宋体"/>
                <w:color w:val="auto"/>
              </w:rPr>
              <w:t>最高投标限价</w:t>
            </w:r>
            <w:r>
              <w:rPr>
                <w:rFonts w:hint="eastAsia" w:ascii="宋体" w:hAnsi="宋体" w:cs="宋体"/>
                <w:color w:val="auto"/>
                <w:szCs w:val="21"/>
              </w:rPr>
              <w:t>。由投标人根据招标文件要求以及企业自身情况填报总价，采用固定总价包干方式计价，结算方式按照合同约定的相应条款执行。</w:t>
            </w:r>
          </w:p>
          <w:p w14:paraId="7E8EB4A9">
            <w:pPr>
              <w:spacing w:line="0" w:lineRule="atLeast"/>
              <w:jc w:val="left"/>
              <w:rPr>
                <w:rFonts w:hint="eastAsia" w:ascii="宋体" w:hAnsi="宋体" w:cs="宋体"/>
                <w:color w:val="auto"/>
                <w:szCs w:val="21"/>
              </w:rPr>
            </w:pPr>
            <w:r>
              <w:rPr>
                <w:rFonts w:hint="eastAsia" w:ascii="宋体" w:hAnsi="宋体" w:cs="宋体"/>
                <w:color w:val="auto"/>
                <w:szCs w:val="21"/>
              </w:rPr>
              <w:t>（2）建安工程费：投标报价不得高于建安工程费</w:t>
            </w:r>
            <w:r>
              <w:rPr>
                <w:rFonts w:hint="eastAsia" w:ascii="宋体" w:hAnsi="宋体"/>
                <w:color w:val="auto"/>
              </w:rPr>
              <w:t>最高投标限价</w:t>
            </w:r>
            <w:r>
              <w:rPr>
                <w:rFonts w:hint="eastAsia" w:ascii="宋体" w:hAnsi="宋体" w:cs="宋体"/>
                <w:color w:val="auto"/>
                <w:szCs w:val="21"/>
              </w:rPr>
              <w:t>。由投标人根据招标文件要求以及企业自身情况填报投标报价；结算方式按照合同相关约定执行。</w:t>
            </w:r>
          </w:p>
        </w:tc>
      </w:tr>
      <w:tr w14:paraId="07B989C3">
        <w:tblPrEx>
          <w:tblCellMar>
            <w:top w:w="0" w:type="dxa"/>
            <w:left w:w="108" w:type="dxa"/>
            <w:bottom w:w="0" w:type="dxa"/>
            <w:right w:w="108" w:type="dxa"/>
          </w:tblCellMar>
        </w:tblPrEx>
        <w:trPr>
          <w:trHeight w:val="220" w:hRule="atLeast"/>
        </w:trPr>
        <w:tc>
          <w:tcPr>
            <w:tcW w:w="1165" w:type="dxa"/>
            <w:tcBorders>
              <w:top w:val="single" w:color="auto" w:sz="4" w:space="0"/>
              <w:left w:val="single" w:color="auto" w:sz="4" w:space="0"/>
              <w:bottom w:val="single" w:color="auto" w:sz="4" w:space="0"/>
              <w:right w:val="single" w:color="auto" w:sz="4" w:space="0"/>
            </w:tcBorders>
            <w:vAlign w:val="center"/>
          </w:tcPr>
          <w:p w14:paraId="4FDC8799">
            <w:pPr>
              <w:spacing w:line="0" w:lineRule="atLeast"/>
              <w:jc w:val="center"/>
              <w:rPr>
                <w:rFonts w:hint="eastAsia" w:ascii="宋体" w:hAnsi="宋体" w:cs="宋体"/>
                <w:color w:val="auto"/>
                <w:szCs w:val="21"/>
              </w:rPr>
            </w:pPr>
            <w:r>
              <w:rPr>
                <w:rFonts w:hint="eastAsia" w:ascii="宋体" w:hAnsi="宋体" w:cs="宋体"/>
                <w:color w:val="auto"/>
                <w:szCs w:val="21"/>
              </w:rPr>
              <w:t>3.3.1</w:t>
            </w:r>
          </w:p>
        </w:tc>
        <w:tc>
          <w:tcPr>
            <w:tcW w:w="2353" w:type="dxa"/>
            <w:tcBorders>
              <w:top w:val="single" w:color="auto" w:sz="4" w:space="0"/>
              <w:left w:val="single" w:color="auto" w:sz="4" w:space="0"/>
              <w:bottom w:val="single" w:color="auto" w:sz="4" w:space="0"/>
              <w:right w:val="single" w:color="auto" w:sz="4" w:space="0"/>
            </w:tcBorders>
            <w:vAlign w:val="center"/>
          </w:tcPr>
          <w:p w14:paraId="5F31C3CF">
            <w:pPr>
              <w:spacing w:line="0" w:lineRule="atLeast"/>
              <w:jc w:val="center"/>
              <w:rPr>
                <w:rFonts w:hint="eastAsia" w:ascii="宋体" w:hAnsi="宋体" w:cs="宋体"/>
                <w:color w:val="auto"/>
                <w:szCs w:val="21"/>
              </w:rPr>
            </w:pPr>
            <w:r>
              <w:rPr>
                <w:rFonts w:hint="eastAsia" w:ascii="宋体" w:hAnsi="宋体" w:cs="宋体"/>
                <w:color w:val="auto"/>
                <w:szCs w:val="21"/>
              </w:rPr>
              <w:t>投标有效期</w:t>
            </w:r>
          </w:p>
        </w:tc>
        <w:tc>
          <w:tcPr>
            <w:tcW w:w="5659" w:type="dxa"/>
            <w:tcBorders>
              <w:top w:val="single" w:color="auto" w:sz="4" w:space="0"/>
              <w:left w:val="single" w:color="auto" w:sz="4" w:space="0"/>
              <w:bottom w:val="single" w:color="auto" w:sz="4" w:space="0"/>
              <w:right w:val="single" w:color="auto" w:sz="4" w:space="0"/>
            </w:tcBorders>
            <w:vAlign w:val="center"/>
          </w:tcPr>
          <w:p w14:paraId="6149D451">
            <w:pPr>
              <w:spacing w:line="0" w:lineRule="atLeast"/>
              <w:rPr>
                <w:rFonts w:hint="eastAsia" w:ascii="宋体" w:hAnsi="宋体" w:cs="宋体"/>
                <w:color w:val="auto"/>
                <w:szCs w:val="21"/>
              </w:rPr>
            </w:pPr>
            <w:r>
              <w:rPr>
                <w:rFonts w:hint="eastAsia" w:ascii="宋体" w:hAnsi="宋体" w:cs="宋体"/>
                <w:color w:val="auto"/>
                <w:szCs w:val="21"/>
              </w:rPr>
              <w:t>120天</w:t>
            </w:r>
          </w:p>
        </w:tc>
      </w:tr>
      <w:tr w14:paraId="5D5D64B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304A716">
            <w:pPr>
              <w:spacing w:line="0" w:lineRule="atLeast"/>
              <w:jc w:val="center"/>
              <w:rPr>
                <w:rFonts w:hint="eastAsia" w:ascii="宋体" w:hAnsi="宋体" w:cs="宋体"/>
                <w:color w:val="auto"/>
                <w:szCs w:val="21"/>
              </w:rPr>
            </w:pPr>
            <w:r>
              <w:rPr>
                <w:rFonts w:hint="eastAsia" w:ascii="宋体" w:hAnsi="宋体" w:cs="宋体"/>
                <w:color w:val="auto"/>
                <w:szCs w:val="21"/>
              </w:rPr>
              <w:t>3.4.1</w:t>
            </w:r>
          </w:p>
        </w:tc>
        <w:tc>
          <w:tcPr>
            <w:tcW w:w="2353" w:type="dxa"/>
            <w:tcBorders>
              <w:top w:val="single" w:color="auto" w:sz="4" w:space="0"/>
              <w:left w:val="single" w:color="auto" w:sz="4" w:space="0"/>
              <w:bottom w:val="single" w:color="auto" w:sz="4" w:space="0"/>
              <w:right w:val="single" w:color="auto" w:sz="4" w:space="0"/>
            </w:tcBorders>
            <w:vAlign w:val="center"/>
          </w:tcPr>
          <w:p w14:paraId="5D1EC1EF">
            <w:pPr>
              <w:spacing w:line="0" w:lineRule="atLeast"/>
              <w:jc w:val="center"/>
              <w:rPr>
                <w:rFonts w:hint="eastAsia" w:ascii="宋体" w:hAnsi="宋体" w:cs="宋体"/>
                <w:color w:val="auto"/>
                <w:szCs w:val="21"/>
              </w:rPr>
            </w:pPr>
            <w:r>
              <w:rPr>
                <w:rFonts w:hint="eastAsia" w:ascii="宋体" w:hAnsi="宋体" w:cs="宋体"/>
                <w:color w:val="auto"/>
                <w:szCs w:val="21"/>
              </w:rPr>
              <w:t>投标保证金</w:t>
            </w:r>
          </w:p>
        </w:tc>
        <w:tc>
          <w:tcPr>
            <w:tcW w:w="5659" w:type="dxa"/>
            <w:tcBorders>
              <w:top w:val="single" w:color="auto" w:sz="4" w:space="0"/>
              <w:left w:val="single" w:color="auto" w:sz="4" w:space="0"/>
              <w:bottom w:val="single" w:color="auto" w:sz="4" w:space="0"/>
              <w:right w:val="single" w:color="auto" w:sz="4" w:space="0"/>
            </w:tcBorders>
            <w:vAlign w:val="center"/>
          </w:tcPr>
          <w:p w14:paraId="521807B9">
            <w:pPr>
              <w:spacing w:line="0" w:lineRule="atLeast"/>
              <w:rPr>
                <w:rFonts w:hint="eastAsia" w:ascii="宋体" w:hAnsi="宋体" w:cs="宋体"/>
                <w:color w:val="auto"/>
                <w:szCs w:val="21"/>
              </w:rPr>
            </w:pPr>
            <w:r>
              <w:rPr>
                <w:rFonts w:hint="eastAsia" w:ascii="宋体" w:hAnsi="宋体" w:cs="宋体"/>
                <w:color w:val="auto"/>
                <w:szCs w:val="21"/>
              </w:rPr>
              <w:t>投标保证金的金额：人民币5万元整 ,缴纳时间：在</w:t>
            </w:r>
            <w:r>
              <w:rPr>
                <w:rFonts w:hint="eastAsia" w:ascii="宋体" w:hAnsi="宋体" w:cs="宋体"/>
                <w:color w:val="auto"/>
              </w:rPr>
              <w:t>投标截止时间之前</w:t>
            </w:r>
            <w:r>
              <w:rPr>
                <w:rFonts w:hint="eastAsia" w:ascii="宋体" w:hAnsi="宋体" w:cs="宋体"/>
                <w:color w:val="auto"/>
                <w:szCs w:val="21"/>
              </w:rPr>
              <w:t>。</w:t>
            </w:r>
          </w:p>
          <w:p w14:paraId="0D02C534">
            <w:pPr>
              <w:spacing w:line="0" w:lineRule="atLeast"/>
              <w:rPr>
                <w:rFonts w:hint="eastAsia" w:ascii="宋体" w:hAnsi="宋体" w:cs="宋体"/>
                <w:color w:val="auto"/>
                <w:szCs w:val="21"/>
              </w:rPr>
            </w:pPr>
            <w:r>
              <w:rPr>
                <w:rFonts w:hint="eastAsia" w:ascii="宋体" w:hAnsi="宋体" w:cs="宋体"/>
                <w:color w:val="auto"/>
                <w:szCs w:val="21"/>
              </w:rPr>
              <w:t>投标保证金有效期：与投标有效期一致。</w:t>
            </w:r>
          </w:p>
          <w:p w14:paraId="5D63719A">
            <w:pPr>
              <w:spacing w:line="0" w:lineRule="atLeast"/>
              <w:rPr>
                <w:rFonts w:hint="eastAsia" w:ascii="宋体" w:hAnsi="宋体" w:cs="宋体"/>
                <w:color w:val="auto"/>
                <w:szCs w:val="21"/>
              </w:rPr>
            </w:pPr>
            <w:r>
              <w:rPr>
                <w:rFonts w:hint="eastAsia" w:ascii="宋体" w:hAnsi="宋体" w:cs="宋体"/>
                <w:color w:val="auto"/>
                <w:szCs w:val="21"/>
              </w:rPr>
              <w:t>投标保证金可采用现金、支票、投标保证保险、投标保函（银行或专业担保公司出具）的形式，须在递交投标文件截止时间前完成缴纳。</w:t>
            </w:r>
          </w:p>
          <w:p w14:paraId="3DF98544">
            <w:pPr>
              <w:spacing w:line="0" w:lineRule="atLeast"/>
              <w:rPr>
                <w:rFonts w:hint="eastAsia" w:ascii="宋体" w:hAnsi="宋体" w:cs="宋体"/>
                <w:color w:val="auto"/>
                <w:szCs w:val="21"/>
              </w:rPr>
            </w:pPr>
            <w:r>
              <w:rPr>
                <w:rFonts w:hint="eastAsia" w:ascii="宋体" w:hAnsi="宋体" w:cs="宋体"/>
                <w:color w:val="auto"/>
                <w:szCs w:val="21"/>
              </w:rPr>
              <w:t>1、投标保证金如采用现金或支票的形式提交的，投标保证金从投标人的基本账户递交，由广州公共资源交易中心代收。具体操作要求详见广州公共资源交易中心有关指引，递交事宜请自行咨询交易中心；请各投标人在投标文件递交截止时间前按上述金额递交至广州公共资源交易中心，到账情况以开标时广州公共资源交易中心数据库查询的信息为准。</w:t>
            </w:r>
          </w:p>
          <w:p w14:paraId="5F65ED97">
            <w:pPr>
              <w:spacing w:line="0" w:lineRule="atLeast"/>
              <w:rPr>
                <w:rFonts w:hint="eastAsia" w:ascii="宋体" w:hAnsi="宋体" w:cs="宋体"/>
                <w:color w:val="auto"/>
                <w:szCs w:val="21"/>
              </w:rPr>
            </w:pPr>
            <w:r>
              <w:rPr>
                <w:rFonts w:hint="eastAsia" w:ascii="宋体" w:hAnsi="宋体" w:cs="宋体"/>
                <w:color w:val="auto"/>
                <w:szCs w:val="21"/>
              </w:rPr>
              <w:t>2、如采用投标保证保险、投标保函（银行或专业担保公司出具）的形式提交的，在开标前不强制要求提交纸质原件，由中标候选人在中标候选人公示前提交并在网上公示，但投标人应在投标文件中提交投标保函或投标保证保险扫描件并加盖投标人电子印章。</w:t>
            </w:r>
          </w:p>
          <w:p w14:paraId="5D9C47F9">
            <w:pPr>
              <w:spacing w:line="0" w:lineRule="atLeast"/>
              <w:rPr>
                <w:rFonts w:hint="eastAsia" w:ascii="宋体" w:hAnsi="宋体" w:cs="宋体"/>
                <w:color w:val="auto"/>
                <w:szCs w:val="21"/>
              </w:rPr>
            </w:pPr>
            <w:r>
              <w:rPr>
                <w:rFonts w:hint="eastAsia" w:ascii="宋体" w:hAnsi="宋体" w:cs="宋体"/>
                <w:color w:val="auto"/>
                <w:szCs w:val="21"/>
              </w:rPr>
              <w:t>3、开标时，对于未能按招标文件要求缴纳投标保证金的投标人，招标人将视为不响应招标文件而予以拒绝，其投标无效，责任由投标人自负。</w:t>
            </w:r>
          </w:p>
          <w:p w14:paraId="0B0E892E">
            <w:pPr>
              <w:spacing w:line="0" w:lineRule="atLeast"/>
              <w:rPr>
                <w:rFonts w:hint="eastAsia" w:hAnsi="宋体" w:cs="宋体"/>
                <w:color w:val="auto"/>
                <w:szCs w:val="21"/>
              </w:rPr>
            </w:pPr>
            <w:r>
              <w:rPr>
                <w:rFonts w:ascii="宋体" w:hAnsi="宋体" w:cs="宋体"/>
                <w:color w:val="auto"/>
                <w:szCs w:val="21"/>
                <w:u w:val="single"/>
                <w:lang w:bidi="ar"/>
              </w:rPr>
              <w:t>4</w:t>
            </w:r>
            <w:r>
              <w:rPr>
                <w:rFonts w:hint="eastAsia" w:ascii="宋体" w:hAnsi="宋体" w:cs="宋体"/>
                <w:color w:val="auto"/>
                <w:szCs w:val="21"/>
                <w:u w:val="single"/>
                <w:lang w:bidi="ar"/>
              </w:rPr>
              <w:t>、如联合体投标，投标保证金由联合体主办方缴纳。</w:t>
            </w:r>
            <w:r>
              <w:rPr>
                <w:rFonts w:hint="eastAsia" w:ascii="宋体" w:hAnsi="宋体" w:cs="宋体"/>
                <w:color w:val="auto"/>
                <w:szCs w:val="21"/>
              </w:rPr>
              <w:t xml:space="preserve">  </w:t>
            </w:r>
          </w:p>
        </w:tc>
      </w:tr>
      <w:tr w14:paraId="39F3802B">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749A5E3">
            <w:pPr>
              <w:spacing w:line="0" w:lineRule="atLeast"/>
              <w:jc w:val="center"/>
              <w:rPr>
                <w:rFonts w:hint="eastAsia" w:ascii="宋体" w:hAnsi="宋体" w:cs="宋体"/>
                <w:color w:val="auto"/>
                <w:szCs w:val="21"/>
              </w:rPr>
            </w:pPr>
            <w:r>
              <w:rPr>
                <w:rFonts w:hint="eastAsia" w:ascii="宋体" w:hAnsi="宋体" w:cs="宋体"/>
                <w:color w:val="auto"/>
                <w:szCs w:val="21"/>
              </w:rPr>
              <w:t>3.5.2</w:t>
            </w:r>
          </w:p>
        </w:tc>
        <w:tc>
          <w:tcPr>
            <w:tcW w:w="2353" w:type="dxa"/>
            <w:tcBorders>
              <w:top w:val="single" w:color="auto" w:sz="4" w:space="0"/>
              <w:left w:val="single" w:color="auto" w:sz="4" w:space="0"/>
              <w:bottom w:val="single" w:color="auto" w:sz="4" w:space="0"/>
              <w:right w:val="single" w:color="auto" w:sz="4" w:space="0"/>
            </w:tcBorders>
            <w:vAlign w:val="center"/>
          </w:tcPr>
          <w:p w14:paraId="6F75B379">
            <w:pPr>
              <w:spacing w:line="0" w:lineRule="atLeast"/>
              <w:jc w:val="center"/>
              <w:rPr>
                <w:rFonts w:hint="eastAsia" w:ascii="宋体" w:hAnsi="宋体" w:cs="宋体"/>
                <w:color w:val="auto"/>
                <w:szCs w:val="21"/>
              </w:rPr>
            </w:pPr>
            <w:r>
              <w:rPr>
                <w:rFonts w:hint="eastAsia" w:ascii="宋体" w:hAnsi="宋体" w:cs="宋体"/>
                <w:color w:val="auto"/>
                <w:szCs w:val="21"/>
              </w:rPr>
              <w:t>近年财务状况</w:t>
            </w:r>
          </w:p>
        </w:tc>
        <w:tc>
          <w:tcPr>
            <w:tcW w:w="5659" w:type="dxa"/>
            <w:tcBorders>
              <w:top w:val="single" w:color="auto" w:sz="4" w:space="0"/>
              <w:left w:val="single" w:color="auto" w:sz="4" w:space="0"/>
              <w:bottom w:val="single" w:color="auto" w:sz="4" w:space="0"/>
              <w:right w:val="single" w:color="auto" w:sz="4" w:space="0"/>
            </w:tcBorders>
            <w:vAlign w:val="center"/>
          </w:tcPr>
          <w:p w14:paraId="54534C82">
            <w:pPr>
              <w:spacing w:line="0" w:lineRule="atLeast"/>
              <w:rPr>
                <w:rFonts w:hint="eastAsia" w:ascii="宋体" w:hAnsi="宋体" w:cs="宋体"/>
                <w:color w:val="auto"/>
                <w:szCs w:val="21"/>
              </w:rPr>
            </w:pPr>
            <w:r>
              <w:rPr>
                <w:rFonts w:hint="eastAsia" w:ascii="宋体" w:hAnsi="宋体" w:cs="宋体"/>
                <w:color w:val="auto"/>
                <w:szCs w:val="21"/>
                <w:u w:val="single"/>
              </w:rPr>
              <w:t>/</w:t>
            </w:r>
          </w:p>
        </w:tc>
      </w:tr>
      <w:tr w14:paraId="4EC1A87A">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35B864D">
            <w:pPr>
              <w:spacing w:line="0" w:lineRule="atLeast"/>
              <w:jc w:val="center"/>
              <w:rPr>
                <w:rFonts w:hint="eastAsia" w:ascii="宋体" w:hAnsi="宋体" w:cs="宋体"/>
                <w:color w:val="auto"/>
                <w:szCs w:val="21"/>
              </w:rPr>
            </w:pPr>
            <w:r>
              <w:rPr>
                <w:rFonts w:hint="eastAsia" w:ascii="宋体" w:hAnsi="宋体" w:cs="宋体"/>
                <w:color w:val="auto"/>
                <w:szCs w:val="21"/>
              </w:rPr>
              <w:t>3.5.3</w:t>
            </w:r>
          </w:p>
        </w:tc>
        <w:tc>
          <w:tcPr>
            <w:tcW w:w="2353" w:type="dxa"/>
            <w:tcBorders>
              <w:top w:val="single" w:color="auto" w:sz="4" w:space="0"/>
              <w:left w:val="single" w:color="auto" w:sz="4" w:space="0"/>
              <w:bottom w:val="single" w:color="auto" w:sz="4" w:space="0"/>
              <w:right w:val="single" w:color="auto" w:sz="4" w:space="0"/>
            </w:tcBorders>
            <w:vAlign w:val="center"/>
          </w:tcPr>
          <w:p w14:paraId="1BF105ED">
            <w:pPr>
              <w:spacing w:line="0" w:lineRule="atLeast"/>
              <w:jc w:val="center"/>
              <w:rPr>
                <w:rFonts w:hint="eastAsia" w:ascii="宋体" w:hAnsi="宋体" w:cs="宋体"/>
                <w:color w:val="auto"/>
                <w:szCs w:val="21"/>
              </w:rPr>
            </w:pPr>
            <w:r>
              <w:rPr>
                <w:rFonts w:hint="eastAsia" w:ascii="宋体" w:hAnsi="宋体" w:cs="宋体"/>
                <w:color w:val="auto"/>
                <w:szCs w:val="21"/>
              </w:rPr>
              <w:t>近年完成的类似项目</w:t>
            </w:r>
          </w:p>
        </w:tc>
        <w:tc>
          <w:tcPr>
            <w:tcW w:w="5659" w:type="dxa"/>
            <w:tcBorders>
              <w:top w:val="single" w:color="auto" w:sz="4" w:space="0"/>
              <w:left w:val="single" w:color="auto" w:sz="4" w:space="0"/>
              <w:bottom w:val="single" w:color="auto" w:sz="4" w:space="0"/>
              <w:right w:val="single" w:color="auto" w:sz="4" w:space="0"/>
            </w:tcBorders>
            <w:vAlign w:val="center"/>
          </w:tcPr>
          <w:p w14:paraId="16CB0269">
            <w:pPr>
              <w:spacing w:line="0" w:lineRule="atLeast"/>
              <w:rPr>
                <w:rFonts w:hint="eastAsia" w:ascii="宋体" w:hAnsi="宋体" w:cs="宋体"/>
                <w:color w:val="auto"/>
                <w:szCs w:val="21"/>
              </w:rPr>
            </w:pPr>
            <w:r>
              <w:rPr>
                <w:rFonts w:hint="eastAsia" w:ascii="宋体" w:hAnsi="宋体" w:cs="宋体"/>
                <w:color w:val="auto"/>
                <w:szCs w:val="21"/>
                <w:u w:val="single"/>
              </w:rPr>
              <w:t>/</w:t>
            </w:r>
          </w:p>
        </w:tc>
      </w:tr>
      <w:tr w14:paraId="2C7EB1B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03EB571">
            <w:pPr>
              <w:spacing w:line="0" w:lineRule="atLeast"/>
              <w:jc w:val="center"/>
              <w:rPr>
                <w:rFonts w:hint="eastAsia" w:ascii="宋体" w:hAnsi="宋体" w:cs="宋体"/>
                <w:color w:val="auto"/>
                <w:szCs w:val="21"/>
              </w:rPr>
            </w:pPr>
            <w:r>
              <w:rPr>
                <w:rFonts w:hint="eastAsia" w:ascii="宋体" w:hAnsi="宋体" w:cs="宋体"/>
                <w:color w:val="auto"/>
                <w:szCs w:val="21"/>
              </w:rPr>
              <w:t>3.5.5</w:t>
            </w:r>
          </w:p>
        </w:tc>
        <w:tc>
          <w:tcPr>
            <w:tcW w:w="2353" w:type="dxa"/>
            <w:tcBorders>
              <w:top w:val="single" w:color="auto" w:sz="4" w:space="0"/>
              <w:left w:val="single" w:color="auto" w:sz="4" w:space="0"/>
              <w:bottom w:val="single" w:color="auto" w:sz="4" w:space="0"/>
              <w:right w:val="single" w:color="auto" w:sz="4" w:space="0"/>
            </w:tcBorders>
            <w:vAlign w:val="center"/>
          </w:tcPr>
          <w:p w14:paraId="5FD1D4E8">
            <w:pPr>
              <w:spacing w:line="0" w:lineRule="atLeast"/>
              <w:jc w:val="center"/>
              <w:rPr>
                <w:rFonts w:hint="eastAsia" w:ascii="宋体" w:hAnsi="宋体" w:cs="宋体"/>
                <w:color w:val="auto"/>
                <w:szCs w:val="21"/>
              </w:rPr>
            </w:pPr>
            <w:r>
              <w:rPr>
                <w:rFonts w:hint="eastAsia" w:ascii="宋体" w:hAnsi="宋体" w:cs="宋体"/>
                <w:color w:val="auto"/>
                <w:szCs w:val="21"/>
              </w:rPr>
              <w:t>近年发生的重大诉讼及仲裁情况</w:t>
            </w:r>
          </w:p>
        </w:tc>
        <w:tc>
          <w:tcPr>
            <w:tcW w:w="5659" w:type="dxa"/>
            <w:tcBorders>
              <w:top w:val="single" w:color="auto" w:sz="4" w:space="0"/>
              <w:left w:val="single" w:color="auto" w:sz="4" w:space="0"/>
              <w:bottom w:val="single" w:color="auto" w:sz="4" w:space="0"/>
              <w:right w:val="single" w:color="auto" w:sz="4" w:space="0"/>
            </w:tcBorders>
            <w:vAlign w:val="center"/>
          </w:tcPr>
          <w:p w14:paraId="1DE13613">
            <w:pPr>
              <w:spacing w:line="0" w:lineRule="atLeast"/>
              <w:rPr>
                <w:rFonts w:hint="eastAsia" w:ascii="宋体" w:hAnsi="宋体" w:cs="宋体"/>
                <w:color w:val="auto"/>
                <w:szCs w:val="21"/>
              </w:rPr>
            </w:pPr>
            <w:r>
              <w:rPr>
                <w:rFonts w:hint="eastAsia" w:ascii="宋体" w:hAnsi="宋体" w:cs="宋体"/>
                <w:color w:val="auto"/>
                <w:szCs w:val="21"/>
                <w:u w:val="single"/>
              </w:rPr>
              <w:t>/</w:t>
            </w:r>
          </w:p>
        </w:tc>
      </w:tr>
      <w:tr w14:paraId="1442284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07C42C6">
            <w:pPr>
              <w:spacing w:line="0" w:lineRule="atLeast"/>
              <w:jc w:val="center"/>
              <w:rPr>
                <w:rFonts w:hint="eastAsia" w:ascii="宋体" w:hAnsi="宋体" w:cs="宋体"/>
                <w:color w:val="auto"/>
                <w:szCs w:val="21"/>
              </w:rPr>
            </w:pPr>
            <w:r>
              <w:rPr>
                <w:rFonts w:hint="eastAsia" w:ascii="宋体" w:hAnsi="宋体" w:cs="宋体"/>
                <w:color w:val="auto"/>
                <w:szCs w:val="21"/>
              </w:rPr>
              <w:t>3.6</w:t>
            </w:r>
          </w:p>
        </w:tc>
        <w:tc>
          <w:tcPr>
            <w:tcW w:w="2353" w:type="dxa"/>
            <w:tcBorders>
              <w:top w:val="single" w:color="auto" w:sz="4" w:space="0"/>
              <w:left w:val="single" w:color="auto" w:sz="4" w:space="0"/>
              <w:bottom w:val="single" w:color="auto" w:sz="4" w:space="0"/>
              <w:right w:val="single" w:color="auto" w:sz="4" w:space="0"/>
            </w:tcBorders>
            <w:vAlign w:val="center"/>
          </w:tcPr>
          <w:p w14:paraId="775AFAE0">
            <w:pPr>
              <w:spacing w:line="0" w:lineRule="atLeast"/>
              <w:jc w:val="center"/>
              <w:rPr>
                <w:rFonts w:hint="eastAsia" w:ascii="宋体" w:hAnsi="宋体" w:cs="宋体"/>
                <w:color w:val="auto"/>
                <w:szCs w:val="21"/>
              </w:rPr>
            </w:pPr>
            <w:r>
              <w:rPr>
                <w:rFonts w:hint="eastAsia" w:ascii="宋体" w:hAnsi="宋体" w:cs="宋体"/>
                <w:color w:val="auto"/>
                <w:szCs w:val="21"/>
              </w:rPr>
              <w:t>是否允许递交备选投标方案</w:t>
            </w:r>
          </w:p>
        </w:tc>
        <w:tc>
          <w:tcPr>
            <w:tcW w:w="5659" w:type="dxa"/>
            <w:tcBorders>
              <w:top w:val="single" w:color="auto" w:sz="4" w:space="0"/>
              <w:left w:val="single" w:color="auto" w:sz="4" w:space="0"/>
              <w:bottom w:val="single" w:color="auto" w:sz="4" w:space="0"/>
              <w:right w:val="single" w:color="auto" w:sz="4" w:space="0"/>
            </w:tcBorders>
            <w:vAlign w:val="center"/>
          </w:tcPr>
          <w:p w14:paraId="2EEB8285">
            <w:pPr>
              <w:pStyle w:val="14"/>
              <w:topLinePunct/>
              <w:spacing w:line="0" w:lineRule="atLeast"/>
              <w:rPr>
                <w:rFonts w:hint="eastAsia" w:hAnsi="宋体" w:cs="宋体"/>
                <w:color w:val="auto"/>
                <w:sz w:val="21"/>
                <w:szCs w:val="21"/>
              </w:rPr>
            </w:pPr>
            <w:r>
              <w:rPr>
                <w:rFonts w:hint="eastAsia" w:hAnsi="宋体" w:cs="宋体"/>
                <w:color w:val="auto"/>
                <w:sz w:val="32"/>
                <w:szCs w:val="32"/>
              </w:rPr>
              <w:t>■</w:t>
            </w:r>
            <w:r>
              <w:rPr>
                <w:rFonts w:hint="eastAsia" w:hAnsi="宋体" w:cs="宋体"/>
                <w:color w:val="auto"/>
                <w:sz w:val="21"/>
                <w:szCs w:val="21"/>
              </w:rPr>
              <w:t>不允许</w:t>
            </w:r>
          </w:p>
          <w:p w14:paraId="2BA45A47">
            <w:pPr>
              <w:spacing w:line="0" w:lineRule="atLeast"/>
              <w:rPr>
                <w:rFonts w:hint="eastAsia" w:ascii="宋体" w:hAnsi="宋体" w:cs="宋体"/>
                <w:color w:val="auto"/>
                <w:szCs w:val="21"/>
              </w:rPr>
            </w:pPr>
            <w:r>
              <w:rPr>
                <w:rFonts w:hint="eastAsia" w:ascii="宋体" w:hAnsi="宋体" w:cs="宋体"/>
                <w:color w:val="auto"/>
                <w:sz w:val="32"/>
                <w:szCs w:val="32"/>
              </w:rPr>
              <w:t>□</w:t>
            </w:r>
            <w:r>
              <w:rPr>
                <w:rFonts w:hint="eastAsia" w:ascii="宋体" w:hAnsi="宋体" w:cs="宋体"/>
                <w:color w:val="auto"/>
                <w:szCs w:val="21"/>
              </w:rPr>
              <w:t>允许</w:t>
            </w:r>
          </w:p>
        </w:tc>
      </w:tr>
      <w:tr w14:paraId="1F30C37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5D7C5A32">
            <w:pPr>
              <w:spacing w:line="0" w:lineRule="atLeast"/>
              <w:jc w:val="center"/>
              <w:rPr>
                <w:rFonts w:hint="eastAsia" w:ascii="宋体" w:hAnsi="宋体" w:cs="宋体"/>
                <w:color w:val="auto"/>
                <w:szCs w:val="21"/>
              </w:rPr>
            </w:pPr>
            <w:r>
              <w:rPr>
                <w:rFonts w:hint="eastAsia" w:ascii="宋体" w:hAnsi="宋体" w:cs="宋体"/>
                <w:color w:val="auto"/>
                <w:szCs w:val="21"/>
              </w:rPr>
              <w:t>3.7.3</w:t>
            </w:r>
          </w:p>
        </w:tc>
        <w:tc>
          <w:tcPr>
            <w:tcW w:w="2353" w:type="dxa"/>
            <w:tcBorders>
              <w:top w:val="single" w:color="auto" w:sz="4" w:space="0"/>
              <w:left w:val="single" w:color="auto" w:sz="4" w:space="0"/>
              <w:bottom w:val="single" w:color="auto" w:sz="4" w:space="0"/>
              <w:right w:val="single" w:color="auto" w:sz="4" w:space="0"/>
            </w:tcBorders>
            <w:vAlign w:val="center"/>
          </w:tcPr>
          <w:p w14:paraId="1DA2863A">
            <w:pPr>
              <w:spacing w:line="0" w:lineRule="atLeast"/>
              <w:jc w:val="center"/>
              <w:rPr>
                <w:rFonts w:hint="eastAsia" w:ascii="宋体" w:hAnsi="宋体" w:cs="宋体"/>
                <w:color w:val="auto"/>
                <w:szCs w:val="21"/>
              </w:rPr>
            </w:pPr>
            <w:r>
              <w:rPr>
                <w:rFonts w:hint="eastAsia" w:ascii="宋体" w:hAnsi="宋体" w:cs="宋体"/>
                <w:color w:val="auto"/>
                <w:szCs w:val="21"/>
              </w:rPr>
              <w:t>签字或盖章要求</w:t>
            </w:r>
          </w:p>
        </w:tc>
        <w:tc>
          <w:tcPr>
            <w:tcW w:w="5659" w:type="dxa"/>
            <w:tcBorders>
              <w:top w:val="single" w:color="auto" w:sz="4" w:space="0"/>
              <w:left w:val="single" w:color="auto" w:sz="4" w:space="0"/>
              <w:bottom w:val="single" w:color="auto" w:sz="4" w:space="0"/>
              <w:right w:val="single" w:color="auto" w:sz="4" w:space="0"/>
            </w:tcBorders>
            <w:vAlign w:val="center"/>
          </w:tcPr>
          <w:p w14:paraId="26FB47A6">
            <w:pPr>
              <w:spacing w:line="0" w:lineRule="atLeast"/>
              <w:rPr>
                <w:rFonts w:hint="eastAsia" w:ascii="宋体" w:hAnsi="宋体" w:cs="宋体"/>
                <w:color w:val="auto"/>
                <w:szCs w:val="21"/>
              </w:rPr>
            </w:pPr>
            <w:r>
              <w:rPr>
                <w:rFonts w:hint="eastAsia" w:ascii="宋体" w:hAnsi="宋体" w:cs="宋体"/>
                <w:color w:val="auto"/>
                <w:szCs w:val="21"/>
                <w:u w:val="single"/>
              </w:rPr>
              <w:t>投标人采用单位数字证书，按招标文件要求在相应位置加盖电子印章。投标文件中需个人签字或盖章的，应加盖个人电子印章或在线下完成后扫描上传。按照交易平台关于全流程电子化项目的相关指南进行操作，联合体投标的，除投标文件中的联合体协议书需联合体各方盖章、签字外，投标文件其他内容中的“投标人”、</w:t>
            </w:r>
            <w:r>
              <w:rPr>
                <w:rFonts w:hint="eastAsia" w:ascii="宋体" w:hAnsi="宋体" w:cs="宋体"/>
                <w:color w:val="auto"/>
                <w:szCs w:val="21"/>
                <w:u w:val="single"/>
                <w:lang w:bidi="ar"/>
              </w:rPr>
              <w:t>“投标单位”、</w:t>
            </w:r>
            <w:r>
              <w:rPr>
                <w:rFonts w:hint="eastAsia" w:ascii="宋体" w:hAnsi="宋体" w:cs="宋体"/>
                <w:color w:val="auto"/>
                <w:szCs w:val="21"/>
                <w:u w:val="single"/>
              </w:rPr>
              <w:t>“声明企业”应填写联合体各方的单位全称</w:t>
            </w:r>
            <w:r>
              <w:rPr>
                <w:rFonts w:hint="eastAsia" w:ascii="宋体" w:hAnsi="宋体" w:cs="宋体"/>
                <w:color w:val="auto"/>
                <w:szCs w:val="21"/>
                <w:u w:val="single"/>
                <w:lang w:bidi="ar"/>
              </w:rPr>
              <w:t>【格式表示为：(主)XXXX公司,(成)XXXX公司,(成)XXXX公司,(成)XXXX公司】</w:t>
            </w:r>
            <w:r>
              <w:rPr>
                <w:rFonts w:hint="eastAsia" w:ascii="宋体" w:hAnsi="宋体" w:cs="宋体"/>
                <w:color w:val="auto"/>
                <w:szCs w:val="21"/>
                <w:u w:val="single"/>
              </w:rPr>
              <w:t>，但由主办方盖章、签字即可。</w:t>
            </w:r>
          </w:p>
        </w:tc>
      </w:tr>
      <w:tr w14:paraId="24D59D8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230FF60">
            <w:pPr>
              <w:spacing w:line="0" w:lineRule="atLeast"/>
              <w:jc w:val="center"/>
              <w:rPr>
                <w:rFonts w:hint="eastAsia" w:ascii="宋体" w:hAnsi="宋体" w:cs="宋体"/>
                <w:color w:val="auto"/>
                <w:szCs w:val="21"/>
              </w:rPr>
            </w:pPr>
            <w:r>
              <w:rPr>
                <w:rFonts w:hint="eastAsia" w:ascii="宋体" w:hAnsi="宋体" w:cs="宋体"/>
                <w:color w:val="auto"/>
                <w:szCs w:val="21"/>
              </w:rPr>
              <w:t>3.7.4</w:t>
            </w:r>
          </w:p>
        </w:tc>
        <w:tc>
          <w:tcPr>
            <w:tcW w:w="2353" w:type="dxa"/>
            <w:tcBorders>
              <w:top w:val="single" w:color="auto" w:sz="4" w:space="0"/>
              <w:left w:val="single" w:color="auto" w:sz="4" w:space="0"/>
              <w:bottom w:val="single" w:color="auto" w:sz="4" w:space="0"/>
              <w:right w:val="single" w:color="auto" w:sz="4" w:space="0"/>
            </w:tcBorders>
            <w:vAlign w:val="center"/>
          </w:tcPr>
          <w:p w14:paraId="717E526B">
            <w:pPr>
              <w:spacing w:line="0" w:lineRule="atLeast"/>
              <w:jc w:val="center"/>
              <w:rPr>
                <w:rFonts w:hint="eastAsia" w:ascii="宋体" w:hAnsi="宋体" w:cs="宋体"/>
                <w:color w:val="auto"/>
                <w:szCs w:val="21"/>
              </w:rPr>
            </w:pPr>
            <w:r>
              <w:rPr>
                <w:rFonts w:hint="eastAsia" w:ascii="宋体" w:hAnsi="宋体" w:cs="宋体"/>
                <w:color w:val="auto"/>
                <w:szCs w:val="21"/>
              </w:rPr>
              <w:t>投标文件副本份数</w:t>
            </w:r>
          </w:p>
        </w:tc>
        <w:tc>
          <w:tcPr>
            <w:tcW w:w="5659" w:type="dxa"/>
            <w:tcBorders>
              <w:top w:val="single" w:color="auto" w:sz="4" w:space="0"/>
              <w:left w:val="single" w:color="auto" w:sz="4" w:space="0"/>
              <w:bottom w:val="single" w:color="auto" w:sz="4" w:space="0"/>
              <w:right w:val="single" w:color="auto" w:sz="4" w:space="0"/>
            </w:tcBorders>
            <w:vAlign w:val="center"/>
          </w:tcPr>
          <w:p w14:paraId="0D90BBDF">
            <w:pPr>
              <w:spacing w:line="0" w:lineRule="atLeast"/>
              <w:rPr>
                <w:rFonts w:hint="eastAsia" w:ascii="宋体" w:hAnsi="宋体" w:cs="宋体"/>
                <w:color w:val="auto"/>
                <w:szCs w:val="21"/>
              </w:rPr>
            </w:pPr>
            <w:r>
              <w:rPr>
                <w:rFonts w:hint="eastAsia" w:ascii="宋体" w:hAnsi="宋体" w:cs="宋体"/>
                <w:color w:val="auto"/>
                <w:szCs w:val="21"/>
                <w:u w:val="single"/>
              </w:rPr>
              <w:t>/</w:t>
            </w:r>
          </w:p>
        </w:tc>
      </w:tr>
      <w:tr w14:paraId="717C9A0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67A263A">
            <w:pPr>
              <w:spacing w:line="0" w:lineRule="atLeast"/>
              <w:jc w:val="center"/>
              <w:rPr>
                <w:rFonts w:hint="eastAsia" w:ascii="宋体" w:hAnsi="宋体" w:cs="宋体"/>
                <w:color w:val="auto"/>
                <w:szCs w:val="21"/>
              </w:rPr>
            </w:pPr>
            <w:r>
              <w:rPr>
                <w:rFonts w:hint="eastAsia" w:ascii="宋体" w:hAnsi="宋体" w:cs="宋体"/>
                <w:color w:val="auto"/>
                <w:szCs w:val="21"/>
              </w:rPr>
              <w:t>3.7.5</w:t>
            </w:r>
          </w:p>
        </w:tc>
        <w:tc>
          <w:tcPr>
            <w:tcW w:w="2353" w:type="dxa"/>
            <w:tcBorders>
              <w:top w:val="single" w:color="auto" w:sz="4" w:space="0"/>
              <w:left w:val="single" w:color="auto" w:sz="4" w:space="0"/>
              <w:bottom w:val="single" w:color="auto" w:sz="4" w:space="0"/>
              <w:right w:val="single" w:color="auto" w:sz="4" w:space="0"/>
            </w:tcBorders>
            <w:vAlign w:val="center"/>
          </w:tcPr>
          <w:p w14:paraId="2DD9DD49">
            <w:pPr>
              <w:spacing w:line="0" w:lineRule="atLeast"/>
              <w:jc w:val="center"/>
              <w:rPr>
                <w:rFonts w:hint="eastAsia" w:ascii="宋体" w:hAnsi="宋体" w:cs="宋体"/>
                <w:color w:val="auto"/>
                <w:szCs w:val="21"/>
              </w:rPr>
            </w:pPr>
            <w:r>
              <w:rPr>
                <w:rFonts w:hint="eastAsia" w:ascii="宋体" w:hAnsi="宋体" w:cs="宋体"/>
                <w:color w:val="auto"/>
                <w:szCs w:val="21"/>
              </w:rPr>
              <w:t>装订要求</w:t>
            </w:r>
          </w:p>
        </w:tc>
        <w:tc>
          <w:tcPr>
            <w:tcW w:w="5659" w:type="dxa"/>
            <w:tcBorders>
              <w:top w:val="single" w:color="auto" w:sz="4" w:space="0"/>
              <w:left w:val="single" w:color="auto" w:sz="4" w:space="0"/>
              <w:bottom w:val="single" w:color="auto" w:sz="4" w:space="0"/>
              <w:right w:val="single" w:color="auto" w:sz="4" w:space="0"/>
            </w:tcBorders>
            <w:vAlign w:val="center"/>
          </w:tcPr>
          <w:p w14:paraId="720CC57E">
            <w:pPr>
              <w:spacing w:line="0" w:lineRule="atLeast"/>
              <w:rPr>
                <w:rFonts w:hint="eastAsia" w:ascii="宋体" w:hAnsi="宋体" w:cs="宋体"/>
                <w:color w:val="auto"/>
                <w:szCs w:val="21"/>
              </w:rPr>
            </w:pPr>
            <w:r>
              <w:rPr>
                <w:rFonts w:hint="eastAsia" w:ascii="宋体" w:hAnsi="宋体" w:cs="宋体"/>
                <w:color w:val="auto"/>
                <w:szCs w:val="21"/>
              </w:rPr>
              <w:t>/</w:t>
            </w:r>
          </w:p>
        </w:tc>
      </w:tr>
      <w:tr w14:paraId="6EF439C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CFB82EE">
            <w:pPr>
              <w:spacing w:line="0" w:lineRule="atLeast"/>
              <w:jc w:val="center"/>
              <w:rPr>
                <w:rFonts w:hint="eastAsia" w:ascii="宋体" w:hAnsi="宋体" w:cs="宋体"/>
                <w:color w:val="auto"/>
                <w:szCs w:val="21"/>
              </w:rPr>
            </w:pPr>
            <w:r>
              <w:rPr>
                <w:rFonts w:hint="eastAsia" w:ascii="宋体" w:hAnsi="宋体" w:cs="宋体"/>
                <w:color w:val="auto"/>
                <w:szCs w:val="21"/>
              </w:rPr>
              <w:t>4.1.2</w:t>
            </w:r>
          </w:p>
        </w:tc>
        <w:tc>
          <w:tcPr>
            <w:tcW w:w="2353" w:type="dxa"/>
            <w:tcBorders>
              <w:top w:val="single" w:color="auto" w:sz="4" w:space="0"/>
              <w:left w:val="single" w:color="auto" w:sz="4" w:space="0"/>
              <w:bottom w:val="single" w:color="auto" w:sz="4" w:space="0"/>
              <w:right w:val="single" w:color="auto" w:sz="4" w:space="0"/>
            </w:tcBorders>
            <w:vAlign w:val="center"/>
          </w:tcPr>
          <w:p w14:paraId="2B6B8F11">
            <w:pPr>
              <w:spacing w:line="0" w:lineRule="atLeast"/>
              <w:jc w:val="center"/>
              <w:rPr>
                <w:rFonts w:hint="eastAsia" w:ascii="宋体" w:hAnsi="宋体" w:cs="宋体"/>
                <w:color w:val="auto"/>
                <w:szCs w:val="21"/>
              </w:rPr>
            </w:pPr>
            <w:r>
              <w:rPr>
                <w:rFonts w:hint="eastAsia" w:ascii="宋体" w:hAnsi="宋体" w:cs="宋体"/>
                <w:color w:val="auto"/>
                <w:szCs w:val="21"/>
              </w:rPr>
              <w:t>封套上应载明的信息</w:t>
            </w:r>
          </w:p>
        </w:tc>
        <w:tc>
          <w:tcPr>
            <w:tcW w:w="5659" w:type="dxa"/>
            <w:tcBorders>
              <w:top w:val="single" w:color="auto" w:sz="4" w:space="0"/>
              <w:left w:val="single" w:color="auto" w:sz="4" w:space="0"/>
              <w:bottom w:val="single" w:color="auto" w:sz="4" w:space="0"/>
              <w:right w:val="single" w:color="auto" w:sz="4" w:space="0"/>
            </w:tcBorders>
            <w:vAlign w:val="center"/>
          </w:tcPr>
          <w:p w14:paraId="462DE0F9">
            <w:pPr>
              <w:spacing w:line="0" w:lineRule="atLeast"/>
              <w:rPr>
                <w:rFonts w:hint="eastAsia" w:ascii="宋体" w:hAnsi="宋体" w:cs="宋体"/>
                <w:color w:val="auto"/>
                <w:szCs w:val="21"/>
              </w:rPr>
            </w:pPr>
            <w:r>
              <w:rPr>
                <w:rFonts w:hint="eastAsia" w:ascii="宋体" w:hAnsi="宋体" w:cs="宋体"/>
                <w:color w:val="auto"/>
                <w:szCs w:val="21"/>
              </w:rPr>
              <w:t>/</w:t>
            </w:r>
          </w:p>
        </w:tc>
      </w:tr>
      <w:tr w14:paraId="113C46F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468A49F6">
            <w:pPr>
              <w:spacing w:line="0" w:lineRule="atLeast"/>
              <w:jc w:val="center"/>
              <w:rPr>
                <w:rFonts w:hint="eastAsia" w:ascii="宋体" w:hAnsi="宋体" w:cs="宋体"/>
                <w:color w:val="auto"/>
                <w:szCs w:val="21"/>
              </w:rPr>
            </w:pPr>
            <w:r>
              <w:rPr>
                <w:rFonts w:hint="eastAsia" w:ascii="宋体" w:hAnsi="宋体" w:cs="宋体"/>
                <w:color w:val="auto"/>
                <w:szCs w:val="21"/>
              </w:rPr>
              <w:t>4.2.2</w:t>
            </w:r>
          </w:p>
        </w:tc>
        <w:tc>
          <w:tcPr>
            <w:tcW w:w="2353" w:type="dxa"/>
            <w:tcBorders>
              <w:top w:val="single" w:color="auto" w:sz="4" w:space="0"/>
              <w:left w:val="single" w:color="auto" w:sz="4" w:space="0"/>
              <w:bottom w:val="single" w:color="auto" w:sz="4" w:space="0"/>
              <w:right w:val="single" w:color="auto" w:sz="4" w:space="0"/>
            </w:tcBorders>
            <w:vAlign w:val="center"/>
          </w:tcPr>
          <w:p w14:paraId="45529AD8">
            <w:pPr>
              <w:spacing w:line="0" w:lineRule="atLeast"/>
              <w:jc w:val="center"/>
              <w:rPr>
                <w:rFonts w:hint="eastAsia" w:ascii="宋体" w:hAnsi="宋体" w:cs="宋体"/>
                <w:color w:val="auto"/>
                <w:szCs w:val="21"/>
              </w:rPr>
            </w:pPr>
            <w:r>
              <w:rPr>
                <w:rFonts w:hint="eastAsia" w:ascii="宋体" w:hAnsi="宋体" w:cs="宋体"/>
                <w:color w:val="auto"/>
                <w:szCs w:val="21"/>
              </w:rPr>
              <w:t>递交投标文件地点</w:t>
            </w:r>
          </w:p>
        </w:tc>
        <w:tc>
          <w:tcPr>
            <w:tcW w:w="5659" w:type="dxa"/>
            <w:tcBorders>
              <w:top w:val="single" w:color="auto" w:sz="4" w:space="0"/>
              <w:left w:val="single" w:color="auto" w:sz="4" w:space="0"/>
              <w:bottom w:val="single" w:color="auto" w:sz="4" w:space="0"/>
              <w:right w:val="single" w:color="auto" w:sz="4" w:space="0"/>
            </w:tcBorders>
            <w:vAlign w:val="center"/>
          </w:tcPr>
          <w:p w14:paraId="0A0F067F">
            <w:pPr>
              <w:spacing w:line="0" w:lineRule="atLeast"/>
              <w:rPr>
                <w:rFonts w:hint="eastAsia" w:ascii="宋体" w:hAnsi="宋体" w:cs="宋体"/>
                <w:color w:val="auto"/>
                <w:szCs w:val="21"/>
              </w:rPr>
            </w:pPr>
            <w:r>
              <w:rPr>
                <w:rFonts w:hint="eastAsia" w:ascii="宋体" w:hAnsi="宋体" w:cs="宋体"/>
                <w:color w:val="auto"/>
                <w:szCs w:val="21"/>
              </w:rPr>
              <w:t>投标人应在截止时间前通过电子招标投标交易平台递交电子投标文件。</w:t>
            </w:r>
          </w:p>
        </w:tc>
      </w:tr>
      <w:tr w14:paraId="1ED01F51">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5480F3BB">
            <w:pPr>
              <w:spacing w:line="0" w:lineRule="atLeast"/>
              <w:jc w:val="center"/>
              <w:rPr>
                <w:rFonts w:hint="eastAsia" w:ascii="宋体" w:hAnsi="宋体" w:cs="宋体"/>
                <w:color w:val="auto"/>
                <w:szCs w:val="21"/>
              </w:rPr>
            </w:pPr>
            <w:r>
              <w:rPr>
                <w:rFonts w:hint="eastAsia" w:ascii="宋体" w:hAnsi="宋体" w:cs="宋体"/>
                <w:color w:val="auto"/>
                <w:szCs w:val="21"/>
              </w:rPr>
              <w:t>4.2.3</w:t>
            </w:r>
          </w:p>
        </w:tc>
        <w:tc>
          <w:tcPr>
            <w:tcW w:w="2353" w:type="dxa"/>
            <w:tcBorders>
              <w:top w:val="single" w:color="auto" w:sz="4" w:space="0"/>
              <w:left w:val="single" w:color="auto" w:sz="4" w:space="0"/>
              <w:bottom w:val="single" w:color="auto" w:sz="4" w:space="0"/>
              <w:right w:val="single" w:color="auto" w:sz="4" w:space="0"/>
            </w:tcBorders>
            <w:vAlign w:val="center"/>
          </w:tcPr>
          <w:p w14:paraId="70BC62E3">
            <w:pPr>
              <w:spacing w:line="0" w:lineRule="atLeast"/>
              <w:jc w:val="center"/>
              <w:rPr>
                <w:rFonts w:hint="eastAsia" w:ascii="宋体" w:hAnsi="宋体" w:cs="宋体"/>
                <w:color w:val="auto"/>
                <w:szCs w:val="21"/>
              </w:rPr>
            </w:pPr>
            <w:r>
              <w:rPr>
                <w:rFonts w:hint="eastAsia" w:ascii="宋体" w:hAnsi="宋体" w:cs="宋体"/>
                <w:color w:val="auto"/>
                <w:szCs w:val="21"/>
              </w:rPr>
              <w:t>是否退还投标文件</w:t>
            </w:r>
          </w:p>
        </w:tc>
        <w:tc>
          <w:tcPr>
            <w:tcW w:w="5659" w:type="dxa"/>
            <w:tcBorders>
              <w:top w:val="single" w:color="auto" w:sz="4" w:space="0"/>
              <w:left w:val="single" w:color="auto" w:sz="4" w:space="0"/>
              <w:bottom w:val="single" w:color="auto" w:sz="4" w:space="0"/>
              <w:right w:val="single" w:color="auto" w:sz="4" w:space="0"/>
            </w:tcBorders>
            <w:vAlign w:val="center"/>
          </w:tcPr>
          <w:p w14:paraId="1660968B">
            <w:pPr>
              <w:pStyle w:val="14"/>
              <w:topLinePunct/>
              <w:spacing w:line="0" w:lineRule="atLeast"/>
              <w:rPr>
                <w:rFonts w:hint="eastAsia" w:hAnsi="宋体" w:cs="宋体"/>
                <w:color w:val="auto"/>
                <w:sz w:val="21"/>
                <w:szCs w:val="21"/>
              </w:rPr>
            </w:pPr>
            <w:r>
              <w:rPr>
                <w:rFonts w:hint="eastAsia" w:hAnsi="宋体" w:cs="宋体"/>
                <w:color w:val="auto"/>
                <w:sz w:val="32"/>
                <w:szCs w:val="32"/>
              </w:rPr>
              <w:t>■</w:t>
            </w:r>
            <w:r>
              <w:rPr>
                <w:rFonts w:hint="eastAsia" w:hAnsi="宋体" w:cs="宋体"/>
                <w:color w:val="auto"/>
                <w:sz w:val="21"/>
                <w:szCs w:val="21"/>
              </w:rPr>
              <w:t>否</w:t>
            </w:r>
          </w:p>
          <w:p w14:paraId="7384B593">
            <w:pPr>
              <w:spacing w:line="0" w:lineRule="atLeast"/>
              <w:rPr>
                <w:rFonts w:hint="eastAsia" w:ascii="宋体" w:hAnsi="宋体" w:cs="宋体"/>
                <w:color w:val="auto"/>
                <w:szCs w:val="21"/>
              </w:rPr>
            </w:pPr>
            <w:r>
              <w:rPr>
                <w:rFonts w:hint="eastAsia" w:ascii="宋体" w:hAnsi="宋体" w:cs="宋体"/>
                <w:color w:val="auto"/>
                <w:sz w:val="32"/>
                <w:szCs w:val="32"/>
              </w:rPr>
              <w:t>□</w:t>
            </w:r>
            <w:r>
              <w:rPr>
                <w:rFonts w:hint="eastAsia" w:ascii="宋体" w:hAnsi="宋体" w:cs="宋体"/>
                <w:color w:val="auto"/>
                <w:szCs w:val="21"/>
              </w:rPr>
              <w:t>是</w:t>
            </w:r>
          </w:p>
        </w:tc>
      </w:tr>
      <w:tr w14:paraId="2E35CD7C">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right w:val="single" w:color="auto" w:sz="4" w:space="0"/>
            </w:tcBorders>
            <w:vAlign w:val="center"/>
          </w:tcPr>
          <w:p w14:paraId="7782F3DB">
            <w:pPr>
              <w:spacing w:line="0" w:lineRule="atLeast"/>
              <w:jc w:val="center"/>
              <w:rPr>
                <w:rFonts w:hint="eastAsia" w:ascii="宋体" w:hAnsi="宋体" w:cs="宋体"/>
                <w:color w:val="auto"/>
                <w:szCs w:val="21"/>
              </w:rPr>
            </w:pPr>
            <w:r>
              <w:rPr>
                <w:rFonts w:hint="eastAsia" w:ascii="宋体" w:hAnsi="宋体" w:cs="宋体"/>
                <w:color w:val="auto"/>
                <w:szCs w:val="21"/>
              </w:rPr>
              <w:t>5.1</w:t>
            </w:r>
          </w:p>
        </w:tc>
        <w:tc>
          <w:tcPr>
            <w:tcW w:w="2353" w:type="dxa"/>
            <w:tcBorders>
              <w:top w:val="single" w:color="auto" w:sz="4" w:space="0"/>
              <w:left w:val="single" w:color="auto" w:sz="4" w:space="0"/>
              <w:right w:val="single" w:color="auto" w:sz="4" w:space="0"/>
            </w:tcBorders>
            <w:vAlign w:val="center"/>
          </w:tcPr>
          <w:p w14:paraId="45041E10">
            <w:pPr>
              <w:spacing w:line="0" w:lineRule="atLeast"/>
              <w:jc w:val="center"/>
              <w:rPr>
                <w:rFonts w:hint="eastAsia" w:ascii="宋体" w:hAnsi="宋体" w:cs="宋体"/>
                <w:color w:val="auto"/>
                <w:szCs w:val="21"/>
              </w:rPr>
            </w:pPr>
            <w:r>
              <w:rPr>
                <w:rFonts w:hint="eastAsia" w:ascii="宋体" w:hAnsi="宋体" w:cs="宋体"/>
                <w:color w:val="auto"/>
                <w:szCs w:val="21"/>
              </w:rPr>
              <w:t>开标时间和地点</w:t>
            </w:r>
          </w:p>
        </w:tc>
        <w:tc>
          <w:tcPr>
            <w:tcW w:w="5659" w:type="dxa"/>
            <w:tcBorders>
              <w:top w:val="single" w:color="auto" w:sz="4" w:space="0"/>
              <w:left w:val="single" w:color="auto" w:sz="4" w:space="0"/>
              <w:right w:val="single" w:color="auto" w:sz="4" w:space="0"/>
            </w:tcBorders>
            <w:vAlign w:val="center"/>
          </w:tcPr>
          <w:p w14:paraId="49AC8A7B">
            <w:pPr>
              <w:spacing w:line="0" w:lineRule="atLeast"/>
              <w:rPr>
                <w:rFonts w:hint="eastAsia" w:ascii="宋体" w:hAnsi="宋体" w:cs="宋体"/>
                <w:color w:val="auto"/>
                <w:szCs w:val="21"/>
              </w:rPr>
            </w:pPr>
            <w:r>
              <w:rPr>
                <w:rFonts w:hint="eastAsia" w:ascii="宋体" w:hAnsi="宋体" w:cs="宋体"/>
                <w:color w:val="auto"/>
                <w:szCs w:val="21"/>
              </w:rPr>
              <w:t>开标时间同投标截止时间。在电子招标投标交易平台进行网上开标</w:t>
            </w:r>
          </w:p>
        </w:tc>
      </w:tr>
      <w:tr w14:paraId="0F5ADF06">
        <w:tblPrEx>
          <w:tblCellMar>
            <w:top w:w="0" w:type="dxa"/>
            <w:left w:w="108" w:type="dxa"/>
            <w:bottom w:w="0" w:type="dxa"/>
            <w:right w:w="108" w:type="dxa"/>
          </w:tblCellMar>
        </w:tblPrEx>
        <w:trPr>
          <w:trHeight w:val="381" w:hRule="atLeast"/>
        </w:trPr>
        <w:tc>
          <w:tcPr>
            <w:tcW w:w="1165" w:type="dxa"/>
            <w:tcBorders>
              <w:top w:val="single" w:color="auto" w:sz="4" w:space="0"/>
              <w:left w:val="single" w:color="auto" w:sz="4" w:space="0"/>
              <w:right w:val="single" w:color="auto" w:sz="4" w:space="0"/>
            </w:tcBorders>
            <w:vAlign w:val="center"/>
          </w:tcPr>
          <w:p w14:paraId="4A871C1A">
            <w:pPr>
              <w:spacing w:line="0" w:lineRule="atLeast"/>
              <w:jc w:val="center"/>
              <w:rPr>
                <w:rFonts w:hint="eastAsia" w:ascii="宋体" w:hAnsi="宋体" w:cs="宋体"/>
                <w:color w:val="auto"/>
                <w:szCs w:val="21"/>
              </w:rPr>
            </w:pPr>
            <w:r>
              <w:rPr>
                <w:rFonts w:hint="eastAsia" w:ascii="宋体" w:hAnsi="宋体" w:cs="宋体"/>
                <w:color w:val="auto"/>
                <w:szCs w:val="21"/>
              </w:rPr>
              <w:t>5.2</w:t>
            </w:r>
          </w:p>
        </w:tc>
        <w:tc>
          <w:tcPr>
            <w:tcW w:w="2353" w:type="dxa"/>
            <w:tcBorders>
              <w:top w:val="single" w:color="auto" w:sz="4" w:space="0"/>
              <w:left w:val="single" w:color="auto" w:sz="4" w:space="0"/>
              <w:right w:val="single" w:color="auto" w:sz="4" w:space="0"/>
            </w:tcBorders>
            <w:vAlign w:val="center"/>
          </w:tcPr>
          <w:p w14:paraId="4C6FF880">
            <w:pPr>
              <w:spacing w:line="0" w:lineRule="atLeast"/>
              <w:jc w:val="center"/>
              <w:rPr>
                <w:rFonts w:hint="eastAsia" w:ascii="宋体" w:hAnsi="宋体" w:cs="宋体"/>
                <w:color w:val="auto"/>
                <w:szCs w:val="21"/>
              </w:rPr>
            </w:pPr>
            <w:r>
              <w:rPr>
                <w:rFonts w:hint="eastAsia" w:ascii="宋体" w:hAnsi="宋体" w:cs="宋体"/>
                <w:color w:val="auto"/>
                <w:szCs w:val="21"/>
              </w:rPr>
              <w:t>开标程序</w:t>
            </w:r>
          </w:p>
        </w:tc>
        <w:tc>
          <w:tcPr>
            <w:tcW w:w="5659" w:type="dxa"/>
            <w:tcBorders>
              <w:top w:val="single" w:color="auto" w:sz="4" w:space="0"/>
              <w:left w:val="single" w:color="auto" w:sz="4" w:space="0"/>
              <w:right w:val="single" w:color="auto" w:sz="4" w:space="0"/>
            </w:tcBorders>
            <w:vAlign w:val="center"/>
          </w:tcPr>
          <w:p w14:paraId="04AEE1CF">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主持人按下列程序进行开标：</w:t>
            </w:r>
          </w:p>
          <w:p w14:paraId="5F56B36E">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（1）宣布开标纪律；</w:t>
            </w:r>
          </w:p>
          <w:p w14:paraId="0137947B">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（2）公布在投标截止时间前递交投标文件的投标人名称；</w:t>
            </w:r>
          </w:p>
          <w:p w14:paraId="22DB0159">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3）在投标截止时间后60分钟内，投标人通过递交投标文件的交易平台对已递交的电子投标文件进行解密。投标人完成解密后，再由招标人进行解密（投标人只用执行一次解密，招标人执行解密次数根据招标文件开标次数确定）。</w:t>
            </w:r>
          </w:p>
          <w:p w14:paraId="0D07B00D">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4）解密完成后，公布：a投标人名称；b投标文件递交情况；c投标文件解密情况；d投标担保递交情况；e项目负责人(兼施工负责人)、设计负责人、专职安全员；f投标报价（含设计报价和施工报价）；g工期；h质量标准；i投标人的加密打包投标文件电脑机器特征码等主要内容，并记录在案。未在规定时间内解密的投标文件不参与开标、评标。</w:t>
            </w:r>
          </w:p>
          <w:p w14:paraId="4992DC94">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（5）截标后，开标开始时间因故推迟的，相关评标信息仍以原定的开标开始时间的信息为准。</w:t>
            </w:r>
          </w:p>
          <w:p w14:paraId="3206BAF0">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 xml:space="preserve">（6）备用光盘的读取按“10 </w:t>
            </w:r>
            <w:bookmarkStart w:id="32" w:name="OLE_LINK1"/>
            <w:r>
              <w:rPr>
                <w:rFonts w:hint="eastAsia" w:ascii="新宋体" w:hAnsi="新宋体" w:eastAsia="新宋体" w:cs="新宋体"/>
                <w:color w:val="auto"/>
                <w:szCs w:val="21"/>
                <w:u w:val="single"/>
              </w:rPr>
              <w:t>电子招标投标</w:t>
            </w:r>
            <w:bookmarkEnd w:id="32"/>
            <w:r>
              <w:rPr>
                <w:rFonts w:hint="eastAsia" w:ascii="新宋体" w:hAnsi="新宋体" w:eastAsia="新宋体" w:cs="新宋体"/>
                <w:color w:val="auto"/>
                <w:szCs w:val="21"/>
                <w:u w:val="single"/>
              </w:rPr>
              <w:t>”第6点的规定执行。</w:t>
            </w:r>
          </w:p>
          <w:p w14:paraId="364013B0">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7）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14:paraId="036420CC">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8）参加现场开标的投标人对开标结果有异议的，应当在开标现场提出，招标人应当当场作出答复，并制作记录。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13023C47">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（9）投标人未参加开标或在规定的时间内未提出异议的，视为对开标无异议。</w:t>
            </w:r>
          </w:p>
          <w:p w14:paraId="25BF61C9">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（10）开标时，本项目两个（含两个）以上的投标人加密打包投标文件电脑机器特征码一致的，不参与下一程序，并由评标委员会否决其投标。</w:t>
            </w:r>
          </w:p>
          <w:p w14:paraId="6456870E">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11）投标文件（设计方案）开标时不得开启，在评标时由交易平台随机编号后开启，交由评标委员会进行评审。编号所对应的投标人在设计方案评审结束前不得告知评标委员会、交易平台工作人员、招标人或招标代理机构。</w:t>
            </w:r>
          </w:p>
          <w:p w14:paraId="2F18C0C5">
            <w:pPr>
              <w:snapToGrid w:val="0"/>
              <w:spacing w:line="0" w:lineRule="atLeast"/>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（12）投标人代表、招标人代表、监标人、记录人等有关人员在开标记录上签字确认；若有关人员不签字的，不影响开标程序；</w:t>
            </w:r>
          </w:p>
          <w:p w14:paraId="1A8764D5">
            <w:pPr>
              <w:spacing w:line="0" w:lineRule="atLeast"/>
              <w:rPr>
                <w:rFonts w:hint="eastAsia" w:ascii="宋体" w:hAnsi="宋体" w:cs="宋体"/>
                <w:color w:val="auto"/>
                <w:szCs w:val="21"/>
              </w:rPr>
            </w:pPr>
            <w:r>
              <w:rPr>
                <w:rFonts w:hint="eastAsia" w:ascii="新宋体" w:hAnsi="新宋体" w:eastAsia="新宋体" w:cs="新宋体"/>
                <w:color w:val="auto"/>
                <w:szCs w:val="21"/>
                <w:u w:val="single"/>
              </w:rPr>
              <w:t>（13）开标结束。</w:t>
            </w:r>
          </w:p>
        </w:tc>
      </w:tr>
      <w:tr w14:paraId="45245625">
        <w:tblPrEx>
          <w:tblCellMar>
            <w:top w:w="0" w:type="dxa"/>
            <w:left w:w="108" w:type="dxa"/>
            <w:bottom w:w="0" w:type="dxa"/>
            <w:right w:w="108" w:type="dxa"/>
          </w:tblCellMar>
        </w:tblPrEx>
        <w:trPr>
          <w:trHeight w:val="533" w:hRule="atLeast"/>
        </w:trPr>
        <w:tc>
          <w:tcPr>
            <w:tcW w:w="1165" w:type="dxa"/>
            <w:tcBorders>
              <w:top w:val="single" w:color="auto" w:sz="4" w:space="0"/>
              <w:left w:val="single" w:color="auto" w:sz="4" w:space="0"/>
              <w:bottom w:val="single" w:color="auto" w:sz="4" w:space="0"/>
              <w:right w:val="single" w:color="auto" w:sz="4" w:space="0"/>
            </w:tcBorders>
            <w:vAlign w:val="center"/>
          </w:tcPr>
          <w:p w14:paraId="1AAE5C4F">
            <w:pPr>
              <w:spacing w:line="0" w:lineRule="atLeast"/>
              <w:jc w:val="center"/>
              <w:rPr>
                <w:rFonts w:hint="eastAsia" w:ascii="宋体" w:hAnsi="宋体" w:cs="宋体"/>
                <w:color w:val="auto"/>
                <w:szCs w:val="21"/>
              </w:rPr>
            </w:pPr>
            <w:r>
              <w:rPr>
                <w:rFonts w:hint="eastAsia" w:ascii="宋体" w:hAnsi="宋体" w:cs="宋体"/>
                <w:color w:val="auto"/>
                <w:szCs w:val="21"/>
              </w:rPr>
              <w:t>6.1.1</w:t>
            </w:r>
          </w:p>
        </w:tc>
        <w:tc>
          <w:tcPr>
            <w:tcW w:w="2353" w:type="dxa"/>
            <w:tcBorders>
              <w:top w:val="single" w:color="auto" w:sz="4" w:space="0"/>
              <w:left w:val="single" w:color="auto" w:sz="4" w:space="0"/>
              <w:bottom w:val="single" w:color="auto" w:sz="4" w:space="0"/>
              <w:right w:val="single" w:color="auto" w:sz="4" w:space="0"/>
            </w:tcBorders>
            <w:vAlign w:val="center"/>
          </w:tcPr>
          <w:p w14:paraId="519DF34A">
            <w:pPr>
              <w:spacing w:line="0" w:lineRule="atLeast"/>
              <w:jc w:val="center"/>
              <w:rPr>
                <w:rFonts w:hint="eastAsia" w:ascii="宋体" w:hAnsi="宋体" w:cs="宋体"/>
                <w:color w:val="auto"/>
                <w:szCs w:val="21"/>
              </w:rPr>
            </w:pPr>
            <w:r>
              <w:rPr>
                <w:rFonts w:hint="eastAsia" w:ascii="宋体" w:hAnsi="宋体" w:cs="宋体"/>
                <w:color w:val="auto"/>
                <w:szCs w:val="21"/>
              </w:rPr>
              <w:t>评标委员会的组建</w:t>
            </w:r>
          </w:p>
        </w:tc>
        <w:tc>
          <w:tcPr>
            <w:tcW w:w="5659" w:type="dxa"/>
            <w:tcBorders>
              <w:top w:val="single" w:color="auto" w:sz="4" w:space="0"/>
              <w:left w:val="single" w:color="auto" w:sz="4" w:space="0"/>
              <w:bottom w:val="single" w:color="auto" w:sz="4" w:space="0"/>
              <w:right w:val="single" w:color="auto" w:sz="4" w:space="0"/>
            </w:tcBorders>
            <w:vAlign w:val="center"/>
          </w:tcPr>
          <w:p w14:paraId="37ABF43C">
            <w:pPr>
              <w:spacing w:line="0" w:lineRule="atLeast"/>
              <w:rPr>
                <w:rFonts w:hint="eastAsia" w:ascii="宋体" w:hAnsi="宋体" w:cs="宋体"/>
                <w:color w:val="auto"/>
                <w:szCs w:val="21"/>
              </w:rPr>
            </w:pPr>
            <w:r>
              <w:rPr>
                <w:rFonts w:hint="eastAsia" w:ascii="宋体" w:hAnsi="宋体" w:cs="宋体"/>
                <w:color w:val="auto"/>
                <w:szCs w:val="21"/>
              </w:rPr>
              <w:t>评标委员会由招标人依法组建。</w:t>
            </w:r>
          </w:p>
        </w:tc>
      </w:tr>
      <w:tr w14:paraId="6D6889ED">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2F458C95">
            <w:pPr>
              <w:spacing w:line="0" w:lineRule="atLeast"/>
              <w:jc w:val="center"/>
              <w:rPr>
                <w:rFonts w:hint="eastAsia" w:ascii="宋体" w:hAnsi="宋体" w:cs="宋体"/>
                <w:color w:val="auto"/>
                <w:szCs w:val="21"/>
              </w:rPr>
            </w:pPr>
            <w:r>
              <w:rPr>
                <w:rFonts w:hint="eastAsia" w:ascii="宋体" w:hAnsi="宋体" w:cs="宋体"/>
                <w:color w:val="auto"/>
                <w:szCs w:val="21"/>
              </w:rPr>
              <w:t>7.1</w:t>
            </w:r>
          </w:p>
        </w:tc>
        <w:tc>
          <w:tcPr>
            <w:tcW w:w="2353" w:type="dxa"/>
            <w:tcBorders>
              <w:top w:val="single" w:color="auto" w:sz="4" w:space="0"/>
              <w:left w:val="single" w:color="auto" w:sz="4" w:space="0"/>
              <w:bottom w:val="single" w:color="auto" w:sz="4" w:space="0"/>
              <w:right w:val="single" w:color="auto" w:sz="4" w:space="0"/>
            </w:tcBorders>
            <w:vAlign w:val="center"/>
          </w:tcPr>
          <w:p w14:paraId="502B01B0">
            <w:pPr>
              <w:spacing w:line="0" w:lineRule="atLeast"/>
              <w:jc w:val="center"/>
              <w:rPr>
                <w:rFonts w:hint="eastAsia" w:ascii="宋体" w:hAnsi="宋体" w:cs="宋体"/>
                <w:color w:val="auto"/>
                <w:szCs w:val="21"/>
              </w:rPr>
            </w:pPr>
            <w:r>
              <w:rPr>
                <w:rFonts w:hint="eastAsia" w:ascii="宋体" w:hAnsi="宋体" w:cs="宋体"/>
                <w:color w:val="auto"/>
                <w:szCs w:val="21"/>
              </w:rPr>
              <w:t>是否授权评标委员会确定中标人</w:t>
            </w:r>
          </w:p>
        </w:tc>
        <w:tc>
          <w:tcPr>
            <w:tcW w:w="5659" w:type="dxa"/>
            <w:tcBorders>
              <w:top w:val="single" w:color="auto" w:sz="4" w:space="0"/>
              <w:left w:val="single" w:color="auto" w:sz="4" w:space="0"/>
              <w:bottom w:val="single" w:color="auto" w:sz="4" w:space="0"/>
              <w:right w:val="single" w:color="auto" w:sz="4" w:space="0"/>
            </w:tcBorders>
            <w:vAlign w:val="center"/>
          </w:tcPr>
          <w:p w14:paraId="443576B3">
            <w:pPr>
              <w:spacing w:line="0" w:lineRule="atLeast"/>
              <w:rPr>
                <w:rFonts w:hint="eastAsia" w:ascii="宋体" w:hAnsi="宋体" w:cs="宋体"/>
                <w:color w:val="auto"/>
                <w:szCs w:val="21"/>
              </w:rPr>
            </w:pPr>
            <w:r>
              <w:rPr>
                <w:rFonts w:hint="eastAsia" w:ascii="宋体" w:hAnsi="宋体" w:cs="宋体"/>
                <w:color w:val="auto"/>
                <w:sz w:val="32"/>
                <w:szCs w:val="32"/>
              </w:rPr>
              <w:t>□</w:t>
            </w:r>
            <w:r>
              <w:rPr>
                <w:rFonts w:hint="eastAsia" w:ascii="宋体" w:hAnsi="宋体" w:cs="宋体"/>
                <w:color w:val="auto"/>
                <w:szCs w:val="21"/>
              </w:rPr>
              <w:t>是</w:t>
            </w:r>
          </w:p>
          <w:p w14:paraId="591BFAD1">
            <w:pPr>
              <w:spacing w:line="0" w:lineRule="atLeast"/>
              <w:rPr>
                <w:rFonts w:hint="eastAsia" w:ascii="宋体" w:hAnsi="宋体" w:cs="宋体"/>
                <w:color w:val="auto"/>
                <w:szCs w:val="21"/>
              </w:rPr>
            </w:pPr>
            <w:r>
              <w:rPr>
                <w:rFonts w:hint="eastAsia" w:ascii="宋体" w:hAnsi="宋体" w:cs="宋体"/>
                <w:color w:val="auto"/>
                <w:sz w:val="32"/>
                <w:szCs w:val="32"/>
              </w:rPr>
              <w:t>■</w:t>
            </w:r>
            <w:r>
              <w:rPr>
                <w:rFonts w:hint="eastAsia" w:ascii="宋体" w:hAnsi="宋体" w:cs="宋体"/>
                <w:color w:val="auto"/>
                <w:szCs w:val="21"/>
              </w:rPr>
              <w:t>否，推荐的中标候选人数：3人。</w:t>
            </w:r>
          </w:p>
        </w:tc>
      </w:tr>
      <w:tr w14:paraId="45EB99A5">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right w:val="single" w:color="auto" w:sz="4" w:space="0"/>
            </w:tcBorders>
            <w:vAlign w:val="center"/>
          </w:tcPr>
          <w:p w14:paraId="3A971878">
            <w:pPr>
              <w:spacing w:line="0" w:lineRule="atLeast"/>
              <w:jc w:val="center"/>
              <w:rPr>
                <w:rFonts w:hint="eastAsia" w:ascii="宋体" w:hAnsi="宋体" w:cs="宋体"/>
                <w:color w:val="auto"/>
                <w:szCs w:val="21"/>
                <w:highlight w:val="yellow"/>
              </w:rPr>
            </w:pPr>
            <w:r>
              <w:rPr>
                <w:rFonts w:hint="eastAsia" w:ascii="宋体" w:hAnsi="宋体" w:cs="宋体"/>
                <w:color w:val="auto"/>
                <w:szCs w:val="21"/>
              </w:rPr>
              <w:t>7.2</w:t>
            </w:r>
          </w:p>
        </w:tc>
        <w:tc>
          <w:tcPr>
            <w:tcW w:w="2353" w:type="dxa"/>
            <w:tcBorders>
              <w:top w:val="single" w:color="auto" w:sz="4" w:space="0"/>
              <w:left w:val="single" w:color="auto" w:sz="4" w:space="0"/>
              <w:right w:val="single" w:color="auto" w:sz="4" w:space="0"/>
            </w:tcBorders>
            <w:vAlign w:val="center"/>
          </w:tcPr>
          <w:p w14:paraId="55C1C5C7">
            <w:pPr>
              <w:spacing w:line="0" w:lineRule="atLeast"/>
              <w:jc w:val="center"/>
              <w:rPr>
                <w:rFonts w:hint="eastAsia" w:ascii="宋体" w:hAnsi="宋体" w:cs="宋体"/>
                <w:color w:val="auto"/>
                <w:szCs w:val="21"/>
              </w:rPr>
            </w:pPr>
            <w:r>
              <w:rPr>
                <w:rFonts w:hint="eastAsia" w:ascii="宋体" w:hAnsi="宋体" w:cs="宋体"/>
                <w:color w:val="auto"/>
                <w:szCs w:val="21"/>
              </w:rPr>
              <w:t>中标候选人公示媒介</w:t>
            </w:r>
          </w:p>
        </w:tc>
        <w:tc>
          <w:tcPr>
            <w:tcW w:w="5659" w:type="dxa"/>
            <w:tcBorders>
              <w:top w:val="single" w:color="auto" w:sz="4" w:space="0"/>
              <w:left w:val="single" w:color="auto" w:sz="4" w:space="0"/>
              <w:right w:val="single" w:color="auto" w:sz="4" w:space="0"/>
            </w:tcBorders>
            <w:vAlign w:val="center"/>
          </w:tcPr>
          <w:p w14:paraId="289FB5B6">
            <w:pPr>
              <w:spacing w:line="0" w:lineRule="atLeast"/>
              <w:rPr>
                <w:rFonts w:hint="eastAsia" w:ascii="宋体" w:hAnsi="宋体" w:cs="宋体"/>
                <w:color w:val="auto"/>
                <w:szCs w:val="21"/>
              </w:rPr>
            </w:pPr>
            <w:r>
              <w:rPr>
                <w:rFonts w:hint="eastAsia" w:ascii="宋体" w:hAnsi="宋体" w:cs="宋体"/>
                <w:color w:val="auto"/>
                <w:szCs w:val="21"/>
              </w:rPr>
              <w:t>中国招标投标公共服务平台、广东省招标投标监管网、广州公共资源交易网、广州国企阳光采购信息发布平台</w:t>
            </w:r>
          </w:p>
        </w:tc>
      </w:tr>
      <w:tr w14:paraId="18CDE36D">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43EDE4FC">
            <w:pPr>
              <w:spacing w:line="0" w:lineRule="atLeast"/>
              <w:jc w:val="center"/>
              <w:rPr>
                <w:rFonts w:hint="eastAsia" w:ascii="宋体" w:hAnsi="宋体" w:cs="宋体"/>
                <w:color w:val="auto"/>
                <w:szCs w:val="21"/>
                <w:highlight w:val="yellow"/>
              </w:rPr>
            </w:pPr>
            <w:r>
              <w:rPr>
                <w:rFonts w:hint="eastAsia" w:ascii="宋体" w:hAnsi="宋体" w:cs="宋体"/>
                <w:color w:val="auto"/>
                <w:szCs w:val="21"/>
              </w:rPr>
              <w:t>7.4.1</w:t>
            </w:r>
          </w:p>
        </w:tc>
        <w:tc>
          <w:tcPr>
            <w:tcW w:w="2353" w:type="dxa"/>
            <w:tcBorders>
              <w:top w:val="single" w:color="auto" w:sz="4" w:space="0"/>
              <w:left w:val="single" w:color="auto" w:sz="4" w:space="0"/>
              <w:bottom w:val="single" w:color="auto" w:sz="4" w:space="0"/>
              <w:right w:val="single" w:color="auto" w:sz="4" w:space="0"/>
            </w:tcBorders>
            <w:vAlign w:val="center"/>
          </w:tcPr>
          <w:p w14:paraId="6F2D3658">
            <w:pPr>
              <w:spacing w:line="0" w:lineRule="atLeast"/>
              <w:jc w:val="center"/>
              <w:rPr>
                <w:rFonts w:hint="eastAsia" w:ascii="宋体" w:hAnsi="宋体" w:cs="宋体"/>
                <w:color w:val="auto"/>
                <w:szCs w:val="21"/>
              </w:rPr>
            </w:pPr>
            <w:r>
              <w:rPr>
                <w:rFonts w:hint="eastAsia" w:ascii="宋体" w:hAnsi="宋体" w:cs="宋体"/>
                <w:color w:val="auto"/>
                <w:szCs w:val="21"/>
              </w:rPr>
              <w:t>履约担保</w:t>
            </w:r>
          </w:p>
        </w:tc>
        <w:tc>
          <w:tcPr>
            <w:tcW w:w="5659" w:type="dxa"/>
            <w:tcBorders>
              <w:top w:val="single" w:color="auto" w:sz="4" w:space="0"/>
              <w:left w:val="single" w:color="auto" w:sz="4" w:space="0"/>
              <w:bottom w:val="single" w:color="auto" w:sz="4" w:space="0"/>
              <w:right w:val="single" w:color="auto" w:sz="4" w:space="0"/>
            </w:tcBorders>
            <w:vAlign w:val="center"/>
          </w:tcPr>
          <w:p w14:paraId="0BC9F46F">
            <w:pPr>
              <w:spacing w:line="0" w:lineRule="atLeast"/>
              <w:rPr>
                <w:rFonts w:hint="eastAsia" w:ascii="宋体" w:hAnsi="宋体" w:cs="宋体"/>
                <w:color w:val="auto"/>
                <w:szCs w:val="21"/>
              </w:rPr>
            </w:pPr>
            <w:r>
              <w:rPr>
                <w:rFonts w:hint="eastAsia" w:ascii="宋体" w:hAnsi="宋体" w:cs="宋体"/>
                <w:color w:val="auto"/>
                <w:szCs w:val="21"/>
              </w:rPr>
              <w:t>履约担保的形式：</w:t>
            </w:r>
            <w:r>
              <w:rPr>
                <w:rFonts w:hint="eastAsia" w:ascii="宋体" w:hAnsi="宋体" w:cs="宋体"/>
                <w:color w:val="auto"/>
                <w:kern w:val="0"/>
                <w:szCs w:val="21"/>
              </w:rPr>
              <w:t>以合同约定为准</w:t>
            </w:r>
            <w:r>
              <w:rPr>
                <w:rFonts w:hint="eastAsia" w:ascii="宋体" w:hAnsi="宋体" w:cs="宋体"/>
                <w:color w:val="auto"/>
                <w:szCs w:val="21"/>
              </w:rPr>
              <w:t>。</w:t>
            </w:r>
          </w:p>
          <w:p w14:paraId="4A9C461A">
            <w:pPr>
              <w:spacing w:line="0" w:lineRule="atLeast"/>
              <w:rPr>
                <w:rFonts w:hint="eastAsia" w:ascii="宋体" w:hAnsi="宋体" w:cs="宋体"/>
                <w:color w:val="auto"/>
              </w:rPr>
            </w:pPr>
            <w:r>
              <w:rPr>
                <w:rFonts w:hint="eastAsia" w:ascii="宋体" w:hAnsi="宋体" w:cs="宋体"/>
                <w:color w:val="auto"/>
                <w:szCs w:val="21"/>
              </w:rPr>
              <w:t>履约担保的金额：</w:t>
            </w:r>
            <w:r>
              <w:rPr>
                <w:rFonts w:hint="eastAsia" w:ascii="宋体" w:hAnsi="宋体" w:cs="宋体"/>
                <w:color w:val="auto"/>
              </w:rPr>
              <w:t>中标总价的</w:t>
            </w:r>
            <w:r>
              <w:rPr>
                <w:rFonts w:hint="eastAsia" w:ascii="宋体" w:hAnsi="宋体" w:cs="宋体"/>
                <w:color w:val="auto"/>
                <w:u w:val="single"/>
              </w:rPr>
              <w:t>10</w:t>
            </w:r>
            <w:r>
              <w:rPr>
                <w:rFonts w:hint="eastAsia" w:ascii="宋体" w:hAnsi="宋体" w:cs="宋体"/>
                <w:color w:val="auto"/>
              </w:rPr>
              <w:t>%，联合体投标的由联合体主办方提供。</w:t>
            </w:r>
          </w:p>
          <w:p w14:paraId="27706F65">
            <w:pPr>
              <w:spacing w:line="0" w:lineRule="atLeast"/>
              <w:rPr>
                <w:rFonts w:hint="eastAsia" w:ascii="宋体" w:hAnsi="宋体" w:cs="宋体"/>
                <w:color w:val="auto"/>
                <w:szCs w:val="21"/>
              </w:rPr>
            </w:pPr>
            <w:r>
              <w:rPr>
                <w:rFonts w:hint="eastAsia" w:ascii="宋体" w:hAnsi="宋体" w:cs="宋体"/>
                <w:color w:val="auto"/>
                <w:szCs w:val="21"/>
              </w:rPr>
              <w:t>担保期限从提供履约担保之日起至合同工程结算审定完成并移交工程档案后止。（履约保函到期但本项目未工程结算的，无论何种原因，投标人承诺无条件续保，如履约保函到期不提供续保则承担一般违约责任）</w:t>
            </w:r>
          </w:p>
        </w:tc>
      </w:tr>
      <w:tr w14:paraId="29AFF02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13169AF">
            <w:pPr>
              <w:spacing w:line="0" w:lineRule="atLeast"/>
              <w:jc w:val="center"/>
              <w:rPr>
                <w:rFonts w:hint="eastAsia" w:ascii="宋体" w:hAnsi="宋体" w:cs="宋体"/>
                <w:b/>
                <w:color w:val="auto"/>
                <w:szCs w:val="21"/>
              </w:rPr>
            </w:pPr>
            <w:r>
              <w:rPr>
                <w:rFonts w:hint="eastAsia" w:ascii="宋体" w:hAnsi="宋体" w:cs="宋体"/>
                <w:bCs/>
                <w:color w:val="auto"/>
                <w:szCs w:val="21"/>
              </w:rPr>
              <w:t>9</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3F8ED25E">
            <w:pPr>
              <w:spacing w:line="0" w:lineRule="atLeast"/>
              <w:jc w:val="center"/>
              <w:rPr>
                <w:rFonts w:hint="eastAsia" w:ascii="宋体" w:hAnsi="宋体" w:cs="宋体"/>
                <w:b/>
                <w:color w:val="auto"/>
                <w:szCs w:val="21"/>
              </w:rPr>
            </w:pPr>
            <w:r>
              <w:rPr>
                <w:rFonts w:hint="eastAsia" w:ascii="宋体" w:hAnsi="宋体" w:cs="宋体"/>
                <w:b/>
                <w:color w:val="auto"/>
                <w:szCs w:val="21"/>
              </w:rPr>
              <w:t>需要补充的其他内容</w:t>
            </w:r>
          </w:p>
        </w:tc>
      </w:tr>
      <w:tr w14:paraId="7D9B85E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073EADE">
            <w:pPr>
              <w:spacing w:line="0" w:lineRule="atLeast"/>
              <w:jc w:val="center"/>
              <w:rPr>
                <w:rFonts w:hint="eastAsia" w:ascii="宋体" w:hAnsi="宋体" w:cs="宋体"/>
                <w:color w:val="auto"/>
                <w:szCs w:val="21"/>
              </w:rPr>
            </w:pPr>
            <w:r>
              <w:rPr>
                <w:rFonts w:hint="eastAsia" w:ascii="宋体" w:hAnsi="宋体" w:cs="宋体"/>
                <w:color w:val="auto"/>
                <w:szCs w:val="21"/>
              </w:rPr>
              <w:t>9.1</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036C6DE8">
            <w:pPr>
              <w:spacing w:line="0" w:lineRule="atLeast"/>
              <w:rPr>
                <w:rFonts w:hint="eastAsia" w:ascii="宋体" w:hAnsi="宋体" w:cs="宋体"/>
                <w:color w:val="auto"/>
              </w:rPr>
            </w:pPr>
            <w:r>
              <w:rPr>
                <w:rFonts w:hint="eastAsia" w:ascii="宋体" w:hAnsi="宋体" w:cs="宋体"/>
                <w:color w:val="auto"/>
              </w:rPr>
              <w:t>建设工程质量检测单位：</w:t>
            </w:r>
          </w:p>
          <w:p w14:paraId="537E96B8">
            <w:pPr>
              <w:spacing w:line="0" w:lineRule="atLeast"/>
              <w:jc w:val="left"/>
              <w:rPr>
                <w:rFonts w:hint="eastAsia" w:ascii="宋体" w:hAnsi="宋体" w:cs="宋体"/>
                <w:b/>
                <w:color w:val="auto"/>
                <w:szCs w:val="21"/>
              </w:rPr>
            </w:pPr>
            <w:r>
              <w:rPr>
                <w:rFonts w:hint="eastAsia" w:ascii="宋体" w:hAnsi="宋体" w:cs="宋体"/>
                <w:color w:val="auto"/>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14:paraId="1CDB4672">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1B43ECE">
            <w:pPr>
              <w:spacing w:line="0" w:lineRule="atLeast"/>
              <w:jc w:val="center"/>
              <w:rPr>
                <w:rFonts w:hint="eastAsia" w:ascii="宋体" w:hAnsi="宋体" w:cs="宋体"/>
                <w:color w:val="auto"/>
                <w:szCs w:val="21"/>
              </w:rPr>
            </w:pPr>
            <w:r>
              <w:rPr>
                <w:rFonts w:hint="eastAsia" w:ascii="宋体" w:hAnsi="宋体" w:cs="宋体"/>
                <w:color w:val="auto"/>
                <w:szCs w:val="21"/>
              </w:rPr>
              <w:t>9.2</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606C724D">
            <w:pPr>
              <w:spacing w:line="0" w:lineRule="atLeast"/>
              <w:rPr>
                <w:rFonts w:hint="eastAsia" w:ascii="宋体" w:hAnsi="宋体" w:cs="宋体"/>
                <w:color w:val="auto"/>
              </w:rPr>
            </w:pPr>
            <w:r>
              <w:rPr>
                <w:rFonts w:hint="eastAsia" w:ascii="宋体" w:hAnsi="宋体" w:cs="宋体"/>
                <w:color w:val="auto"/>
              </w:rPr>
              <w:t>在招标和合同实施期间，招标人要求投标人和承包人遵守最高的道德标准。</w:t>
            </w:r>
          </w:p>
          <w:p w14:paraId="2240927D">
            <w:pPr>
              <w:spacing w:line="0" w:lineRule="atLeast"/>
              <w:rPr>
                <w:rFonts w:hint="eastAsia" w:ascii="宋体" w:hAnsi="宋体" w:cs="宋体"/>
                <w:color w:val="auto"/>
              </w:rPr>
            </w:pPr>
            <w:r>
              <w:rPr>
                <w:rFonts w:hint="eastAsia" w:ascii="宋体" w:hAnsi="宋体" w:cs="宋体"/>
                <w:color w:val="auto"/>
              </w:rPr>
              <w:t>1、对本条款的规定，特定义如下词汇：</w:t>
            </w:r>
          </w:p>
          <w:p w14:paraId="2426D1EC">
            <w:pPr>
              <w:spacing w:line="0" w:lineRule="atLeast"/>
              <w:rPr>
                <w:rFonts w:hint="eastAsia" w:ascii="宋体" w:hAnsi="宋体" w:cs="宋体"/>
                <w:color w:val="auto"/>
              </w:rPr>
            </w:pPr>
            <w:r>
              <w:rPr>
                <w:rFonts w:hint="eastAsia" w:ascii="宋体" w:hAnsi="宋体" w:cs="宋体"/>
                <w:color w:val="auto"/>
              </w:rPr>
              <w:t>1） “腐败行为”是指在招标或合同执行期间，通过提供、给予、接受或索要任何有价值的东西，从而影响招标人有关人员工作的行为；</w:t>
            </w:r>
          </w:p>
          <w:p w14:paraId="08E9C9AD">
            <w:pPr>
              <w:spacing w:line="0" w:lineRule="atLeast"/>
              <w:rPr>
                <w:rFonts w:hint="eastAsia" w:ascii="宋体" w:hAnsi="宋体" w:cs="宋体"/>
                <w:color w:val="auto"/>
              </w:rPr>
            </w:pPr>
            <w:r>
              <w:rPr>
                <w:rFonts w:hint="eastAsia" w:ascii="宋体" w:hAnsi="宋体" w:cs="宋体"/>
                <w:color w:val="auto"/>
              </w:rPr>
              <w:t>2） “欺诈行为”是指通过提供伪证影响招标或合同执行，从而损害招标人利益的行为；也包括投标人之间串通（在提交投标书之前或之后），人为地使招标过程失去竞争性，从而使招标人无法从公开的自由竞争中获得利益的行为。</w:t>
            </w:r>
          </w:p>
          <w:p w14:paraId="49661376">
            <w:pPr>
              <w:spacing w:line="0" w:lineRule="atLeast"/>
              <w:jc w:val="left"/>
              <w:rPr>
                <w:rFonts w:hint="eastAsia" w:ascii="宋体" w:hAnsi="宋体" w:cs="宋体"/>
                <w:color w:val="auto"/>
              </w:rPr>
            </w:pPr>
            <w:r>
              <w:rPr>
                <w:rFonts w:hint="eastAsia" w:ascii="宋体" w:hAnsi="宋体" w:cs="宋体"/>
                <w:color w:val="auto"/>
              </w:rPr>
              <w:t>2、如果投标人被认定在本招标的竞争中有腐败或欺诈行为，则会被取消投标资格。</w:t>
            </w:r>
          </w:p>
        </w:tc>
      </w:tr>
      <w:tr w14:paraId="6BDE4974">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412DDDF8">
            <w:pPr>
              <w:spacing w:line="0" w:lineRule="atLeast"/>
              <w:jc w:val="center"/>
              <w:rPr>
                <w:rFonts w:hint="eastAsia" w:ascii="宋体" w:hAnsi="宋体" w:cs="宋体"/>
                <w:b/>
                <w:color w:val="auto"/>
                <w:szCs w:val="21"/>
              </w:rPr>
            </w:pPr>
            <w:r>
              <w:rPr>
                <w:rFonts w:hint="eastAsia" w:ascii="宋体" w:hAnsi="宋体" w:cs="宋体"/>
                <w:color w:val="auto"/>
                <w:szCs w:val="21"/>
              </w:rPr>
              <w:t>9.3</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7C9147FF">
            <w:pPr>
              <w:rPr>
                <w:rFonts w:hint="eastAsia" w:ascii="宋体" w:hAnsi="宋体"/>
                <w:color w:val="auto"/>
              </w:rPr>
            </w:pPr>
            <w:r>
              <w:rPr>
                <w:rFonts w:hint="eastAsia" w:ascii="宋体" w:hAnsi="宋体"/>
                <w:color w:val="auto"/>
              </w:rPr>
              <w:t>1．职业健康安全管理目标：</w:t>
            </w:r>
          </w:p>
          <w:p w14:paraId="59BFAC23">
            <w:pPr>
              <w:rPr>
                <w:rFonts w:hint="eastAsia" w:ascii="宋体" w:hAnsi="宋体"/>
                <w:color w:val="auto"/>
                <w:szCs w:val="21"/>
              </w:rPr>
            </w:pPr>
            <w:r>
              <w:rPr>
                <w:rFonts w:hint="eastAsia" w:ascii="宋体" w:hAnsi="宋体"/>
                <w:color w:val="auto"/>
                <w:szCs w:val="21"/>
              </w:rPr>
              <w:t>1）杜绝发生一般事故等级及以上的伤亡事故且工伤责任事故死亡人数为零。</w:t>
            </w:r>
          </w:p>
          <w:p w14:paraId="50924B3B">
            <w:pPr>
              <w:rPr>
                <w:rFonts w:hint="eastAsia" w:ascii="宋体" w:hAnsi="宋体"/>
                <w:color w:val="auto"/>
                <w:szCs w:val="21"/>
              </w:rPr>
            </w:pPr>
            <w:r>
              <w:rPr>
                <w:rFonts w:hint="eastAsia" w:ascii="宋体" w:hAnsi="宋体"/>
                <w:color w:val="auto"/>
                <w:szCs w:val="21"/>
              </w:rPr>
              <w:t>2．环境管理目标：按相关部门最新文件执行。</w:t>
            </w:r>
          </w:p>
          <w:p w14:paraId="076B54CC">
            <w:pPr>
              <w:rPr>
                <w:rFonts w:hint="eastAsia" w:ascii="宋体" w:hAnsi="宋体"/>
                <w:color w:val="auto"/>
                <w:szCs w:val="21"/>
              </w:rPr>
            </w:pPr>
            <w:r>
              <w:rPr>
                <w:rFonts w:hint="eastAsia" w:ascii="宋体" w:hAnsi="宋体"/>
                <w:color w:val="auto"/>
                <w:szCs w:val="21"/>
              </w:rPr>
              <w:t>3．质量目标：按招标文件质量标准要求，具体按合同约定；</w:t>
            </w:r>
          </w:p>
          <w:p w14:paraId="37F84BDE">
            <w:pPr>
              <w:rPr>
                <w:rFonts w:hint="eastAsia" w:ascii="宋体" w:hAnsi="宋体"/>
                <w:color w:val="auto"/>
                <w:szCs w:val="21"/>
              </w:rPr>
            </w:pPr>
            <w:r>
              <w:rPr>
                <w:rFonts w:hint="eastAsia" w:ascii="宋体" w:hAnsi="宋体"/>
                <w:color w:val="auto"/>
                <w:szCs w:val="21"/>
              </w:rPr>
              <w:t>4．费用目标：确保项目总投资不超过工程概算金额，具体按合同约定；</w:t>
            </w:r>
          </w:p>
          <w:p w14:paraId="1AB74868">
            <w:pPr>
              <w:rPr>
                <w:rFonts w:hint="eastAsia" w:ascii="宋体" w:hAnsi="宋体"/>
                <w:color w:val="auto"/>
                <w:szCs w:val="21"/>
              </w:rPr>
            </w:pPr>
            <w:r>
              <w:rPr>
                <w:rFonts w:hint="eastAsia" w:ascii="宋体" w:hAnsi="宋体"/>
                <w:color w:val="auto"/>
                <w:szCs w:val="21"/>
              </w:rPr>
              <w:t>5．进度目标：确保项目建设进度满足招标文件工期要求，具体按合同约定。</w:t>
            </w:r>
          </w:p>
          <w:p w14:paraId="2223C3B1">
            <w:pPr>
              <w:spacing w:line="0" w:lineRule="atLeast"/>
              <w:rPr>
                <w:rFonts w:hint="eastAsia" w:ascii="宋体" w:hAnsi="宋体" w:cs="宋体"/>
                <w:color w:val="auto"/>
              </w:rPr>
            </w:pPr>
            <w:r>
              <w:rPr>
                <w:rFonts w:hint="eastAsia" w:ascii="宋体" w:hAnsi="宋体"/>
                <w:color w:val="auto"/>
                <w:szCs w:val="21"/>
              </w:rPr>
              <w:t>6. 安全文明标准：</w:t>
            </w:r>
            <w:r>
              <w:rPr>
                <w:rFonts w:hint="eastAsia" w:ascii="宋体" w:hAnsi="宋体"/>
                <w:color w:val="auto"/>
                <w:szCs w:val="21"/>
                <w:u w:val="single"/>
              </w:rPr>
              <w:t>需要达到安全文明样板工地标准。</w:t>
            </w:r>
          </w:p>
        </w:tc>
      </w:tr>
      <w:tr w14:paraId="22A8054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EA5F1CB">
            <w:pPr>
              <w:jc w:val="center"/>
              <w:rPr>
                <w:rFonts w:hint="eastAsia" w:ascii="宋体" w:hAnsi="宋体"/>
                <w:color w:val="auto"/>
                <w:szCs w:val="21"/>
              </w:rPr>
            </w:pPr>
            <w:r>
              <w:rPr>
                <w:rFonts w:hint="eastAsia" w:ascii="宋体" w:hAnsi="宋体"/>
                <w:color w:val="auto"/>
                <w:szCs w:val="21"/>
              </w:rPr>
              <w:t>9.4</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0677ABC2">
            <w:pPr>
              <w:rPr>
                <w:rFonts w:hint="eastAsia" w:ascii="宋体" w:hAnsi="宋体"/>
                <w:color w:val="auto"/>
                <w:szCs w:val="21"/>
              </w:rPr>
            </w:pPr>
            <w:r>
              <w:rPr>
                <w:rFonts w:hint="eastAsia" w:ascii="宋体" w:hAnsi="宋体"/>
                <w:color w:val="auto"/>
                <w:szCs w:val="21"/>
              </w:rPr>
              <w:t>施工保修期限：按照《建设工程质量管理条例》规定。</w:t>
            </w:r>
          </w:p>
        </w:tc>
      </w:tr>
      <w:tr w14:paraId="75A19537">
        <w:tblPrEx>
          <w:tblCellMar>
            <w:top w:w="0" w:type="dxa"/>
            <w:left w:w="108" w:type="dxa"/>
            <w:bottom w:w="0" w:type="dxa"/>
            <w:right w:w="108" w:type="dxa"/>
          </w:tblCellMar>
        </w:tblPrEx>
        <w:trPr>
          <w:trHeight w:val="933" w:hRule="atLeast"/>
        </w:trPr>
        <w:tc>
          <w:tcPr>
            <w:tcW w:w="1165" w:type="dxa"/>
            <w:tcBorders>
              <w:top w:val="single" w:color="auto" w:sz="4" w:space="0"/>
              <w:left w:val="single" w:color="auto" w:sz="4" w:space="0"/>
              <w:bottom w:val="single" w:color="auto" w:sz="4" w:space="0"/>
              <w:right w:val="single" w:color="auto" w:sz="4" w:space="0"/>
            </w:tcBorders>
            <w:vAlign w:val="center"/>
          </w:tcPr>
          <w:p w14:paraId="5060F6BA">
            <w:pPr>
              <w:jc w:val="center"/>
              <w:rPr>
                <w:rFonts w:hint="eastAsia" w:ascii="宋体" w:hAnsi="宋体"/>
                <w:color w:val="auto"/>
                <w:szCs w:val="21"/>
              </w:rPr>
            </w:pPr>
            <w:r>
              <w:rPr>
                <w:rFonts w:hint="eastAsia" w:ascii="宋体" w:hAnsi="宋体"/>
                <w:color w:val="auto"/>
                <w:szCs w:val="21"/>
              </w:rPr>
              <w:t>9.5</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5E66B3C9">
            <w:pPr>
              <w:rPr>
                <w:rFonts w:hint="eastAsia" w:ascii="宋体" w:hAnsi="宋体"/>
                <w:bCs/>
                <w:snapToGrid w:val="0"/>
                <w:color w:val="auto"/>
                <w:kern w:val="0"/>
                <w:szCs w:val="21"/>
              </w:rPr>
            </w:pPr>
            <w:r>
              <w:rPr>
                <w:rFonts w:hint="eastAsia" w:ascii="宋体" w:hAnsi="宋体"/>
                <w:color w:val="auto"/>
              </w:rPr>
              <w:t>承包方式：</w:t>
            </w:r>
            <w:r>
              <w:rPr>
                <w:rFonts w:hint="eastAsia" w:ascii="宋体" w:hAnsi="宋体" w:cs="宋体"/>
                <w:color w:val="auto"/>
                <w:u w:val="single"/>
              </w:rPr>
              <w:t>包设计（包括深化设计及编制工程概算、施工图设计）、包施工（包工、包料、包工期、包质量、包安全、包文明施工、包消防报建等、包联动调试、包验收（含消防等）、包保修）。</w:t>
            </w:r>
          </w:p>
        </w:tc>
      </w:tr>
      <w:tr w14:paraId="3B076134">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2AD64CD">
            <w:pPr>
              <w:widowControl/>
              <w:jc w:val="center"/>
              <w:rPr>
                <w:rFonts w:hint="eastAsia" w:ascii="宋体" w:hAnsi="宋体"/>
                <w:color w:val="auto"/>
                <w:kern w:val="0"/>
                <w:szCs w:val="21"/>
              </w:rPr>
            </w:pPr>
            <w:r>
              <w:rPr>
                <w:rFonts w:hint="eastAsia" w:ascii="宋体" w:hAnsi="宋体"/>
                <w:color w:val="auto"/>
                <w:kern w:val="0"/>
                <w:szCs w:val="21"/>
              </w:rPr>
              <w:t>9.6</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3A3DFCFE">
            <w:pPr>
              <w:widowControl/>
              <w:rPr>
                <w:rFonts w:hint="eastAsia" w:ascii="宋体" w:hAnsi="宋体"/>
                <w:color w:val="auto"/>
              </w:rPr>
            </w:pPr>
            <w:r>
              <w:rPr>
                <w:rFonts w:hint="eastAsia" w:ascii="宋体" w:hAnsi="宋体"/>
                <w:color w:val="auto"/>
              </w:rPr>
              <w:t>根据相关规定本项目如需办理规划许可证的，投标人需根据相关文件协助招标人办理。</w:t>
            </w:r>
          </w:p>
        </w:tc>
      </w:tr>
      <w:tr w14:paraId="4217BF2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5E3883B">
            <w:pPr>
              <w:widowControl/>
              <w:jc w:val="center"/>
              <w:rPr>
                <w:rFonts w:hint="eastAsia" w:ascii="宋体" w:hAnsi="宋体"/>
                <w:color w:val="auto"/>
                <w:kern w:val="0"/>
                <w:szCs w:val="21"/>
              </w:rPr>
            </w:pPr>
            <w:r>
              <w:rPr>
                <w:rFonts w:hint="eastAsia" w:ascii="宋体" w:hAnsi="宋体"/>
                <w:color w:val="auto"/>
                <w:kern w:val="0"/>
                <w:szCs w:val="21"/>
              </w:rPr>
              <w:t>9.7</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6A1E38FE">
            <w:pPr>
              <w:widowControl/>
              <w:rPr>
                <w:rFonts w:hint="eastAsia" w:ascii="宋体" w:hAnsi="宋体"/>
                <w:color w:val="auto"/>
              </w:rPr>
            </w:pPr>
            <w:r>
              <w:rPr>
                <w:rFonts w:hint="eastAsia" w:ascii="宋体" w:hAnsi="宋体"/>
                <w:color w:val="auto"/>
              </w:rPr>
              <w:t>投标总报价下浮大于</w:t>
            </w:r>
            <w:r>
              <w:rPr>
                <w:rFonts w:hint="eastAsia" w:ascii="宋体" w:hAnsi="宋体"/>
                <w:color w:val="auto"/>
                <w:lang w:val="en-US" w:eastAsia="zh-CN"/>
              </w:rPr>
              <w:t>10</w:t>
            </w:r>
            <w:r>
              <w:rPr>
                <w:rFonts w:hint="eastAsia" w:ascii="宋体" w:hAnsi="宋体"/>
                <w:color w:val="auto"/>
              </w:rPr>
              <w:t>%不进入评标参考价计算。</w:t>
            </w:r>
          </w:p>
        </w:tc>
      </w:tr>
      <w:tr w14:paraId="3D2EF4DA">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4C1FB6DF">
            <w:pPr>
              <w:widowControl/>
              <w:jc w:val="center"/>
              <w:rPr>
                <w:rFonts w:hint="eastAsia" w:ascii="宋体" w:hAnsi="宋体"/>
                <w:color w:val="auto"/>
                <w:kern w:val="0"/>
                <w:szCs w:val="21"/>
              </w:rPr>
            </w:pPr>
            <w:r>
              <w:rPr>
                <w:rFonts w:hint="eastAsia" w:ascii="宋体" w:hAnsi="宋体"/>
                <w:color w:val="auto"/>
                <w:kern w:val="0"/>
                <w:szCs w:val="21"/>
              </w:rPr>
              <w:t>9.8</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1B121C86">
            <w:pPr>
              <w:pStyle w:val="35"/>
              <w:tabs>
                <w:tab w:val="left" w:pos="7380"/>
              </w:tabs>
              <w:spacing w:after="0" w:line="360" w:lineRule="exact"/>
              <w:ind w:firstLine="0"/>
              <w:rPr>
                <w:rFonts w:hint="eastAsia" w:ascii="宋体" w:hAnsi="宋体" w:cs="宋体"/>
                <w:color w:val="auto"/>
                <w:sz w:val="21"/>
                <w:szCs w:val="21"/>
              </w:rPr>
            </w:pPr>
            <w:r>
              <w:rPr>
                <w:rFonts w:hint="eastAsia" w:ascii="宋体" w:hAnsi="宋体" w:cs="宋体"/>
                <w:color w:val="auto"/>
                <w:sz w:val="21"/>
                <w:szCs w:val="21"/>
              </w:rPr>
              <w:t>内容：招标人对中标人参与“百千万工程”的具体要求：无</w:t>
            </w:r>
          </w:p>
          <w:p w14:paraId="103EC7C8">
            <w:pPr>
              <w:pStyle w:val="35"/>
              <w:tabs>
                <w:tab w:val="left" w:pos="7380"/>
              </w:tabs>
              <w:spacing w:after="0" w:line="360" w:lineRule="exact"/>
              <w:ind w:firstLine="0"/>
              <w:rPr>
                <w:rFonts w:hint="eastAsia" w:ascii="宋体" w:hAnsi="宋体" w:cs="宋体"/>
                <w:color w:val="auto"/>
                <w:sz w:val="21"/>
                <w:szCs w:val="21"/>
              </w:rPr>
            </w:pPr>
            <w:r>
              <w:rPr>
                <w:rFonts w:hint="eastAsia" w:ascii="宋体" w:hAnsi="宋体" w:cs="宋体"/>
                <w:color w:val="auto"/>
                <w:sz w:val="21"/>
                <w:szCs w:val="21"/>
              </w:rPr>
              <w:t>说明与要求：</w:t>
            </w:r>
          </w:p>
          <w:p w14:paraId="6ADE2F47">
            <w:pPr>
              <w:spacing w:line="360" w:lineRule="exact"/>
              <w:rPr>
                <w:rFonts w:hint="eastAsia" w:ascii="宋体" w:hAnsi="宋体" w:cs="宋体"/>
                <w:color w:val="auto"/>
                <w:kern w:val="0"/>
                <w:szCs w:val="21"/>
                <w:lang w:val="zh-CN"/>
              </w:rPr>
            </w:pPr>
            <w:r>
              <w:rPr>
                <w:rFonts w:hint="eastAsia" w:ascii="宋体" w:hAnsi="宋体" w:cs="宋体"/>
                <w:color w:val="auto"/>
                <w:kern w:val="0"/>
                <w:szCs w:val="21"/>
                <w:lang w:val="zh-CN"/>
              </w:rPr>
              <w:t>□具体要求在中标后按照投标承诺和招标人的要求执行。</w:t>
            </w:r>
          </w:p>
          <w:p w14:paraId="2477D0FB">
            <w:pPr>
              <w:widowControl/>
              <w:rPr>
                <w:rFonts w:hint="eastAsia" w:ascii="宋体" w:hAnsi="宋体" w:cs="宋体"/>
                <w:color w:val="auto"/>
                <w:szCs w:val="21"/>
              </w:rPr>
            </w:pPr>
            <w:r>
              <w:rPr>
                <w:rFonts w:hint="eastAsia" w:ascii="宋体" w:hAnsi="宋体" w:cs="宋体"/>
                <w:color w:val="auto"/>
                <w:kern w:val="0"/>
                <w:szCs w:val="21"/>
                <w:lang w:val="zh-CN"/>
              </w:rPr>
              <w:t>□具体要求：（由招标人填写）</w:t>
            </w:r>
          </w:p>
        </w:tc>
      </w:tr>
      <w:tr w14:paraId="3A951D2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F137BB7">
            <w:pPr>
              <w:spacing w:line="0" w:lineRule="atLeast"/>
              <w:jc w:val="center"/>
              <w:rPr>
                <w:rFonts w:hint="eastAsia" w:ascii="宋体" w:hAnsi="宋体" w:cs="宋体"/>
                <w:color w:val="auto"/>
                <w:szCs w:val="21"/>
              </w:rPr>
            </w:pPr>
            <w:r>
              <w:rPr>
                <w:rFonts w:hint="eastAsia" w:ascii="宋体" w:hAnsi="宋体" w:cs="宋体"/>
                <w:color w:val="auto"/>
                <w:szCs w:val="21"/>
              </w:rPr>
              <w:t>10</w:t>
            </w:r>
          </w:p>
        </w:tc>
        <w:tc>
          <w:tcPr>
            <w:tcW w:w="2353" w:type="dxa"/>
            <w:tcBorders>
              <w:top w:val="single" w:color="auto" w:sz="4" w:space="0"/>
              <w:left w:val="single" w:color="auto" w:sz="4" w:space="0"/>
              <w:bottom w:val="single" w:color="auto" w:sz="4" w:space="0"/>
              <w:right w:val="single" w:color="auto" w:sz="4" w:space="0"/>
            </w:tcBorders>
            <w:vAlign w:val="center"/>
          </w:tcPr>
          <w:p w14:paraId="609DEC0E">
            <w:pPr>
              <w:spacing w:line="0" w:lineRule="atLeast"/>
              <w:jc w:val="center"/>
              <w:rPr>
                <w:rFonts w:hint="eastAsia" w:ascii="宋体" w:hAnsi="宋体" w:cs="宋体"/>
                <w:color w:val="auto"/>
                <w:szCs w:val="21"/>
              </w:rPr>
            </w:pPr>
            <w:r>
              <w:rPr>
                <w:rFonts w:hint="eastAsia" w:ascii="宋体" w:hAnsi="宋体" w:cs="宋体"/>
                <w:color w:val="auto"/>
                <w:szCs w:val="21"/>
              </w:rPr>
              <w:t>电子招标投标</w:t>
            </w:r>
          </w:p>
        </w:tc>
        <w:tc>
          <w:tcPr>
            <w:tcW w:w="5659" w:type="dxa"/>
            <w:tcBorders>
              <w:top w:val="single" w:color="auto" w:sz="4" w:space="0"/>
              <w:left w:val="single" w:color="auto" w:sz="4" w:space="0"/>
              <w:bottom w:val="single" w:color="auto" w:sz="4" w:space="0"/>
              <w:right w:val="single" w:color="auto" w:sz="4" w:space="0"/>
            </w:tcBorders>
            <w:vAlign w:val="center"/>
          </w:tcPr>
          <w:p w14:paraId="02B02C56">
            <w:pPr>
              <w:spacing w:line="0" w:lineRule="atLeast"/>
              <w:rPr>
                <w:rFonts w:hint="eastAsia" w:ascii="宋体" w:hAnsi="宋体" w:cs="宋体"/>
                <w:color w:val="auto"/>
              </w:rPr>
            </w:pPr>
            <w:r>
              <w:rPr>
                <w:rFonts w:hint="eastAsia" w:ascii="宋体" w:hAnsi="宋体" w:cs="宋体"/>
                <w:color w:val="auto"/>
              </w:rPr>
              <w:t>□否</w:t>
            </w:r>
          </w:p>
          <w:p w14:paraId="69E6C98A">
            <w:pPr>
              <w:spacing w:line="0" w:lineRule="atLeast"/>
              <w:rPr>
                <w:rFonts w:hint="eastAsia" w:ascii="宋体" w:hAnsi="宋体" w:cs="宋体"/>
                <w:color w:val="auto"/>
              </w:rPr>
            </w:pPr>
            <w:r>
              <w:rPr>
                <w:rFonts w:hint="eastAsia" w:ascii="宋体" w:hAnsi="宋体" w:cs="宋体"/>
                <w:color w:val="auto"/>
              </w:rPr>
              <w:t>■是，具体要求：</w:t>
            </w:r>
          </w:p>
          <w:p w14:paraId="15F0B793">
            <w:pPr>
              <w:pStyle w:val="19"/>
              <w:spacing w:line="0" w:lineRule="atLeast"/>
              <w:rPr>
                <w:rFonts w:hint="eastAsia" w:ascii="宋体" w:hAnsi="宋体" w:eastAsia="宋体" w:cs="宋体"/>
                <w:color w:val="auto"/>
              </w:rPr>
            </w:pPr>
            <w:r>
              <w:rPr>
                <w:rFonts w:hint="eastAsia" w:ascii="宋体" w:hAnsi="宋体" w:eastAsia="宋体" w:cs="宋体"/>
                <w:color w:val="auto"/>
              </w:rPr>
              <w:t>1、投标文件形式：投标文件全部采用电子文档，投标文件应按交易平台相关操作指南编制。如不按上述要求编制引起系统无法检索、读取相关信息的，其后果由投标人承担。投标文件所附证书证件均为原件扫描件，并采用单位数字证书，按招标文件要求在相应位置加盖电子印章。投标文件中需个人签字或盖章的，应在线下完成后扫描上传。具体操作详见交易平台相关操作指南。</w:t>
            </w:r>
          </w:p>
          <w:p w14:paraId="016F094C">
            <w:pPr>
              <w:pStyle w:val="19"/>
              <w:spacing w:line="0" w:lineRule="atLeast"/>
              <w:rPr>
                <w:rFonts w:hint="eastAsia" w:ascii="宋体" w:hAnsi="宋体" w:eastAsia="宋体" w:cs="宋体"/>
                <w:color w:val="auto"/>
              </w:rPr>
            </w:pPr>
            <w:r>
              <w:rPr>
                <w:rFonts w:hint="eastAsia" w:ascii="宋体" w:hAnsi="宋体" w:eastAsia="宋体" w:cs="宋体"/>
                <w:color w:val="auto"/>
              </w:rPr>
              <w:t>2、投标文件的修改与撤回：投标人修改或撤回已递交的投标文件，需在交易平台发出撤回通知，并按要求加盖电子印章。电子招标投标交易平台收到通知后，即时向投标人发出确认回执通知。</w:t>
            </w:r>
          </w:p>
          <w:p w14:paraId="6B2D7287">
            <w:pPr>
              <w:pStyle w:val="19"/>
              <w:spacing w:line="0" w:lineRule="atLeast"/>
              <w:rPr>
                <w:rFonts w:hint="eastAsia" w:ascii="宋体" w:hAnsi="宋体" w:eastAsia="宋体" w:cs="宋体"/>
                <w:color w:val="auto"/>
              </w:rPr>
            </w:pPr>
            <w:r>
              <w:rPr>
                <w:rFonts w:hint="eastAsia" w:ascii="宋体" w:hAnsi="宋体" w:eastAsia="宋体" w:cs="宋体"/>
                <w:color w:val="auto"/>
              </w:rPr>
              <w:t>3、（重要风险提示）</w:t>
            </w:r>
          </w:p>
          <w:p w14:paraId="0C86D42C">
            <w:pPr>
              <w:spacing w:line="0" w:lineRule="atLeast"/>
              <w:rPr>
                <w:rFonts w:hint="eastAsia" w:ascii="宋体" w:hAnsi="宋体" w:cs="宋体"/>
                <w:color w:val="auto"/>
                <w:szCs w:val="22"/>
              </w:rPr>
            </w:pPr>
            <w:r>
              <w:rPr>
                <w:rFonts w:hint="eastAsia" w:ascii="宋体" w:hAnsi="宋体" w:cs="宋体"/>
                <w:color w:val="auto"/>
                <w:szCs w:val="22"/>
              </w:rPr>
              <w:t>（1）投标人可使用投标文件制作工具生成非加密的电子投标文件载入备用光盘(或U盘)，并分别用不透明信封密封。在规定的时间、地点提交备用，具体要求：</w:t>
            </w:r>
          </w:p>
          <w:p w14:paraId="3EB0BA59">
            <w:pPr>
              <w:spacing w:line="0" w:lineRule="atLeast"/>
              <w:rPr>
                <w:rFonts w:hint="eastAsia" w:ascii="宋体" w:hAnsi="宋体" w:cs="宋体"/>
                <w:color w:val="auto"/>
                <w:szCs w:val="22"/>
              </w:rPr>
            </w:pPr>
            <w:r>
              <w:rPr>
                <w:rFonts w:hint="eastAsia" w:ascii="宋体" w:hAnsi="宋体" w:cs="宋体"/>
                <w:color w:val="auto"/>
                <w:szCs w:val="22"/>
              </w:rPr>
              <w:t>①备用光盘(或U盘)一：工程总承包实施方案投标文件（含资格审查文件）；</w:t>
            </w:r>
          </w:p>
          <w:p w14:paraId="54D67B3D">
            <w:pPr>
              <w:spacing w:line="0" w:lineRule="atLeast"/>
              <w:rPr>
                <w:rFonts w:hint="eastAsia" w:ascii="宋体" w:hAnsi="宋体" w:cs="宋体"/>
                <w:color w:val="auto"/>
                <w:szCs w:val="22"/>
              </w:rPr>
            </w:pPr>
            <w:r>
              <w:rPr>
                <w:rFonts w:hint="eastAsia" w:ascii="宋体" w:hAnsi="宋体" w:cs="宋体"/>
                <w:color w:val="auto"/>
                <w:szCs w:val="22"/>
              </w:rPr>
              <w:t>②备用光盘(或U盘)二：设计方案投标文件；</w:t>
            </w:r>
          </w:p>
          <w:p w14:paraId="7BCC70F0">
            <w:pPr>
              <w:spacing w:line="0" w:lineRule="atLeast"/>
              <w:rPr>
                <w:rFonts w:hint="eastAsia" w:ascii="宋体" w:hAnsi="宋体" w:cs="宋体"/>
                <w:color w:val="auto"/>
                <w:szCs w:val="22"/>
              </w:rPr>
            </w:pPr>
            <w:r>
              <w:rPr>
                <w:rFonts w:hint="eastAsia" w:ascii="宋体" w:hAnsi="宋体" w:cs="宋体"/>
                <w:color w:val="auto"/>
                <w:szCs w:val="22"/>
              </w:rPr>
              <w:t>注：设计方案投标文件采用暗标。</w:t>
            </w:r>
          </w:p>
          <w:p w14:paraId="15E042F5">
            <w:pPr>
              <w:spacing w:line="0" w:lineRule="atLeast"/>
              <w:rPr>
                <w:rFonts w:hint="eastAsia" w:ascii="宋体" w:hAnsi="宋体" w:cs="宋体"/>
                <w:color w:val="auto"/>
                <w:szCs w:val="22"/>
              </w:rPr>
            </w:pPr>
            <w:r>
              <w:rPr>
                <w:rFonts w:hint="eastAsia" w:ascii="宋体" w:hAnsi="宋体" w:cs="宋体"/>
                <w:color w:val="auto"/>
                <w:szCs w:val="22"/>
              </w:rPr>
              <w:t>③备用光盘(或U盘)三：保密信封；</w:t>
            </w:r>
          </w:p>
          <w:p w14:paraId="7FE99613">
            <w:pPr>
              <w:spacing w:line="0" w:lineRule="atLeast"/>
              <w:rPr>
                <w:rFonts w:hint="eastAsia" w:ascii="宋体" w:hAnsi="宋体" w:cs="宋体"/>
                <w:color w:val="auto"/>
                <w:szCs w:val="22"/>
              </w:rPr>
            </w:pPr>
            <w:r>
              <w:rPr>
                <w:rFonts w:hint="eastAsia" w:ascii="宋体" w:hAnsi="宋体" w:cs="宋体"/>
                <w:color w:val="auto"/>
                <w:szCs w:val="22"/>
              </w:rPr>
              <w:t>注：内含A3规格制作的效果表现图电子版1张并加盖投标人电子印章，用于辨认投标人身份。</w:t>
            </w:r>
          </w:p>
          <w:p w14:paraId="0E6C35CF">
            <w:pPr>
              <w:spacing w:line="0" w:lineRule="atLeast"/>
              <w:rPr>
                <w:rFonts w:hint="eastAsia" w:ascii="宋体" w:hAnsi="宋体" w:cs="宋体"/>
                <w:color w:val="auto"/>
                <w:szCs w:val="22"/>
              </w:rPr>
            </w:pPr>
            <w:r>
              <w:rPr>
                <w:rFonts w:hint="eastAsia" w:ascii="宋体" w:hAnsi="宋体" w:cs="宋体"/>
                <w:color w:val="auto"/>
                <w:szCs w:val="22"/>
              </w:rPr>
              <w:t>（2）封装方式:</w:t>
            </w:r>
          </w:p>
          <w:p w14:paraId="0EE67706">
            <w:pPr>
              <w:spacing w:line="0" w:lineRule="atLeast"/>
              <w:rPr>
                <w:rFonts w:hint="eastAsia" w:ascii="宋体" w:hAnsi="宋体" w:cs="宋体"/>
                <w:color w:val="auto"/>
                <w:szCs w:val="22"/>
              </w:rPr>
            </w:pPr>
            <w:r>
              <w:rPr>
                <w:rFonts w:hint="eastAsia" w:ascii="宋体" w:hAnsi="宋体" w:cs="宋体"/>
                <w:color w:val="auto"/>
                <w:szCs w:val="22"/>
              </w:rPr>
              <w:t>①“设计方案投标文件”、“保密信封”的备用光盘(或U盘)信封封面除了标注“项目名称设计方案投标文件”、“保密信封”字样外不得出现可以辨认投标人及专业技术人员身份的名称、印章、商标、图形等记认符号。</w:t>
            </w:r>
          </w:p>
          <w:p w14:paraId="113A1C47">
            <w:pPr>
              <w:spacing w:line="0" w:lineRule="atLeast"/>
              <w:rPr>
                <w:rFonts w:hint="eastAsia" w:ascii="宋体" w:hAnsi="宋体" w:cs="宋体"/>
                <w:color w:val="auto"/>
                <w:szCs w:val="22"/>
              </w:rPr>
            </w:pPr>
            <w:r>
              <w:rPr>
                <w:rFonts w:hint="eastAsia" w:ascii="宋体" w:hAnsi="宋体" w:cs="宋体"/>
                <w:color w:val="auto"/>
                <w:szCs w:val="22"/>
              </w:rPr>
              <w:t>②其余备用光盘(或U盘) 信封封面写明：项目名称、      投标文件、投标人单位名称、“年月日”并加盖投标人公章（联合体投标的，“投标人”一栏需书写所有联合体成员的单位全称，由牵头单位签署、盖章）；</w:t>
            </w:r>
          </w:p>
          <w:p w14:paraId="028E6059">
            <w:pPr>
              <w:spacing w:line="0" w:lineRule="atLeast"/>
              <w:rPr>
                <w:rFonts w:hint="eastAsia" w:ascii="宋体" w:hAnsi="宋体" w:cs="宋体"/>
                <w:color w:val="auto"/>
                <w:szCs w:val="22"/>
              </w:rPr>
            </w:pPr>
            <w:r>
              <w:rPr>
                <w:rFonts w:hint="eastAsia" w:ascii="宋体" w:hAnsi="宋体" w:cs="宋体"/>
                <w:color w:val="auto"/>
                <w:szCs w:val="22"/>
              </w:rPr>
              <w:t>（3）备用光盘(或U盘)份数：共3份。</w:t>
            </w:r>
          </w:p>
          <w:p w14:paraId="44B3D1E6">
            <w:pPr>
              <w:spacing w:line="0" w:lineRule="atLeast"/>
              <w:rPr>
                <w:rFonts w:hint="eastAsia" w:ascii="宋体" w:hAnsi="宋体" w:cs="宋体"/>
                <w:color w:val="auto"/>
                <w:szCs w:val="22"/>
                <w:highlight w:val="none"/>
              </w:rPr>
            </w:pPr>
            <w:r>
              <w:rPr>
                <w:rFonts w:hint="eastAsia" w:ascii="宋体" w:hAnsi="宋体" w:cs="宋体"/>
                <w:color w:val="auto"/>
                <w:szCs w:val="22"/>
              </w:rPr>
              <w:t>（4）投标文件备用光盘(或U盘)无法读取或导入的，则视为未提交投标文件备用光盘(或U盘)。如果投标人没有按规定通过广州交易集团有限公司（广州公共资源交易中心）交易平台网上递交电子投标文件的，不再读取提交的备用光盘(或U盘)。投标人也可不提交投标文件备用光盘(或U盘)。</w:t>
            </w:r>
            <w:r>
              <w:rPr>
                <w:rFonts w:hint="eastAsia" w:ascii="宋体" w:hAnsi="宋体" w:cs="宋体"/>
                <w:color w:val="auto"/>
                <w:szCs w:val="22"/>
                <w:highlight w:val="none"/>
              </w:rPr>
              <w:t>投标人也可不提交投标文件光盘或u盘(备用)。</w:t>
            </w:r>
          </w:p>
          <w:p w14:paraId="05E86828">
            <w:pPr>
              <w:pStyle w:val="19"/>
              <w:spacing w:line="0" w:lineRule="atLeast"/>
              <w:rPr>
                <w:rFonts w:hint="eastAsia" w:ascii="宋体" w:hAnsi="宋体" w:eastAsia="宋体" w:cs="宋体"/>
                <w:color w:val="auto"/>
                <w:highlight w:val="none"/>
              </w:rPr>
            </w:pPr>
            <w:r>
              <w:rPr>
                <w:rFonts w:hint="eastAsia" w:ascii="宋体" w:hAnsi="宋体" w:eastAsia="宋体" w:cs="宋体"/>
                <w:color w:val="auto"/>
                <w:highlight w:val="none"/>
              </w:rPr>
              <w:t>4、投标文件的递交：</w:t>
            </w:r>
          </w:p>
          <w:p w14:paraId="513B87B1">
            <w:pPr>
              <w:pStyle w:val="19"/>
              <w:spacing w:line="0" w:lineRule="atLeast"/>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投标文件递交的截止时间（投标截止时间，下同）为2024年  月  日  时  分，投标人应在截止时间前通过电子招标投标交易平台递交电子投标文件。</w:t>
            </w:r>
          </w:p>
          <w:p w14:paraId="36C428A7">
            <w:pPr>
              <w:pStyle w:val="19"/>
              <w:spacing w:line="0" w:lineRule="atLeast"/>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提交投标文件备用光盘或u盘。</w:t>
            </w:r>
          </w:p>
          <w:p w14:paraId="7FE42FC2">
            <w:pPr>
              <w:pStyle w:val="19"/>
              <w:spacing w:line="0" w:lineRule="atLeast"/>
              <w:rPr>
                <w:rFonts w:hint="eastAsia" w:ascii="宋体" w:hAnsi="宋体" w:eastAsia="宋体" w:cs="宋体"/>
                <w:color w:val="auto"/>
                <w:highlight w:val="none"/>
              </w:rPr>
            </w:pPr>
            <w:r>
              <w:rPr>
                <w:rFonts w:hint="eastAsia" w:ascii="宋体" w:hAnsi="宋体" w:eastAsia="宋体" w:cs="宋体"/>
                <w:color w:val="auto"/>
                <w:highlight w:val="none"/>
              </w:rPr>
              <w:t>投标文件光盘或u盘(备用)递交时间：2024年  月  日  时  分至2024年  月  日  时  分，地点：广州公共资源交易中心第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室开标室。</w:t>
            </w:r>
          </w:p>
          <w:p w14:paraId="562A60B4">
            <w:pPr>
              <w:pStyle w:val="19"/>
              <w:spacing w:line="0" w:lineRule="atLeast"/>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投标人完成电子投标上传后，电子招标投标交易平台即时向投标人发出递交回执通知。递交时间以递交回执通知载明的传输时间为准。</w:t>
            </w:r>
          </w:p>
          <w:p w14:paraId="30D34BB1">
            <w:pPr>
              <w:pStyle w:val="19"/>
              <w:spacing w:line="0" w:lineRule="atLeast"/>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逾期送达的投标文件，电子招标投标交易平台将予以拒收。</w:t>
            </w:r>
          </w:p>
          <w:p w14:paraId="17D57D59">
            <w:pPr>
              <w:pStyle w:val="19"/>
              <w:spacing w:line="0" w:lineRule="atLeast"/>
              <w:rPr>
                <w:rFonts w:hint="eastAsia" w:ascii="宋体" w:hAnsi="宋体" w:eastAsia="宋体" w:cs="宋体"/>
                <w:color w:val="auto"/>
              </w:rPr>
            </w:pPr>
            <w:r>
              <w:rPr>
                <w:rFonts w:hint="eastAsia" w:ascii="宋体" w:hAnsi="宋体" w:eastAsia="宋体" w:cs="宋体"/>
                <w:color w:val="auto"/>
              </w:rPr>
              <w:t>5、投标文件加密要求：</w:t>
            </w:r>
          </w:p>
          <w:p w14:paraId="7D9CDEEA">
            <w:pPr>
              <w:pStyle w:val="19"/>
              <w:spacing w:line="0" w:lineRule="atLeas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网上递交的电子投标文件须进行加密。具体操作详见交易平台相关操作指南。</w:t>
            </w:r>
          </w:p>
          <w:p w14:paraId="4995FAFB">
            <w:pPr>
              <w:pStyle w:val="19"/>
              <w:spacing w:line="0" w:lineRule="atLeast"/>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rPr>
              <w:t>未按要求加密的投标文件，招标人将予以拒收。</w:t>
            </w:r>
          </w:p>
          <w:p w14:paraId="6ABEDFFC">
            <w:pPr>
              <w:pStyle w:val="19"/>
              <w:spacing w:line="0" w:lineRule="atLeast"/>
              <w:rPr>
                <w:rFonts w:hint="eastAsia" w:ascii="宋体" w:hAnsi="宋体" w:eastAsia="宋体" w:cs="宋体"/>
                <w:color w:val="auto"/>
              </w:rPr>
            </w:pPr>
            <w:r>
              <w:rPr>
                <w:rFonts w:hint="eastAsia" w:ascii="宋体" w:hAnsi="宋体" w:eastAsia="宋体" w:cs="宋体"/>
                <w:color w:val="auto"/>
              </w:rPr>
              <w:t>6、投标文件解密失败的补救方案：</w:t>
            </w:r>
          </w:p>
          <w:p w14:paraId="21AEE478">
            <w:pPr>
              <w:pStyle w:val="19"/>
              <w:spacing w:line="0" w:lineRule="atLeast"/>
              <w:rPr>
                <w:rFonts w:hint="eastAsia" w:ascii="宋体" w:hAnsi="宋体" w:eastAsia="宋体" w:cs="宋体"/>
                <w:color w:val="auto"/>
              </w:rPr>
            </w:pPr>
            <w:r>
              <w:rPr>
                <w:rFonts w:hint="eastAsia" w:ascii="宋体" w:hAnsi="宋体" w:eastAsia="宋体" w:cs="宋体"/>
                <w:color w:val="auto"/>
              </w:rPr>
              <w:t>在规定时间内，因投标人之外原因(指网络瘫痪、服务器损坏、交易系统故障短期无法恢复)导致的电子投标文件解密失败，在开标现场读取光盘或u盘内容，继续开标程序。若出现招标人无法正常解密或导入开标系统的情况，在开标现场读取已成功解密、以及因投标人之外的原因导致电子投标文件解密失败的投标人递交的电子光盘或u盘内容。出现上述情况的，评标委员会对其投标文件的评审以光盘或u盘内容为准。因投标人之外原因解密失败且未递交电子光盘或u盘的，视为撤回投标文件。</w:t>
            </w:r>
          </w:p>
          <w:p w14:paraId="0B6BF927">
            <w:pPr>
              <w:pStyle w:val="19"/>
              <w:spacing w:line="0" w:lineRule="atLeast"/>
              <w:rPr>
                <w:rFonts w:hint="eastAsia" w:ascii="宋体" w:hAnsi="宋体" w:eastAsia="宋体" w:cs="宋体"/>
                <w:color w:val="auto"/>
              </w:rPr>
            </w:pPr>
            <w:r>
              <w:rPr>
                <w:rFonts w:hint="eastAsia" w:ascii="宋体" w:hAnsi="宋体" w:eastAsia="宋体" w:cs="宋体"/>
                <w:color w:val="auto"/>
              </w:rPr>
              <w:t>除发生上述情况外，开标评标均以投标人通过交易平台网上递交的电子投标文件为准。</w:t>
            </w:r>
          </w:p>
        </w:tc>
      </w:tr>
      <w:tr w14:paraId="5807F16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4FB3A12A">
            <w:pPr>
              <w:spacing w:line="0" w:lineRule="atLeast"/>
              <w:jc w:val="center"/>
              <w:rPr>
                <w:rFonts w:hint="eastAsia" w:ascii="宋体" w:hAnsi="宋体" w:cs="宋体"/>
                <w:color w:val="auto"/>
                <w:szCs w:val="21"/>
              </w:rPr>
            </w:pPr>
            <w:r>
              <w:rPr>
                <w:rFonts w:hint="eastAsia" w:ascii="新宋体" w:hAnsi="新宋体" w:eastAsia="新宋体" w:cs="新宋体"/>
                <w:color w:val="auto"/>
                <w:szCs w:val="21"/>
              </w:rPr>
              <w:t>11</w:t>
            </w:r>
          </w:p>
        </w:tc>
        <w:tc>
          <w:tcPr>
            <w:tcW w:w="2353" w:type="dxa"/>
            <w:tcBorders>
              <w:top w:val="single" w:color="auto" w:sz="4" w:space="0"/>
              <w:left w:val="single" w:color="auto" w:sz="4" w:space="0"/>
              <w:bottom w:val="single" w:color="auto" w:sz="4" w:space="0"/>
              <w:right w:val="single" w:color="auto" w:sz="4" w:space="0"/>
            </w:tcBorders>
            <w:vAlign w:val="center"/>
          </w:tcPr>
          <w:p w14:paraId="6F3E9C0D">
            <w:pPr>
              <w:snapToGrid w:val="0"/>
              <w:spacing w:line="0" w:lineRule="atLeast"/>
              <w:jc w:val="center"/>
              <w:rPr>
                <w:rFonts w:hint="eastAsia" w:ascii="宋体" w:hAnsi="宋体" w:cs="宋体"/>
                <w:color w:val="auto"/>
                <w:szCs w:val="21"/>
              </w:rPr>
            </w:pPr>
            <w:r>
              <w:rPr>
                <w:rFonts w:hint="eastAsia" w:ascii="新宋体" w:hAnsi="新宋体" w:eastAsia="新宋体" w:cs="新宋体"/>
                <w:color w:val="auto"/>
                <w:szCs w:val="21"/>
              </w:rPr>
              <w:t>投标人不得存在的情形</w:t>
            </w:r>
          </w:p>
        </w:tc>
        <w:tc>
          <w:tcPr>
            <w:tcW w:w="5659" w:type="dxa"/>
            <w:tcBorders>
              <w:top w:val="single" w:color="auto" w:sz="4" w:space="0"/>
              <w:left w:val="single" w:color="auto" w:sz="4" w:space="0"/>
              <w:bottom w:val="single" w:color="auto" w:sz="4" w:space="0"/>
              <w:right w:val="single" w:color="auto" w:sz="4" w:space="0"/>
            </w:tcBorders>
            <w:vAlign w:val="center"/>
          </w:tcPr>
          <w:p w14:paraId="63F6653E">
            <w:pPr>
              <w:snapToGrid w:val="0"/>
              <w:spacing w:line="0" w:lineRule="atLeast"/>
              <w:rPr>
                <w:rFonts w:hint="eastAsia" w:ascii="宋体" w:hAnsi="宋体" w:cs="宋体"/>
                <w:color w:val="auto"/>
              </w:rPr>
            </w:pPr>
            <w:r>
              <w:rPr>
                <w:rFonts w:hint="eastAsia" w:ascii="宋体" w:hAnsi="宋体" w:cs="新宋体"/>
                <w:color w:val="auto"/>
                <w:szCs w:val="21"/>
              </w:rPr>
              <w:t>删除“1.4.3 投标人不得存在下列情形之一”，投标人不得存在的情形以《投标人声明》第三点的规定为准。</w:t>
            </w:r>
          </w:p>
        </w:tc>
      </w:tr>
      <w:tr w14:paraId="54C12206">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ACC8E6F">
            <w:pPr>
              <w:spacing w:line="0" w:lineRule="atLeast"/>
              <w:jc w:val="center"/>
              <w:rPr>
                <w:rFonts w:hint="eastAsia" w:ascii="新宋体" w:hAnsi="新宋体" w:eastAsia="新宋体" w:cs="新宋体"/>
                <w:color w:val="auto"/>
                <w:szCs w:val="21"/>
              </w:rPr>
            </w:pPr>
            <w:r>
              <w:rPr>
                <w:rFonts w:hint="eastAsia" w:ascii="新宋体" w:hAnsi="新宋体" w:eastAsia="新宋体" w:cs="新宋体"/>
                <w:color w:val="auto"/>
                <w:szCs w:val="21"/>
              </w:rPr>
              <w:t>12</w:t>
            </w:r>
          </w:p>
        </w:tc>
        <w:tc>
          <w:tcPr>
            <w:tcW w:w="2353" w:type="dxa"/>
            <w:tcBorders>
              <w:top w:val="single" w:color="auto" w:sz="4" w:space="0"/>
              <w:left w:val="single" w:color="auto" w:sz="4" w:space="0"/>
              <w:bottom w:val="single" w:color="auto" w:sz="4" w:space="0"/>
              <w:right w:val="single" w:color="auto" w:sz="4" w:space="0"/>
            </w:tcBorders>
            <w:vAlign w:val="center"/>
          </w:tcPr>
          <w:p w14:paraId="2271CD52">
            <w:pPr>
              <w:snapToGrid w:val="0"/>
              <w:spacing w:line="0" w:lineRule="atLeast"/>
              <w:rPr>
                <w:rFonts w:hint="eastAsia" w:ascii="新宋体" w:hAnsi="新宋体" w:eastAsia="新宋体" w:cs="新宋体"/>
                <w:color w:val="auto"/>
                <w:szCs w:val="21"/>
              </w:rPr>
            </w:pPr>
            <w:r>
              <w:rPr>
                <w:rFonts w:hint="eastAsia" w:ascii="新宋体" w:hAnsi="新宋体" w:eastAsia="新宋体" w:cs="新宋体"/>
                <w:color w:val="auto"/>
                <w:szCs w:val="21"/>
              </w:rPr>
              <w:t>招标失败的情形</w:t>
            </w:r>
          </w:p>
        </w:tc>
        <w:tc>
          <w:tcPr>
            <w:tcW w:w="5659" w:type="dxa"/>
            <w:tcBorders>
              <w:top w:val="single" w:color="auto" w:sz="4" w:space="0"/>
              <w:left w:val="single" w:color="auto" w:sz="4" w:space="0"/>
              <w:bottom w:val="single" w:color="auto" w:sz="4" w:space="0"/>
              <w:right w:val="single" w:color="auto" w:sz="4" w:space="0"/>
            </w:tcBorders>
            <w:vAlign w:val="center"/>
          </w:tcPr>
          <w:p w14:paraId="5158C8AB">
            <w:pPr>
              <w:spacing w:line="0" w:lineRule="atLeast"/>
              <w:rPr>
                <w:rFonts w:hint="eastAsia" w:ascii="宋体" w:hAnsi="宋体" w:cs="宋体"/>
                <w:color w:val="auto"/>
                <w:szCs w:val="21"/>
                <w:u w:val="single"/>
              </w:rPr>
            </w:pPr>
            <w:r>
              <w:rPr>
                <w:rFonts w:hint="eastAsia" w:ascii="宋体" w:hAnsi="宋体" w:cs="新宋体"/>
                <w:color w:val="auto"/>
              </w:rPr>
              <w:t>本项目满足资格形式评审、资格审查合格条件或通过初步评审的投标申请人不足3名时为招标失败。招标人分析招标失败原因，修正招标方案，报有关管理部门核准后，重新组织招标。</w:t>
            </w:r>
          </w:p>
        </w:tc>
      </w:tr>
      <w:tr w14:paraId="132B1FB2">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4E004276">
            <w:pPr>
              <w:spacing w:line="0" w:lineRule="atLeast"/>
              <w:jc w:val="center"/>
              <w:rPr>
                <w:rFonts w:hint="eastAsia" w:ascii="宋体" w:hAnsi="宋体" w:cs="宋体"/>
                <w:color w:val="auto"/>
                <w:szCs w:val="21"/>
              </w:rPr>
            </w:pPr>
            <w:r>
              <w:rPr>
                <w:rFonts w:hint="eastAsia" w:ascii="宋体" w:hAnsi="宋体" w:cs="宋体"/>
                <w:color w:val="auto"/>
                <w:szCs w:val="21"/>
              </w:rPr>
              <w:t>13</w:t>
            </w:r>
          </w:p>
        </w:tc>
        <w:tc>
          <w:tcPr>
            <w:tcW w:w="2353" w:type="dxa"/>
            <w:tcBorders>
              <w:top w:val="single" w:color="auto" w:sz="4" w:space="0"/>
              <w:left w:val="single" w:color="auto" w:sz="4" w:space="0"/>
              <w:bottom w:val="single" w:color="auto" w:sz="4" w:space="0"/>
              <w:right w:val="single" w:color="auto" w:sz="4" w:space="0"/>
            </w:tcBorders>
            <w:vAlign w:val="center"/>
          </w:tcPr>
          <w:p w14:paraId="053E30BB">
            <w:pPr>
              <w:pStyle w:val="31"/>
              <w:adjustRightInd w:val="0"/>
              <w:snapToGrid w:val="0"/>
              <w:spacing w:line="320" w:lineRule="exact"/>
              <w:rPr>
                <w:rFonts w:hint="eastAsia" w:ascii="新宋体" w:hAnsi="新宋体" w:eastAsia="新宋体" w:cs="新宋体"/>
                <w:color w:val="auto"/>
                <w:kern w:val="2"/>
                <w:sz w:val="21"/>
                <w:szCs w:val="21"/>
              </w:rPr>
            </w:pPr>
            <w:r>
              <w:rPr>
                <w:rFonts w:ascii="新宋体" w:hAnsi="新宋体" w:eastAsia="新宋体" w:cs="新宋体"/>
                <w:color w:val="auto"/>
                <w:kern w:val="2"/>
                <w:sz w:val="21"/>
                <w:szCs w:val="21"/>
              </w:rPr>
              <w:t>关于使用混凝土</w:t>
            </w:r>
            <w:r>
              <w:rPr>
                <w:rFonts w:hint="eastAsia" w:ascii="新宋体" w:hAnsi="新宋体" w:eastAsia="新宋体" w:cs="新宋体"/>
                <w:color w:val="auto"/>
                <w:kern w:val="2"/>
                <w:sz w:val="21"/>
                <w:szCs w:val="21"/>
              </w:rPr>
              <w:t>等</w:t>
            </w:r>
            <w:r>
              <w:rPr>
                <w:rFonts w:ascii="新宋体" w:hAnsi="新宋体" w:eastAsia="新宋体" w:cs="新宋体"/>
                <w:color w:val="auto"/>
                <w:kern w:val="2"/>
                <w:sz w:val="21"/>
                <w:szCs w:val="21"/>
              </w:rPr>
              <w:t>建筑材料质量标准的约定</w:t>
            </w:r>
          </w:p>
        </w:tc>
        <w:tc>
          <w:tcPr>
            <w:tcW w:w="5659" w:type="dxa"/>
            <w:tcBorders>
              <w:top w:val="single" w:color="auto" w:sz="4" w:space="0"/>
              <w:left w:val="single" w:color="auto" w:sz="4" w:space="0"/>
              <w:bottom w:val="single" w:color="auto" w:sz="4" w:space="0"/>
              <w:right w:val="single" w:color="auto" w:sz="4" w:space="0"/>
            </w:tcBorders>
            <w:vAlign w:val="center"/>
          </w:tcPr>
          <w:p w14:paraId="2CB55B1A">
            <w:pPr>
              <w:pStyle w:val="31"/>
              <w:adjustRightInd w:val="0"/>
              <w:snapToGrid w:val="0"/>
              <w:spacing w:line="0" w:lineRule="atLeas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根据《广州市散装水泥管理办公室关于对混凝土和砂浆企业质量监督检查的通报》，为确保工程质量安全，中标单位禁止使用不合格的混凝土和砂浆。</w:t>
            </w:r>
          </w:p>
        </w:tc>
      </w:tr>
      <w:tr w14:paraId="43B7C9BC">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975BDF8">
            <w:pPr>
              <w:spacing w:line="0" w:lineRule="atLeast"/>
              <w:jc w:val="center"/>
              <w:rPr>
                <w:rFonts w:hint="eastAsia" w:ascii="宋体" w:hAnsi="宋体" w:cs="宋体"/>
                <w:color w:val="auto"/>
                <w:szCs w:val="21"/>
              </w:rPr>
            </w:pPr>
            <w:r>
              <w:rPr>
                <w:rFonts w:hint="eastAsia" w:ascii="宋体" w:hAnsi="宋体" w:cs="宋体"/>
                <w:color w:val="auto"/>
                <w:szCs w:val="21"/>
              </w:rPr>
              <w:t>14</w:t>
            </w:r>
          </w:p>
        </w:tc>
        <w:tc>
          <w:tcPr>
            <w:tcW w:w="2353" w:type="dxa"/>
            <w:tcBorders>
              <w:top w:val="single" w:color="auto" w:sz="4" w:space="0"/>
              <w:left w:val="single" w:color="auto" w:sz="4" w:space="0"/>
              <w:bottom w:val="single" w:color="auto" w:sz="4" w:space="0"/>
              <w:right w:val="single" w:color="auto" w:sz="4" w:space="0"/>
            </w:tcBorders>
            <w:vAlign w:val="center"/>
          </w:tcPr>
          <w:p w14:paraId="24BDF049">
            <w:pPr>
              <w:pStyle w:val="31"/>
              <w:adjustRightInd w:val="0"/>
              <w:snapToGrid w:val="0"/>
              <w:spacing w:line="320" w:lineRule="exact"/>
              <w:jc w:val="center"/>
              <w:rPr>
                <w:rFonts w:hint="eastAsia" w:ascii="新宋体" w:hAnsi="新宋体" w:eastAsia="新宋体" w:cs="新宋体"/>
                <w:color w:val="auto"/>
                <w:kern w:val="2"/>
                <w:sz w:val="21"/>
                <w:szCs w:val="21"/>
              </w:rPr>
            </w:pPr>
            <w:r>
              <w:rPr>
                <w:rFonts w:ascii="新宋体" w:hAnsi="新宋体" w:eastAsia="新宋体" w:cs="新宋体"/>
                <w:color w:val="auto"/>
                <w:kern w:val="2"/>
                <w:sz w:val="21"/>
                <w:szCs w:val="21"/>
              </w:rPr>
              <w:t>项目负责人证书锁定</w:t>
            </w:r>
          </w:p>
        </w:tc>
        <w:tc>
          <w:tcPr>
            <w:tcW w:w="5659" w:type="dxa"/>
            <w:tcBorders>
              <w:top w:val="single" w:color="auto" w:sz="4" w:space="0"/>
              <w:left w:val="single" w:color="auto" w:sz="4" w:space="0"/>
              <w:bottom w:val="single" w:color="auto" w:sz="4" w:space="0"/>
              <w:right w:val="single" w:color="auto" w:sz="4" w:space="0"/>
            </w:tcBorders>
            <w:vAlign w:val="center"/>
          </w:tcPr>
          <w:p w14:paraId="1D692B83">
            <w:pPr>
              <w:pStyle w:val="31"/>
              <w:adjustRightInd w:val="0"/>
              <w:snapToGrid w:val="0"/>
              <w:spacing w:line="0" w:lineRule="atLeast"/>
              <w:rPr>
                <w:rFonts w:hint="eastAsia" w:ascii="新宋体" w:hAnsi="新宋体" w:eastAsia="新宋体" w:cs="新宋体"/>
                <w:color w:val="auto"/>
                <w:kern w:val="2"/>
                <w:sz w:val="21"/>
                <w:szCs w:val="21"/>
              </w:rPr>
            </w:pPr>
            <w:r>
              <w:rPr>
                <w:rFonts w:hint="eastAsia" w:ascii="新宋体" w:hAnsi="新宋体" w:eastAsia="新宋体" w:cs="新宋体"/>
                <w:color w:val="auto"/>
                <w:kern w:val="2"/>
                <w:sz w:val="21"/>
                <w:szCs w:val="21"/>
              </w:rPr>
              <w:t>投标前，投标人必须确保拟投入项目负责人为非锁定状态（在全国地区范围）。中标后如因项目负责人在其它地区项目未解锁，而导致未能办理施工许可证等相关报建工作，相关责任由中标人自行承担。</w:t>
            </w:r>
          </w:p>
        </w:tc>
      </w:tr>
      <w:tr w14:paraId="28F25ED1">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B7C342E">
            <w:pPr>
              <w:spacing w:line="0" w:lineRule="atLeast"/>
              <w:jc w:val="center"/>
              <w:rPr>
                <w:rFonts w:hint="eastAsia" w:ascii="宋体" w:hAnsi="宋体" w:eastAsia="新宋体" w:cs="宋体"/>
                <w:color w:val="auto"/>
                <w:szCs w:val="21"/>
              </w:rPr>
            </w:pPr>
            <w:r>
              <w:rPr>
                <w:rFonts w:hint="eastAsia" w:ascii="新宋体" w:hAnsi="新宋体" w:eastAsia="新宋体" w:cs="新宋体"/>
                <w:color w:val="auto"/>
                <w:szCs w:val="21"/>
              </w:rPr>
              <w:t>15</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0EE416B3">
            <w:pPr>
              <w:spacing w:line="0" w:lineRule="atLeast"/>
              <w:rPr>
                <w:rFonts w:hint="eastAsia" w:ascii="宋体" w:hAnsi="宋体" w:cs="宋体"/>
                <w:bCs/>
                <w:color w:val="auto"/>
              </w:rPr>
            </w:pPr>
            <w:r>
              <w:rPr>
                <w:rFonts w:hint="eastAsia" w:ascii="新宋体" w:hAnsi="新宋体" w:eastAsia="新宋体" w:cs="新宋体"/>
                <w:color w:val="auto"/>
                <w:szCs w:val="21"/>
              </w:rPr>
              <w:t>中标候选人公示后3天内第一中标候选人需提供与广州公共资源交易中心网站提交的电子投标文件一致的纸质版投标文件一正四副（加盖公章），合共5套投标文件提供给招标人，相关费用由中标候选人支付。</w:t>
            </w:r>
          </w:p>
        </w:tc>
      </w:tr>
      <w:tr w14:paraId="62F10BAF">
        <w:tblPrEx>
          <w:tblCellMar>
            <w:top w:w="0" w:type="dxa"/>
            <w:left w:w="108" w:type="dxa"/>
            <w:bottom w:w="0" w:type="dxa"/>
            <w:right w:w="108" w:type="dxa"/>
          </w:tblCellMar>
        </w:tblPrEx>
        <w:trPr>
          <w:trHeight w:val="874" w:hRule="atLeast"/>
        </w:trPr>
        <w:tc>
          <w:tcPr>
            <w:tcW w:w="1165" w:type="dxa"/>
            <w:tcBorders>
              <w:top w:val="single" w:color="auto" w:sz="4" w:space="0"/>
              <w:left w:val="single" w:color="auto" w:sz="4" w:space="0"/>
              <w:bottom w:val="single" w:color="auto" w:sz="4" w:space="0"/>
              <w:right w:val="single" w:color="auto" w:sz="4" w:space="0"/>
            </w:tcBorders>
            <w:vAlign w:val="center"/>
          </w:tcPr>
          <w:p w14:paraId="5CC94AA6">
            <w:pPr>
              <w:spacing w:line="0" w:lineRule="atLeast"/>
              <w:jc w:val="center"/>
              <w:rPr>
                <w:rFonts w:hint="eastAsia" w:ascii="新宋体" w:hAnsi="新宋体" w:eastAsia="新宋体" w:cs="新宋体"/>
                <w:color w:val="auto"/>
                <w:szCs w:val="21"/>
              </w:rPr>
            </w:pPr>
            <w:r>
              <w:rPr>
                <w:rFonts w:hint="eastAsia" w:ascii="新宋体" w:hAnsi="新宋体" w:eastAsia="新宋体" w:cs="新宋体"/>
                <w:color w:val="auto"/>
                <w:szCs w:val="21"/>
              </w:rPr>
              <w:t>16</w:t>
            </w:r>
          </w:p>
        </w:tc>
        <w:tc>
          <w:tcPr>
            <w:tcW w:w="8012" w:type="dxa"/>
            <w:gridSpan w:val="2"/>
            <w:tcBorders>
              <w:top w:val="single" w:color="auto" w:sz="4" w:space="0"/>
              <w:left w:val="single" w:color="auto" w:sz="4" w:space="0"/>
              <w:bottom w:val="single" w:color="auto" w:sz="4" w:space="0"/>
              <w:right w:val="single" w:color="auto" w:sz="4" w:space="0"/>
            </w:tcBorders>
            <w:vAlign w:val="center"/>
          </w:tcPr>
          <w:p w14:paraId="4C88D254">
            <w:pPr>
              <w:spacing w:line="0" w:lineRule="atLeast"/>
              <w:rPr>
                <w:rFonts w:hint="eastAsia" w:ascii="新宋体" w:hAnsi="新宋体" w:eastAsia="新宋体" w:cs="新宋体"/>
                <w:b/>
                <w:color w:val="auto"/>
                <w:szCs w:val="21"/>
              </w:rPr>
            </w:pPr>
            <w:r>
              <w:rPr>
                <w:rFonts w:hint="eastAsia" w:ascii="宋体" w:hAnsi="宋体"/>
                <w:b/>
                <w:color w:val="auto"/>
                <w:szCs w:val="21"/>
              </w:rPr>
              <w:t>联合体投标的，</w:t>
            </w:r>
            <w:r>
              <w:rPr>
                <w:rFonts w:hint="eastAsia" w:ascii="宋体" w:hAnsi="宋体"/>
                <w:b/>
                <w:color w:val="auto"/>
              </w:rPr>
              <w:t>投标文件中的联合体协议书需联合体各方均盖章，投标文件其他内容中的“投标人”应填写联合体各方的单位全称，由主办方盖章、签字。</w:t>
            </w:r>
          </w:p>
        </w:tc>
      </w:tr>
    </w:tbl>
    <w:p w14:paraId="5DCB9983">
      <w:pPr>
        <w:pStyle w:val="3"/>
        <w:spacing w:before="0" w:after="0" w:line="0" w:lineRule="atLeast"/>
        <w:rPr>
          <w:rFonts w:hint="eastAsia" w:ascii="宋体" w:hAnsi="宋体" w:eastAsia="宋体" w:cs="宋体"/>
          <w:color w:val="auto"/>
        </w:rPr>
      </w:pPr>
      <w:bookmarkStart w:id="33" w:name="_Toc247513952"/>
      <w:bookmarkStart w:id="34" w:name="_Toc152042305"/>
      <w:bookmarkStart w:id="35" w:name="_Toc247527553"/>
      <w:bookmarkStart w:id="36" w:name="_Toc152045529"/>
      <w:bookmarkStart w:id="37" w:name="_Toc144974497"/>
      <w:bookmarkStart w:id="38" w:name="_Toc24193"/>
      <w:r>
        <w:rPr>
          <w:rFonts w:ascii="宋体" w:hAnsi="宋体" w:eastAsia="宋体" w:cs="宋体"/>
          <w:color w:val="auto"/>
        </w:rPr>
        <w:br w:type="page"/>
      </w:r>
      <w:bookmarkStart w:id="39" w:name="_Toc25375"/>
      <w:r>
        <w:rPr>
          <w:rFonts w:hint="eastAsia" w:ascii="宋体" w:hAnsi="宋体" w:eastAsia="宋体" w:cs="宋体"/>
          <w:color w:val="auto"/>
        </w:rPr>
        <w:t>1. 总则</w:t>
      </w:r>
      <w:bookmarkEnd w:id="33"/>
      <w:bookmarkEnd w:id="34"/>
      <w:bookmarkEnd w:id="35"/>
      <w:bookmarkEnd w:id="36"/>
      <w:bookmarkEnd w:id="37"/>
      <w:bookmarkEnd w:id="38"/>
      <w:bookmarkEnd w:id="39"/>
    </w:p>
    <w:p w14:paraId="6D82A119">
      <w:pPr>
        <w:pStyle w:val="4"/>
        <w:rPr>
          <w:rFonts w:hint="eastAsia" w:ascii="宋体" w:eastAsia="宋体" w:cs="宋体"/>
          <w:color w:val="auto"/>
        </w:rPr>
      </w:pPr>
      <w:bookmarkStart w:id="40" w:name="_Toc152042306"/>
      <w:bookmarkStart w:id="41" w:name="_Toc144974498"/>
      <w:bookmarkStart w:id="42" w:name="_Toc13369"/>
      <w:bookmarkStart w:id="43" w:name="_Toc247527554"/>
      <w:bookmarkStart w:id="44" w:name="_Toc22901"/>
      <w:bookmarkStart w:id="45" w:name="_Toc152045530"/>
      <w:bookmarkStart w:id="46" w:name="_Toc247513953"/>
      <w:r>
        <w:rPr>
          <w:rFonts w:hint="eastAsia" w:ascii="宋体" w:eastAsia="宋体" w:cs="宋体"/>
          <w:color w:val="auto"/>
        </w:rPr>
        <w:t>1.1 项目概况</w:t>
      </w:r>
      <w:bookmarkEnd w:id="40"/>
      <w:bookmarkEnd w:id="41"/>
      <w:bookmarkEnd w:id="42"/>
      <w:bookmarkEnd w:id="43"/>
      <w:bookmarkEnd w:id="44"/>
      <w:bookmarkEnd w:id="45"/>
      <w:bookmarkEnd w:id="46"/>
    </w:p>
    <w:p w14:paraId="328E329D">
      <w:pPr>
        <w:spacing w:line="400" w:lineRule="exact"/>
        <w:ind w:firstLine="420" w:firstLineChars="200"/>
        <w:rPr>
          <w:rFonts w:hint="eastAsia" w:ascii="宋体" w:hAnsi="宋体" w:cs="宋体"/>
          <w:color w:val="auto"/>
        </w:rPr>
      </w:pPr>
      <w:r>
        <w:rPr>
          <w:rFonts w:hint="eastAsia" w:ascii="宋体" w:hAnsi="宋体" w:cs="宋体"/>
          <w:color w:val="auto"/>
        </w:rPr>
        <w:t>1.1.1根据《中华人民共和国招标投标法》等有关法律、法规和规章的规定，本招标项目已具备招标条件，现对该项目勘察设计施工进行一体化招标。</w:t>
      </w:r>
    </w:p>
    <w:p w14:paraId="26057AFB">
      <w:pPr>
        <w:spacing w:line="400" w:lineRule="exact"/>
        <w:ind w:firstLine="420" w:firstLineChars="200"/>
        <w:rPr>
          <w:rFonts w:hint="eastAsia" w:ascii="宋体" w:hAnsi="宋体" w:cs="宋体"/>
          <w:color w:val="auto"/>
        </w:rPr>
      </w:pPr>
      <w:r>
        <w:rPr>
          <w:rFonts w:hint="eastAsia" w:ascii="宋体" w:hAnsi="宋体" w:cs="宋体"/>
          <w:color w:val="auto"/>
        </w:rPr>
        <w:t>1.1.2 招标人：见投标人须知前附表。</w:t>
      </w:r>
    </w:p>
    <w:p w14:paraId="11612326">
      <w:pPr>
        <w:spacing w:line="400" w:lineRule="exact"/>
        <w:ind w:firstLine="420" w:firstLineChars="200"/>
        <w:rPr>
          <w:rFonts w:hint="eastAsia" w:ascii="宋体" w:hAnsi="宋体" w:cs="宋体"/>
          <w:color w:val="auto"/>
        </w:rPr>
      </w:pPr>
      <w:r>
        <w:rPr>
          <w:rFonts w:hint="eastAsia" w:ascii="宋体" w:hAnsi="宋体" w:cs="宋体"/>
          <w:color w:val="auto"/>
        </w:rPr>
        <w:t>1.1.3 招标代理机构：见投标人须知前附表。</w:t>
      </w:r>
    </w:p>
    <w:p w14:paraId="3E697F31">
      <w:pPr>
        <w:spacing w:line="400" w:lineRule="exact"/>
        <w:ind w:firstLine="420" w:firstLineChars="200"/>
        <w:rPr>
          <w:rFonts w:hint="eastAsia" w:ascii="宋体" w:hAnsi="宋体" w:cs="宋体"/>
          <w:color w:val="auto"/>
        </w:rPr>
      </w:pPr>
      <w:r>
        <w:rPr>
          <w:rFonts w:hint="eastAsia" w:ascii="宋体" w:hAnsi="宋体" w:cs="宋体"/>
          <w:color w:val="auto"/>
        </w:rPr>
        <w:t>1.1.4 招标项目名称：见投标人须知前附表。</w:t>
      </w:r>
    </w:p>
    <w:p w14:paraId="6B65D6A9">
      <w:pPr>
        <w:spacing w:line="400" w:lineRule="exact"/>
        <w:ind w:firstLine="420" w:firstLineChars="200"/>
        <w:rPr>
          <w:rFonts w:hint="eastAsia" w:ascii="宋体" w:hAnsi="宋体" w:cs="宋体"/>
          <w:color w:val="auto"/>
        </w:rPr>
      </w:pPr>
      <w:r>
        <w:rPr>
          <w:rFonts w:hint="eastAsia" w:ascii="宋体" w:hAnsi="宋体" w:cs="宋体"/>
          <w:color w:val="auto"/>
        </w:rPr>
        <w:t>1.1.5 项目建设地点：见投标人须知前附表。</w:t>
      </w:r>
    </w:p>
    <w:p w14:paraId="6D184782">
      <w:pPr>
        <w:pStyle w:val="4"/>
        <w:rPr>
          <w:rFonts w:hint="eastAsia" w:ascii="宋体" w:eastAsia="宋体" w:cs="宋体"/>
          <w:color w:val="auto"/>
        </w:rPr>
      </w:pPr>
      <w:bookmarkStart w:id="47" w:name="_Toc17601"/>
      <w:bookmarkStart w:id="48" w:name="_Toc247527555"/>
      <w:bookmarkStart w:id="49" w:name="_Toc247513954"/>
      <w:bookmarkStart w:id="50" w:name="_Toc23462"/>
      <w:bookmarkStart w:id="51" w:name="_Toc144974499"/>
      <w:bookmarkStart w:id="52" w:name="_Toc152045531"/>
      <w:bookmarkStart w:id="53" w:name="_Toc152042307"/>
      <w:r>
        <w:rPr>
          <w:rFonts w:hint="eastAsia" w:ascii="宋体" w:eastAsia="宋体" w:cs="宋体"/>
          <w:color w:val="auto"/>
        </w:rPr>
        <w:t>1.2 项目的资金来源和落实情况</w:t>
      </w:r>
      <w:bookmarkEnd w:id="47"/>
      <w:bookmarkEnd w:id="48"/>
      <w:bookmarkEnd w:id="49"/>
      <w:bookmarkEnd w:id="50"/>
      <w:bookmarkEnd w:id="51"/>
      <w:bookmarkEnd w:id="52"/>
      <w:bookmarkEnd w:id="53"/>
    </w:p>
    <w:p w14:paraId="7DCFBD73">
      <w:pPr>
        <w:spacing w:line="400" w:lineRule="exact"/>
        <w:ind w:firstLine="420" w:firstLineChars="200"/>
        <w:rPr>
          <w:rFonts w:hint="eastAsia" w:ascii="宋体" w:hAnsi="宋体" w:cs="宋体"/>
          <w:color w:val="auto"/>
        </w:rPr>
      </w:pPr>
      <w:r>
        <w:rPr>
          <w:rFonts w:hint="eastAsia" w:ascii="宋体" w:hAnsi="宋体" w:cs="宋体"/>
          <w:color w:val="auto"/>
        </w:rPr>
        <w:t>1.2.1 资金来源及比例：见投标人须知前附表。</w:t>
      </w:r>
    </w:p>
    <w:p w14:paraId="26B1A830">
      <w:pPr>
        <w:spacing w:line="400" w:lineRule="exact"/>
        <w:ind w:firstLine="420" w:firstLineChars="200"/>
        <w:rPr>
          <w:rFonts w:hint="eastAsia" w:ascii="宋体" w:hAnsi="宋体" w:cs="宋体"/>
          <w:color w:val="auto"/>
        </w:rPr>
      </w:pPr>
      <w:r>
        <w:rPr>
          <w:rFonts w:hint="eastAsia" w:ascii="宋体" w:hAnsi="宋体" w:cs="宋体"/>
          <w:color w:val="auto"/>
        </w:rPr>
        <w:t>1.2.2 资金落实情况：见投标人须知前附表。</w:t>
      </w:r>
    </w:p>
    <w:p w14:paraId="34AC18F4">
      <w:pPr>
        <w:pStyle w:val="4"/>
        <w:rPr>
          <w:rFonts w:hint="eastAsia" w:ascii="宋体" w:eastAsia="宋体" w:cs="宋体"/>
          <w:color w:val="auto"/>
        </w:rPr>
      </w:pPr>
      <w:bookmarkStart w:id="54" w:name="_Toc247527556"/>
      <w:bookmarkStart w:id="55" w:name="_Toc144974500"/>
      <w:bookmarkStart w:id="56" w:name="_Toc247513955"/>
      <w:bookmarkStart w:id="57" w:name="_Toc152045532"/>
      <w:bookmarkStart w:id="58" w:name="_Toc152042308"/>
      <w:bookmarkStart w:id="59" w:name="_Toc13265"/>
      <w:bookmarkStart w:id="60" w:name="_Toc22496"/>
      <w:r>
        <w:rPr>
          <w:rFonts w:hint="eastAsia" w:ascii="宋体" w:eastAsia="宋体" w:cs="宋体"/>
          <w:color w:val="auto"/>
        </w:rPr>
        <w:t>1.3 招标范围、计划工期和</w:t>
      </w:r>
      <w:bookmarkEnd w:id="54"/>
      <w:bookmarkEnd w:id="55"/>
      <w:bookmarkEnd w:id="56"/>
      <w:bookmarkEnd w:id="57"/>
      <w:bookmarkEnd w:id="58"/>
      <w:r>
        <w:rPr>
          <w:rFonts w:hint="eastAsia" w:ascii="宋体" w:eastAsia="宋体" w:cs="宋体"/>
          <w:color w:val="auto"/>
        </w:rPr>
        <w:t>质量标准</w:t>
      </w:r>
      <w:bookmarkEnd w:id="59"/>
      <w:bookmarkEnd w:id="60"/>
    </w:p>
    <w:p w14:paraId="4F6FE005">
      <w:pPr>
        <w:spacing w:line="400" w:lineRule="exact"/>
        <w:ind w:firstLine="420" w:firstLineChars="200"/>
        <w:rPr>
          <w:rFonts w:hint="eastAsia" w:ascii="宋体" w:hAnsi="宋体" w:cs="宋体"/>
          <w:color w:val="auto"/>
        </w:rPr>
      </w:pPr>
      <w:r>
        <w:rPr>
          <w:rFonts w:hint="eastAsia" w:ascii="宋体" w:hAnsi="宋体" w:cs="宋体"/>
          <w:color w:val="auto"/>
        </w:rPr>
        <w:t>1.3.1 招标范围：见投标人须知前附表。</w:t>
      </w:r>
    </w:p>
    <w:p w14:paraId="72D188D2">
      <w:pPr>
        <w:spacing w:line="400" w:lineRule="exact"/>
        <w:ind w:firstLine="420" w:firstLineChars="200"/>
        <w:rPr>
          <w:rFonts w:hint="eastAsia" w:ascii="宋体" w:hAnsi="宋体" w:cs="宋体"/>
          <w:color w:val="auto"/>
        </w:rPr>
      </w:pPr>
      <w:r>
        <w:rPr>
          <w:rFonts w:hint="eastAsia" w:ascii="宋体" w:hAnsi="宋体" w:cs="宋体"/>
          <w:color w:val="auto"/>
        </w:rPr>
        <w:t>1.3.2 计划工期：见投标人须知前附表。</w:t>
      </w:r>
    </w:p>
    <w:p w14:paraId="687D29E6">
      <w:pPr>
        <w:spacing w:line="400" w:lineRule="exact"/>
        <w:ind w:firstLine="420" w:firstLineChars="200"/>
        <w:rPr>
          <w:rFonts w:hint="eastAsia" w:ascii="宋体" w:hAnsi="宋体" w:cs="宋体"/>
          <w:color w:val="auto"/>
        </w:rPr>
      </w:pPr>
      <w:r>
        <w:rPr>
          <w:rFonts w:hint="eastAsia" w:ascii="宋体" w:hAnsi="宋体" w:cs="宋体"/>
          <w:color w:val="auto"/>
        </w:rPr>
        <w:t>1.3.3 质量标准：见投标人须知前附表。</w:t>
      </w:r>
    </w:p>
    <w:p w14:paraId="1C2B4AD2">
      <w:pPr>
        <w:pStyle w:val="4"/>
        <w:rPr>
          <w:rFonts w:hint="eastAsia" w:ascii="宋体" w:eastAsia="宋体" w:cs="宋体"/>
          <w:color w:val="auto"/>
        </w:rPr>
      </w:pPr>
      <w:bookmarkStart w:id="61" w:name="_Toc152042310"/>
      <w:bookmarkStart w:id="62" w:name="_Toc25105"/>
      <w:bookmarkStart w:id="63" w:name="_Toc144974502"/>
      <w:bookmarkStart w:id="64" w:name="_Toc247527558"/>
      <w:bookmarkStart w:id="65" w:name="_Toc247513957"/>
      <w:bookmarkStart w:id="66" w:name="_Toc152045534"/>
      <w:bookmarkStart w:id="67" w:name="_Toc8109"/>
      <w:r>
        <w:rPr>
          <w:rFonts w:hint="eastAsia" w:ascii="宋体" w:eastAsia="宋体" w:cs="宋体"/>
          <w:color w:val="auto"/>
        </w:rPr>
        <w:t>1.4 投标人资格要求</w:t>
      </w:r>
      <w:bookmarkEnd w:id="61"/>
      <w:bookmarkEnd w:id="62"/>
      <w:bookmarkEnd w:id="63"/>
      <w:bookmarkEnd w:id="64"/>
      <w:bookmarkEnd w:id="65"/>
      <w:bookmarkEnd w:id="66"/>
      <w:r>
        <w:rPr>
          <w:rFonts w:hint="eastAsia" w:ascii="新宋体" w:hAnsi="新宋体" w:eastAsia="新宋体" w:cs="新宋体"/>
          <w:color w:val="auto"/>
        </w:rPr>
        <w:t>（适用于未进行资格预审的）</w:t>
      </w:r>
      <w:bookmarkEnd w:id="67"/>
    </w:p>
    <w:p w14:paraId="530418BB">
      <w:pPr>
        <w:spacing w:line="400" w:lineRule="exact"/>
        <w:ind w:firstLine="420" w:firstLineChars="200"/>
        <w:rPr>
          <w:rFonts w:hint="eastAsia" w:ascii="宋体" w:hAnsi="宋体" w:cs="宋体"/>
          <w:color w:val="auto"/>
        </w:rPr>
      </w:pPr>
      <w:bookmarkStart w:id="68" w:name="_Toc152045535"/>
      <w:bookmarkStart w:id="69" w:name="_Toc247527559"/>
      <w:bookmarkStart w:id="70" w:name="_Toc152042311"/>
      <w:bookmarkStart w:id="71" w:name="_Toc247513958"/>
      <w:bookmarkStart w:id="72" w:name="_Toc144974503"/>
      <w:bookmarkStart w:id="73" w:name="_Toc5312"/>
      <w:r>
        <w:rPr>
          <w:rFonts w:hint="eastAsia" w:ascii="宋体" w:hAnsi="宋体" w:cs="宋体"/>
          <w:color w:val="auto"/>
        </w:rPr>
        <w:t>1.4.1 投标人应具备承担本招标项目资质条件、能力和信誉。</w:t>
      </w:r>
    </w:p>
    <w:p w14:paraId="1DFCA4E6">
      <w:pPr>
        <w:spacing w:line="440" w:lineRule="exact"/>
        <w:rPr>
          <w:rFonts w:hint="eastAsia" w:ascii="新宋体" w:hAnsi="新宋体" w:eastAsia="新宋体" w:cs="新宋体"/>
          <w:color w:val="auto"/>
          <w:szCs w:val="21"/>
          <w:u w:val="single"/>
        </w:rPr>
      </w:pPr>
      <w:r>
        <w:rPr>
          <w:rFonts w:hint="eastAsia" w:ascii="宋体" w:hAnsi="宋体" w:cs="宋体"/>
          <w:color w:val="auto"/>
        </w:rPr>
        <w:t>（1）</w:t>
      </w:r>
      <w:r>
        <w:rPr>
          <w:rFonts w:hint="eastAsia" w:ascii="新宋体" w:hAnsi="新宋体" w:eastAsia="新宋体" w:cs="新宋体"/>
          <w:color w:val="auto"/>
          <w:szCs w:val="21"/>
        </w:rPr>
        <w:t>资质条件：</w:t>
      </w:r>
      <w:r>
        <w:rPr>
          <w:rFonts w:hint="eastAsia" w:ascii="新宋体" w:hAnsi="新宋体" w:eastAsia="新宋体" w:cs="新宋体"/>
          <w:color w:val="auto"/>
          <w:szCs w:val="21"/>
          <w:u w:val="single"/>
        </w:rPr>
        <w:t>见招标公告投标人资格要求。</w:t>
      </w:r>
    </w:p>
    <w:p w14:paraId="776C9F2E">
      <w:pPr>
        <w:pStyle w:val="19"/>
        <w:spacing w:line="440" w:lineRule="exact"/>
        <w:rPr>
          <w:rFonts w:hint="eastAsia" w:ascii="新宋体" w:hAnsi="新宋体" w:eastAsia="新宋体" w:cs="新宋体"/>
          <w:color w:val="auto"/>
          <w:u w:val="single"/>
        </w:rPr>
      </w:pPr>
      <w:r>
        <w:rPr>
          <w:rFonts w:hint="eastAsia" w:ascii="新宋体" w:hAnsi="新宋体" w:eastAsia="新宋体" w:cs="新宋体"/>
          <w:color w:val="auto"/>
          <w:szCs w:val="21"/>
        </w:rPr>
        <w:t>（2）财务要求：</w:t>
      </w:r>
      <w:r>
        <w:rPr>
          <w:rFonts w:hint="eastAsia" w:ascii="新宋体" w:hAnsi="新宋体" w:eastAsia="新宋体" w:cs="新宋体"/>
          <w:color w:val="auto"/>
          <w:u w:val="single"/>
        </w:rPr>
        <w:t>/。</w:t>
      </w:r>
    </w:p>
    <w:p w14:paraId="5B425F65">
      <w:pPr>
        <w:spacing w:line="440" w:lineRule="exact"/>
        <w:rPr>
          <w:rFonts w:hint="eastAsia" w:ascii="新宋体" w:hAnsi="新宋体" w:eastAsia="新宋体" w:cs="新宋体"/>
          <w:color w:val="auto"/>
          <w:szCs w:val="21"/>
        </w:rPr>
      </w:pPr>
      <w:r>
        <w:rPr>
          <w:rFonts w:hint="eastAsia" w:ascii="新宋体" w:hAnsi="新宋体" w:eastAsia="新宋体" w:cs="新宋体"/>
          <w:color w:val="auto"/>
        </w:rPr>
        <w:t>（3）</w:t>
      </w:r>
      <w:r>
        <w:rPr>
          <w:rFonts w:hint="eastAsia" w:ascii="新宋体" w:hAnsi="新宋体" w:eastAsia="新宋体" w:cs="新宋体"/>
          <w:color w:val="auto"/>
          <w:szCs w:val="21"/>
        </w:rPr>
        <w:t>设计业绩要求：</w:t>
      </w:r>
      <w:r>
        <w:rPr>
          <w:rFonts w:hint="eastAsia" w:ascii="新宋体" w:hAnsi="新宋体" w:eastAsia="新宋体" w:cs="新宋体"/>
          <w:color w:val="auto"/>
          <w:u w:val="single"/>
        </w:rPr>
        <w:t>/。</w:t>
      </w:r>
    </w:p>
    <w:p w14:paraId="137E5D2E">
      <w:pPr>
        <w:spacing w:line="440" w:lineRule="exact"/>
        <w:rPr>
          <w:rFonts w:hint="eastAsia" w:ascii="新宋体" w:hAnsi="新宋体" w:eastAsia="新宋体" w:cs="新宋体"/>
          <w:color w:val="auto"/>
          <w:szCs w:val="21"/>
        </w:rPr>
      </w:pPr>
      <w:r>
        <w:rPr>
          <w:rFonts w:hint="eastAsia" w:ascii="新宋体" w:hAnsi="新宋体" w:eastAsia="新宋体" w:cs="新宋体"/>
          <w:color w:val="auto"/>
          <w:szCs w:val="21"/>
        </w:rPr>
        <w:t>（4）施工业绩要求：</w:t>
      </w:r>
      <w:r>
        <w:rPr>
          <w:rFonts w:hint="eastAsia" w:ascii="新宋体" w:hAnsi="新宋体" w:eastAsia="新宋体" w:cs="新宋体"/>
          <w:color w:val="auto"/>
          <w:u w:val="single"/>
        </w:rPr>
        <w:t>/。</w:t>
      </w:r>
    </w:p>
    <w:p w14:paraId="19FB0A45">
      <w:pPr>
        <w:spacing w:line="440" w:lineRule="exact"/>
        <w:rPr>
          <w:rFonts w:hint="eastAsia" w:ascii="新宋体" w:hAnsi="新宋体" w:eastAsia="新宋体" w:cs="新宋体"/>
          <w:color w:val="auto"/>
          <w:szCs w:val="21"/>
        </w:rPr>
      </w:pPr>
      <w:r>
        <w:rPr>
          <w:rFonts w:hint="eastAsia" w:ascii="新宋体" w:hAnsi="新宋体" w:eastAsia="新宋体" w:cs="新宋体"/>
          <w:color w:val="auto"/>
          <w:szCs w:val="21"/>
        </w:rPr>
        <w:t>（5）信誉要求：</w:t>
      </w:r>
      <w:r>
        <w:rPr>
          <w:rFonts w:hint="eastAsia" w:ascii="新宋体" w:hAnsi="新宋体" w:eastAsia="新宋体" w:cs="新宋体"/>
          <w:color w:val="auto"/>
          <w:u w:val="single"/>
        </w:rPr>
        <w:t>/。</w:t>
      </w:r>
    </w:p>
    <w:p w14:paraId="7E730B42">
      <w:pPr>
        <w:spacing w:line="440" w:lineRule="exact"/>
        <w:rPr>
          <w:rFonts w:hint="eastAsia" w:ascii="新宋体" w:hAnsi="新宋体" w:eastAsia="新宋体" w:cs="新宋体"/>
          <w:color w:val="auto"/>
          <w:szCs w:val="21"/>
        </w:rPr>
      </w:pPr>
      <w:r>
        <w:rPr>
          <w:rFonts w:hint="eastAsia" w:ascii="新宋体" w:hAnsi="新宋体" w:eastAsia="新宋体" w:cs="新宋体"/>
          <w:color w:val="auto"/>
          <w:szCs w:val="21"/>
          <w:u w:val="single"/>
        </w:rPr>
        <w:t>（6）项目负责人(兼施工负责人)的资格要求</w:t>
      </w:r>
      <w:r>
        <w:rPr>
          <w:rFonts w:hint="eastAsia" w:ascii="新宋体" w:hAnsi="新宋体" w:eastAsia="新宋体" w:cs="新宋体"/>
          <w:color w:val="auto"/>
          <w:szCs w:val="21"/>
        </w:rPr>
        <w:t>：</w:t>
      </w:r>
      <w:r>
        <w:rPr>
          <w:rFonts w:hint="eastAsia" w:ascii="新宋体" w:hAnsi="新宋体" w:eastAsia="新宋体" w:cs="新宋体"/>
          <w:color w:val="auto"/>
          <w:szCs w:val="21"/>
          <w:u w:val="single"/>
        </w:rPr>
        <w:t>见招标公告投标人资格要求。</w:t>
      </w:r>
    </w:p>
    <w:p w14:paraId="64AAB18C">
      <w:pPr>
        <w:spacing w:line="440" w:lineRule="exact"/>
        <w:rPr>
          <w:rFonts w:hint="eastAsia" w:ascii="新宋体" w:hAnsi="新宋体" w:eastAsia="新宋体" w:cs="新宋体"/>
          <w:color w:val="auto"/>
          <w:szCs w:val="21"/>
        </w:rPr>
      </w:pPr>
      <w:r>
        <w:rPr>
          <w:rFonts w:hint="eastAsia" w:ascii="新宋体" w:hAnsi="新宋体" w:eastAsia="新宋体" w:cs="新宋体"/>
          <w:color w:val="auto"/>
          <w:szCs w:val="21"/>
        </w:rPr>
        <w:t>（7）设计负责人的资格要求：</w:t>
      </w:r>
      <w:r>
        <w:rPr>
          <w:rFonts w:hint="eastAsia" w:ascii="新宋体" w:hAnsi="新宋体" w:eastAsia="新宋体" w:cs="新宋体"/>
          <w:color w:val="auto"/>
          <w:szCs w:val="21"/>
          <w:u w:val="single"/>
        </w:rPr>
        <w:t>见招标公告投标人资格要求。</w:t>
      </w:r>
    </w:p>
    <w:p w14:paraId="1E84B329">
      <w:pPr>
        <w:spacing w:line="440" w:lineRule="exact"/>
        <w:rPr>
          <w:rFonts w:hint="eastAsia" w:ascii="新宋体" w:hAnsi="新宋体" w:eastAsia="新宋体" w:cs="新宋体"/>
          <w:strike/>
          <w:color w:val="auto"/>
          <w:szCs w:val="21"/>
        </w:rPr>
      </w:pPr>
      <w:r>
        <w:rPr>
          <w:rFonts w:hint="eastAsia" w:ascii="新宋体" w:hAnsi="新宋体" w:eastAsia="新宋体" w:cs="新宋体"/>
          <w:strike/>
          <w:color w:val="auto"/>
          <w:szCs w:val="21"/>
        </w:rPr>
        <w:t>（8）施工负责人的资格要求：</w:t>
      </w:r>
      <w:r>
        <w:rPr>
          <w:rFonts w:hint="eastAsia" w:ascii="新宋体" w:hAnsi="新宋体" w:eastAsia="新宋体" w:cs="新宋体"/>
          <w:strike/>
          <w:color w:val="auto"/>
          <w:szCs w:val="21"/>
          <w:u w:val="single"/>
        </w:rPr>
        <w:t>见招标公告投标人资格要求。</w:t>
      </w:r>
    </w:p>
    <w:p w14:paraId="0C6F19A7">
      <w:pPr>
        <w:spacing w:line="440" w:lineRule="exact"/>
        <w:rPr>
          <w:rFonts w:hint="eastAsia" w:ascii="新宋体" w:hAnsi="新宋体" w:eastAsia="新宋体" w:cs="新宋体"/>
          <w:color w:val="auto"/>
        </w:rPr>
      </w:pPr>
      <w:r>
        <w:rPr>
          <w:rFonts w:hint="eastAsia" w:ascii="新宋体" w:hAnsi="新宋体" w:eastAsia="新宋体" w:cs="新宋体"/>
          <w:color w:val="auto"/>
        </w:rPr>
        <w:t>（9）施工技术负责人资格要求 ：</w:t>
      </w:r>
      <w:r>
        <w:rPr>
          <w:rFonts w:hint="eastAsia" w:ascii="新宋体" w:hAnsi="新宋体" w:eastAsia="新宋体" w:cs="新宋体"/>
          <w:color w:val="auto"/>
          <w:szCs w:val="21"/>
          <w:u w:val="single"/>
        </w:rPr>
        <w:t>见招标公告投标人资格要求。</w:t>
      </w:r>
    </w:p>
    <w:p w14:paraId="64EC74E4">
      <w:pPr>
        <w:spacing w:line="440" w:lineRule="exact"/>
        <w:rPr>
          <w:rFonts w:hint="eastAsia" w:ascii="新宋体" w:hAnsi="新宋体" w:eastAsia="新宋体" w:cs="新宋体"/>
          <w:color w:val="auto"/>
        </w:rPr>
      </w:pPr>
      <w:r>
        <w:rPr>
          <w:rFonts w:hint="eastAsia" w:ascii="新宋体" w:hAnsi="新宋体" w:eastAsia="新宋体" w:cs="新宋体"/>
          <w:color w:val="auto"/>
        </w:rPr>
        <w:t>（10）专职安全员资格要求：</w:t>
      </w:r>
      <w:r>
        <w:rPr>
          <w:rFonts w:hint="eastAsia" w:ascii="新宋体" w:hAnsi="新宋体" w:eastAsia="新宋体" w:cs="新宋体"/>
          <w:color w:val="auto"/>
          <w:szCs w:val="21"/>
          <w:u w:val="single"/>
        </w:rPr>
        <w:t>见招标公告投标人资格要求。</w:t>
      </w:r>
    </w:p>
    <w:p w14:paraId="538879D0">
      <w:pPr>
        <w:spacing w:line="440" w:lineRule="exact"/>
        <w:rPr>
          <w:rFonts w:hint="eastAsia" w:ascii="新宋体" w:hAnsi="新宋体" w:eastAsia="新宋体" w:cs="新宋体"/>
          <w:color w:val="auto"/>
          <w:szCs w:val="21"/>
        </w:rPr>
      </w:pPr>
      <w:r>
        <w:rPr>
          <w:rFonts w:hint="eastAsia" w:ascii="新宋体" w:hAnsi="新宋体" w:eastAsia="新宋体" w:cs="新宋体"/>
          <w:color w:val="auto"/>
          <w:szCs w:val="21"/>
        </w:rPr>
        <w:t>（11）施工机械设备：</w:t>
      </w:r>
      <w:r>
        <w:rPr>
          <w:rFonts w:hint="eastAsia" w:ascii="新宋体" w:hAnsi="新宋体" w:eastAsia="新宋体" w:cs="新宋体"/>
          <w:color w:val="auto"/>
          <w:u w:val="single"/>
        </w:rPr>
        <w:t>/。</w:t>
      </w:r>
    </w:p>
    <w:p w14:paraId="13746A06">
      <w:pPr>
        <w:spacing w:line="440" w:lineRule="exact"/>
        <w:rPr>
          <w:rFonts w:hint="eastAsia" w:ascii="新宋体" w:hAnsi="新宋体" w:eastAsia="新宋体" w:cs="新宋体"/>
          <w:color w:val="auto"/>
        </w:rPr>
      </w:pPr>
      <w:r>
        <w:rPr>
          <w:rFonts w:hint="eastAsia" w:ascii="新宋体" w:hAnsi="新宋体" w:eastAsia="新宋体" w:cs="新宋体"/>
          <w:color w:val="auto"/>
        </w:rPr>
        <w:t>（12）项目管理机构及人员：/。</w:t>
      </w:r>
    </w:p>
    <w:p w14:paraId="7B1CAB7E">
      <w:pPr>
        <w:spacing w:line="440" w:lineRule="exact"/>
        <w:rPr>
          <w:rFonts w:hint="eastAsia" w:ascii="新宋体" w:hAnsi="新宋体" w:eastAsia="新宋体" w:cs="新宋体"/>
          <w:color w:val="auto"/>
          <w:u w:val="single"/>
        </w:rPr>
      </w:pPr>
      <w:r>
        <w:rPr>
          <w:rFonts w:hint="eastAsia" w:ascii="新宋体" w:hAnsi="新宋体" w:eastAsia="新宋体" w:cs="新宋体"/>
          <w:color w:val="auto"/>
        </w:rPr>
        <w:t>（13）其他要求：</w:t>
      </w:r>
      <w:r>
        <w:rPr>
          <w:rFonts w:hint="eastAsia" w:ascii="新宋体" w:hAnsi="新宋体" w:eastAsia="新宋体" w:cs="新宋体"/>
          <w:color w:val="auto"/>
          <w:u w:val="single"/>
        </w:rPr>
        <w:t>见招标公告投标人资格要求。</w:t>
      </w:r>
    </w:p>
    <w:p w14:paraId="1D5DF37B">
      <w:pPr>
        <w:spacing w:line="400" w:lineRule="exact"/>
        <w:ind w:firstLine="420" w:firstLineChars="200"/>
        <w:rPr>
          <w:rFonts w:hint="eastAsia" w:ascii="宋体" w:hAnsi="宋体" w:cs="宋体"/>
          <w:color w:val="auto"/>
        </w:rPr>
      </w:pPr>
      <w:r>
        <w:rPr>
          <w:rFonts w:hint="eastAsia" w:ascii="宋体" w:hAnsi="宋体" w:cs="宋体"/>
          <w:color w:val="auto"/>
        </w:rPr>
        <w:t xml:space="preserve">1.4.2 投标人须知前附表规定接受联合体投标的，除应符合本章第1.4.1项和投标人须知前附表的要求外，还应遵守以下规定： </w:t>
      </w:r>
    </w:p>
    <w:p w14:paraId="64443DBF">
      <w:pPr>
        <w:spacing w:line="400" w:lineRule="exact"/>
        <w:ind w:firstLine="420" w:firstLineChars="200"/>
        <w:rPr>
          <w:rFonts w:hint="eastAsia" w:ascii="宋体" w:hAnsi="宋体" w:cs="宋体"/>
          <w:color w:val="auto"/>
        </w:rPr>
      </w:pPr>
      <w:r>
        <w:rPr>
          <w:rFonts w:hint="eastAsia" w:ascii="宋体" w:hAnsi="宋体" w:cs="宋体"/>
          <w:color w:val="auto"/>
        </w:rPr>
        <w:t>（1）联合体各方应按招标文件提供的格式签订联合体协议书，明确联合体主办人和各方权利义务；</w:t>
      </w:r>
    </w:p>
    <w:p w14:paraId="7B4C402F">
      <w:pPr>
        <w:spacing w:line="400" w:lineRule="exact"/>
        <w:ind w:firstLine="420" w:firstLineChars="200"/>
        <w:rPr>
          <w:rFonts w:hint="eastAsia" w:ascii="宋体" w:hAnsi="宋体" w:cs="宋体"/>
          <w:color w:val="auto"/>
        </w:rPr>
      </w:pPr>
      <w:r>
        <w:rPr>
          <w:rFonts w:hint="eastAsia" w:ascii="宋体" w:hAnsi="宋体" w:cs="宋体"/>
          <w:color w:val="auto"/>
        </w:rPr>
        <w:t>（2）由同一专业的单位组成的联合体，按照资质等级较低的单位确定资质等级；</w:t>
      </w:r>
    </w:p>
    <w:p w14:paraId="3FD0FE17">
      <w:pPr>
        <w:spacing w:line="400" w:lineRule="exact"/>
        <w:ind w:firstLine="420" w:firstLineChars="200"/>
        <w:rPr>
          <w:rFonts w:hint="eastAsia" w:ascii="宋体" w:hAnsi="宋体" w:cs="宋体"/>
          <w:color w:val="auto"/>
        </w:rPr>
      </w:pPr>
      <w:r>
        <w:rPr>
          <w:rFonts w:hint="eastAsia" w:ascii="宋体" w:hAnsi="宋体" w:cs="宋体"/>
          <w:color w:val="auto"/>
        </w:rPr>
        <w:t>（3）联合体各方不得再以自己名义单独或参加其他联合体在本招标项目中投标。</w:t>
      </w:r>
    </w:p>
    <w:p w14:paraId="5F3DF7D6">
      <w:pPr>
        <w:spacing w:line="400" w:lineRule="exact"/>
        <w:ind w:firstLine="420" w:firstLineChars="200"/>
        <w:rPr>
          <w:rFonts w:hint="eastAsia" w:ascii="新宋体" w:hAnsi="新宋体" w:eastAsia="新宋体" w:cs="新宋体"/>
          <w:color w:val="auto"/>
        </w:rPr>
      </w:pPr>
      <w:r>
        <w:rPr>
          <w:rFonts w:hint="eastAsia" w:ascii="新宋体" w:hAnsi="新宋体" w:eastAsia="新宋体" w:cs="新宋体"/>
          <w:color w:val="auto"/>
        </w:rPr>
        <w:t>1.4.3 投标人不得存在下列情形之一：</w:t>
      </w:r>
      <w:r>
        <w:rPr>
          <w:rFonts w:hint="eastAsia" w:ascii="新宋体" w:hAnsi="新宋体" w:eastAsia="新宋体" w:cs="新宋体"/>
          <w:color w:val="auto"/>
          <w:u w:val="single"/>
        </w:rPr>
        <w:t>以《投标人声明》第三点的规定为准。</w:t>
      </w:r>
    </w:p>
    <w:p w14:paraId="66218651">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 xml:space="preserve">（1）为招标人不具有独立法人资格的附属机构（单位）； </w:t>
      </w:r>
    </w:p>
    <w:p w14:paraId="00CF1525">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（2）为招标项目前期工作提供咨询服务的；</w:t>
      </w:r>
    </w:p>
    <w:p w14:paraId="11503236">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（3）为本招标项目的监理人；</w:t>
      </w:r>
    </w:p>
    <w:p w14:paraId="6136DE14">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 xml:space="preserve">（4）为本招标项目的代建人； </w:t>
      </w:r>
    </w:p>
    <w:p w14:paraId="082F7718">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 xml:space="preserve">（5）为本招标项目提供招标代理服务的； </w:t>
      </w:r>
    </w:p>
    <w:p w14:paraId="13C1970A">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 xml:space="preserve">（6）被责令停业的； </w:t>
      </w:r>
    </w:p>
    <w:p w14:paraId="79C70909">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 xml:space="preserve">（7）被暂停或取消投标资格的； </w:t>
      </w:r>
    </w:p>
    <w:p w14:paraId="3A3781C1">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（8）财产被接管或冻结的；</w:t>
      </w:r>
    </w:p>
    <w:p w14:paraId="57AC0E8D">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（9）在最近三年内有骗取中标或严重违约或重大工程质量问题的；</w:t>
      </w:r>
    </w:p>
    <w:p w14:paraId="7916D22A">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（10）与本招标项目的监理人或代建人或招标代理机构同为一个法定代表人的；</w:t>
      </w:r>
    </w:p>
    <w:p w14:paraId="2F475284">
      <w:pPr>
        <w:spacing w:line="400" w:lineRule="exact"/>
        <w:ind w:firstLine="315" w:firstLineChars="150"/>
        <w:rPr>
          <w:rFonts w:hint="eastAsia" w:ascii="新宋体" w:hAnsi="新宋体" w:eastAsia="新宋体" w:cs="新宋体"/>
          <w:strike/>
          <w:color w:val="auto"/>
        </w:rPr>
      </w:pPr>
      <w:r>
        <w:rPr>
          <w:rFonts w:hint="eastAsia" w:ascii="新宋体" w:hAnsi="新宋体" w:eastAsia="新宋体" w:cs="新宋体"/>
          <w:strike/>
          <w:color w:val="auto"/>
        </w:rPr>
        <w:t>（11）与本招标项目的监理人或代建人或招标代理机构相互控股或参股的；</w:t>
      </w:r>
    </w:p>
    <w:p w14:paraId="567A9B87">
      <w:pPr>
        <w:spacing w:line="400" w:lineRule="exact"/>
        <w:ind w:firstLine="315" w:firstLineChars="150"/>
        <w:rPr>
          <w:rFonts w:hint="eastAsia" w:ascii="新宋体" w:hAnsi="新宋体" w:eastAsia="新宋体" w:cs="新宋体"/>
          <w:color w:val="auto"/>
        </w:rPr>
      </w:pPr>
      <w:r>
        <w:rPr>
          <w:rFonts w:hint="eastAsia" w:ascii="新宋体" w:hAnsi="新宋体" w:eastAsia="新宋体" w:cs="新宋体"/>
          <w:strike/>
          <w:color w:val="auto"/>
        </w:rPr>
        <w:t>（12）与本招标项目的监理人或代建人或招标代理机构相互任职或工作的。</w:t>
      </w:r>
    </w:p>
    <w:p w14:paraId="2DC4C78E">
      <w:pPr>
        <w:spacing w:line="400" w:lineRule="exact"/>
        <w:ind w:firstLine="420" w:firstLineChars="200"/>
        <w:rPr>
          <w:rFonts w:hint="eastAsia" w:ascii="新宋体" w:hAnsi="新宋体" w:eastAsia="新宋体" w:cs="新宋体"/>
          <w:color w:val="auto"/>
        </w:rPr>
      </w:pPr>
      <w:r>
        <w:rPr>
          <w:rFonts w:hint="eastAsia" w:ascii="新宋体" w:hAnsi="新宋体" w:eastAsia="新宋体" w:cs="新宋体"/>
          <w:color w:val="auto"/>
        </w:rPr>
        <w:t>1.4.4 单位负责人为同一人或者存在控股、管理关系的不同单位，不得同时参加本招标项目投标。</w:t>
      </w:r>
    </w:p>
    <w:p w14:paraId="1FE4BF82">
      <w:pPr>
        <w:pStyle w:val="4"/>
        <w:rPr>
          <w:rFonts w:hint="eastAsia" w:ascii="宋体" w:eastAsia="宋体" w:cs="宋体"/>
          <w:color w:val="auto"/>
        </w:rPr>
      </w:pPr>
      <w:bookmarkStart w:id="74" w:name="_Toc1082"/>
      <w:r>
        <w:rPr>
          <w:rFonts w:hint="eastAsia" w:ascii="宋体" w:eastAsia="宋体" w:cs="宋体"/>
          <w:color w:val="auto"/>
        </w:rPr>
        <w:t>1.5 费用承担</w:t>
      </w:r>
      <w:bookmarkEnd w:id="68"/>
      <w:bookmarkEnd w:id="69"/>
      <w:bookmarkEnd w:id="70"/>
      <w:bookmarkEnd w:id="71"/>
      <w:bookmarkEnd w:id="72"/>
      <w:r>
        <w:rPr>
          <w:rFonts w:hint="eastAsia" w:ascii="宋体" w:eastAsia="宋体" w:cs="宋体"/>
          <w:color w:val="auto"/>
        </w:rPr>
        <w:t>和设计成果补偿</w:t>
      </w:r>
      <w:bookmarkEnd w:id="73"/>
      <w:bookmarkEnd w:id="74"/>
    </w:p>
    <w:p w14:paraId="0B7A348D">
      <w:pPr>
        <w:spacing w:line="400" w:lineRule="exact"/>
        <w:ind w:firstLine="420" w:firstLineChars="200"/>
        <w:rPr>
          <w:rFonts w:hint="eastAsia" w:ascii="宋体" w:hAnsi="宋体" w:cs="宋体"/>
          <w:color w:val="auto"/>
        </w:rPr>
      </w:pPr>
      <w:r>
        <w:rPr>
          <w:rFonts w:hint="eastAsia" w:ascii="宋体" w:hAnsi="宋体" w:cs="宋体"/>
          <w:color w:val="auto"/>
        </w:rPr>
        <w:t>1.5.1 投标人准备和参加投标活动发生的费用自理。</w:t>
      </w:r>
    </w:p>
    <w:p w14:paraId="409BD53C">
      <w:pPr>
        <w:spacing w:line="400" w:lineRule="exact"/>
        <w:ind w:firstLine="420" w:firstLineChars="200"/>
        <w:rPr>
          <w:rFonts w:hint="eastAsia" w:ascii="宋体" w:hAnsi="宋体" w:cs="宋体"/>
          <w:strike/>
          <w:color w:val="auto"/>
        </w:rPr>
      </w:pPr>
      <w:r>
        <w:rPr>
          <w:rFonts w:hint="eastAsia" w:ascii="宋体" w:hAnsi="宋体" w:cs="宋体"/>
          <w:strike/>
          <w:color w:val="auto"/>
        </w:rPr>
        <w:t>1.5.2 招标人对符合招标文件规定的未中标人的设计成果进行补偿的，按投标人须知前附表规定给予补偿，并有权免费使用未中标人设计成果。</w:t>
      </w:r>
    </w:p>
    <w:p w14:paraId="3102C4E1">
      <w:pPr>
        <w:pStyle w:val="4"/>
        <w:rPr>
          <w:rFonts w:hint="eastAsia" w:ascii="宋体" w:eastAsia="宋体" w:cs="宋体"/>
          <w:color w:val="auto"/>
        </w:rPr>
      </w:pPr>
      <w:bookmarkStart w:id="75" w:name="_Toc247513959"/>
      <w:bookmarkStart w:id="76" w:name="_Toc247527560"/>
      <w:bookmarkStart w:id="77" w:name="_Toc9317"/>
      <w:bookmarkStart w:id="78" w:name="_Toc152045536"/>
      <w:bookmarkStart w:id="79" w:name="_Toc152042312"/>
      <w:bookmarkStart w:id="80" w:name="_Toc11231"/>
      <w:bookmarkStart w:id="81" w:name="_Toc144974504"/>
      <w:r>
        <w:rPr>
          <w:rFonts w:hint="eastAsia" w:ascii="宋体" w:eastAsia="宋体" w:cs="宋体"/>
          <w:color w:val="auto"/>
        </w:rPr>
        <w:t>1.6 保密</w:t>
      </w:r>
      <w:bookmarkEnd w:id="75"/>
      <w:bookmarkEnd w:id="76"/>
      <w:bookmarkEnd w:id="77"/>
      <w:bookmarkEnd w:id="78"/>
      <w:bookmarkEnd w:id="79"/>
      <w:bookmarkEnd w:id="80"/>
      <w:bookmarkEnd w:id="81"/>
    </w:p>
    <w:p w14:paraId="74D30D92">
      <w:pPr>
        <w:spacing w:line="400" w:lineRule="exact"/>
        <w:ind w:firstLine="420" w:firstLineChars="200"/>
        <w:rPr>
          <w:rFonts w:hint="eastAsia" w:ascii="宋体" w:hAnsi="宋体" w:cs="宋体"/>
          <w:color w:val="auto"/>
        </w:rPr>
      </w:pPr>
      <w:r>
        <w:rPr>
          <w:rFonts w:hint="eastAsia" w:ascii="宋体" w:hAnsi="宋体" w:cs="宋体"/>
          <w:color w:val="auto"/>
        </w:rPr>
        <w:t xml:space="preserve">参与招标投标活动的各方应对招标文件和投标文件中的商业和技术等秘密保密，否则应承担相应的法律责任。 </w:t>
      </w:r>
    </w:p>
    <w:p w14:paraId="234B6AD0">
      <w:pPr>
        <w:pStyle w:val="4"/>
        <w:rPr>
          <w:rFonts w:hint="eastAsia" w:ascii="宋体" w:eastAsia="宋体" w:cs="宋体"/>
          <w:color w:val="auto"/>
        </w:rPr>
      </w:pPr>
      <w:bookmarkStart w:id="82" w:name="_Toc144974505"/>
      <w:bookmarkStart w:id="83" w:name="_Toc4973"/>
      <w:bookmarkStart w:id="84" w:name="_Toc247513960"/>
      <w:bookmarkStart w:id="85" w:name="_Toc152042313"/>
      <w:bookmarkStart w:id="86" w:name="_Toc247527561"/>
      <w:bookmarkStart w:id="87" w:name="_Toc152045537"/>
      <w:bookmarkStart w:id="88" w:name="_Toc5470"/>
      <w:r>
        <w:rPr>
          <w:rFonts w:hint="eastAsia" w:ascii="宋体" w:eastAsia="宋体" w:cs="宋体"/>
          <w:color w:val="auto"/>
        </w:rPr>
        <w:t>1.7 语言</w:t>
      </w:r>
      <w:bookmarkEnd w:id="82"/>
      <w:r>
        <w:rPr>
          <w:rFonts w:hint="eastAsia" w:ascii="宋体" w:eastAsia="宋体" w:cs="宋体"/>
          <w:color w:val="auto"/>
        </w:rPr>
        <w:t>文字</w:t>
      </w:r>
      <w:bookmarkEnd w:id="83"/>
      <w:bookmarkEnd w:id="84"/>
      <w:bookmarkEnd w:id="85"/>
      <w:bookmarkEnd w:id="86"/>
      <w:bookmarkEnd w:id="87"/>
      <w:bookmarkEnd w:id="88"/>
    </w:p>
    <w:p w14:paraId="7FF6BA86">
      <w:pPr>
        <w:spacing w:line="400" w:lineRule="exact"/>
        <w:ind w:firstLine="420" w:firstLineChars="200"/>
        <w:rPr>
          <w:rFonts w:hint="eastAsia" w:ascii="宋体" w:hAnsi="宋体" w:cs="宋体"/>
          <w:color w:val="auto"/>
        </w:rPr>
      </w:pPr>
      <w:r>
        <w:rPr>
          <w:rFonts w:hint="eastAsia" w:ascii="宋体" w:hAnsi="宋体" w:cs="宋体"/>
          <w:color w:val="auto"/>
        </w:rPr>
        <w:t>招标投标文件使用的语言文字为中文。专用术语使用外文的，应附有中文注释。</w:t>
      </w:r>
    </w:p>
    <w:p w14:paraId="35BF6B33">
      <w:pPr>
        <w:pStyle w:val="4"/>
        <w:rPr>
          <w:rFonts w:hint="eastAsia" w:ascii="宋体" w:eastAsia="宋体" w:cs="宋体"/>
          <w:color w:val="auto"/>
        </w:rPr>
      </w:pPr>
      <w:bookmarkStart w:id="89" w:name="_Toc152045538"/>
      <w:bookmarkStart w:id="90" w:name="_Toc247513961"/>
      <w:bookmarkStart w:id="91" w:name="_Toc144974506"/>
      <w:bookmarkStart w:id="92" w:name="_Toc26287"/>
      <w:bookmarkStart w:id="93" w:name="_Toc247527562"/>
      <w:bookmarkStart w:id="94" w:name="_Toc23862"/>
      <w:bookmarkStart w:id="95" w:name="_Toc152042314"/>
      <w:r>
        <w:rPr>
          <w:rFonts w:hint="eastAsia" w:ascii="宋体" w:eastAsia="宋体" w:cs="宋体"/>
          <w:color w:val="auto"/>
        </w:rPr>
        <w:t>1.8 计量单位</w:t>
      </w:r>
      <w:bookmarkEnd w:id="89"/>
      <w:bookmarkEnd w:id="90"/>
      <w:bookmarkEnd w:id="91"/>
      <w:bookmarkEnd w:id="92"/>
      <w:bookmarkEnd w:id="93"/>
      <w:bookmarkEnd w:id="94"/>
      <w:bookmarkEnd w:id="95"/>
    </w:p>
    <w:p w14:paraId="22B2D505">
      <w:pPr>
        <w:spacing w:line="400" w:lineRule="exact"/>
        <w:ind w:firstLine="420" w:firstLineChars="200"/>
        <w:rPr>
          <w:rFonts w:hint="eastAsia" w:ascii="宋体" w:hAnsi="宋体" w:cs="宋体"/>
          <w:color w:val="auto"/>
        </w:rPr>
      </w:pPr>
      <w:r>
        <w:rPr>
          <w:rFonts w:hint="eastAsia" w:ascii="宋体" w:hAnsi="宋体" w:cs="宋体"/>
          <w:color w:val="auto"/>
        </w:rPr>
        <w:t>所有计量均采用中华人民共和国法定计量单位。</w:t>
      </w:r>
    </w:p>
    <w:p w14:paraId="0E284F79">
      <w:pPr>
        <w:pStyle w:val="4"/>
        <w:rPr>
          <w:rFonts w:hint="eastAsia" w:ascii="宋体" w:eastAsia="宋体" w:cs="宋体"/>
          <w:color w:val="auto"/>
        </w:rPr>
      </w:pPr>
      <w:bookmarkStart w:id="96" w:name="_Toc247527563"/>
      <w:bookmarkStart w:id="97" w:name="_Toc18393"/>
      <w:bookmarkStart w:id="98" w:name="_Toc152045539"/>
      <w:bookmarkStart w:id="99" w:name="_Toc152042315"/>
      <w:bookmarkStart w:id="100" w:name="_Toc247513962"/>
      <w:bookmarkStart w:id="101" w:name="_Toc23833"/>
      <w:bookmarkStart w:id="102" w:name="_Toc144974507"/>
      <w:r>
        <w:rPr>
          <w:rFonts w:hint="eastAsia" w:ascii="宋体" w:eastAsia="宋体" w:cs="宋体"/>
          <w:color w:val="auto"/>
        </w:rPr>
        <w:t>1.9 踏勘现场</w:t>
      </w:r>
      <w:bookmarkEnd w:id="96"/>
      <w:bookmarkEnd w:id="97"/>
      <w:bookmarkEnd w:id="98"/>
      <w:bookmarkEnd w:id="99"/>
      <w:bookmarkEnd w:id="100"/>
      <w:bookmarkEnd w:id="101"/>
      <w:bookmarkEnd w:id="102"/>
    </w:p>
    <w:p w14:paraId="16733F77">
      <w:pPr>
        <w:spacing w:line="400" w:lineRule="exact"/>
        <w:ind w:firstLine="420" w:firstLineChars="200"/>
        <w:rPr>
          <w:rFonts w:hint="eastAsia" w:ascii="宋体" w:hAnsi="宋体" w:cs="宋体"/>
          <w:color w:val="auto"/>
        </w:rPr>
      </w:pPr>
      <w:bookmarkStart w:id="103" w:name="_Toc247527564"/>
      <w:bookmarkStart w:id="104" w:name="_Toc144974508"/>
      <w:bookmarkStart w:id="105" w:name="_Toc16251"/>
      <w:bookmarkStart w:id="106" w:name="_Toc247513963"/>
      <w:bookmarkStart w:id="107" w:name="_Toc152042316"/>
      <w:bookmarkStart w:id="108" w:name="_Toc152045540"/>
      <w:r>
        <w:rPr>
          <w:rFonts w:hint="eastAsia" w:ascii="宋体" w:hAnsi="宋体" w:cs="宋体"/>
          <w:color w:val="auto"/>
        </w:rPr>
        <w:t>1.9.1</w:t>
      </w:r>
      <w:r>
        <w:rPr>
          <w:rFonts w:hint="eastAsia" w:ascii="宋体" w:hAnsi="宋体" w:cs="宋体"/>
          <w:color w:val="auto"/>
          <w:lang w:bidi="ar"/>
        </w:rPr>
        <w:t>投标人须知前附表规定组织踏勘现场的，招标人按投标人须知前附表规定的时间、地点组织投标人踏勘项目现场。部分投标人未按时参加踏勘现场的，不影响踏勘现场的正常进行。</w:t>
      </w:r>
    </w:p>
    <w:p w14:paraId="2C9523F5">
      <w:pPr>
        <w:spacing w:line="400" w:lineRule="exact"/>
        <w:ind w:firstLine="420" w:firstLineChars="200"/>
        <w:rPr>
          <w:rFonts w:hint="eastAsia" w:ascii="宋体" w:hAnsi="宋体" w:cs="宋体"/>
          <w:color w:val="auto"/>
          <w:lang w:bidi="ar"/>
        </w:rPr>
      </w:pPr>
      <w:r>
        <w:rPr>
          <w:rFonts w:hint="eastAsia" w:ascii="宋体" w:hAnsi="宋体" w:cs="宋体"/>
          <w:color w:val="auto"/>
          <w:lang w:bidi="ar"/>
        </w:rPr>
        <w:t>1.9.2投标人踏勘现场发生的费用自理。</w:t>
      </w:r>
    </w:p>
    <w:p w14:paraId="6137E053">
      <w:pPr>
        <w:spacing w:line="400" w:lineRule="exact"/>
        <w:ind w:firstLine="420" w:firstLineChars="200"/>
        <w:rPr>
          <w:rFonts w:hint="eastAsia" w:ascii="宋体" w:hAnsi="宋体" w:cs="宋体"/>
          <w:color w:val="auto"/>
          <w:lang w:bidi="ar"/>
        </w:rPr>
      </w:pPr>
      <w:r>
        <w:rPr>
          <w:rFonts w:hint="eastAsia" w:ascii="宋体" w:hAnsi="宋体" w:cs="宋体"/>
          <w:color w:val="auto"/>
          <w:lang w:bidi="ar"/>
        </w:rPr>
        <w:t>1.9.3除招标人的原因外，投标人自行负责在踏勘现场中所发生的人员伤亡和财产损失。</w:t>
      </w:r>
    </w:p>
    <w:p w14:paraId="166AFD53">
      <w:pPr>
        <w:spacing w:line="400" w:lineRule="exact"/>
        <w:ind w:firstLine="420" w:firstLineChars="200"/>
        <w:rPr>
          <w:rFonts w:hint="eastAsia" w:ascii="宋体" w:hAnsi="宋体" w:cs="宋体"/>
          <w:color w:val="auto"/>
          <w:u w:val="single"/>
        </w:rPr>
      </w:pPr>
      <w:r>
        <w:rPr>
          <w:rFonts w:hint="eastAsia" w:ascii="宋体" w:hAnsi="宋体" w:cs="宋体"/>
          <w:color w:val="auto"/>
          <w:lang w:bidi="ar"/>
        </w:rPr>
        <w:t xml:space="preserve">1.9.4 </w:t>
      </w:r>
      <w:r>
        <w:rPr>
          <w:rFonts w:hint="eastAsia" w:ascii="宋体" w:hAnsi="宋体" w:cs="宋体"/>
          <w:color w:val="auto"/>
          <w:u w:val="single"/>
          <w:lang w:bidi="ar"/>
        </w:rPr>
        <w:t>现场由投标人自行踏勘，投标人不进行踏勘的，视为已熟知现场条件，自行承担相关风险。招标人不对投标人自行踏勘现场作出的判断和决策负责。</w:t>
      </w:r>
    </w:p>
    <w:p w14:paraId="40C1E72A">
      <w:pPr>
        <w:pStyle w:val="19"/>
        <w:rPr>
          <w:color w:val="auto"/>
        </w:rPr>
      </w:pPr>
    </w:p>
    <w:p w14:paraId="5CA01F6F">
      <w:pPr>
        <w:spacing w:line="400" w:lineRule="exact"/>
        <w:outlineLvl w:val="2"/>
        <w:rPr>
          <w:rFonts w:hint="eastAsia" w:ascii="宋体" w:hAnsi="宋体" w:cs="宋体"/>
          <w:bCs/>
          <w:color w:val="auto"/>
          <w:sz w:val="28"/>
          <w:szCs w:val="28"/>
        </w:rPr>
      </w:pPr>
      <w:bookmarkStart w:id="109" w:name="_Toc18976"/>
      <w:r>
        <w:rPr>
          <w:rFonts w:hint="eastAsia" w:ascii="宋体" w:hAnsi="宋体" w:cs="宋体"/>
          <w:bCs/>
          <w:color w:val="auto"/>
          <w:sz w:val="28"/>
          <w:szCs w:val="28"/>
        </w:rPr>
        <w:t xml:space="preserve">1.10 </w:t>
      </w:r>
      <w:bookmarkEnd w:id="103"/>
      <w:bookmarkEnd w:id="104"/>
      <w:bookmarkEnd w:id="105"/>
      <w:bookmarkEnd w:id="106"/>
      <w:bookmarkEnd w:id="107"/>
      <w:bookmarkEnd w:id="108"/>
      <w:bookmarkStart w:id="110" w:name="_Toc3889"/>
      <w:bookmarkStart w:id="111" w:name="_Toc16283"/>
      <w:bookmarkStart w:id="112" w:name="_Toc247513964"/>
      <w:bookmarkStart w:id="113" w:name="_Toc144974509"/>
      <w:bookmarkStart w:id="114" w:name="_Toc247527565"/>
      <w:bookmarkStart w:id="115" w:name="_Toc152042317"/>
      <w:bookmarkStart w:id="116" w:name="_Toc17636"/>
      <w:bookmarkStart w:id="117" w:name="_Toc152045541"/>
      <w:r>
        <w:rPr>
          <w:rFonts w:hint="eastAsia" w:ascii="宋体" w:hAnsi="宋体" w:cs="宋体"/>
          <w:bCs/>
          <w:color w:val="auto"/>
          <w:sz w:val="28"/>
          <w:szCs w:val="28"/>
        </w:rPr>
        <w:t>投标预备会</w:t>
      </w:r>
      <w:bookmarkEnd w:id="109"/>
    </w:p>
    <w:p w14:paraId="62F5255F">
      <w:pPr>
        <w:pStyle w:val="19"/>
        <w:rPr>
          <w:color w:val="auto"/>
        </w:rPr>
      </w:pPr>
    </w:p>
    <w:bookmarkEnd w:id="110"/>
    <w:bookmarkEnd w:id="111"/>
    <w:p w14:paraId="51A9F37C">
      <w:pPr>
        <w:spacing w:line="400" w:lineRule="exact"/>
        <w:ind w:firstLine="420" w:firstLineChars="200"/>
        <w:rPr>
          <w:rFonts w:hint="eastAsia" w:ascii="宋体" w:hAnsi="宋体" w:cs="宋体"/>
          <w:color w:val="auto"/>
          <w:szCs w:val="22"/>
          <w:u w:val="single"/>
          <w:lang w:bidi="ar"/>
        </w:rPr>
      </w:pPr>
      <w:bookmarkStart w:id="118" w:name="_Toc2020"/>
      <w:bookmarkStart w:id="119" w:name="_Toc22640"/>
      <w:bookmarkStart w:id="120" w:name="_Toc23270"/>
      <w:r>
        <w:rPr>
          <w:rFonts w:hint="eastAsia" w:ascii="宋体" w:hAnsi="宋体" w:cs="宋体"/>
          <w:color w:val="auto"/>
          <w:u w:val="single"/>
        </w:rPr>
        <w:t xml:space="preserve">1.10.1 </w:t>
      </w:r>
      <w:r>
        <w:rPr>
          <w:rFonts w:hint="eastAsia" w:ascii="宋体" w:hAnsi="宋体" w:cs="宋体"/>
          <w:color w:val="auto"/>
          <w:szCs w:val="22"/>
          <w:u w:val="single"/>
          <w:lang w:bidi="ar"/>
        </w:rPr>
        <w:t>本项目不召开投标预备会。</w:t>
      </w:r>
    </w:p>
    <w:p w14:paraId="7BFD6B2C">
      <w:pPr>
        <w:spacing w:line="400" w:lineRule="exact"/>
        <w:ind w:firstLine="420" w:firstLineChars="200"/>
        <w:rPr>
          <w:rFonts w:hint="eastAsia" w:ascii="宋体" w:hAnsi="宋体" w:cs="宋体"/>
          <w:color w:val="auto"/>
          <w:szCs w:val="22"/>
          <w:u w:val="single"/>
          <w:lang w:bidi="ar"/>
        </w:rPr>
      </w:pPr>
      <w:r>
        <w:rPr>
          <w:rFonts w:hint="eastAsia" w:ascii="宋体" w:cs="宋体"/>
          <w:bCs/>
          <w:color w:val="auto"/>
          <w:u w:val="single"/>
        </w:rPr>
        <w:t>1.10.2</w:t>
      </w:r>
      <w:r>
        <w:rPr>
          <w:rFonts w:hint="eastAsia" w:ascii="宋体" w:hAnsi="宋体" w:cs="宋体"/>
          <w:color w:val="auto"/>
          <w:lang w:bidi="ar"/>
        </w:rPr>
        <w:t>投标人</w:t>
      </w:r>
      <w:r>
        <w:rPr>
          <w:rFonts w:hint="eastAsia" w:ascii="宋体" w:hAnsi="宋体" w:cs="宋体"/>
          <w:color w:val="auto"/>
          <w:u w:val="single"/>
          <w:lang w:bidi="ar"/>
        </w:rPr>
        <w:t>对本项目有疑问</w:t>
      </w:r>
      <w:r>
        <w:rPr>
          <w:rFonts w:hint="eastAsia" w:ascii="宋体" w:hAnsi="宋体" w:cs="宋体"/>
          <w:color w:val="auto"/>
          <w:lang w:bidi="ar"/>
        </w:rPr>
        <w:t>应在投标人须知前附表规定的时间前，</w:t>
      </w:r>
      <w:r>
        <w:rPr>
          <w:rFonts w:hint="eastAsia" w:ascii="宋体" w:hAnsi="宋体" w:cs="宋体"/>
          <w:color w:val="auto"/>
          <w:u w:val="single"/>
          <w:lang w:bidi="ar"/>
        </w:rPr>
        <w:t>通过登录广州公共资源交易中心网站交易系统将问题提交给招标人或招标代理机构。</w:t>
      </w:r>
      <w:bookmarkStart w:id="121" w:name="_Toc17089"/>
      <w:bookmarkStart w:id="122" w:name="_Toc31603"/>
      <w:bookmarkStart w:id="123" w:name="_Toc22325"/>
    </w:p>
    <w:p w14:paraId="39EBD884">
      <w:pPr>
        <w:spacing w:line="400" w:lineRule="exact"/>
        <w:ind w:firstLine="420" w:firstLineChars="200"/>
        <w:rPr>
          <w:rFonts w:ascii="宋体" w:cs="宋体"/>
          <w:bCs/>
          <w:color w:val="auto"/>
          <w:u w:val="single"/>
        </w:rPr>
      </w:pPr>
      <w:r>
        <w:rPr>
          <w:rFonts w:hint="eastAsia" w:ascii="宋体" w:cs="宋体"/>
          <w:bCs/>
          <w:color w:val="auto"/>
          <w:u w:val="single"/>
        </w:rPr>
        <w:t>1.10.3</w:t>
      </w:r>
      <w:r>
        <w:rPr>
          <w:rFonts w:hint="eastAsia" w:ascii="宋体" w:hAnsi="宋体" w:cs="宋体"/>
          <w:color w:val="auto"/>
          <w:lang w:bidi="ar"/>
        </w:rPr>
        <w:t xml:space="preserve"> 招标人在投标人须知前附表规定的时间内，将对投标人所提问题的澄清，</w:t>
      </w:r>
      <w:r>
        <w:rPr>
          <w:rFonts w:hint="eastAsia" w:ascii="宋体" w:hAnsi="宋体" w:cs="宋体"/>
          <w:color w:val="auto"/>
          <w:u w:val="single"/>
          <w:lang w:bidi="ar"/>
        </w:rPr>
        <w:t>在广州公共资源交易网站通过项目答疑专区网上公开发布，发出即视作收到，以广州公共资源交易网站发布时间作为送达时间。无需投标人确认。投标人应自行关注，招标人不再一一通知。</w:t>
      </w:r>
      <w:r>
        <w:rPr>
          <w:rFonts w:hint="eastAsia" w:ascii="宋体" w:hAnsi="宋体" w:cs="宋体"/>
          <w:color w:val="auto"/>
          <w:lang w:bidi="ar"/>
        </w:rPr>
        <w:t>该澄清内容为招标文件的组成部分。</w:t>
      </w:r>
      <w:bookmarkEnd w:id="121"/>
      <w:bookmarkEnd w:id="122"/>
      <w:bookmarkEnd w:id="123"/>
    </w:p>
    <w:bookmarkEnd w:id="118"/>
    <w:bookmarkEnd w:id="119"/>
    <w:bookmarkEnd w:id="120"/>
    <w:p w14:paraId="796B652F">
      <w:pPr>
        <w:pStyle w:val="4"/>
        <w:rPr>
          <w:rFonts w:hint="eastAsia" w:ascii="宋体" w:eastAsia="宋体" w:cs="宋体"/>
          <w:color w:val="auto"/>
        </w:rPr>
      </w:pPr>
      <w:bookmarkStart w:id="124" w:name="_Toc8871"/>
      <w:r>
        <w:rPr>
          <w:rFonts w:hint="eastAsia" w:ascii="宋体" w:eastAsia="宋体" w:cs="宋体"/>
          <w:color w:val="auto"/>
        </w:rPr>
        <w:t>1.11 分包</w:t>
      </w:r>
      <w:bookmarkEnd w:id="112"/>
      <w:bookmarkEnd w:id="113"/>
      <w:bookmarkEnd w:id="114"/>
      <w:bookmarkEnd w:id="115"/>
      <w:bookmarkEnd w:id="116"/>
      <w:bookmarkEnd w:id="117"/>
      <w:bookmarkEnd w:id="124"/>
    </w:p>
    <w:p w14:paraId="6AB89D91">
      <w:pPr>
        <w:spacing w:line="400" w:lineRule="exact"/>
        <w:ind w:firstLine="567" w:firstLineChars="270"/>
        <w:rPr>
          <w:rFonts w:hint="eastAsia" w:ascii="宋体" w:hAnsi="宋体" w:cs="宋体"/>
          <w:color w:val="auto"/>
        </w:rPr>
      </w:pPr>
      <w:r>
        <w:rPr>
          <w:rFonts w:ascii="宋体" w:hAnsi="宋体" w:cs="宋体"/>
          <w:color w:val="auto"/>
        </w:rPr>
        <w:t xml:space="preserve">1.11.1 </w:t>
      </w:r>
      <w:r>
        <w:rPr>
          <w:rFonts w:hint="eastAsia" w:ascii="宋体" w:hAnsi="宋体" w:cs="宋体"/>
          <w:color w:val="auto"/>
        </w:rPr>
        <w:t>投标人须知前附表规定应当由分包人实施的非主体、非关键性工作，投标人应当按照第五章“招标人要求”的规定提供分包人侯选名单及其相应资料。</w:t>
      </w:r>
    </w:p>
    <w:p w14:paraId="6005D26B">
      <w:pPr>
        <w:spacing w:line="400" w:lineRule="exact"/>
        <w:ind w:firstLine="567" w:firstLineChars="270"/>
        <w:rPr>
          <w:rFonts w:hint="eastAsia" w:ascii="宋体" w:hAnsi="宋体" w:cs="宋体"/>
          <w:color w:val="auto"/>
        </w:rPr>
      </w:pPr>
      <w:r>
        <w:rPr>
          <w:rFonts w:ascii="宋体" w:hAnsi="宋体" w:cs="宋体"/>
          <w:color w:val="auto"/>
        </w:rPr>
        <w:t xml:space="preserve">1.11.2 </w:t>
      </w:r>
      <w:r>
        <w:rPr>
          <w:rFonts w:hint="eastAsia" w:ascii="宋体" w:hAnsi="宋体" w:cs="宋体"/>
          <w:color w:val="auto"/>
        </w:rPr>
        <w:t>投标人拟在中标后将中标项目的部分非主体、非关键性工作进行分包的，应符合投标人须知前附表规定的分包内容、分包金额和资质要求等限制性条件。</w:t>
      </w:r>
    </w:p>
    <w:p w14:paraId="4B08DFA0">
      <w:pPr>
        <w:pStyle w:val="4"/>
        <w:rPr>
          <w:rFonts w:hint="eastAsia" w:ascii="宋体" w:eastAsia="宋体" w:cs="宋体"/>
          <w:color w:val="auto"/>
        </w:rPr>
      </w:pPr>
      <w:bookmarkStart w:id="125" w:name="_Toc247513965"/>
      <w:bookmarkStart w:id="126" w:name="_Toc247527566"/>
      <w:bookmarkStart w:id="127" w:name="_Toc30381"/>
      <w:bookmarkStart w:id="128" w:name="_Toc18730"/>
      <w:r>
        <w:rPr>
          <w:rFonts w:hint="eastAsia" w:ascii="宋体" w:eastAsia="宋体" w:cs="宋体"/>
          <w:color w:val="auto"/>
        </w:rPr>
        <w:t>1.12 偏离</w:t>
      </w:r>
      <w:bookmarkEnd w:id="125"/>
      <w:bookmarkEnd w:id="126"/>
      <w:bookmarkEnd w:id="127"/>
      <w:bookmarkEnd w:id="128"/>
    </w:p>
    <w:p w14:paraId="5712041B">
      <w:pPr>
        <w:spacing w:line="400" w:lineRule="exact"/>
        <w:ind w:firstLine="359" w:firstLineChars="171"/>
        <w:rPr>
          <w:rFonts w:hint="eastAsia" w:ascii="宋体" w:hAnsi="宋体" w:cs="宋体"/>
          <w:color w:val="auto"/>
        </w:rPr>
      </w:pPr>
      <w:r>
        <w:rPr>
          <w:rFonts w:hint="eastAsia" w:ascii="宋体" w:hAnsi="宋体" w:cs="宋体"/>
          <w:color w:val="auto"/>
        </w:rPr>
        <w:t>投标人须知前附表允许投标文件偏离招标文件某些要求的，偏离应当符合招标文件规定的偏离范围和幅度。</w:t>
      </w:r>
    </w:p>
    <w:p w14:paraId="56BF406B">
      <w:pPr>
        <w:pStyle w:val="3"/>
        <w:rPr>
          <w:rFonts w:hint="eastAsia" w:ascii="宋体" w:hAnsi="宋体" w:eastAsia="宋体" w:cs="宋体"/>
          <w:color w:val="auto"/>
        </w:rPr>
      </w:pPr>
      <w:bookmarkStart w:id="129" w:name="_Toc247527567"/>
      <w:bookmarkStart w:id="130" w:name="_Toc1073"/>
      <w:bookmarkStart w:id="131" w:name="_Toc6861"/>
      <w:bookmarkStart w:id="132" w:name="_Toc144974510"/>
      <w:bookmarkStart w:id="133" w:name="_Toc247513966"/>
      <w:bookmarkStart w:id="134" w:name="_Toc152045542"/>
      <w:bookmarkStart w:id="135" w:name="_Toc152042318"/>
      <w:r>
        <w:rPr>
          <w:rFonts w:hint="eastAsia" w:ascii="宋体" w:hAnsi="宋体" w:eastAsia="宋体" w:cs="宋体"/>
          <w:color w:val="auto"/>
        </w:rPr>
        <w:t>2. 招标文件</w:t>
      </w:r>
      <w:bookmarkEnd w:id="129"/>
      <w:bookmarkEnd w:id="130"/>
      <w:bookmarkEnd w:id="131"/>
      <w:bookmarkEnd w:id="132"/>
      <w:bookmarkEnd w:id="133"/>
      <w:bookmarkEnd w:id="134"/>
      <w:bookmarkEnd w:id="135"/>
    </w:p>
    <w:p w14:paraId="3FD5F54F">
      <w:pPr>
        <w:pStyle w:val="4"/>
        <w:rPr>
          <w:rFonts w:hint="eastAsia" w:ascii="宋体" w:eastAsia="宋体" w:cs="宋体"/>
          <w:color w:val="auto"/>
        </w:rPr>
      </w:pPr>
      <w:bookmarkStart w:id="136" w:name="_Toc152045543"/>
      <w:bookmarkStart w:id="137" w:name="_Toc30775"/>
      <w:bookmarkStart w:id="138" w:name="_Toc144974511"/>
      <w:bookmarkStart w:id="139" w:name="_Toc152042319"/>
      <w:bookmarkStart w:id="140" w:name="_Toc247527568"/>
      <w:bookmarkStart w:id="141" w:name="_Toc247513967"/>
      <w:bookmarkStart w:id="142" w:name="_Toc5648"/>
      <w:r>
        <w:rPr>
          <w:rFonts w:hint="eastAsia" w:ascii="宋体" w:eastAsia="宋体" w:cs="宋体"/>
          <w:color w:val="auto"/>
        </w:rPr>
        <w:t>2.1 招标文件的组成</w:t>
      </w:r>
      <w:bookmarkEnd w:id="136"/>
      <w:bookmarkEnd w:id="137"/>
      <w:bookmarkEnd w:id="138"/>
      <w:bookmarkEnd w:id="139"/>
      <w:bookmarkEnd w:id="140"/>
      <w:bookmarkEnd w:id="141"/>
      <w:bookmarkEnd w:id="142"/>
    </w:p>
    <w:p w14:paraId="0535FFCC">
      <w:pPr>
        <w:spacing w:line="400" w:lineRule="exact"/>
        <w:rPr>
          <w:rFonts w:hint="eastAsia" w:ascii="宋体" w:hAnsi="宋体" w:cs="宋体"/>
          <w:color w:val="auto"/>
        </w:rPr>
      </w:pPr>
      <w:r>
        <w:rPr>
          <w:rFonts w:hint="eastAsia" w:ascii="宋体" w:hAnsi="宋体" w:cs="宋体"/>
          <w:color w:val="auto"/>
        </w:rPr>
        <w:t>　　本招标文件包括：</w:t>
      </w:r>
    </w:p>
    <w:p w14:paraId="411721C0">
      <w:pPr>
        <w:spacing w:line="400" w:lineRule="exact"/>
        <w:ind w:firstLine="359" w:firstLineChars="171"/>
        <w:rPr>
          <w:rFonts w:hint="eastAsia" w:ascii="宋体" w:hAnsi="宋体" w:cs="宋体"/>
          <w:color w:val="auto"/>
          <w:highlight w:val="none"/>
        </w:rPr>
      </w:pPr>
      <w:r>
        <w:rPr>
          <w:rFonts w:hint="eastAsia" w:ascii="宋体" w:hAnsi="宋体" w:cs="宋体"/>
          <w:color w:val="auto"/>
          <w:highlight w:val="none"/>
        </w:rPr>
        <w:t>（1）招标公告</w:t>
      </w:r>
      <w:r>
        <w:rPr>
          <w:rFonts w:hint="eastAsia" w:ascii="新宋体" w:hAnsi="新宋体" w:eastAsia="新宋体" w:cs="新宋体"/>
          <w:strike/>
          <w:color w:val="auto"/>
          <w:highlight w:val="none"/>
        </w:rPr>
        <w:t>（或投标邀请书）</w:t>
      </w:r>
      <w:r>
        <w:rPr>
          <w:rFonts w:hint="eastAsia" w:ascii="宋体" w:hAnsi="宋体" w:cs="宋体"/>
          <w:color w:val="auto"/>
          <w:highlight w:val="none"/>
        </w:rPr>
        <w:t>；</w:t>
      </w:r>
    </w:p>
    <w:p w14:paraId="20D1C9CC">
      <w:pPr>
        <w:spacing w:line="400" w:lineRule="exact"/>
        <w:ind w:firstLine="359" w:firstLineChars="171"/>
        <w:rPr>
          <w:rFonts w:hint="eastAsia" w:ascii="宋体" w:hAnsi="宋体" w:cs="宋体"/>
          <w:color w:val="auto"/>
          <w:highlight w:val="none"/>
        </w:rPr>
      </w:pPr>
      <w:r>
        <w:rPr>
          <w:rFonts w:hint="eastAsia" w:ascii="宋体" w:hAnsi="宋体" w:cs="宋体"/>
          <w:color w:val="auto"/>
          <w:highlight w:val="none"/>
        </w:rPr>
        <w:t>（2）投标人须知；</w:t>
      </w:r>
    </w:p>
    <w:p w14:paraId="2F796F11">
      <w:pPr>
        <w:spacing w:line="400" w:lineRule="exact"/>
        <w:ind w:firstLine="359" w:firstLineChars="171"/>
        <w:rPr>
          <w:rFonts w:hint="eastAsia" w:ascii="宋体" w:hAnsi="宋体" w:cs="宋体"/>
          <w:color w:val="auto"/>
          <w:highlight w:val="none"/>
        </w:rPr>
      </w:pPr>
      <w:r>
        <w:rPr>
          <w:rFonts w:hint="eastAsia" w:ascii="宋体" w:hAnsi="宋体" w:cs="宋体"/>
          <w:color w:val="auto"/>
          <w:highlight w:val="none"/>
        </w:rPr>
        <w:t>（3）评标办法；</w:t>
      </w:r>
    </w:p>
    <w:p w14:paraId="1A4BC7BB">
      <w:pPr>
        <w:spacing w:line="400" w:lineRule="exact"/>
        <w:ind w:firstLine="359" w:firstLineChars="171"/>
        <w:rPr>
          <w:rFonts w:hint="eastAsia" w:ascii="宋体" w:hAnsi="宋体" w:cs="宋体"/>
          <w:color w:val="auto"/>
          <w:highlight w:val="none"/>
        </w:rPr>
      </w:pPr>
      <w:r>
        <w:rPr>
          <w:rFonts w:hint="eastAsia" w:ascii="宋体" w:hAnsi="宋体" w:cs="宋体"/>
          <w:color w:val="auto"/>
          <w:highlight w:val="none"/>
        </w:rPr>
        <w:t>（4）合同条款及格式</w:t>
      </w:r>
      <w:r>
        <w:rPr>
          <w:rFonts w:hint="eastAsia" w:ascii="宋体" w:hAnsi="宋体" w:cs="宋体"/>
          <w:color w:val="auto"/>
          <w:highlight w:val="none"/>
          <w:u w:val="single"/>
        </w:rPr>
        <w:t>(另册)；</w:t>
      </w:r>
    </w:p>
    <w:p w14:paraId="38A60A17">
      <w:pPr>
        <w:spacing w:line="400" w:lineRule="exact"/>
        <w:ind w:firstLine="359" w:firstLineChars="171"/>
        <w:rPr>
          <w:rFonts w:hint="eastAsia" w:ascii="宋体" w:hAnsi="宋体" w:cs="宋体"/>
          <w:color w:val="auto"/>
          <w:highlight w:val="none"/>
        </w:rPr>
      </w:pPr>
      <w:r>
        <w:rPr>
          <w:rFonts w:hint="eastAsia" w:ascii="宋体" w:hAnsi="宋体" w:cs="宋体"/>
          <w:color w:val="auto"/>
          <w:highlight w:val="none"/>
        </w:rPr>
        <w:t>（5）</w:t>
      </w:r>
      <w:r>
        <w:rPr>
          <w:rFonts w:hint="eastAsia" w:ascii="宋体" w:hAnsi="宋体" w:cs="宋体"/>
          <w:color w:val="auto"/>
          <w:highlight w:val="none"/>
          <w:u w:val="single"/>
        </w:rPr>
        <w:t>招标人</w:t>
      </w:r>
      <w:r>
        <w:rPr>
          <w:rFonts w:hint="eastAsia" w:ascii="宋体" w:hAnsi="宋体" w:cs="宋体"/>
          <w:color w:val="auto"/>
          <w:highlight w:val="none"/>
        </w:rPr>
        <w:t>要求；</w:t>
      </w:r>
    </w:p>
    <w:p w14:paraId="7C701095">
      <w:pPr>
        <w:spacing w:line="400" w:lineRule="exact"/>
        <w:ind w:firstLine="359" w:firstLineChars="171"/>
        <w:rPr>
          <w:rFonts w:hint="eastAsia" w:ascii="宋体" w:hAnsi="宋体" w:cs="宋体"/>
          <w:color w:val="auto"/>
          <w:highlight w:val="none"/>
        </w:rPr>
      </w:pPr>
      <w:r>
        <w:rPr>
          <w:rFonts w:hint="eastAsia" w:ascii="宋体" w:hAnsi="宋体" w:cs="宋体"/>
          <w:color w:val="auto"/>
          <w:highlight w:val="none"/>
        </w:rPr>
        <w:t>（6）</w:t>
      </w:r>
      <w:r>
        <w:rPr>
          <w:rFonts w:hint="eastAsia" w:ascii="宋体" w:hAnsi="宋体" w:cs="宋体"/>
          <w:color w:val="auto"/>
          <w:highlight w:val="none"/>
          <w:u w:val="single"/>
        </w:rPr>
        <w:t>招标人</w:t>
      </w:r>
      <w:r>
        <w:rPr>
          <w:rFonts w:hint="eastAsia" w:ascii="宋体" w:hAnsi="宋体" w:cs="宋体"/>
          <w:color w:val="auto"/>
          <w:highlight w:val="none"/>
        </w:rPr>
        <w:t>提供的资料和条件；</w:t>
      </w:r>
    </w:p>
    <w:p w14:paraId="2DE2866A">
      <w:pPr>
        <w:spacing w:line="400" w:lineRule="exact"/>
        <w:ind w:firstLine="359" w:firstLineChars="171"/>
        <w:rPr>
          <w:rFonts w:hint="eastAsia" w:ascii="宋体" w:hAnsi="宋体" w:cs="宋体"/>
          <w:color w:val="auto"/>
        </w:rPr>
      </w:pPr>
      <w:r>
        <w:rPr>
          <w:rFonts w:hint="eastAsia" w:ascii="宋体" w:hAnsi="宋体" w:cs="宋体"/>
          <w:color w:val="auto"/>
        </w:rPr>
        <w:t>（7）投标文件格式；</w:t>
      </w:r>
    </w:p>
    <w:p w14:paraId="0F34BCEB">
      <w:pPr>
        <w:spacing w:line="400" w:lineRule="exact"/>
        <w:ind w:firstLine="359" w:firstLineChars="171"/>
        <w:rPr>
          <w:rFonts w:hint="eastAsia" w:ascii="宋体" w:hAnsi="宋体" w:cs="宋体"/>
          <w:color w:val="auto"/>
        </w:rPr>
      </w:pPr>
      <w:r>
        <w:rPr>
          <w:rFonts w:hint="eastAsia" w:ascii="宋体" w:hAnsi="宋体" w:cs="宋体"/>
          <w:color w:val="auto"/>
        </w:rPr>
        <w:t>（8）投标人须知前附表规定的其他资料。</w:t>
      </w:r>
    </w:p>
    <w:p w14:paraId="5440CC02">
      <w:pPr>
        <w:spacing w:line="400" w:lineRule="exact"/>
        <w:ind w:firstLine="420" w:firstLineChars="200"/>
        <w:rPr>
          <w:rFonts w:hint="eastAsia" w:ascii="宋体" w:hAnsi="宋体" w:cs="宋体"/>
          <w:color w:val="auto"/>
        </w:rPr>
      </w:pPr>
      <w:r>
        <w:rPr>
          <w:rFonts w:hint="eastAsia" w:ascii="宋体" w:hAnsi="宋体" w:cs="宋体"/>
          <w:color w:val="auto"/>
        </w:rPr>
        <w:t>根据本章第1.10款、第2.2款和第2.3款对招标文件所作的澄清、修改，构成招标文件的组成部分。</w:t>
      </w:r>
    </w:p>
    <w:p w14:paraId="371F8EBB">
      <w:pPr>
        <w:spacing w:line="400" w:lineRule="exact"/>
        <w:ind w:firstLine="420" w:firstLineChars="200"/>
        <w:rPr>
          <w:rFonts w:hint="eastAsia" w:ascii="宋体" w:hAnsi="宋体" w:cs="宋体"/>
          <w:color w:val="auto"/>
        </w:rPr>
      </w:pPr>
      <w:r>
        <w:rPr>
          <w:rFonts w:hint="eastAsia" w:ascii="宋体" w:hAnsi="宋体" w:cs="宋体"/>
          <w:color w:val="auto"/>
        </w:rPr>
        <w:t>注：①招标人应在技术条件（工程建设标准）中提出本项目对关键技术、工艺、重点、难点，以及拟在本项目采用的智能建造和新型建筑工业化相关技术的具体要求，明确本项目采购绿色建材和对原材料、生产制造工艺的环保、节能、低碳的要求，明确施工现场建筑垃圾源头减量的具体要求以及建筑垃圾综合利用产品的使用要求。②鼓励招标人对施工组织设计或施工方案实行隐藏投标人信息的暗标评审。</w:t>
      </w:r>
    </w:p>
    <w:p w14:paraId="2C18FA47">
      <w:pPr>
        <w:pStyle w:val="19"/>
        <w:rPr>
          <w:rFonts w:hint="eastAsia"/>
          <w:color w:val="auto"/>
        </w:rPr>
      </w:pPr>
    </w:p>
    <w:p w14:paraId="096BACE9">
      <w:pPr>
        <w:pStyle w:val="4"/>
        <w:rPr>
          <w:rFonts w:hint="eastAsia" w:ascii="宋体" w:eastAsia="宋体" w:cs="宋体"/>
          <w:color w:val="auto"/>
        </w:rPr>
      </w:pPr>
      <w:bookmarkStart w:id="143" w:name="_Toc247513968"/>
      <w:bookmarkStart w:id="144" w:name="_Toc152045544"/>
      <w:bookmarkStart w:id="145" w:name="_Toc152042320"/>
      <w:bookmarkStart w:id="146" w:name="_Toc30434"/>
      <w:bookmarkStart w:id="147" w:name="_Toc21684"/>
      <w:bookmarkStart w:id="148" w:name="_Toc247527569"/>
      <w:bookmarkStart w:id="149" w:name="_Toc144974512"/>
      <w:r>
        <w:rPr>
          <w:rFonts w:hint="eastAsia" w:ascii="宋体" w:eastAsia="宋体" w:cs="宋体"/>
          <w:color w:val="auto"/>
        </w:rPr>
        <w:t>2.2 招标文件的澄清</w:t>
      </w:r>
      <w:bookmarkEnd w:id="143"/>
      <w:bookmarkEnd w:id="144"/>
      <w:bookmarkEnd w:id="145"/>
      <w:bookmarkEnd w:id="146"/>
      <w:bookmarkEnd w:id="147"/>
      <w:bookmarkEnd w:id="148"/>
      <w:bookmarkEnd w:id="149"/>
    </w:p>
    <w:p w14:paraId="2D350414">
      <w:pPr>
        <w:spacing w:line="400" w:lineRule="exact"/>
        <w:ind w:firstLine="420" w:firstLineChars="200"/>
        <w:rPr>
          <w:rFonts w:hint="eastAsia" w:ascii="宋体" w:hAnsi="宋体" w:cs="宋体"/>
          <w:color w:val="auto"/>
        </w:rPr>
      </w:pPr>
      <w:r>
        <w:rPr>
          <w:rFonts w:hint="eastAsia" w:ascii="宋体" w:hAnsi="宋体" w:cs="宋体"/>
          <w:color w:val="auto"/>
        </w:rPr>
        <w:t>2.2.1 投标人应仔细阅读和检查招标文件的全部内容。</w:t>
      </w:r>
      <w:r>
        <w:rPr>
          <w:rFonts w:hint="eastAsia" w:ascii="宋体" w:hAnsi="宋体" w:cs="宋体"/>
          <w:color w:val="auto"/>
          <w:szCs w:val="21"/>
        </w:rPr>
        <w:t>如发现缺页或附件不全，应及时向招标人提出，以便补齐。</w:t>
      </w:r>
      <w:r>
        <w:rPr>
          <w:rFonts w:hint="eastAsia" w:ascii="宋体" w:hAnsi="宋体" w:cs="宋体"/>
          <w:color w:val="auto"/>
        </w:rPr>
        <w:t>如有疑问，应在投标人须知前附表规定的时间前</w:t>
      </w:r>
      <w:r>
        <w:rPr>
          <w:rFonts w:hint="eastAsia" w:ascii="宋体" w:hAnsi="宋体" w:cs="宋体"/>
          <w:color w:val="auto"/>
          <w:u w:val="single"/>
        </w:rPr>
        <w:t>通过广州公共资源交易中心网站进入提问区域将问题提交给招标人或招标代理人</w:t>
      </w:r>
      <w:r>
        <w:rPr>
          <w:rFonts w:hint="eastAsia" w:ascii="宋体" w:hAnsi="宋体" w:cs="宋体"/>
          <w:color w:val="auto"/>
        </w:rPr>
        <w:t>，要求招标人对招标文件予以澄清。</w:t>
      </w:r>
    </w:p>
    <w:p w14:paraId="3C135341">
      <w:pPr>
        <w:spacing w:line="400" w:lineRule="exact"/>
        <w:ind w:firstLine="420" w:firstLineChars="200"/>
        <w:rPr>
          <w:rFonts w:hint="eastAsia" w:ascii="宋体" w:hAnsi="宋体" w:cs="宋体"/>
          <w:color w:val="auto"/>
        </w:rPr>
      </w:pPr>
      <w:r>
        <w:rPr>
          <w:rFonts w:hint="eastAsia" w:ascii="宋体" w:hAnsi="宋体" w:cs="宋体"/>
          <w:color w:val="auto"/>
        </w:rPr>
        <w:t>2.2.2 招标文件的澄清在</w:t>
      </w:r>
      <w:r>
        <w:rPr>
          <w:rFonts w:hint="eastAsia" w:ascii="宋体" w:hAnsi="宋体" w:cs="宋体"/>
          <w:color w:val="auto"/>
          <w:u w:val="single"/>
        </w:rPr>
        <w:t>广州公共资源交易中心网站发布</w:t>
      </w:r>
      <w:r>
        <w:rPr>
          <w:rFonts w:hint="eastAsia" w:ascii="宋体" w:hAnsi="宋体" w:cs="宋体"/>
          <w:color w:val="auto"/>
        </w:rPr>
        <w:t>发给所有投标人，但不指明澄清问题的来源。澄清发出的时间距投标人须知前附表规定的投标截止时间不足15天的，并且澄清内容影响投标文件编制的，将相应延长投标截止时间。</w:t>
      </w:r>
    </w:p>
    <w:p w14:paraId="393DE0A9">
      <w:pPr>
        <w:spacing w:line="400" w:lineRule="exact"/>
        <w:ind w:firstLine="420" w:firstLineChars="200"/>
        <w:rPr>
          <w:rFonts w:hint="eastAsia" w:ascii="宋体" w:hAnsi="宋体" w:cs="宋体"/>
          <w:color w:val="auto"/>
        </w:rPr>
      </w:pPr>
      <w:r>
        <w:rPr>
          <w:rFonts w:hint="eastAsia" w:ascii="宋体" w:hAnsi="宋体" w:cs="宋体"/>
          <w:color w:val="auto"/>
        </w:rPr>
        <w:t xml:space="preserve">2.2.3 </w:t>
      </w:r>
      <w:r>
        <w:rPr>
          <w:rFonts w:hint="eastAsia" w:ascii="宋体" w:hAnsi="宋体" w:cs="宋体"/>
          <w:color w:val="auto"/>
          <w:u w:val="single"/>
        </w:rPr>
        <w:t>招标文件澄清在交易平台网站通过项目答疑专区网上公开发布，发出即视作收到，以交易平台网站发布时间作为送达时间。无需投标人确认。投标人应自行关注，招标人不再一一通知</w:t>
      </w:r>
      <w:r>
        <w:rPr>
          <w:rFonts w:hint="eastAsia" w:ascii="宋体" w:hAnsi="宋体" w:cs="宋体"/>
          <w:color w:val="auto"/>
        </w:rPr>
        <w:t>。</w:t>
      </w:r>
    </w:p>
    <w:p w14:paraId="2B8FD0ED">
      <w:pPr>
        <w:pStyle w:val="4"/>
        <w:rPr>
          <w:rFonts w:hint="eastAsia" w:ascii="宋体" w:eastAsia="宋体" w:cs="宋体"/>
          <w:color w:val="auto"/>
        </w:rPr>
      </w:pPr>
      <w:bookmarkStart w:id="150" w:name="_Toc247527570"/>
      <w:bookmarkStart w:id="151" w:name="_Toc247513969"/>
      <w:bookmarkStart w:id="152" w:name="_Toc17584"/>
      <w:bookmarkStart w:id="153" w:name="_Toc152042321"/>
      <w:bookmarkStart w:id="154" w:name="_Toc6494"/>
      <w:bookmarkStart w:id="155" w:name="_Toc144974513"/>
      <w:bookmarkStart w:id="156" w:name="_Toc152045545"/>
      <w:r>
        <w:rPr>
          <w:rFonts w:hint="eastAsia" w:ascii="宋体" w:eastAsia="宋体" w:cs="宋体"/>
          <w:color w:val="auto"/>
        </w:rPr>
        <w:t>2.3 招标文件的修改</w:t>
      </w:r>
      <w:bookmarkEnd w:id="150"/>
      <w:bookmarkEnd w:id="151"/>
      <w:bookmarkEnd w:id="152"/>
      <w:bookmarkEnd w:id="153"/>
      <w:bookmarkEnd w:id="154"/>
      <w:bookmarkEnd w:id="155"/>
      <w:bookmarkEnd w:id="156"/>
    </w:p>
    <w:p w14:paraId="6B2F2B0D">
      <w:pPr>
        <w:spacing w:line="400" w:lineRule="exact"/>
        <w:ind w:firstLine="420" w:firstLineChars="200"/>
        <w:rPr>
          <w:rFonts w:hint="eastAsia" w:ascii="宋体" w:hAnsi="宋体" w:cs="宋体"/>
          <w:color w:val="auto"/>
        </w:rPr>
      </w:pPr>
      <w:r>
        <w:rPr>
          <w:rFonts w:hint="eastAsia" w:ascii="宋体" w:hAnsi="宋体" w:cs="宋体"/>
          <w:color w:val="auto"/>
        </w:rPr>
        <w:t>2.3.1 招标人</w:t>
      </w:r>
      <w:r>
        <w:rPr>
          <w:rFonts w:hint="eastAsia" w:ascii="宋体" w:hAnsi="宋体" w:cs="宋体"/>
          <w:color w:val="auto"/>
          <w:u w:val="single"/>
        </w:rPr>
        <w:t>在交易平台网站发布</w:t>
      </w:r>
      <w:r>
        <w:rPr>
          <w:rFonts w:hint="eastAsia" w:ascii="宋体" w:hAnsi="宋体" w:cs="宋体"/>
          <w:color w:val="auto"/>
        </w:rPr>
        <w:t xml:space="preserve">形式修改招标文件。修改招标文件的时间距投标人须知前附表规定的投标截止时间不足15天的，并且澄清内容影响投标文件编制的，将相应延长投标截止时间。 </w:t>
      </w:r>
    </w:p>
    <w:p w14:paraId="6284652E">
      <w:pPr>
        <w:spacing w:line="400" w:lineRule="exact"/>
        <w:ind w:firstLine="420" w:firstLineChars="200"/>
        <w:rPr>
          <w:rFonts w:hint="eastAsia" w:ascii="宋体" w:hAnsi="宋体" w:cs="宋体"/>
          <w:color w:val="auto"/>
        </w:rPr>
      </w:pPr>
      <w:r>
        <w:rPr>
          <w:rFonts w:hint="eastAsia" w:ascii="宋体" w:hAnsi="宋体" w:cs="宋体"/>
          <w:color w:val="auto"/>
        </w:rPr>
        <w:t xml:space="preserve">2.3.2 </w:t>
      </w:r>
      <w:r>
        <w:rPr>
          <w:rFonts w:hint="eastAsia" w:ascii="宋体" w:hAnsi="宋体" w:cs="宋体"/>
          <w:color w:val="auto"/>
          <w:u w:val="single"/>
        </w:rPr>
        <w:t>招标文件</w:t>
      </w:r>
      <w:r>
        <w:rPr>
          <w:rFonts w:hint="eastAsia" w:ascii="宋体" w:hAnsi="宋体" w:cs="宋体"/>
          <w:color w:val="auto"/>
          <w:szCs w:val="21"/>
          <w:u w:val="single"/>
        </w:rPr>
        <w:t>修改</w:t>
      </w:r>
      <w:r>
        <w:rPr>
          <w:rFonts w:hint="eastAsia" w:ascii="宋体" w:hAnsi="宋体" w:cs="宋体"/>
          <w:color w:val="auto"/>
          <w:u w:val="single"/>
        </w:rPr>
        <w:t>（或补充公告）一经在交易平台网站发布，视作已发放给所有投标人，以交易平台网站发布时间作为送达时间。无需投标人确认。投标人应自行关注，招标人不再一一通知</w:t>
      </w:r>
      <w:r>
        <w:rPr>
          <w:rFonts w:hint="eastAsia" w:ascii="宋体" w:hAnsi="宋体" w:cs="宋体"/>
          <w:color w:val="auto"/>
        </w:rPr>
        <w:t>。</w:t>
      </w:r>
    </w:p>
    <w:p w14:paraId="42511496">
      <w:pPr>
        <w:spacing w:line="400" w:lineRule="exact"/>
        <w:ind w:firstLine="420" w:firstLineChars="200"/>
        <w:rPr>
          <w:rFonts w:hint="eastAsia" w:ascii="宋体" w:hAnsi="宋体" w:eastAsia="宋体" w:cs="宋体"/>
          <w:color w:val="auto"/>
          <w:szCs w:val="24"/>
          <w:u w:val="single"/>
        </w:rPr>
      </w:pPr>
      <w:r>
        <w:rPr>
          <w:rFonts w:hint="eastAsia" w:ascii="宋体" w:hAnsi="宋体" w:eastAsia="宋体" w:cs="宋体"/>
          <w:color w:val="auto"/>
          <w:szCs w:val="24"/>
          <w:u w:val="single"/>
        </w:rPr>
        <w:t>2.3.3招标文件的修改均以广州公共资源交易中心网站发布的内容为准。当招标文件的修改在同一内容的表述不一致时，以广州公共资源交易中心网站最后发布的内容为准。</w:t>
      </w:r>
    </w:p>
    <w:p w14:paraId="7CCBCB9D">
      <w:pPr>
        <w:spacing w:line="400" w:lineRule="exact"/>
        <w:ind w:firstLine="420" w:firstLineChars="200"/>
        <w:rPr>
          <w:rFonts w:hint="eastAsia" w:ascii="宋体" w:hAnsi="宋体" w:cs="宋体"/>
          <w:color w:val="auto"/>
        </w:rPr>
      </w:pPr>
      <w:r>
        <w:rPr>
          <w:rFonts w:hint="eastAsia" w:ascii="宋体" w:hAnsi="宋体" w:cs="宋体"/>
          <w:color w:val="auto"/>
          <w:szCs w:val="21"/>
          <w:u w:val="single"/>
        </w:rPr>
        <w:t>2.3.4为使投标人在编制投标文件时有充分的时间对招标文件的修改、补充等内容考虑进去，招标人将酌情延长提交投标文件的截止时间，具体时间将在招标文件的修改、补充通知中予以明确。若通知中没有明确延长时间，即表示投标时间不延长。</w:t>
      </w:r>
    </w:p>
    <w:p w14:paraId="72E5492D">
      <w:pPr>
        <w:pStyle w:val="3"/>
        <w:rPr>
          <w:rFonts w:hint="eastAsia" w:ascii="宋体" w:hAnsi="宋体" w:eastAsia="宋体" w:cs="宋体"/>
          <w:color w:val="auto"/>
        </w:rPr>
      </w:pPr>
      <w:bookmarkStart w:id="157" w:name="_Toc247527571"/>
      <w:bookmarkStart w:id="158" w:name="_Toc247513970"/>
      <w:bookmarkStart w:id="159" w:name="_Toc31093"/>
      <w:bookmarkStart w:id="160" w:name="_Toc144974514"/>
      <w:bookmarkStart w:id="161" w:name="_Toc152045546"/>
      <w:bookmarkStart w:id="162" w:name="_Toc152042322"/>
      <w:bookmarkStart w:id="163" w:name="_Toc2660"/>
      <w:r>
        <w:rPr>
          <w:rFonts w:hint="eastAsia" w:ascii="宋体" w:hAnsi="宋体" w:eastAsia="宋体" w:cs="宋体"/>
          <w:color w:val="auto"/>
        </w:rPr>
        <w:t>3. 投标文件</w:t>
      </w:r>
      <w:bookmarkEnd w:id="157"/>
      <w:bookmarkEnd w:id="158"/>
      <w:bookmarkEnd w:id="159"/>
      <w:bookmarkEnd w:id="160"/>
      <w:bookmarkEnd w:id="161"/>
      <w:bookmarkEnd w:id="162"/>
      <w:bookmarkEnd w:id="163"/>
    </w:p>
    <w:p w14:paraId="7AE01749">
      <w:pPr>
        <w:pStyle w:val="4"/>
        <w:ind w:firstLine="103"/>
        <w:rPr>
          <w:rFonts w:hint="eastAsia" w:ascii="宋体" w:eastAsia="宋体" w:cs="宋体"/>
          <w:color w:val="auto"/>
          <w:sz w:val="21"/>
          <w:szCs w:val="21"/>
        </w:rPr>
      </w:pPr>
      <w:bookmarkStart w:id="164" w:name="_Toc144974515"/>
      <w:bookmarkStart w:id="165" w:name="_Toc247527572"/>
      <w:bookmarkStart w:id="166" w:name="_Toc247513971"/>
      <w:bookmarkStart w:id="167" w:name="_Toc21008"/>
      <w:bookmarkStart w:id="168" w:name="_Toc152045547"/>
      <w:bookmarkStart w:id="169" w:name="_Toc152042323"/>
      <w:bookmarkStart w:id="170" w:name="_Toc29607"/>
      <w:r>
        <w:rPr>
          <w:rFonts w:hint="eastAsia" w:ascii="宋体" w:eastAsia="宋体" w:cs="宋体"/>
          <w:color w:val="auto"/>
          <w:sz w:val="21"/>
          <w:szCs w:val="21"/>
        </w:rPr>
        <w:t>3.1 投标文件的组成</w:t>
      </w:r>
      <w:bookmarkEnd w:id="164"/>
      <w:bookmarkEnd w:id="165"/>
      <w:bookmarkEnd w:id="166"/>
      <w:bookmarkEnd w:id="167"/>
      <w:bookmarkEnd w:id="168"/>
      <w:bookmarkEnd w:id="169"/>
      <w:bookmarkEnd w:id="170"/>
    </w:p>
    <w:p w14:paraId="6AD910C4">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　</w:t>
      </w:r>
      <w:r>
        <w:rPr>
          <w:rFonts w:hint="eastAsia" w:ascii="宋体" w:hAnsi="宋体" w:cs="宋体"/>
          <w:color w:val="auto"/>
          <w:szCs w:val="21"/>
          <w:u w:val="single"/>
        </w:rPr>
        <w:t>3.1.1投标文件由资格审查文件、设计方案、工程承包实施方案三部分组成，各部分投标文件应分别编制。如招标文件没有格式规定的，由投标人自行编制。</w:t>
      </w:r>
    </w:p>
    <w:p w14:paraId="202609BB">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3.1.2资格审查文件</w:t>
      </w:r>
    </w:p>
    <w:p w14:paraId="73F85D6F">
      <w:pPr>
        <w:numPr>
          <w:ilvl w:val="0"/>
          <w:numId w:val="1"/>
        </w:num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封面</w:t>
      </w:r>
    </w:p>
    <w:p w14:paraId="1E6A3C59">
      <w:pPr>
        <w:numPr>
          <w:ilvl w:val="0"/>
          <w:numId w:val="1"/>
        </w:num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目录</w:t>
      </w:r>
    </w:p>
    <w:p w14:paraId="61797B4B">
      <w:pPr>
        <w:numPr>
          <w:ilvl w:val="0"/>
          <w:numId w:val="1"/>
        </w:num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投标单位法定代表人证明书及法人授权委托证明书</w:t>
      </w:r>
      <w:r>
        <w:rPr>
          <w:rFonts w:hint="eastAsia" w:ascii="宋体" w:hAnsi="宋体" w:cs="宋体"/>
          <w:color w:val="auto"/>
          <w:szCs w:val="21"/>
          <w:u w:val="single"/>
          <w:lang w:val="zh-CN"/>
        </w:rPr>
        <w:t>（</w:t>
      </w:r>
      <w:r>
        <w:rPr>
          <w:rFonts w:hint="eastAsia" w:ascii="宋体" w:hAnsi="宋体" w:cs="宋体"/>
          <w:color w:val="auto"/>
          <w:szCs w:val="21"/>
          <w:u w:val="single"/>
        </w:rPr>
        <w:t>按招标文件格式1要求填写)；</w:t>
      </w:r>
    </w:p>
    <w:p w14:paraId="5C0CF193">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（4）企业营业执照（联合体投标的，联合体各方均提供）；</w:t>
      </w:r>
    </w:p>
    <w:p w14:paraId="1A03C289">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（5）资质证书（联合体投标的，联合体各方均提供）；</w:t>
      </w:r>
    </w:p>
    <w:p w14:paraId="6E996EC2">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（6）安全生产许可证（联合体投标的，联合体主办方提供）；</w:t>
      </w:r>
    </w:p>
    <w:p w14:paraId="536974BF">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（7）项目负责人（兼施工项目负责人）的建造师注册证书（以投标登记时选取的项目负责人为准），有效期内的</w:t>
      </w:r>
      <w:bookmarkStart w:id="171" w:name="OLE_LINK2"/>
      <w:r>
        <w:rPr>
          <w:rFonts w:hint="eastAsia" w:ascii="宋体" w:hAnsi="宋体" w:cs="宋体"/>
          <w:color w:val="auto"/>
          <w:szCs w:val="21"/>
          <w:u w:val="single"/>
        </w:rPr>
        <w:t>安全生产考核合格证</w:t>
      </w:r>
      <w:bookmarkEnd w:id="171"/>
      <w:r>
        <w:rPr>
          <w:rFonts w:hint="eastAsia" w:ascii="宋体" w:hAnsi="宋体" w:cs="宋体"/>
          <w:color w:val="auto"/>
          <w:szCs w:val="21"/>
          <w:u w:val="single"/>
        </w:rPr>
        <w:t xml:space="preserve">（B类），或能够提供广东省建筑施工企业管理人员安全生产考核信息系统安全生产管理人员证书信息； </w:t>
      </w:r>
    </w:p>
    <w:p w14:paraId="42C5DCC3">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（8）设计负责人（联合体设计成员提供）的执业证书或职称证书（以投标登记时选取的设计负责人为准）；</w:t>
      </w:r>
    </w:p>
    <w:p w14:paraId="479566B6">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（9）投标人（或联合体主办方）拟派技术负责人职称证书；</w:t>
      </w:r>
    </w:p>
    <w:p w14:paraId="1C3DABE5">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10）投标人（或联合体主办方）拟派专职安全员须具有在有效期内安全生产考核合格证（C证），或能够提供广东省建筑施工企业管理人员安全生产考核信息系统安全生产管理人员证书信息（以投标登记时选取的专职安全员为准）；</w:t>
      </w:r>
    </w:p>
    <w:p w14:paraId="04E48A5C">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（11）按招标公告附件一盖章签署的《投标人声明》；</w:t>
      </w:r>
    </w:p>
    <w:p w14:paraId="63B4C01B">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 xml:space="preserve">（12）按招标公告附件二盖章签署的联合体投标协议书（如有）； </w:t>
      </w:r>
    </w:p>
    <w:p w14:paraId="532053E8">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13）资格审查前，投标人（含联合体各方）须建立企业信用档案及拟担任本工程项目负责人（兼施工负责人）、设计负责人、专职安全员须是投标人企业信用档案中的在册人员（联合体投标的，人员在册情况为联合体协议分工对应企业库内信息）（需提供广州市住房和城乡建设局企业信用档案信息库内信息的网上打印页）。</w:t>
      </w:r>
    </w:p>
    <w:p w14:paraId="4458D878">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（14）投标人认为应该提供的其他资料</w:t>
      </w:r>
    </w:p>
    <w:p w14:paraId="757F0A66">
      <w:pPr>
        <w:snapToGrid w:val="0"/>
        <w:spacing w:line="360" w:lineRule="auto"/>
        <w:ind w:firstLine="420" w:firstLineChars="200"/>
        <w:rPr>
          <w:rFonts w:hint="eastAsia" w:ascii="宋体" w:hAnsi="宋体" w:cs="宋体"/>
          <w:color w:val="auto"/>
          <w:szCs w:val="21"/>
          <w:u w:val="single"/>
        </w:rPr>
      </w:pPr>
      <w:r>
        <w:rPr>
          <w:rFonts w:ascii="宋体" w:hAnsi="宋体" w:cs="宋体"/>
          <w:color w:val="auto"/>
          <w:szCs w:val="21"/>
          <w:u w:val="single"/>
        </w:rPr>
        <w:t>3.1.3设计方案（采用“暗标”形式，文件大小不得超过500M）</w:t>
      </w:r>
    </w:p>
    <w:p w14:paraId="71BEF5A6">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设计方案中不得出现可以辨认投标人及专业技术人员身份的名称、印章、商标、图形等记认符号，也不得通过明标、暗标中包含的相同内容（如报价等）互相印证、辨认投标人身份。内容包括：</w:t>
      </w:r>
    </w:p>
    <w:p w14:paraId="43121A40">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（1）封面：</w:t>
      </w:r>
      <w:r>
        <w:rPr>
          <w:rFonts w:hint="eastAsia" w:ascii="宋体" w:hAnsi="宋体" w:cs="宋体"/>
          <w:b/>
          <w:bCs/>
          <w:color w:val="auto"/>
          <w:szCs w:val="21"/>
          <w:u w:val="single"/>
        </w:rPr>
        <w:t>标明项目名称、“投标文件（设计方案部分）”字样、编制时间</w:t>
      </w:r>
    </w:p>
    <w:p w14:paraId="1DF6E6D4">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（2）目录</w:t>
      </w:r>
    </w:p>
    <w:p w14:paraId="009D48AD">
      <w:pPr>
        <w:snapToGrid w:val="0"/>
        <w:spacing w:line="360" w:lineRule="auto"/>
        <w:ind w:firstLine="420" w:firstLineChars="200"/>
        <w:rPr>
          <w:rFonts w:hint="eastAsia" w:ascii="宋体" w:hAnsi="宋体" w:cs="宋体"/>
          <w:dstrike/>
          <w:color w:val="auto"/>
          <w:szCs w:val="21"/>
          <w:u w:val="single"/>
        </w:rPr>
      </w:pPr>
      <w:r>
        <w:rPr>
          <w:rFonts w:hint="eastAsia" w:ascii="宋体" w:hAnsi="宋体" w:cs="宋体"/>
          <w:color w:val="auto"/>
          <w:szCs w:val="21"/>
          <w:u w:val="single"/>
        </w:rPr>
        <w:t>（3）设计方案</w:t>
      </w:r>
    </w:p>
    <w:p w14:paraId="2CFA1D79">
      <w:pPr>
        <w:snapToGrid w:val="0"/>
        <w:spacing w:line="360" w:lineRule="auto"/>
        <w:ind w:firstLine="420" w:firstLineChars="200"/>
        <w:rPr>
          <w:rFonts w:hint="eastAsia" w:ascii="宋体" w:hAnsi="宋体" w:cs="宋体"/>
          <w:color w:val="auto"/>
          <w:szCs w:val="21"/>
          <w:u w:val="single"/>
        </w:rPr>
      </w:pPr>
      <w:bookmarkStart w:id="172" w:name="_Toc247513972"/>
      <w:bookmarkStart w:id="173" w:name="_Toc32322"/>
      <w:bookmarkStart w:id="174" w:name="_Toc152045548"/>
      <w:bookmarkStart w:id="175" w:name="_Toc247527573"/>
      <w:bookmarkStart w:id="176" w:name="_Toc152042324"/>
      <w:bookmarkStart w:id="177" w:name="_Toc144974516"/>
      <w:r>
        <w:rPr>
          <w:rFonts w:hint="eastAsia" w:ascii="宋体" w:hAnsi="宋体" w:cs="宋体"/>
          <w:color w:val="auto"/>
          <w:szCs w:val="21"/>
          <w:u w:val="single"/>
        </w:rPr>
        <w:t>3.1.4工程承包实施方案（包括但不限于以下内容：）</w:t>
      </w:r>
    </w:p>
    <w:p w14:paraId="6DDC7CC2">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（1）封面</w:t>
      </w:r>
    </w:p>
    <w:p w14:paraId="12369485">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（2）目录</w:t>
      </w:r>
    </w:p>
    <w:p w14:paraId="1FB920DE">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（3）投标书(按招标文件格式2要求填写)</w:t>
      </w:r>
    </w:p>
    <w:p w14:paraId="64D42E26">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（4)</w:t>
      </w:r>
      <w:r>
        <w:rPr>
          <w:rFonts w:ascii="宋体" w:hAnsi="宋体" w:cs="宋体"/>
          <w:color w:val="auto"/>
          <w:szCs w:val="21"/>
          <w:u w:val="single"/>
        </w:rPr>
        <w:t>投标人基本情况表（按招标文件格式</w:t>
      </w:r>
      <w:r>
        <w:rPr>
          <w:rFonts w:hint="eastAsia" w:ascii="宋体" w:hAnsi="宋体" w:cs="宋体"/>
          <w:color w:val="auto"/>
          <w:szCs w:val="21"/>
          <w:u w:val="single"/>
        </w:rPr>
        <w:t>3</w:t>
      </w:r>
      <w:r>
        <w:rPr>
          <w:rFonts w:ascii="宋体" w:hAnsi="宋体" w:cs="宋体"/>
          <w:color w:val="auto"/>
          <w:szCs w:val="21"/>
          <w:u w:val="single"/>
        </w:rPr>
        <w:t>要求填写)</w:t>
      </w:r>
    </w:p>
    <w:p w14:paraId="33C450FD">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（5）投标承诺函（按招标文件格式4要求填写)</w:t>
      </w:r>
    </w:p>
    <w:p w14:paraId="349AE2A4">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(6)企业资信实力（如有，按评分表要求提供）</w:t>
      </w:r>
    </w:p>
    <w:p w14:paraId="7B812835">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A.企业业绩资料（按招标文件格式5要求填写)</w:t>
      </w:r>
    </w:p>
    <w:p w14:paraId="3D40359A">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B.企业获奖资料（按招标文件格式6要求填写)</w:t>
      </w:r>
    </w:p>
    <w:p w14:paraId="493D0D01">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C.第三方评价资料</w:t>
      </w:r>
    </w:p>
    <w:p w14:paraId="4B85CD18">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（7）项目管理机构配备表（按招标文件格式7要求填写)</w:t>
      </w:r>
    </w:p>
    <w:p w14:paraId="16C1AE58">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（8）工程承包实施方案（投标人在编制施工组织设计或施工方案时应按照招标人提出的施工现场建筑垃圾源头减量的具体要求以及建筑垃圾综合利用产品的使用要求提供相应措施。）</w:t>
      </w:r>
    </w:p>
    <w:p w14:paraId="275C7F5A">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（9）投标文件编制人员名单（按招标文件提供的格式8填写）；</w:t>
      </w:r>
    </w:p>
    <w:p w14:paraId="4A9A4FA2">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（10）投标人认为应该提供的其他资料。</w:t>
      </w:r>
    </w:p>
    <w:p w14:paraId="54973CB9">
      <w:pPr>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备注：投标人在编制工程承包实施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14:paraId="3F8DF4C9">
      <w:pPr>
        <w:pStyle w:val="4"/>
        <w:rPr>
          <w:rFonts w:hint="eastAsia" w:ascii="宋体" w:eastAsia="宋体" w:cs="宋体"/>
          <w:color w:val="auto"/>
        </w:rPr>
      </w:pPr>
      <w:bookmarkStart w:id="178" w:name="_Toc1915"/>
      <w:r>
        <w:rPr>
          <w:rFonts w:hint="eastAsia" w:ascii="宋体" w:eastAsia="宋体" w:cs="宋体"/>
          <w:color w:val="auto"/>
        </w:rPr>
        <w:t>3.2 投标报价</w:t>
      </w:r>
      <w:bookmarkEnd w:id="172"/>
      <w:bookmarkEnd w:id="173"/>
      <w:bookmarkEnd w:id="174"/>
      <w:bookmarkEnd w:id="175"/>
      <w:bookmarkEnd w:id="176"/>
      <w:bookmarkEnd w:id="177"/>
      <w:bookmarkEnd w:id="178"/>
      <w:r>
        <w:rPr>
          <w:rFonts w:hint="eastAsia" w:ascii="宋体" w:eastAsia="宋体" w:cs="宋体"/>
          <w:color w:val="auto"/>
        </w:rPr>
        <w:t xml:space="preserve"> </w:t>
      </w:r>
    </w:p>
    <w:p w14:paraId="03E75B9C">
      <w:pPr>
        <w:spacing w:line="400" w:lineRule="exact"/>
        <w:ind w:firstLine="420" w:firstLineChars="200"/>
        <w:rPr>
          <w:rFonts w:hint="eastAsia" w:ascii="宋体" w:hAnsi="宋体" w:cs="宋体"/>
          <w:color w:val="auto"/>
        </w:rPr>
      </w:pPr>
      <w:r>
        <w:rPr>
          <w:rFonts w:hint="eastAsia" w:ascii="宋体" w:hAnsi="宋体" w:cs="宋体"/>
          <w:color w:val="auto"/>
        </w:rPr>
        <w:t>3.2.1 投标人应按第七章“投标文件格式”的要求填写价格清单。</w:t>
      </w:r>
    </w:p>
    <w:p w14:paraId="7BF9BA74">
      <w:pPr>
        <w:spacing w:line="440" w:lineRule="exact"/>
        <w:ind w:firstLine="420" w:firstLineChars="200"/>
        <w:rPr>
          <w:rFonts w:hint="eastAsia" w:ascii="宋体" w:hAnsi="宋体" w:cs="宋体"/>
          <w:color w:val="auto"/>
          <w:szCs w:val="21"/>
        </w:rPr>
      </w:pPr>
      <w:r>
        <w:rPr>
          <w:rFonts w:hint="eastAsia" w:ascii="宋体" w:hAnsi="宋体" w:cs="宋体"/>
          <w:color w:val="auto"/>
        </w:rPr>
        <w:t xml:space="preserve">3.2.2 </w:t>
      </w:r>
      <w:r>
        <w:rPr>
          <w:rFonts w:hint="eastAsia" w:ascii="宋体" w:hAnsi="宋体" w:cs="宋体"/>
          <w:color w:val="auto"/>
          <w:szCs w:val="21"/>
        </w:rPr>
        <w:t>投标人应充分了解施工场地的位置、周边环境、道路、装卸、保管、安装限制以及影响投标报价的其他要素。投标人根据投标设计，结合市场情况进行投标报价。</w:t>
      </w:r>
    </w:p>
    <w:p w14:paraId="2A7C58E8">
      <w:pPr>
        <w:spacing w:line="400" w:lineRule="exact"/>
        <w:ind w:firstLine="420" w:firstLineChars="200"/>
        <w:rPr>
          <w:rFonts w:hint="eastAsia" w:ascii="宋体" w:hAnsi="宋体" w:cs="宋体"/>
          <w:color w:val="auto"/>
        </w:rPr>
      </w:pPr>
      <w:r>
        <w:rPr>
          <w:rFonts w:hint="eastAsia" w:ascii="宋体" w:hAnsi="宋体" w:cs="宋体"/>
          <w:color w:val="auto"/>
        </w:rPr>
        <w:t>3.2.3 投标人在投标截止时间前修改投标函中的投标报价总额，应同时修改投标文件“价格清单”中的相应报价，投标报价总额为各分项金额之和。此修改须符合本章第4.3款的有关要求。</w:t>
      </w:r>
    </w:p>
    <w:p w14:paraId="38F358EF">
      <w:pPr>
        <w:spacing w:line="400" w:lineRule="exact"/>
        <w:ind w:firstLine="420" w:firstLineChars="200"/>
        <w:rPr>
          <w:rFonts w:hint="eastAsia" w:ascii="宋体" w:hAnsi="宋体" w:cs="宋体"/>
          <w:color w:val="auto"/>
        </w:rPr>
      </w:pPr>
      <w:r>
        <w:rPr>
          <w:rFonts w:hint="eastAsia" w:ascii="宋体" w:hAnsi="宋体" w:cs="宋体"/>
          <w:color w:val="auto"/>
        </w:rPr>
        <w:t>3.2.4 招标人设有最高投标限价的，投标人的投标报价不得超过最高投标限价，最高投标限价或其计算方法在投标人须知前附表中载明。</w:t>
      </w:r>
    </w:p>
    <w:p w14:paraId="55E7C2FB">
      <w:pPr>
        <w:spacing w:line="400" w:lineRule="exact"/>
        <w:ind w:firstLine="420" w:firstLineChars="200"/>
        <w:rPr>
          <w:rFonts w:hint="eastAsia" w:ascii="宋体" w:hAnsi="宋体" w:cs="宋体"/>
          <w:color w:val="auto"/>
        </w:rPr>
      </w:pPr>
      <w:r>
        <w:rPr>
          <w:rFonts w:hint="eastAsia" w:ascii="宋体" w:hAnsi="宋体" w:cs="宋体"/>
          <w:color w:val="auto"/>
        </w:rPr>
        <w:t>3.2.5 投标报价的其他要求见投标人须知前附表。</w:t>
      </w:r>
    </w:p>
    <w:p w14:paraId="78D919F0">
      <w:pPr>
        <w:pStyle w:val="4"/>
        <w:rPr>
          <w:rFonts w:hint="eastAsia" w:ascii="宋体" w:eastAsia="宋体" w:cs="宋体"/>
          <w:color w:val="auto"/>
        </w:rPr>
      </w:pPr>
      <w:bookmarkStart w:id="179" w:name="_Toc8437"/>
      <w:bookmarkStart w:id="180" w:name="_Toc144974517"/>
      <w:bookmarkStart w:id="181" w:name="_Toc13756"/>
      <w:bookmarkStart w:id="182" w:name="_Toc247513973"/>
      <w:bookmarkStart w:id="183" w:name="_Toc152045549"/>
      <w:bookmarkStart w:id="184" w:name="_Toc152042325"/>
      <w:bookmarkStart w:id="185" w:name="_Toc247527574"/>
      <w:r>
        <w:rPr>
          <w:rFonts w:hint="eastAsia" w:ascii="宋体" w:eastAsia="宋体" w:cs="宋体"/>
          <w:color w:val="auto"/>
        </w:rPr>
        <w:t>3.3 投标有效期</w:t>
      </w:r>
      <w:bookmarkEnd w:id="179"/>
      <w:bookmarkEnd w:id="180"/>
      <w:bookmarkEnd w:id="181"/>
      <w:bookmarkEnd w:id="182"/>
      <w:bookmarkEnd w:id="183"/>
      <w:bookmarkEnd w:id="184"/>
      <w:bookmarkEnd w:id="185"/>
    </w:p>
    <w:p w14:paraId="6D5B4614">
      <w:pPr>
        <w:spacing w:line="400" w:lineRule="exact"/>
        <w:ind w:firstLine="420" w:firstLineChars="200"/>
        <w:rPr>
          <w:rFonts w:hint="eastAsia" w:ascii="宋体" w:hAnsi="宋体" w:cs="宋体"/>
          <w:color w:val="auto"/>
        </w:rPr>
      </w:pPr>
      <w:r>
        <w:rPr>
          <w:rFonts w:hint="eastAsia" w:ascii="宋体" w:hAnsi="宋体" w:cs="宋体"/>
          <w:color w:val="auto"/>
        </w:rPr>
        <w:t>3.3.1 除投标人须知前附表另有规定外，投标有效期为120天。</w:t>
      </w:r>
    </w:p>
    <w:p w14:paraId="565D8EFF">
      <w:pPr>
        <w:spacing w:line="400" w:lineRule="exact"/>
        <w:ind w:firstLine="420" w:firstLineChars="200"/>
        <w:rPr>
          <w:rFonts w:hint="eastAsia" w:ascii="宋体" w:hAnsi="宋体" w:cs="宋体"/>
          <w:color w:val="auto"/>
        </w:rPr>
      </w:pPr>
      <w:r>
        <w:rPr>
          <w:rFonts w:hint="eastAsia" w:ascii="宋体" w:hAnsi="宋体" w:cs="宋体"/>
          <w:color w:val="auto"/>
        </w:rPr>
        <w:t>3.3.2 在投标有效期内，投标人撤销或修改其投标文件的，应承担招标文件和法律规定的责任。</w:t>
      </w:r>
    </w:p>
    <w:p w14:paraId="355BBC5A">
      <w:pPr>
        <w:spacing w:line="400" w:lineRule="exact"/>
        <w:ind w:firstLine="420" w:firstLineChars="200"/>
        <w:rPr>
          <w:rFonts w:hint="eastAsia" w:ascii="宋体" w:hAnsi="宋体" w:cs="宋体"/>
          <w:color w:val="auto"/>
        </w:rPr>
      </w:pPr>
      <w:r>
        <w:rPr>
          <w:rFonts w:hint="eastAsia" w:ascii="宋体" w:hAnsi="宋体" w:cs="宋体"/>
          <w:color w:val="auto"/>
        </w:rPr>
        <w:t xml:space="preserve">3.3.3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14:paraId="5357F5E2">
      <w:pPr>
        <w:pStyle w:val="4"/>
        <w:rPr>
          <w:rFonts w:hint="eastAsia" w:ascii="宋体" w:eastAsia="宋体" w:cs="宋体"/>
          <w:color w:val="auto"/>
        </w:rPr>
      </w:pPr>
      <w:bookmarkStart w:id="186" w:name="_Toc247513974"/>
      <w:bookmarkStart w:id="187" w:name="_Toc144974518"/>
      <w:bookmarkStart w:id="188" w:name="_Toc152045550"/>
      <w:bookmarkStart w:id="189" w:name="_Toc18959"/>
      <w:bookmarkStart w:id="190" w:name="_Toc152042326"/>
      <w:bookmarkStart w:id="191" w:name="_Toc280"/>
      <w:bookmarkStart w:id="192" w:name="_Toc247527575"/>
      <w:r>
        <w:rPr>
          <w:rFonts w:hint="eastAsia" w:ascii="宋体" w:eastAsia="宋体" w:cs="宋体"/>
          <w:color w:val="auto"/>
        </w:rPr>
        <w:t>3.4 投标保证金</w:t>
      </w:r>
      <w:bookmarkEnd w:id="186"/>
      <w:bookmarkEnd w:id="187"/>
      <w:bookmarkEnd w:id="188"/>
      <w:bookmarkEnd w:id="189"/>
      <w:bookmarkEnd w:id="190"/>
      <w:bookmarkEnd w:id="191"/>
      <w:bookmarkEnd w:id="192"/>
    </w:p>
    <w:p w14:paraId="39CC1EED">
      <w:pPr>
        <w:spacing w:line="400" w:lineRule="exact"/>
        <w:ind w:firstLine="420" w:firstLineChars="200"/>
        <w:rPr>
          <w:color w:val="auto"/>
        </w:rPr>
      </w:pPr>
      <w:bookmarkStart w:id="193" w:name="_Toc20478"/>
      <w:bookmarkStart w:id="194" w:name="_Toc152042327"/>
      <w:bookmarkStart w:id="195" w:name="_Toc247513975"/>
      <w:bookmarkStart w:id="196" w:name="_Toc144974519"/>
      <w:bookmarkStart w:id="197" w:name="_Toc247527576"/>
      <w:bookmarkStart w:id="198" w:name="_Toc152045551"/>
      <w:r>
        <w:rPr>
          <w:rFonts w:hint="eastAsia"/>
          <w:color w:val="auto"/>
        </w:rPr>
        <w:t>3.4.1 投标人在递交投标文件的同时，应按投标人须知前附表规定的金额、担保形式和第七章“投标文件格式”规定的投标保证金格式递交投标保证金，并作为其投标文件的组成部分。联合体投标的，其投标保证金由主办人递交，并应符合投标人须知前附表的规定。</w:t>
      </w:r>
    </w:p>
    <w:p w14:paraId="21AE28B1">
      <w:pPr>
        <w:spacing w:line="400" w:lineRule="exact"/>
        <w:ind w:firstLine="420" w:firstLineChars="200"/>
        <w:rPr>
          <w:color w:val="auto"/>
        </w:rPr>
      </w:pPr>
      <w:r>
        <w:rPr>
          <w:rFonts w:hint="eastAsia"/>
          <w:color w:val="auto"/>
        </w:rPr>
        <w:t>3.4.2 投标人不按本章第3.4.1项要求提交投标保证金的，评标委员会将否决其投标。</w:t>
      </w:r>
    </w:p>
    <w:p w14:paraId="60F12B28">
      <w:pPr>
        <w:spacing w:line="400" w:lineRule="exact"/>
        <w:ind w:firstLine="420" w:firstLineChars="200"/>
        <w:rPr>
          <w:color w:val="auto"/>
        </w:rPr>
      </w:pPr>
      <w:r>
        <w:rPr>
          <w:rFonts w:hint="eastAsia"/>
          <w:color w:val="auto"/>
        </w:rPr>
        <w:t>3.4.3 招标人与中标人签订合同后5日内，向未中标的投标人和中标人退还投标保证金及同期银行存款利息。</w:t>
      </w:r>
    </w:p>
    <w:p w14:paraId="76C8D63B">
      <w:pPr>
        <w:spacing w:line="400" w:lineRule="exact"/>
        <w:ind w:firstLine="420" w:firstLineChars="200"/>
        <w:rPr>
          <w:color w:val="auto"/>
        </w:rPr>
      </w:pPr>
      <w:r>
        <w:rPr>
          <w:rFonts w:hint="eastAsia"/>
          <w:color w:val="auto"/>
        </w:rPr>
        <w:t xml:space="preserve">3.4.4 有下列情形之一的，投标保证金将不予退还： </w:t>
      </w:r>
    </w:p>
    <w:p w14:paraId="6A571A5B">
      <w:pPr>
        <w:spacing w:line="400" w:lineRule="exact"/>
        <w:ind w:firstLine="315" w:firstLineChars="150"/>
        <w:rPr>
          <w:color w:val="auto"/>
        </w:rPr>
      </w:pPr>
      <w:r>
        <w:rPr>
          <w:rFonts w:hint="eastAsia"/>
          <w:color w:val="auto"/>
        </w:rPr>
        <w:t>（1）投标人在规定的投标有效期内撤销或修改其投标文件；</w:t>
      </w:r>
    </w:p>
    <w:p w14:paraId="47828770">
      <w:pPr>
        <w:spacing w:line="400" w:lineRule="exact"/>
        <w:ind w:firstLine="315" w:firstLineChars="150"/>
        <w:rPr>
          <w:rFonts w:hint="eastAsia" w:ascii="宋体" w:hAnsi="宋体" w:cs="宋体"/>
          <w:color w:val="auto"/>
          <w:u w:val="single"/>
        </w:rPr>
      </w:pPr>
      <w:r>
        <w:rPr>
          <w:rFonts w:hint="eastAsia"/>
          <w:color w:val="auto"/>
        </w:rPr>
        <w:t>（2）中标人在收到中标通知书后，无正当理由拒签合同或未按招标文件规定提交履约担保。</w:t>
      </w:r>
    </w:p>
    <w:bookmarkEnd w:id="193"/>
    <w:bookmarkEnd w:id="194"/>
    <w:bookmarkEnd w:id="195"/>
    <w:bookmarkEnd w:id="196"/>
    <w:bookmarkEnd w:id="197"/>
    <w:bookmarkEnd w:id="198"/>
    <w:p w14:paraId="35078E73">
      <w:pPr>
        <w:pStyle w:val="4"/>
        <w:rPr>
          <w:rFonts w:hint="eastAsia" w:ascii="宋体" w:eastAsia="宋体" w:cs="宋体"/>
          <w:color w:val="auto"/>
        </w:rPr>
      </w:pPr>
      <w:bookmarkStart w:id="199" w:name="_Toc144974520"/>
      <w:bookmarkStart w:id="200" w:name="_Toc6308"/>
      <w:bookmarkStart w:id="201" w:name="_Toc23531"/>
      <w:bookmarkStart w:id="202" w:name="_Toc152042328"/>
      <w:bookmarkStart w:id="203" w:name="_Toc152045552"/>
      <w:bookmarkStart w:id="204" w:name="_Toc247513976"/>
      <w:bookmarkStart w:id="205" w:name="_Toc247527577"/>
      <w:r>
        <w:rPr>
          <w:rFonts w:hint="eastAsia" w:ascii="宋体" w:eastAsia="宋体" w:cs="宋体"/>
          <w:color w:val="auto"/>
        </w:rPr>
        <w:t>3.5 资格审查资料（适用于未进行资格预审的）</w:t>
      </w:r>
      <w:bookmarkEnd w:id="199"/>
      <w:bookmarkEnd w:id="200"/>
      <w:bookmarkEnd w:id="201"/>
      <w:bookmarkEnd w:id="202"/>
      <w:bookmarkEnd w:id="203"/>
      <w:bookmarkEnd w:id="204"/>
      <w:bookmarkEnd w:id="205"/>
    </w:p>
    <w:p w14:paraId="5F500BCD">
      <w:pPr>
        <w:spacing w:line="400" w:lineRule="exact"/>
        <w:ind w:firstLine="420" w:firstLineChars="200"/>
        <w:rPr>
          <w:rFonts w:hint="eastAsia" w:ascii="新宋体" w:hAnsi="新宋体" w:eastAsia="新宋体" w:cs="新宋体"/>
          <w:color w:val="auto"/>
          <w:u w:val="single"/>
        </w:rPr>
      </w:pPr>
      <w:r>
        <w:rPr>
          <w:rFonts w:hint="eastAsia" w:ascii="新宋体" w:hAnsi="新宋体" w:eastAsia="新宋体" w:cs="新宋体"/>
          <w:color w:val="auto"/>
          <w:u w:val="single"/>
        </w:rPr>
        <w:t>资格审查资料要求详见本章3.1.2资格审查文件组成。</w:t>
      </w:r>
    </w:p>
    <w:p w14:paraId="6E1F3FB4">
      <w:pPr>
        <w:spacing w:line="400" w:lineRule="exact"/>
        <w:ind w:firstLine="420" w:firstLineChars="200"/>
        <w:rPr>
          <w:rFonts w:hint="eastAsia" w:ascii="宋体" w:hAnsi="宋体" w:cs="宋体"/>
          <w:strike/>
          <w:color w:val="auto"/>
        </w:rPr>
      </w:pPr>
      <w:r>
        <w:rPr>
          <w:rFonts w:hint="eastAsia" w:ascii="宋体" w:hAnsi="宋体" w:cs="宋体"/>
          <w:color w:val="auto"/>
          <w:szCs w:val="21"/>
          <w:u w:val="single"/>
        </w:rPr>
        <w:t>本项目采用电子化资格后审，由综合评标委员会负责对投标人的资格进行审查，评标时只对通过资格审查的投标人进行下一阶段的评审。</w:t>
      </w:r>
    </w:p>
    <w:p w14:paraId="6C67C3E5">
      <w:pPr>
        <w:pStyle w:val="4"/>
        <w:rPr>
          <w:rFonts w:hint="eastAsia" w:ascii="宋体" w:eastAsia="宋体" w:cs="宋体"/>
          <w:color w:val="auto"/>
        </w:rPr>
      </w:pPr>
      <w:bookmarkStart w:id="206" w:name="_Toc152045553"/>
      <w:bookmarkStart w:id="207" w:name="_Toc152042329"/>
      <w:bookmarkStart w:id="208" w:name="_Toc247513977"/>
      <w:bookmarkStart w:id="209" w:name="_Toc27554"/>
      <w:bookmarkStart w:id="210" w:name="_Toc247527578"/>
      <w:bookmarkStart w:id="211" w:name="_Toc12562"/>
      <w:bookmarkStart w:id="212" w:name="_Toc144974521"/>
      <w:r>
        <w:rPr>
          <w:rFonts w:hint="eastAsia" w:ascii="宋体" w:eastAsia="宋体" w:cs="宋体"/>
          <w:color w:val="auto"/>
        </w:rPr>
        <w:t>3.6 备选投标方案</w:t>
      </w:r>
      <w:bookmarkEnd w:id="206"/>
      <w:bookmarkEnd w:id="207"/>
      <w:bookmarkEnd w:id="208"/>
      <w:bookmarkEnd w:id="209"/>
      <w:bookmarkEnd w:id="210"/>
      <w:bookmarkEnd w:id="211"/>
      <w:bookmarkEnd w:id="212"/>
    </w:p>
    <w:p w14:paraId="3C597D44">
      <w:pPr>
        <w:spacing w:line="400" w:lineRule="exact"/>
        <w:ind w:firstLine="420" w:firstLineChars="200"/>
        <w:rPr>
          <w:rFonts w:hint="eastAsia" w:ascii="宋体" w:hAnsi="宋体" w:cs="宋体"/>
          <w:strike/>
          <w:color w:val="auto"/>
        </w:rPr>
      </w:pPr>
      <w:r>
        <w:rPr>
          <w:rFonts w:hint="eastAsia" w:ascii="宋体" w:hAnsi="宋体" w:cs="宋体"/>
          <w:color w:val="auto"/>
        </w:rPr>
        <w:t>除投标人须知前附表另有规定外，投标人不得递交备选投标方案。</w:t>
      </w:r>
      <w:r>
        <w:rPr>
          <w:rFonts w:hint="eastAsia" w:ascii="宋体" w:hAnsi="宋体" w:cs="宋体"/>
          <w:strike/>
          <w:color w:val="auto"/>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5FA5CEE4">
      <w:pPr>
        <w:pStyle w:val="4"/>
        <w:rPr>
          <w:rFonts w:hint="eastAsia" w:ascii="宋体" w:eastAsia="宋体" w:cs="宋体"/>
          <w:color w:val="auto"/>
        </w:rPr>
      </w:pPr>
      <w:bookmarkStart w:id="213" w:name="_Toc247527579"/>
      <w:bookmarkStart w:id="214" w:name="_Toc152042330"/>
      <w:bookmarkStart w:id="215" w:name="_Toc144974522"/>
      <w:bookmarkStart w:id="216" w:name="_Toc152045554"/>
      <w:bookmarkStart w:id="217" w:name="_Toc15348"/>
      <w:bookmarkStart w:id="218" w:name="_Toc247513978"/>
      <w:bookmarkStart w:id="219" w:name="_Toc30148"/>
      <w:r>
        <w:rPr>
          <w:rFonts w:hint="eastAsia" w:ascii="宋体" w:eastAsia="宋体" w:cs="宋体"/>
          <w:color w:val="auto"/>
        </w:rPr>
        <w:t>3.7 投标文件的编制</w:t>
      </w:r>
      <w:bookmarkEnd w:id="213"/>
      <w:bookmarkEnd w:id="214"/>
      <w:bookmarkEnd w:id="215"/>
      <w:bookmarkEnd w:id="216"/>
      <w:bookmarkEnd w:id="217"/>
      <w:bookmarkEnd w:id="218"/>
      <w:bookmarkEnd w:id="219"/>
    </w:p>
    <w:p w14:paraId="4C7C5A64">
      <w:pPr>
        <w:spacing w:line="400" w:lineRule="exact"/>
        <w:ind w:firstLine="420" w:firstLineChars="200"/>
        <w:rPr>
          <w:rFonts w:hint="eastAsia" w:ascii="宋体" w:hAnsi="宋体" w:cs="宋体"/>
          <w:color w:val="auto"/>
        </w:rPr>
      </w:pPr>
      <w:r>
        <w:rPr>
          <w:rFonts w:hint="eastAsia" w:ascii="宋体" w:hAnsi="宋体" w:cs="宋体"/>
          <w:color w:val="auto"/>
        </w:rPr>
        <w:t>3.7.1 投标文件应按第七章“投标文件格式”进行编写，如有必要，可以增加附页，作为投标文件的组成部分。其中，投标函附录在满足招标文件实质性要求的基础上，可以提出比招标文件要求更有利于招标人的承诺。</w:t>
      </w:r>
    </w:p>
    <w:p w14:paraId="64075C5D">
      <w:pPr>
        <w:spacing w:line="400" w:lineRule="exact"/>
        <w:ind w:firstLine="420" w:firstLineChars="200"/>
        <w:rPr>
          <w:rFonts w:hint="eastAsia" w:ascii="宋体" w:hAnsi="宋体" w:cs="宋体"/>
          <w:color w:val="auto"/>
          <w:szCs w:val="21"/>
        </w:rPr>
      </w:pPr>
      <w:r>
        <w:rPr>
          <w:rFonts w:hint="eastAsia" w:ascii="宋体" w:hAnsi="宋体" w:cs="宋体"/>
          <w:color w:val="auto"/>
        </w:rPr>
        <w:t>3.7.2 投标文件应当对招标文件有关</w:t>
      </w:r>
      <w:r>
        <w:rPr>
          <w:rFonts w:hint="eastAsia" w:ascii="宋体" w:hAnsi="宋体" w:cs="宋体"/>
          <w:color w:val="auto"/>
          <w:szCs w:val="21"/>
        </w:rPr>
        <w:t>招标范围、投标有效期、工期、质量标准、招标人要求等实质性内容作出响应。</w:t>
      </w:r>
    </w:p>
    <w:p w14:paraId="7DFC9057">
      <w:pPr>
        <w:spacing w:line="400" w:lineRule="exact"/>
        <w:ind w:firstLine="420" w:firstLineChars="200"/>
        <w:rPr>
          <w:rFonts w:hint="eastAsia" w:ascii="宋体" w:hAnsi="宋体" w:cs="宋体"/>
          <w:color w:val="auto"/>
        </w:rPr>
      </w:pPr>
      <w:r>
        <w:rPr>
          <w:rFonts w:hint="eastAsia" w:ascii="宋体" w:hAnsi="宋体" w:cs="宋体"/>
          <w:color w:val="auto"/>
        </w:rPr>
        <w:t>3.7.3</w:t>
      </w:r>
      <w:r>
        <w:rPr>
          <w:rFonts w:hint="eastAsia" w:ascii="宋体" w:hAnsi="宋体" w:cs="宋体"/>
          <w:color w:val="auto"/>
          <w:szCs w:val="21"/>
          <w:u w:val="single"/>
        </w:rPr>
        <w:t>投标人采用单位数字证书，按招标文件要求在相应位置加盖电子印章。投标文件中需个人签字或盖章的，应加盖个人电子印章或在线下完成后扫描上传。按照交易平台关于全流程电子化项目的相关指南进行操作，联合体投标的，除投标文件中的联合体协议书需联合体各方盖章、签字外，投标文件其他内容中的“投标人”、</w:t>
      </w:r>
      <w:r>
        <w:rPr>
          <w:rFonts w:hint="eastAsia" w:ascii="宋体" w:hAnsi="宋体" w:cs="宋体"/>
          <w:color w:val="auto"/>
          <w:szCs w:val="21"/>
          <w:u w:val="single"/>
          <w:lang w:bidi="ar"/>
        </w:rPr>
        <w:t>“投标单位”、</w:t>
      </w:r>
      <w:r>
        <w:rPr>
          <w:rFonts w:hint="eastAsia" w:ascii="宋体" w:hAnsi="宋体" w:cs="宋体"/>
          <w:color w:val="auto"/>
          <w:szCs w:val="21"/>
          <w:u w:val="single"/>
        </w:rPr>
        <w:t>“声明企业”应填写联合体各方的单位全称</w:t>
      </w:r>
      <w:r>
        <w:rPr>
          <w:rFonts w:hint="eastAsia" w:ascii="宋体" w:hAnsi="宋体" w:cs="宋体"/>
          <w:color w:val="auto"/>
          <w:szCs w:val="21"/>
          <w:u w:val="single"/>
          <w:lang w:bidi="ar"/>
        </w:rPr>
        <w:t>【格式表示为：(主)XXXX公司,(成)XXXX公司】</w:t>
      </w:r>
      <w:r>
        <w:rPr>
          <w:rFonts w:hint="eastAsia" w:ascii="宋体" w:hAnsi="宋体" w:cs="宋体"/>
          <w:color w:val="auto"/>
          <w:szCs w:val="21"/>
          <w:u w:val="single"/>
        </w:rPr>
        <w:t>，但由主办方盖章、签字即可</w:t>
      </w:r>
      <w:r>
        <w:rPr>
          <w:rFonts w:hint="eastAsia" w:ascii="宋体" w:hAnsi="宋体" w:cs="宋体"/>
          <w:color w:val="auto"/>
          <w:szCs w:val="21"/>
        </w:rPr>
        <w:t>。</w:t>
      </w:r>
      <w:r>
        <w:rPr>
          <w:rFonts w:hint="eastAsia" w:ascii="宋体" w:hAnsi="宋体" w:cs="宋体"/>
          <w:color w:val="auto"/>
        </w:rPr>
        <w:t xml:space="preserve"> </w:t>
      </w:r>
    </w:p>
    <w:p w14:paraId="1E3C6D96">
      <w:pPr>
        <w:spacing w:line="400" w:lineRule="exact"/>
        <w:ind w:firstLine="420" w:firstLineChars="200"/>
        <w:rPr>
          <w:rFonts w:hint="eastAsia" w:ascii="宋体" w:hAnsi="宋体" w:cs="宋体"/>
          <w:strike/>
          <w:color w:val="auto"/>
        </w:rPr>
      </w:pPr>
      <w:r>
        <w:rPr>
          <w:rFonts w:hint="eastAsia" w:ascii="宋体" w:hAnsi="宋体" w:cs="宋体"/>
          <w:strike/>
          <w:color w:val="auto"/>
        </w:rPr>
        <w:t>3.7.4 投标文件正本一份, 副本份数见投标人须知前附表。正本和副本的封面上应清楚地标记“正本”或“副本”的字样。当副本和正本不一致时，以正本为准。</w:t>
      </w:r>
    </w:p>
    <w:p w14:paraId="07811047">
      <w:pPr>
        <w:spacing w:line="400" w:lineRule="exact"/>
        <w:ind w:firstLine="420" w:firstLineChars="200"/>
        <w:rPr>
          <w:rFonts w:hint="eastAsia" w:ascii="宋体" w:hAnsi="宋体" w:cs="宋体"/>
          <w:strike/>
          <w:color w:val="auto"/>
        </w:rPr>
      </w:pPr>
      <w:r>
        <w:rPr>
          <w:rFonts w:hint="eastAsia" w:ascii="宋体" w:hAnsi="宋体" w:cs="宋体"/>
          <w:strike/>
          <w:color w:val="auto"/>
        </w:rPr>
        <w:t>3.7.5 投标文件的正本与副本应分别装订成册，具体装订要求见投标人须知前附表规定。</w:t>
      </w:r>
    </w:p>
    <w:p w14:paraId="2F81E090">
      <w:pPr>
        <w:pStyle w:val="3"/>
        <w:rPr>
          <w:rFonts w:hint="eastAsia" w:ascii="宋体" w:hAnsi="宋体" w:eastAsia="宋体" w:cs="宋体"/>
          <w:color w:val="auto"/>
        </w:rPr>
      </w:pPr>
      <w:bookmarkStart w:id="220" w:name="_Toc152042331"/>
      <w:bookmarkStart w:id="221" w:name="_Toc247513979"/>
      <w:bookmarkStart w:id="222" w:name="_Toc15400"/>
      <w:bookmarkStart w:id="223" w:name="_Toc144974523"/>
      <w:bookmarkStart w:id="224" w:name="_Toc152045555"/>
      <w:bookmarkStart w:id="225" w:name="_Toc247527580"/>
      <w:bookmarkStart w:id="226" w:name="_Toc16074"/>
      <w:r>
        <w:rPr>
          <w:rFonts w:hint="eastAsia" w:ascii="宋体" w:hAnsi="宋体" w:eastAsia="宋体" w:cs="宋体"/>
          <w:color w:val="auto"/>
        </w:rPr>
        <w:t>4. 投标</w:t>
      </w:r>
      <w:bookmarkEnd w:id="220"/>
      <w:bookmarkEnd w:id="221"/>
      <w:bookmarkEnd w:id="222"/>
      <w:bookmarkEnd w:id="223"/>
      <w:bookmarkEnd w:id="224"/>
      <w:bookmarkEnd w:id="225"/>
      <w:bookmarkEnd w:id="226"/>
    </w:p>
    <w:p w14:paraId="5D4DFC69">
      <w:pPr>
        <w:pStyle w:val="4"/>
        <w:rPr>
          <w:rFonts w:hint="eastAsia" w:ascii="宋体" w:eastAsia="宋体" w:cs="宋体"/>
          <w:color w:val="auto"/>
        </w:rPr>
      </w:pPr>
      <w:bookmarkStart w:id="227" w:name="_Toc12354"/>
      <w:bookmarkStart w:id="228" w:name="_Toc152045556"/>
      <w:bookmarkStart w:id="229" w:name="_Toc247513980"/>
      <w:bookmarkStart w:id="230" w:name="_Toc17494"/>
      <w:bookmarkStart w:id="231" w:name="_Toc144974524"/>
      <w:bookmarkStart w:id="232" w:name="_Toc247527581"/>
      <w:bookmarkStart w:id="233" w:name="_Toc152042332"/>
      <w:r>
        <w:rPr>
          <w:rFonts w:hint="eastAsia" w:ascii="宋体" w:eastAsia="宋体" w:cs="宋体"/>
          <w:color w:val="auto"/>
        </w:rPr>
        <w:t>4.1 投标文件的密封和标记</w:t>
      </w:r>
      <w:bookmarkEnd w:id="227"/>
      <w:bookmarkEnd w:id="228"/>
      <w:bookmarkEnd w:id="229"/>
      <w:bookmarkEnd w:id="230"/>
      <w:bookmarkEnd w:id="231"/>
      <w:bookmarkEnd w:id="232"/>
      <w:bookmarkEnd w:id="233"/>
    </w:p>
    <w:p w14:paraId="1D37C44E">
      <w:pPr>
        <w:spacing w:line="400" w:lineRule="exact"/>
        <w:ind w:firstLine="420" w:firstLineChars="200"/>
        <w:rPr>
          <w:rFonts w:hint="eastAsia" w:ascii="宋体" w:hAnsi="宋体" w:cs="宋体"/>
          <w:color w:val="auto"/>
        </w:rPr>
      </w:pPr>
      <w:r>
        <w:rPr>
          <w:rFonts w:hint="eastAsia" w:ascii="宋体" w:hAnsi="宋体" w:cs="宋体"/>
          <w:color w:val="auto"/>
        </w:rPr>
        <w:t xml:space="preserve">4.1.1 </w:t>
      </w:r>
      <w:r>
        <w:rPr>
          <w:rFonts w:hint="eastAsia" w:ascii="宋体" w:hAnsi="宋体" w:cs="宋体"/>
          <w:color w:val="auto"/>
          <w:szCs w:val="21"/>
          <w:u w:val="single"/>
        </w:rPr>
        <w:t>投</w:t>
      </w:r>
      <w:r>
        <w:rPr>
          <w:rFonts w:hint="eastAsia" w:ascii="宋体" w:hAnsi="宋体" w:cs="宋体"/>
          <w:color w:val="auto"/>
          <w:spacing w:val="-2"/>
          <w:szCs w:val="21"/>
          <w:u w:val="single"/>
        </w:rPr>
        <w:t>标</w:t>
      </w:r>
      <w:r>
        <w:rPr>
          <w:rFonts w:hint="eastAsia" w:ascii="宋体" w:hAnsi="宋体" w:cs="宋体"/>
          <w:color w:val="auto"/>
          <w:szCs w:val="21"/>
          <w:u w:val="single"/>
        </w:rPr>
        <w:t>人</w:t>
      </w:r>
      <w:r>
        <w:rPr>
          <w:rFonts w:hint="eastAsia" w:ascii="宋体" w:hAnsi="宋体" w:cs="宋体"/>
          <w:color w:val="auto"/>
          <w:spacing w:val="-2"/>
          <w:szCs w:val="21"/>
          <w:u w:val="single"/>
        </w:rPr>
        <w:t>应</w:t>
      </w:r>
      <w:r>
        <w:rPr>
          <w:rFonts w:hint="eastAsia" w:ascii="宋体" w:hAnsi="宋体" w:cs="宋体"/>
          <w:color w:val="auto"/>
          <w:szCs w:val="21"/>
          <w:u w:val="single"/>
        </w:rPr>
        <w:t>当</w:t>
      </w:r>
      <w:r>
        <w:rPr>
          <w:rFonts w:hint="eastAsia" w:ascii="宋体" w:hAnsi="宋体" w:cs="宋体"/>
          <w:color w:val="auto"/>
          <w:spacing w:val="-2"/>
          <w:szCs w:val="21"/>
          <w:u w:val="single"/>
        </w:rPr>
        <w:t>按</w:t>
      </w:r>
      <w:r>
        <w:rPr>
          <w:rFonts w:hint="eastAsia" w:ascii="宋体" w:hAnsi="宋体" w:cs="宋体"/>
          <w:color w:val="auto"/>
          <w:szCs w:val="21"/>
          <w:u w:val="single"/>
        </w:rPr>
        <w:t>照招</w:t>
      </w:r>
      <w:r>
        <w:rPr>
          <w:rFonts w:hint="eastAsia" w:ascii="宋体" w:hAnsi="宋体" w:cs="宋体"/>
          <w:color w:val="auto"/>
          <w:spacing w:val="-2"/>
          <w:szCs w:val="21"/>
          <w:u w:val="single"/>
        </w:rPr>
        <w:t>标</w:t>
      </w:r>
      <w:r>
        <w:rPr>
          <w:rFonts w:hint="eastAsia" w:ascii="宋体" w:hAnsi="宋体" w:cs="宋体"/>
          <w:color w:val="auto"/>
          <w:szCs w:val="21"/>
          <w:u w:val="single"/>
        </w:rPr>
        <w:t>文</w:t>
      </w:r>
      <w:r>
        <w:rPr>
          <w:rFonts w:hint="eastAsia" w:ascii="宋体" w:hAnsi="宋体" w:cs="宋体"/>
          <w:color w:val="auto"/>
          <w:spacing w:val="-2"/>
          <w:szCs w:val="21"/>
          <w:u w:val="single"/>
        </w:rPr>
        <w:t>件</w:t>
      </w:r>
      <w:r>
        <w:rPr>
          <w:rFonts w:hint="eastAsia" w:ascii="宋体" w:hAnsi="宋体" w:cs="宋体"/>
          <w:color w:val="auto"/>
          <w:szCs w:val="21"/>
          <w:u w:val="single"/>
        </w:rPr>
        <w:t>和</w:t>
      </w:r>
      <w:r>
        <w:rPr>
          <w:rFonts w:hint="eastAsia" w:ascii="宋体" w:hAnsi="宋体" w:cs="宋体"/>
          <w:color w:val="auto"/>
          <w:spacing w:val="-2"/>
          <w:szCs w:val="21"/>
          <w:u w:val="single"/>
        </w:rPr>
        <w:t>电</w:t>
      </w:r>
      <w:r>
        <w:rPr>
          <w:rFonts w:hint="eastAsia" w:ascii="宋体" w:hAnsi="宋体" w:cs="宋体"/>
          <w:color w:val="auto"/>
          <w:szCs w:val="21"/>
          <w:u w:val="single"/>
        </w:rPr>
        <w:t>子</w:t>
      </w:r>
      <w:r>
        <w:rPr>
          <w:rFonts w:hint="eastAsia" w:ascii="宋体" w:hAnsi="宋体" w:cs="宋体"/>
          <w:color w:val="auto"/>
          <w:spacing w:val="-2"/>
          <w:szCs w:val="21"/>
          <w:u w:val="single"/>
        </w:rPr>
        <w:t>招</w:t>
      </w:r>
      <w:r>
        <w:rPr>
          <w:rFonts w:hint="eastAsia" w:ascii="宋体" w:hAnsi="宋体" w:cs="宋体"/>
          <w:color w:val="auto"/>
          <w:szCs w:val="21"/>
          <w:u w:val="single"/>
        </w:rPr>
        <w:t>标</w:t>
      </w:r>
      <w:r>
        <w:rPr>
          <w:rFonts w:hint="eastAsia" w:ascii="宋体" w:hAnsi="宋体" w:cs="宋体"/>
          <w:color w:val="auto"/>
          <w:spacing w:val="-2"/>
          <w:szCs w:val="21"/>
          <w:u w:val="single"/>
        </w:rPr>
        <w:t>投</w:t>
      </w:r>
      <w:r>
        <w:rPr>
          <w:rFonts w:hint="eastAsia" w:ascii="宋体" w:hAnsi="宋体" w:cs="宋体"/>
          <w:color w:val="auto"/>
          <w:szCs w:val="21"/>
          <w:u w:val="single"/>
        </w:rPr>
        <w:t>标交</w:t>
      </w:r>
      <w:r>
        <w:rPr>
          <w:rFonts w:hint="eastAsia" w:ascii="宋体" w:hAnsi="宋体" w:cs="宋体"/>
          <w:color w:val="auto"/>
          <w:spacing w:val="-2"/>
          <w:szCs w:val="21"/>
          <w:u w:val="single"/>
        </w:rPr>
        <w:t>易</w:t>
      </w:r>
      <w:r>
        <w:rPr>
          <w:rFonts w:hint="eastAsia" w:ascii="宋体" w:hAnsi="宋体" w:cs="宋体"/>
          <w:color w:val="auto"/>
          <w:szCs w:val="21"/>
          <w:u w:val="single"/>
        </w:rPr>
        <w:t>平</w:t>
      </w:r>
      <w:r>
        <w:rPr>
          <w:rFonts w:hint="eastAsia" w:ascii="宋体" w:hAnsi="宋体" w:cs="宋体"/>
          <w:color w:val="auto"/>
          <w:spacing w:val="-2"/>
          <w:szCs w:val="21"/>
          <w:u w:val="single"/>
        </w:rPr>
        <w:t>台</w:t>
      </w:r>
      <w:r>
        <w:rPr>
          <w:rFonts w:hint="eastAsia" w:ascii="宋体" w:hAnsi="宋体" w:cs="宋体"/>
          <w:color w:val="auto"/>
          <w:szCs w:val="21"/>
          <w:u w:val="single"/>
        </w:rPr>
        <w:t>的</w:t>
      </w:r>
      <w:r>
        <w:rPr>
          <w:rFonts w:hint="eastAsia" w:ascii="宋体" w:hAnsi="宋体" w:cs="宋体"/>
          <w:color w:val="auto"/>
          <w:spacing w:val="-2"/>
          <w:szCs w:val="21"/>
          <w:u w:val="single"/>
        </w:rPr>
        <w:t>要</w:t>
      </w:r>
      <w:r>
        <w:rPr>
          <w:rFonts w:hint="eastAsia" w:ascii="宋体" w:hAnsi="宋体" w:cs="宋体"/>
          <w:color w:val="auto"/>
          <w:szCs w:val="21"/>
          <w:u w:val="single"/>
        </w:rPr>
        <w:t>求</w:t>
      </w:r>
      <w:r>
        <w:rPr>
          <w:rFonts w:hint="eastAsia" w:ascii="宋体" w:hAnsi="宋体" w:cs="宋体"/>
          <w:color w:val="auto"/>
          <w:spacing w:val="-2"/>
          <w:szCs w:val="21"/>
          <w:u w:val="single"/>
        </w:rPr>
        <w:t>加</w:t>
      </w:r>
      <w:r>
        <w:rPr>
          <w:rFonts w:hint="eastAsia" w:ascii="宋体" w:hAnsi="宋体" w:cs="宋体"/>
          <w:color w:val="auto"/>
          <w:szCs w:val="21"/>
          <w:u w:val="single"/>
        </w:rPr>
        <w:t>密</w:t>
      </w:r>
      <w:r>
        <w:rPr>
          <w:rFonts w:hint="eastAsia" w:ascii="宋体" w:hAnsi="宋体" w:cs="宋体"/>
          <w:color w:val="auto"/>
          <w:spacing w:val="-2"/>
          <w:szCs w:val="21"/>
          <w:u w:val="single"/>
        </w:rPr>
        <w:t>投</w:t>
      </w:r>
      <w:r>
        <w:rPr>
          <w:rFonts w:hint="eastAsia" w:ascii="宋体" w:hAnsi="宋体" w:cs="宋体"/>
          <w:color w:val="auto"/>
          <w:szCs w:val="21"/>
          <w:u w:val="single"/>
        </w:rPr>
        <w:t>标文</w:t>
      </w:r>
      <w:r>
        <w:rPr>
          <w:rFonts w:hint="eastAsia" w:ascii="宋体" w:hAnsi="宋体" w:cs="宋体"/>
          <w:color w:val="auto"/>
          <w:spacing w:val="-2"/>
          <w:szCs w:val="21"/>
          <w:u w:val="single"/>
        </w:rPr>
        <w:t>件，</w:t>
      </w:r>
      <w:r>
        <w:rPr>
          <w:rFonts w:hint="eastAsia" w:ascii="宋体" w:hAnsi="宋体" w:cs="宋体"/>
          <w:color w:val="auto"/>
          <w:szCs w:val="21"/>
        </w:rPr>
        <w:t>具</w:t>
      </w:r>
      <w:r>
        <w:rPr>
          <w:rFonts w:hint="eastAsia" w:ascii="宋体" w:hAnsi="宋体" w:cs="宋体"/>
          <w:color w:val="auto"/>
          <w:szCs w:val="21"/>
          <w:u w:val="single"/>
        </w:rPr>
        <w:t>体操作详见《房屋建筑和市政基础设施工程全流程电子化项目专章》</w:t>
      </w:r>
      <w:r>
        <w:rPr>
          <w:rFonts w:hint="eastAsia" w:ascii="宋体" w:hAnsi="宋体" w:cs="宋体"/>
          <w:color w:val="auto"/>
        </w:rPr>
        <w:t>。</w:t>
      </w:r>
    </w:p>
    <w:p w14:paraId="457B61AA">
      <w:pPr>
        <w:spacing w:line="400" w:lineRule="exact"/>
        <w:ind w:firstLine="420" w:firstLineChars="200"/>
        <w:rPr>
          <w:rFonts w:hint="eastAsia" w:ascii="宋体" w:hAnsi="宋体" w:cs="宋体"/>
          <w:color w:val="auto"/>
        </w:rPr>
      </w:pPr>
      <w:r>
        <w:rPr>
          <w:rFonts w:hint="eastAsia" w:ascii="宋体" w:hAnsi="宋体" w:cs="宋体"/>
          <w:color w:val="auto"/>
        </w:rPr>
        <w:t>4.1.2 投标文件封套上应写明的内容见投标人须知前附表。</w:t>
      </w:r>
    </w:p>
    <w:p w14:paraId="33286DD5">
      <w:pPr>
        <w:spacing w:line="400" w:lineRule="exact"/>
        <w:ind w:firstLine="420" w:firstLineChars="200"/>
        <w:rPr>
          <w:rFonts w:hint="eastAsia" w:ascii="宋体" w:hAnsi="宋体" w:cs="宋体"/>
          <w:color w:val="auto"/>
        </w:rPr>
      </w:pPr>
      <w:r>
        <w:rPr>
          <w:rFonts w:hint="eastAsia" w:ascii="宋体" w:hAnsi="宋体" w:cs="宋体"/>
          <w:color w:val="auto"/>
        </w:rPr>
        <w:t>4.1.3 未按本章第4.1.1项或第4.1.2项要求密封和加写标记的投标文件，招标人不予受理。</w:t>
      </w:r>
    </w:p>
    <w:p w14:paraId="5B8380E4">
      <w:pPr>
        <w:pStyle w:val="4"/>
        <w:rPr>
          <w:rFonts w:hint="eastAsia" w:ascii="宋体" w:eastAsia="宋体" w:cs="宋体"/>
          <w:color w:val="auto"/>
        </w:rPr>
      </w:pPr>
      <w:bookmarkStart w:id="234" w:name="_Toc144974525"/>
      <w:bookmarkStart w:id="235" w:name="_Toc152045557"/>
      <w:bookmarkStart w:id="236" w:name="_Toc12312"/>
      <w:bookmarkStart w:id="237" w:name="_Toc247513981"/>
      <w:bookmarkStart w:id="238" w:name="_Toc152042333"/>
      <w:bookmarkStart w:id="239" w:name="_Toc3388"/>
      <w:bookmarkStart w:id="240" w:name="_Toc247527582"/>
      <w:r>
        <w:rPr>
          <w:rFonts w:hint="eastAsia" w:ascii="宋体" w:eastAsia="宋体" w:cs="宋体"/>
          <w:color w:val="auto"/>
        </w:rPr>
        <w:t>4.2 投标文件的递交</w:t>
      </w:r>
      <w:bookmarkEnd w:id="234"/>
      <w:bookmarkEnd w:id="235"/>
      <w:bookmarkEnd w:id="236"/>
      <w:bookmarkEnd w:id="237"/>
      <w:bookmarkEnd w:id="238"/>
      <w:bookmarkEnd w:id="239"/>
      <w:bookmarkEnd w:id="240"/>
    </w:p>
    <w:p w14:paraId="16A02F2E">
      <w:pPr>
        <w:spacing w:line="400" w:lineRule="exact"/>
        <w:ind w:firstLine="420" w:firstLineChars="200"/>
        <w:rPr>
          <w:rFonts w:hint="eastAsia" w:ascii="宋体" w:hAnsi="宋体" w:cs="宋体"/>
          <w:color w:val="auto"/>
        </w:rPr>
      </w:pPr>
      <w:r>
        <w:rPr>
          <w:rFonts w:hint="eastAsia" w:ascii="宋体" w:hAnsi="宋体" w:cs="宋体"/>
          <w:color w:val="auto"/>
        </w:rPr>
        <w:t>4.2.1 投标人应在第2.2.2项规定的投标截止时间前递交投标文件。</w:t>
      </w:r>
    </w:p>
    <w:p w14:paraId="3D6198FA">
      <w:pPr>
        <w:spacing w:line="400" w:lineRule="exact"/>
        <w:ind w:firstLine="420" w:firstLineChars="200"/>
        <w:rPr>
          <w:rFonts w:hint="eastAsia" w:ascii="宋体" w:hAnsi="宋体" w:cs="宋体"/>
          <w:color w:val="auto"/>
        </w:rPr>
      </w:pPr>
      <w:r>
        <w:rPr>
          <w:rFonts w:hint="eastAsia" w:ascii="宋体" w:hAnsi="宋体" w:cs="宋体"/>
          <w:color w:val="auto"/>
        </w:rPr>
        <w:t>4.2.2 投标人递交投标文件的地点：见投标人须知前附表。</w:t>
      </w:r>
    </w:p>
    <w:p w14:paraId="013C703C">
      <w:pPr>
        <w:spacing w:line="400" w:lineRule="exact"/>
        <w:ind w:firstLine="420" w:firstLineChars="200"/>
        <w:rPr>
          <w:rFonts w:hint="eastAsia" w:ascii="宋体" w:hAnsi="宋体" w:cs="宋体"/>
          <w:color w:val="auto"/>
        </w:rPr>
      </w:pPr>
      <w:r>
        <w:rPr>
          <w:rFonts w:hint="eastAsia" w:ascii="宋体" w:hAnsi="宋体" w:cs="宋体"/>
          <w:color w:val="auto"/>
        </w:rPr>
        <w:t>4.2.3 除投标人须知前附表另有规定外，投标人所递交的投标文件不予退还。</w:t>
      </w:r>
    </w:p>
    <w:p w14:paraId="21261045">
      <w:pPr>
        <w:spacing w:line="400" w:lineRule="exact"/>
        <w:ind w:firstLine="420" w:firstLineChars="200"/>
        <w:rPr>
          <w:rFonts w:hint="eastAsia" w:ascii="宋体" w:hAnsi="宋体" w:cs="宋体"/>
          <w:color w:val="auto"/>
        </w:rPr>
      </w:pPr>
      <w:r>
        <w:rPr>
          <w:rFonts w:hint="eastAsia" w:ascii="宋体" w:hAnsi="宋体" w:cs="宋体"/>
          <w:color w:val="auto"/>
        </w:rPr>
        <w:t xml:space="preserve">4.2.4 </w:t>
      </w:r>
      <w:r>
        <w:rPr>
          <w:rFonts w:hint="eastAsia" w:ascii="宋体" w:hAnsi="宋体" w:cs="宋体"/>
          <w:color w:val="auto"/>
          <w:szCs w:val="21"/>
          <w:u w:val="single"/>
        </w:rPr>
        <w:t>投</w:t>
      </w:r>
      <w:r>
        <w:rPr>
          <w:rFonts w:hint="eastAsia" w:ascii="宋体" w:hAnsi="宋体" w:cs="宋体"/>
          <w:color w:val="auto"/>
          <w:spacing w:val="-2"/>
          <w:szCs w:val="21"/>
          <w:u w:val="single"/>
        </w:rPr>
        <w:t>标</w:t>
      </w:r>
      <w:r>
        <w:rPr>
          <w:rFonts w:hint="eastAsia" w:ascii="宋体" w:hAnsi="宋体" w:cs="宋体"/>
          <w:color w:val="auto"/>
          <w:szCs w:val="21"/>
          <w:u w:val="single"/>
        </w:rPr>
        <w:t>人</w:t>
      </w:r>
      <w:r>
        <w:rPr>
          <w:rFonts w:hint="eastAsia" w:ascii="宋体" w:hAnsi="宋体" w:cs="宋体"/>
          <w:color w:val="auto"/>
          <w:spacing w:val="-2"/>
          <w:szCs w:val="21"/>
          <w:u w:val="single"/>
        </w:rPr>
        <w:t>完</w:t>
      </w:r>
      <w:r>
        <w:rPr>
          <w:rFonts w:hint="eastAsia" w:ascii="宋体" w:hAnsi="宋体" w:cs="宋体"/>
          <w:color w:val="auto"/>
          <w:szCs w:val="21"/>
          <w:u w:val="single"/>
        </w:rPr>
        <w:t>成</w:t>
      </w:r>
      <w:r>
        <w:rPr>
          <w:rFonts w:hint="eastAsia" w:ascii="宋体" w:hAnsi="宋体" w:cs="宋体"/>
          <w:color w:val="auto"/>
          <w:spacing w:val="-2"/>
          <w:szCs w:val="21"/>
          <w:u w:val="single"/>
        </w:rPr>
        <w:t>电</w:t>
      </w:r>
      <w:r>
        <w:rPr>
          <w:rFonts w:hint="eastAsia" w:ascii="宋体" w:hAnsi="宋体" w:cs="宋体"/>
          <w:color w:val="auto"/>
          <w:szCs w:val="21"/>
          <w:u w:val="single"/>
        </w:rPr>
        <w:t>子投</w:t>
      </w:r>
      <w:r>
        <w:rPr>
          <w:rFonts w:hint="eastAsia" w:ascii="宋体" w:hAnsi="宋体" w:cs="宋体"/>
          <w:color w:val="auto"/>
          <w:spacing w:val="-2"/>
          <w:szCs w:val="21"/>
          <w:u w:val="single"/>
        </w:rPr>
        <w:t>标</w:t>
      </w:r>
      <w:r>
        <w:rPr>
          <w:rFonts w:hint="eastAsia" w:ascii="宋体" w:hAnsi="宋体" w:cs="宋体"/>
          <w:color w:val="auto"/>
          <w:szCs w:val="21"/>
          <w:u w:val="single"/>
        </w:rPr>
        <w:t>文</w:t>
      </w:r>
      <w:r>
        <w:rPr>
          <w:rFonts w:hint="eastAsia" w:ascii="宋体" w:hAnsi="宋体" w:cs="宋体"/>
          <w:color w:val="auto"/>
          <w:spacing w:val="-2"/>
          <w:szCs w:val="21"/>
          <w:u w:val="single"/>
        </w:rPr>
        <w:t>件</w:t>
      </w:r>
      <w:r>
        <w:rPr>
          <w:rFonts w:hint="eastAsia" w:ascii="宋体" w:hAnsi="宋体" w:cs="宋体"/>
          <w:color w:val="auto"/>
          <w:szCs w:val="21"/>
          <w:u w:val="single"/>
        </w:rPr>
        <w:t>上</w:t>
      </w:r>
      <w:r>
        <w:rPr>
          <w:rFonts w:hint="eastAsia" w:ascii="宋体" w:hAnsi="宋体" w:cs="宋体"/>
          <w:color w:val="auto"/>
          <w:spacing w:val="-2"/>
          <w:szCs w:val="21"/>
          <w:u w:val="single"/>
        </w:rPr>
        <w:t>传</w:t>
      </w:r>
      <w:r>
        <w:rPr>
          <w:rFonts w:hint="eastAsia" w:ascii="宋体" w:hAnsi="宋体" w:cs="宋体"/>
          <w:color w:val="auto"/>
          <w:szCs w:val="21"/>
          <w:u w:val="single"/>
        </w:rPr>
        <w:t>后</w:t>
      </w:r>
      <w:r>
        <w:rPr>
          <w:rFonts w:hint="eastAsia" w:ascii="宋体" w:hAnsi="宋体" w:cs="宋体"/>
          <w:color w:val="auto"/>
          <w:spacing w:val="-5"/>
          <w:szCs w:val="21"/>
          <w:u w:val="single"/>
        </w:rPr>
        <w:t>，</w:t>
      </w:r>
      <w:r>
        <w:rPr>
          <w:rFonts w:hint="eastAsia" w:ascii="宋体" w:hAnsi="宋体" w:cs="宋体"/>
          <w:color w:val="auto"/>
          <w:szCs w:val="21"/>
          <w:u w:val="single"/>
        </w:rPr>
        <w:t>电</w:t>
      </w:r>
      <w:r>
        <w:rPr>
          <w:rFonts w:hint="eastAsia" w:ascii="宋体" w:hAnsi="宋体" w:cs="宋体"/>
          <w:color w:val="auto"/>
          <w:spacing w:val="-2"/>
          <w:szCs w:val="21"/>
          <w:u w:val="single"/>
        </w:rPr>
        <w:t>子</w:t>
      </w:r>
      <w:r>
        <w:rPr>
          <w:rFonts w:hint="eastAsia" w:ascii="宋体" w:hAnsi="宋体" w:cs="宋体"/>
          <w:color w:val="auto"/>
          <w:szCs w:val="21"/>
          <w:u w:val="single"/>
        </w:rPr>
        <w:t>招标</w:t>
      </w:r>
      <w:r>
        <w:rPr>
          <w:rFonts w:hint="eastAsia" w:ascii="宋体" w:hAnsi="宋体" w:cs="宋体"/>
          <w:color w:val="auto"/>
          <w:spacing w:val="-2"/>
          <w:szCs w:val="21"/>
          <w:u w:val="single"/>
        </w:rPr>
        <w:t>投</w:t>
      </w:r>
      <w:r>
        <w:rPr>
          <w:rFonts w:hint="eastAsia" w:ascii="宋体" w:hAnsi="宋体" w:cs="宋体"/>
          <w:color w:val="auto"/>
          <w:szCs w:val="21"/>
          <w:u w:val="single"/>
        </w:rPr>
        <w:t>标</w:t>
      </w:r>
      <w:r>
        <w:rPr>
          <w:rFonts w:hint="eastAsia" w:ascii="宋体" w:hAnsi="宋体" w:cs="宋体"/>
          <w:color w:val="auto"/>
          <w:spacing w:val="-2"/>
          <w:szCs w:val="21"/>
          <w:u w:val="single"/>
        </w:rPr>
        <w:t>交</w:t>
      </w:r>
      <w:r>
        <w:rPr>
          <w:rFonts w:hint="eastAsia" w:ascii="宋体" w:hAnsi="宋体" w:cs="宋体"/>
          <w:color w:val="auto"/>
          <w:szCs w:val="21"/>
          <w:u w:val="single"/>
        </w:rPr>
        <w:t>易</w:t>
      </w:r>
      <w:r>
        <w:rPr>
          <w:rFonts w:hint="eastAsia" w:ascii="宋体" w:hAnsi="宋体" w:cs="宋体"/>
          <w:color w:val="auto"/>
          <w:spacing w:val="-2"/>
          <w:szCs w:val="21"/>
          <w:u w:val="single"/>
        </w:rPr>
        <w:t>平</w:t>
      </w:r>
      <w:r>
        <w:rPr>
          <w:rFonts w:hint="eastAsia" w:ascii="宋体" w:hAnsi="宋体" w:cs="宋体"/>
          <w:color w:val="auto"/>
          <w:szCs w:val="21"/>
          <w:u w:val="single"/>
        </w:rPr>
        <w:t>台</w:t>
      </w:r>
      <w:r>
        <w:rPr>
          <w:rFonts w:hint="eastAsia" w:ascii="宋体" w:hAnsi="宋体" w:cs="宋体"/>
          <w:color w:val="auto"/>
          <w:spacing w:val="-2"/>
          <w:szCs w:val="21"/>
          <w:u w:val="single"/>
        </w:rPr>
        <w:t>即</w:t>
      </w:r>
      <w:r>
        <w:rPr>
          <w:rFonts w:hint="eastAsia" w:ascii="宋体" w:hAnsi="宋体" w:cs="宋体"/>
          <w:color w:val="auto"/>
          <w:szCs w:val="21"/>
          <w:u w:val="single"/>
        </w:rPr>
        <w:t>时</w:t>
      </w:r>
      <w:r>
        <w:rPr>
          <w:rFonts w:hint="eastAsia" w:ascii="宋体" w:hAnsi="宋体" w:cs="宋体"/>
          <w:color w:val="auto"/>
          <w:spacing w:val="-2"/>
          <w:szCs w:val="21"/>
          <w:u w:val="single"/>
        </w:rPr>
        <w:t>向</w:t>
      </w:r>
      <w:r>
        <w:rPr>
          <w:rFonts w:hint="eastAsia" w:ascii="宋体" w:hAnsi="宋体" w:cs="宋体"/>
          <w:color w:val="auto"/>
          <w:szCs w:val="21"/>
          <w:u w:val="single"/>
        </w:rPr>
        <w:t>投标</w:t>
      </w:r>
      <w:r>
        <w:rPr>
          <w:rFonts w:hint="eastAsia" w:ascii="宋体" w:hAnsi="宋体" w:cs="宋体"/>
          <w:color w:val="auto"/>
          <w:spacing w:val="-2"/>
          <w:szCs w:val="21"/>
          <w:u w:val="single"/>
        </w:rPr>
        <w:t>人</w:t>
      </w:r>
      <w:r>
        <w:rPr>
          <w:rFonts w:hint="eastAsia" w:ascii="宋体" w:hAnsi="宋体" w:cs="宋体"/>
          <w:color w:val="auto"/>
          <w:szCs w:val="21"/>
          <w:u w:val="single"/>
        </w:rPr>
        <w:t>发</w:t>
      </w:r>
      <w:r>
        <w:rPr>
          <w:rFonts w:hint="eastAsia" w:ascii="宋体" w:hAnsi="宋体" w:cs="宋体"/>
          <w:color w:val="auto"/>
          <w:spacing w:val="-2"/>
          <w:szCs w:val="21"/>
          <w:u w:val="single"/>
        </w:rPr>
        <w:t>出</w:t>
      </w:r>
      <w:r>
        <w:rPr>
          <w:rFonts w:hint="eastAsia" w:ascii="宋体" w:hAnsi="宋体" w:cs="宋体"/>
          <w:color w:val="auto"/>
          <w:szCs w:val="21"/>
          <w:u w:val="single"/>
        </w:rPr>
        <w:t>递交回</w:t>
      </w:r>
      <w:r>
        <w:rPr>
          <w:rFonts w:hint="eastAsia" w:ascii="宋体" w:hAnsi="宋体" w:cs="宋体"/>
          <w:color w:val="auto"/>
          <w:spacing w:val="-2"/>
          <w:szCs w:val="21"/>
          <w:u w:val="single"/>
        </w:rPr>
        <w:t>执</w:t>
      </w:r>
      <w:r>
        <w:rPr>
          <w:rFonts w:hint="eastAsia" w:ascii="宋体" w:hAnsi="宋体" w:cs="宋体"/>
          <w:color w:val="auto"/>
          <w:szCs w:val="21"/>
          <w:u w:val="single"/>
        </w:rPr>
        <w:t>通</w:t>
      </w:r>
      <w:r>
        <w:rPr>
          <w:rFonts w:hint="eastAsia" w:ascii="宋体" w:hAnsi="宋体" w:cs="宋体"/>
          <w:color w:val="auto"/>
          <w:spacing w:val="-3"/>
          <w:szCs w:val="21"/>
          <w:u w:val="single"/>
        </w:rPr>
        <w:t>知</w:t>
      </w:r>
      <w:r>
        <w:rPr>
          <w:rFonts w:hint="eastAsia" w:ascii="宋体" w:hAnsi="宋体" w:cs="宋体"/>
          <w:color w:val="auto"/>
          <w:szCs w:val="21"/>
          <w:u w:val="single"/>
        </w:rPr>
        <w:t>。</w:t>
      </w:r>
      <w:r>
        <w:rPr>
          <w:rFonts w:hint="eastAsia" w:ascii="宋体" w:hAnsi="宋体" w:cs="宋体"/>
          <w:color w:val="auto"/>
          <w:spacing w:val="-2"/>
          <w:szCs w:val="21"/>
          <w:u w:val="single"/>
        </w:rPr>
        <w:t>递</w:t>
      </w:r>
      <w:r>
        <w:rPr>
          <w:rFonts w:hint="eastAsia" w:ascii="宋体" w:hAnsi="宋体" w:cs="宋体"/>
          <w:color w:val="auto"/>
          <w:szCs w:val="21"/>
          <w:u w:val="single"/>
        </w:rPr>
        <w:t>交</w:t>
      </w:r>
      <w:r>
        <w:rPr>
          <w:rFonts w:hint="eastAsia" w:ascii="宋体" w:hAnsi="宋体" w:cs="宋体"/>
          <w:color w:val="auto"/>
          <w:spacing w:val="-2"/>
          <w:szCs w:val="21"/>
          <w:u w:val="single"/>
        </w:rPr>
        <w:t>时</w:t>
      </w:r>
      <w:r>
        <w:rPr>
          <w:rFonts w:hint="eastAsia" w:ascii="宋体" w:hAnsi="宋体" w:cs="宋体"/>
          <w:color w:val="auto"/>
          <w:szCs w:val="21"/>
          <w:u w:val="single"/>
        </w:rPr>
        <w:t>间</w:t>
      </w:r>
      <w:r>
        <w:rPr>
          <w:rFonts w:hint="eastAsia" w:ascii="宋体" w:hAnsi="宋体" w:cs="宋体"/>
          <w:color w:val="auto"/>
          <w:spacing w:val="-2"/>
          <w:szCs w:val="21"/>
          <w:u w:val="single"/>
        </w:rPr>
        <w:t>以</w:t>
      </w:r>
      <w:r>
        <w:rPr>
          <w:rFonts w:hint="eastAsia" w:ascii="宋体" w:hAnsi="宋体" w:cs="宋体"/>
          <w:color w:val="auto"/>
          <w:szCs w:val="21"/>
          <w:u w:val="single"/>
        </w:rPr>
        <w:t>递交</w:t>
      </w:r>
      <w:r>
        <w:rPr>
          <w:rFonts w:hint="eastAsia" w:ascii="宋体" w:hAnsi="宋体" w:cs="宋体"/>
          <w:color w:val="auto"/>
          <w:spacing w:val="-2"/>
          <w:szCs w:val="21"/>
          <w:u w:val="single"/>
        </w:rPr>
        <w:t>回</w:t>
      </w:r>
      <w:r>
        <w:rPr>
          <w:rFonts w:hint="eastAsia" w:ascii="宋体" w:hAnsi="宋体" w:cs="宋体"/>
          <w:color w:val="auto"/>
          <w:szCs w:val="21"/>
          <w:u w:val="single"/>
        </w:rPr>
        <w:t>执</w:t>
      </w:r>
      <w:r>
        <w:rPr>
          <w:rFonts w:hint="eastAsia" w:ascii="宋体" w:hAnsi="宋体" w:cs="宋体"/>
          <w:color w:val="auto"/>
          <w:spacing w:val="-2"/>
          <w:szCs w:val="21"/>
          <w:u w:val="single"/>
        </w:rPr>
        <w:t>通</w:t>
      </w:r>
      <w:r>
        <w:rPr>
          <w:rFonts w:hint="eastAsia" w:ascii="宋体" w:hAnsi="宋体" w:cs="宋体"/>
          <w:color w:val="auto"/>
          <w:szCs w:val="21"/>
          <w:u w:val="single"/>
        </w:rPr>
        <w:t>知</w:t>
      </w:r>
      <w:r>
        <w:rPr>
          <w:rFonts w:hint="eastAsia" w:ascii="宋体" w:hAnsi="宋体" w:cs="宋体"/>
          <w:color w:val="auto"/>
          <w:spacing w:val="-2"/>
          <w:szCs w:val="21"/>
          <w:u w:val="single"/>
        </w:rPr>
        <w:t>载</w:t>
      </w:r>
      <w:r>
        <w:rPr>
          <w:rFonts w:hint="eastAsia" w:ascii="宋体" w:hAnsi="宋体" w:cs="宋体"/>
          <w:color w:val="auto"/>
          <w:szCs w:val="21"/>
          <w:u w:val="single"/>
        </w:rPr>
        <w:t>明</w:t>
      </w:r>
      <w:r>
        <w:rPr>
          <w:rFonts w:hint="eastAsia" w:ascii="宋体" w:hAnsi="宋体" w:cs="宋体"/>
          <w:color w:val="auto"/>
          <w:spacing w:val="-2"/>
          <w:szCs w:val="21"/>
          <w:u w:val="single"/>
        </w:rPr>
        <w:t>的</w:t>
      </w:r>
      <w:r>
        <w:rPr>
          <w:rFonts w:hint="eastAsia" w:ascii="宋体" w:hAnsi="宋体" w:cs="宋体"/>
          <w:color w:val="auto"/>
          <w:szCs w:val="21"/>
          <w:u w:val="single"/>
        </w:rPr>
        <w:t>传</w:t>
      </w:r>
      <w:r>
        <w:rPr>
          <w:rFonts w:hint="eastAsia" w:ascii="宋体" w:hAnsi="宋体" w:cs="宋体"/>
          <w:color w:val="auto"/>
          <w:spacing w:val="-2"/>
          <w:szCs w:val="21"/>
          <w:u w:val="single"/>
        </w:rPr>
        <w:t>输</w:t>
      </w:r>
      <w:r>
        <w:rPr>
          <w:rFonts w:hint="eastAsia" w:ascii="宋体" w:hAnsi="宋体" w:cs="宋体"/>
          <w:color w:val="auto"/>
          <w:szCs w:val="21"/>
          <w:u w:val="single"/>
        </w:rPr>
        <w:t>完成</w:t>
      </w:r>
      <w:r>
        <w:rPr>
          <w:rFonts w:hint="eastAsia" w:ascii="宋体" w:hAnsi="宋体" w:cs="宋体"/>
          <w:color w:val="auto"/>
          <w:spacing w:val="-2"/>
          <w:szCs w:val="21"/>
          <w:u w:val="single"/>
        </w:rPr>
        <w:t>时</w:t>
      </w:r>
      <w:r>
        <w:rPr>
          <w:rFonts w:hint="eastAsia" w:ascii="宋体" w:hAnsi="宋体" w:cs="宋体"/>
          <w:color w:val="auto"/>
          <w:szCs w:val="21"/>
          <w:u w:val="single"/>
        </w:rPr>
        <w:t>间</w:t>
      </w:r>
      <w:r>
        <w:rPr>
          <w:rFonts w:hint="eastAsia" w:ascii="宋体" w:hAnsi="宋体" w:cs="宋体"/>
          <w:color w:val="auto"/>
          <w:spacing w:val="-2"/>
          <w:szCs w:val="21"/>
          <w:u w:val="single"/>
        </w:rPr>
        <w:t>为</w:t>
      </w:r>
      <w:r>
        <w:rPr>
          <w:rFonts w:hint="eastAsia" w:ascii="宋体" w:hAnsi="宋体" w:cs="宋体"/>
          <w:color w:val="auto"/>
          <w:szCs w:val="21"/>
          <w:u w:val="single"/>
        </w:rPr>
        <w:t>准</w:t>
      </w:r>
      <w:r>
        <w:rPr>
          <w:rFonts w:hint="eastAsia" w:ascii="宋体" w:hAnsi="宋体" w:cs="宋体"/>
          <w:color w:val="auto"/>
        </w:rPr>
        <w:t>。</w:t>
      </w:r>
    </w:p>
    <w:p w14:paraId="578B0DA2">
      <w:pPr>
        <w:spacing w:line="400" w:lineRule="exact"/>
        <w:ind w:firstLine="420" w:firstLineChars="200"/>
        <w:rPr>
          <w:rFonts w:hint="eastAsia" w:ascii="宋体" w:hAnsi="宋体" w:cs="宋体"/>
          <w:color w:val="auto"/>
        </w:rPr>
      </w:pPr>
      <w:r>
        <w:rPr>
          <w:rFonts w:hint="eastAsia" w:ascii="宋体" w:hAnsi="宋体" w:cs="宋体"/>
          <w:color w:val="auto"/>
        </w:rPr>
        <w:t xml:space="preserve">4.2.5 </w:t>
      </w:r>
      <w:r>
        <w:rPr>
          <w:rFonts w:hint="eastAsia" w:ascii="宋体" w:hAnsi="宋体" w:cs="宋体"/>
          <w:color w:val="auto"/>
          <w:spacing w:val="-2"/>
          <w:szCs w:val="21"/>
          <w:u w:val="single"/>
        </w:rPr>
        <w:t>逾</w:t>
      </w:r>
      <w:r>
        <w:rPr>
          <w:rFonts w:hint="eastAsia" w:ascii="宋体" w:hAnsi="宋体" w:cs="宋体"/>
          <w:color w:val="auto"/>
          <w:szCs w:val="21"/>
          <w:u w:val="single"/>
        </w:rPr>
        <w:t>期</w:t>
      </w:r>
      <w:r>
        <w:rPr>
          <w:rFonts w:hint="eastAsia" w:ascii="宋体" w:hAnsi="宋体" w:cs="宋体"/>
          <w:color w:val="auto"/>
          <w:spacing w:val="-2"/>
          <w:szCs w:val="21"/>
          <w:u w:val="single"/>
        </w:rPr>
        <w:t>送</w:t>
      </w:r>
      <w:r>
        <w:rPr>
          <w:rFonts w:hint="eastAsia" w:ascii="宋体" w:hAnsi="宋体" w:cs="宋体"/>
          <w:color w:val="auto"/>
          <w:szCs w:val="21"/>
          <w:u w:val="single"/>
        </w:rPr>
        <w:t>达</w:t>
      </w:r>
      <w:r>
        <w:rPr>
          <w:rFonts w:hint="eastAsia" w:ascii="宋体" w:hAnsi="宋体" w:cs="宋体"/>
          <w:color w:val="auto"/>
          <w:spacing w:val="-2"/>
          <w:szCs w:val="21"/>
          <w:u w:val="single"/>
        </w:rPr>
        <w:t>的投</w:t>
      </w:r>
      <w:r>
        <w:rPr>
          <w:rFonts w:hint="eastAsia" w:ascii="宋体" w:hAnsi="宋体" w:cs="宋体"/>
          <w:color w:val="auto"/>
          <w:szCs w:val="21"/>
          <w:u w:val="single"/>
        </w:rPr>
        <w:t>标文</w:t>
      </w:r>
      <w:r>
        <w:rPr>
          <w:rFonts w:hint="eastAsia" w:ascii="宋体" w:hAnsi="宋体" w:cs="宋体"/>
          <w:color w:val="auto"/>
          <w:spacing w:val="-2"/>
          <w:szCs w:val="21"/>
          <w:u w:val="single"/>
        </w:rPr>
        <w:t>件</w:t>
      </w:r>
      <w:r>
        <w:rPr>
          <w:rFonts w:hint="eastAsia" w:ascii="宋体" w:hAnsi="宋体" w:cs="宋体"/>
          <w:color w:val="auto"/>
          <w:szCs w:val="21"/>
          <w:u w:val="single"/>
        </w:rPr>
        <w:t>，</w:t>
      </w:r>
      <w:r>
        <w:rPr>
          <w:rFonts w:hint="eastAsia" w:ascii="宋体" w:hAnsi="宋体" w:cs="宋体"/>
          <w:color w:val="auto"/>
          <w:spacing w:val="-2"/>
          <w:szCs w:val="21"/>
          <w:u w:val="single"/>
        </w:rPr>
        <w:t>电</w:t>
      </w:r>
      <w:r>
        <w:rPr>
          <w:rFonts w:hint="eastAsia" w:ascii="宋体" w:hAnsi="宋体" w:cs="宋体"/>
          <w:color w:val="auto"/>
          <w:szCs w:val="21"/>
          <w:u w:val="single"/>
        </w:rPr>
        <w:t>子</w:t>
      </w:r>
      <w:r>
        <w:rPr>
          <w:rFonts w:hint="eastAsia" w:ascii="宋体" w:hAnsi="宋体" w:cs="宋体"/>
          <w:color w:val="auto"/>
          <w:spacing w:val="-2"/>
          <w:szCs w:val="21"/>
          <w:u w:val="single"/>
        </w:rPr>
        <w:t>招</w:t>
      </w:r>
      <w:r>
        <w:rPr>
          <w:rFonts w:hint="eastAsia" w:ascii="宋体" w:hAnsi="宋体" w:cs="宋体"/>
          <w:color w:val="auto"/>
          <w:szCs w:val="21"/>
          <w:u w:val="single"/>
        </w:rPr>
        <w:t>标</w:t>
      </w:r>
      <w:r>
        <w:rPr>
          <w:rFonts w:hint="eastAsia" w:ascii="宋体" w:hAnsi="宋体" w:cs="宋体"/>
          <w:color w:val="auto"/>
          <w:spacing w:val="-2"/>
          <w:szCs w:val="21"/>
          <w:u w:val="single"/>
        </w:rPr>
        <w:t>投</w:t>
      </w:r>
      <w:r>
        <w:rPr>
          <w:rFonts w:hint="eastAsia" w:ascii="宋体" w:hAnsi="宋体" w:cs="宋体"/>
          <w:color w:val="auto"/>
          <w:szCs w:val="21"/>
          <w:u w:val="single"/>
        </w:rPr>
        <w:t>标</w:t>
      </w:r>
      <w:r>
        <w:rPr>
          <w:rFonts w:hint="eastAsia" w:ascii="宋体" w:hAnsi="宋体" w:cs="宋体"/>
          <w:color w:val="auto"/>
          <w:spacing w:val="-2"/>
          <w:szCs w:val="21"/>
          <w:u w:val="single"/>
        </w:rPr>
        <w:t>交</w:t>
      </w:r>
      <w:r>
        <w:rPr>
          <w:rFonts w:hint="eastAsia" w:ascii="宋体" w:hAnsi="宋体" w:cs="宋体"/>
          <w:color w:val="auto"/>
          <w:szCs w:val="21"/>
          <w:u w:val="single"/>
        </w:rPr>
        <w:t>易平</w:t>
      </w:r>
      <w:r>
        <w:rPr>
          <w:rFonts w:hint="eastAsia" w:ascii="宋体" w:hAnsi="宋体" w:cs="宋体"/>
          <w:color w:val="auto"/>
          <w:spacing w:val="-2"/>
          <w:szCs w:val="21"/>
          <w:u w:val="single"/>
        </w:rPr>
        <w:t>台</w:t>
      </w:r>
      <w:r>
        <w:rPr>
          <w:rFonts w:hint="eastAsia" w:ascii="宋体" w:hAnsi="宋体" w:cs="宋体"/>
          <w:color w:val="auto"/>
          <w:szCs w:val="21"/>
          <w:u w:val="single"/>
        </w:rPr>
        <w:t>将</w:t>
      </w:r>
      <w:r>
        <w:rPr>
          <w:rFonts w:hint="eastAsia" w:ascii="宋体" w:hAnsi="宋体" w:cs="宋体"/>
          <w:color w:val="auto"/>
          <w:spacing w:val="-2"/>
          <w:szCs w:val="21"/>
          <w:u w:val="single"/>
        </w:rPr>
        <w:t>予</w:t>
      </w:r>
      <w:r>
        <w:rPr>
          <w:rFonts w:hint="eastAsia" w:ascii="宋体" w:hAnsi="宋体" w:cs="宋体"/>
          <w:color w:val="auto"/>
          <w:szCs w:val="21"/>
          <w:u w:val="single"/>
        </w:rPr>
        <w:t>以</w:t>
      </w:r>
      <w:r>
        <w:rPr>
          <w:rFonts w:hint="eastAsia" w:ascii="宋体" w:hAnsi="宋体" w:cs="宋体"/>
          <w:color w:val="auto"/>
          <w:spacing w:val="-2"/>
          <w:szCs w:val="21"/>
          <w:u w:val="single"/>
        </w:rPr>
        <w:t>拒</w:t>
      </w:r>
      <w:r>
        <w:rPr>
          <w:rFonts w:hint="eastAsia" w:ascii="宋体" w:hAnsi="宋体" w:cs="宋体"/>
          <w:color w:val="auto"/>
          <w:szCs w:val="21"/>
          <w:u w:val="single"/>
        </w:rPr>
        <w:t>收</w:t>
      </w:r>
      <w:r>
        <w:rPr>
          <w:rFonts w:hint="eastAsia" w:ascii="宋体" w:hAnsi="宋体" w:cs="宋体"/>
          <w:color w:val="auto"/>
        </w:rPr>
        <w:t>。</w:t>
      </w:r>
    </w:p>
    <w:p w14:paraId="4F006EAB">
      <w:pPr>
        <w:pStyle w:val="4"/>
        <w:rPr>
          <w:rFonts w:hint="eastAsia" w:ascii="宋体" w:eastAsia="宋体" w:cs="宋体"/>
          <w:color w:val="auto"/>
        </w:rPr>
      </w:pPr>
      <w:bookmarkStart w:id="241" w:name="_Toc152042334"/>
      <w:bookmarkStart w:id="242" w:name="_Toc247527583"/>
      <w:bookmarkStart w:id="243" w:name="_Toc23264"/>
      <w:bookmarkStart w:id="244" w:name="_Toc247513982"/>
      <w:bookmarkStart w:id="245" w:name="_Toc144974526"/>
      <w:bookmarkStart w:id="246" w:name="_Toc18008"/>
      <w:bookmarkStart w:id="247" w:name="_Toc152045558"/>
      <w:r>
        <w:rPr>
          <w:rFonts w:hint="eastAsia" w:ascii="宋体" w:eastAsia="宋体" w:cs="宋体"/>
          <w:color w:val="auto"/>
        </w:rPr>
        <w:t>4.3 投标文件的修改与撤回</w:t>
      </w:r>
      <w:bookmarkEnd w:id="241"/>
      <w:bookmarkEnd w:id="242"/>
      <w:bookmarkEnd w:id="243"/>
      <w:bookmarkEnd w:id="244"/>
      <w:bookmarkEnd w:id="245"/>
      <w:bookmarkEnd w:id="246"/>
      <w:bookmarkEnd w:id="247"/>
    </w:p>
    <w:p w14:paraId="447BC8DE">
      <w:pPr>
        <w:spacing w:line="400" w:lineRule="exact"/>
        <w:ind w:firstLine="420" w:firstLineChars="200"/>
        <w:rPr>
          <w:rFonts w:hint="eastAsia" w:ascii="宋体" w:hAnsi="宋体" w:cs="宋体"/>
          <w:color w:val="auto"/>
        </w:rPr>
      </w:pPr>
      <w:r>
        <w:rPr>
          <w:rFonts w:hint="eastAsia" w:ascii="宋体" w:hAnsi="宋体" w:cs="宋体"/>
          <w:color w:val="auto"/>
        </w:rPr>
        <w:t>4.3.1 在本章第2.2.2项规定的投标截止时间前，投标人可以修改或撤回已递交的投标文件，但应以书面形式通知招标人。</w:t>
      </w:r>
    </w:p>
    <w:p w14:paraId="121FC920">
      <w:pPr>
        <w:spacing w:line="400" w:lineRule="exact"/>
        <w:ind w:firstLine="420" w:firstLineChars="200"/>
        <w:rPr>
          <w:rFonts w:hint="eastAsia" w:ascii="宋体" w:hAnsi="宋体" w:cs="宋体"/>
          <w:color w:val="auto"/>
        </w:rPr>
      </w:pPr>
      <w:r>
        <w:rPr>
          <w:rFonts w:hint="eastAsia" w:ascii="宋体" w:hAnsi="宋体" w:cs="宋体"/>
          <w:color w:val="auto"/>
        </w:rPr>
        <w:t xml:space="preserve">4.3.2 </w:t>
      </w:r>
      <w:r>
        <w:rPr>
          <w:rFonts w:hint="eastAsia" w:ascii="宋体" w:hAnsi="宋体" w:cs="宋体"/>
          <w:color w:val="auto"/>
          <w:spacing w:val="-2"/>
          <w:szCs w:val="21"/>
          <w:u w:val="single"/>
        </w:rPr>
        <w:t>投</w:t>
      </w:r>
      <w:r>
        <w:rPr>
          <w:rFonts w:hint="eastAsia" w:ascii="宋体" w:hAnsi="宋体" w:cs="宋体"/>
          <w:color w:val="auto"/>
          <w:szCs w:val="21"/>
          <w:u w:val="single"/>
        </w:rPr>
        <w:t>标</w:t>
      </w:r>
      <w:r>
        <w:rPr>
          <w:rFonts w:hint="eastAsia" w:ascii="宋体" w:hAnsi="宋体" w:cs="宋体"/>
          <w:color w:val="auto"/>
          <w:spacing w:val="-2"/>
          <w:szCs w:val="21"/>
          <w:u w:val="single"/>
        </w:rPr>
        <w:t>人</w:t>
      </w:r>
      <w:r>
        <w:rPr>
          <w:rFonts w:hint="eastAsia" w:ascii="宋体" w:hAnsi="宋体" w:cs="宋体"/>
          <w:color w:val="auto"/>
          <w:szCs w:val="21"/>
          <w:u w:val="single"/>
        </w:rPr>
        <w:t>修</w:t>
      </w:r>
      <w:r>
        <w:rPr>
          <w:rFonts w:hint="eastAsia" w:ascii="宋体" w:hAnsi="宋体" w:cs="宋体"/>
          <w:color w:val="auto"/>
          <w:spacing w:val="-2"/>
          <w:szCs w:val="21"/>
          <w:u w:val="single"/>
        </w:rPr>
        <w:t>改或</w:t>
      </w:r>
      <w:r>
        <w:rPr>
          <w:rFonts w:hint="eastAsia" w:ascii="宋体" w:hAnsi="宋体" w:cs="宋体"/>
          <w:color w:val="auto"/>
          <w:szCs w:val="21"/>
          <w:u w:val="single"/>
        </w:rPr>
        <w:t>撤回</w:t>
      </w:r>
      <w:r>
        <w:rPr>
          <w:rFonts w:hint="eastAsia" w:ascii="宋体" w:hAnsi="宋体" w:cs="宋体"/>
          <w:color w:val="auto"/>
          <w:spacing w:val="-2"/>
          <w:szCs w:val="21"/>
          <w:u w:val="single"/>
        </w:rPr>
        <w:t>已</w:t>
      </w:r>
      <w:r>
        <w:rPr>
          <w:rFonts w:hint="eastAsia" w:ascii="宋体" w:hAnsi="宋体" w:cs="宋体"/>
          <w:color w:val="auto"/>
          <w:szCs w:val="21"/>
          <w:u w:val="single"/>
        </w:rPr>
        <w:t>递</w:t>
      </w:r>
      <w:r>
        <w:rPr>
          <w:rFonts w:hint="eastAsia" w:ascii="宋体" w:hAnsi="宋体" w:cs="宋体"/>
          <w:color w:val="auto"/>
          <w:spacing w:val="-2"/>
          <w:szCs w:val="21"/>
          <w:u w:val="single"/>
        </w:rPr>
        <w:t>交</w:t>
      </w:r>
      <w:r>
        <w:rPr>
          <w:rFonts w:hint="eastAsia" w:ascii="宋体" w:hAnsi="宋体" w:cs="宋体"/>
          <w:color w:val="auto"/>
          <w:szCs w:val="21"/>
          <w:u w:val="single"/>
        </w:rPr>
        <w:t>投</w:t>
      </w:r>
      <w:r>
        <w:rPr>
          <w:rFonts w:hint="eastAsia" w:ascii="宋体" w:hAnsi="宋体" w:cs="宋体"/>
          <w:color w:val="auto"/>
          <w:spacing w:val="-2"/>
          <w:szCs w:val="21"/>
          <w:u w:val="single"/>
        </w:rPr>
        <w:t>标</w:t>
      </w:r>
      <w:r>
        <w:rPr>
          <w:rFonts w:hint="eastAsia" w:ascii="宋体" w:hAnsi="宋体" w:cs="宋体"/>
          <w:color w:val="auto"/>
          <w:szCs w:val="21"/>
          <w:u w:val="single"/>
        </w:rPr>
        <w:t>文</w:t>
      </w:r>
      <w:r>
        <w:rPr>
          <w:rFonts w:hint="eastAsia" w:ascii="宋体" w:hAnsi="宋体" w:cs="宋体"/>
          <w:color w:val="auto"/>
          <w:spacing w:val="-2"/>
          <w:szCs w:val="21"/>
          <w:u w:val="single"/>
        </w:rPr>
        <w:t>件</w:t>
      </w:r>
      <w:r>
        <w:rPr>
          <w:rFonts w:hint="eastAsia" w:ascii="宋体" w:hAnsi="宋体" w:cs="宋体"/>
          <w:color w:val="auto"/>
          <w:szCs w:val="21"/>
          <w:u w:val="single"/>
        </w:rPr>
        <w:t>的</w:t>
      </w:r>
      <w:r>
        <w:rPr>
          <w:rFonts w:hint="eastAsia" w:ascii="宋体" w:hAnsi="宋体" w:cs="宋体"/>
          <w:color w:val="auto"/>
          <w:spacing w:val="-2"/>
          <w:szCs w:val="21"/>
          <w:u w:val="single"/>
        </w:rPr>
        <w:t>通</w:t>
      </w:r>
      <w:r>
        <w:rPr>
          <w:rFonts w:hint="eastAsia" w:ascii="宋体" w:hAnsi="宋体" w:cs="宋体"/>
          <w:color w:val="auto"/>
          <w:szCs w:val="21"/>
          <w:u w:val="single"/>
        </w:rPr>
        <w:t>知，</w:t>
      </w:r>
      <w:r>
        <w:rPr>
          <w:rFonts w:hint="eastAsia" w:ascii="宋体" w:hAnsi="宋体" w:cs="宋体"/>
          <w:color w:val="auto"/>
          <w:spacing w:val="-2"/>
          <w:szCs w:val="21"/>
          <w:u w:val="single"/>
        </w:rPr>
        <w:t>应</w:t>
      </w:r>
      <w:r>
        <w:rPr>
          <w:rFonts w:hint="eastAsia" w:ascii="宋体" w:hAnsi="宋体" w:cs="宋体"/>
          <w:color w:val="auto"/>
          <w:szCs w:val="21"/>
          <w:u w:val="single"/>
        </w:rPr>
        <w:t>按</w:t>
      </w:r>
      <w:r>
        <w:rPr>
          <w:rFonts w:hint="eastAsia" w:ascii="宋体" w:hAnsi="宋体" w:cs="宋体"/>
          <w:color w:val="auto"/>
          <w:spacing w:val="-2"/>
          <w:szCs w:val="21"/>
          <w:u w:val="single"/>
        </w:rPr>
        <w:t>照</w:t>
      </w:r>
      <w:r>
        <w:rPr>
          <w:rFonts w:hint="eastAsia" w:ascii="宋体" w:hAnsi="宋体" w:cs="宋体"/>
          <w:color w:val="auto"/>
          <w:szCs w:val="21"/>
          <w:u w:val="single"/>
        </w:rPr>
        <w:t>本</w:t>
      </w:r>
      <w:r>
        <w:rPr>
          <w:rFonts w:hint="eastAsia" w:ascii="宋体" w:hAnsi="宋体" w:cs="宋体"/>
          <w:color w:val="auto"/>
          <w:spacing w:val="-2"/>
          <w:szCs w:val="21"/>
          <w:u w:val="single"/>
        </w:rPr>
        <w:t>章</w:t>
      </w:r>
      <w:r>
        <w:rPr>
          <w:rFonts w:hint="eastAsia" w:ascii="宋体" w:hAnsi="宋体" w:cs="宋体"/>
          <w:color w:val="auto"/>
          <w:szCs w:val="21"/>
          <w:u w:val="single"/>
        </w:rPr>
        <w:t>第</w:t>
      </w:r>
      <w:r>
        <w:rPr>
          <w:rFonts w:hint="eastAsia" w:ascii="宋体" w:hAnsi="宋体" w:cs="宋体"/>
          <w:color w:val="auto"/>
          <w:spacing w:val="12"/>
          <w:szCs w:val="21"/>
          <w:u w:val="single"/>
        </w:rPr>
        <w:t xml:space="preserve"> </w:t>
      </w:r>
      <w:r>
        <w:rPr>
          <w:rFonts w:hint="eastAsia" w:ascii="宋体" w:hAnsi="宋体" w:cs="宋体"/>
          <w:color w:val="auto"/>
          <w:szCs w:val="21"/>
          <w:u w:val="single"/>
        </w:rPr>
        <w:t>3</w:t>
      </w:r>
      <w:r>
        <w:rPr>
          <w:rFonts w:hint="eastAsia" w:ascii="宋体" w:hAnsi="宋体" w:cs="宋体"/>
          <w:color w:val="auto"/>
          <w:spacing w:val="-2"/>
          <w:szCs w:val="21"/>
          <w:u w:val="single"/>
        </w:rPr>
        <w:t>.</w:t>
      </w:r>
      <w:r>
        <w:rPr>
          <w:rFonts w:hint="eastAsia" w:ascii="宋体" w:hAnsi="宋体" w:cs="宋体"/>
          <w:color w:val="auto"/>
          <w:szCs w:val="21"/>
          <w:u w:val="single"/>
        </w:rPr>
        <w:t>7.3项</w:t>
      </w:r>
      <w:r>
        <w:rPr>
          <w:rFonts w:hint="eastAsia" w:ascii="宋体" w:hAnsi="宋体" w:cs="宋体"/>
          <w:color w:val="auto"/>
          <w:spacing w:val="-2"/>
          <w:szCs w:val="21"/>
          <w:u w:val="single"/>
        </w:rPr>
        <w:t>的</w:t>
      </w:r>
      <w:r>
        <w:rPr>
          <w:rFonts w:hint="eastAsia" w:ascii="宋体" w:hAnsi="宋体" w:cs="宋体"/>
          <w:color w:val="auto"/>
          <w:szCs w:val="21"/>
          <w:u w:val="single"/>
        </w:rPr>
        <w:t>要求加盖</w:t>
      </w:r>
      <w:r>
        <w:rPr>
          <w:rFonts w:hint="eastAsia" w:ascii="宋体" w:hAnsi="宋体" w:cs="宋体"/>
          <w:color w:val="auto"/>
          <w:spacing w:val="-2"/>
          <w:szCs w:val="21"/>
          <w:u w:val="single"/>
        </w:rPr>
        <w:t>电</w:t>
      </w:r>
      <w:r>
        <w:rPr>
          <w:rFonts w:hint="eastAsia" w:ascii="宋体" w:hAnsi="宋体" w:cs="宋体"/>
          <w:color w:val="auto"/>
          <w:szCs w:val="21"/>
          <w:u w:val="single"/>
        </w:rPr>
        <w:t>子</w:t>
      </w:r>
      <w:r>
        <w:rPr>
          <w:rFonts w:hint="eastAsia" w:ascii="宋体" w:hAnsi="宋体" w:cs="宋体"/>
          <w:color w:val="auto"/>
          <w:spacing w:val="-2"/>
          <w:szCs w:val="21"/>
          <w:u w:val="single"/>
        </w:rPr>
        <w:t>印</w:t>
      </w:r>
      <w:r>
        <w:rPr>
          <w:rFonts w:hint="eastAsia" w:ascii="宋体" w:hAnsi="宋体" w:cs="宋体"/>
          <w:color w:val="auto"/>
          <w:szCs w:val="21"/>
          <w:u w:val="single"/>
        </w:rPr>
        <w:t>章</w:t>
      </w:r>
      <w:r>
        <w:rPr>
          <w:rFonts w:hint="eastAsia" w:ascii="宋体" w:hAnsi="宋体" w:cs="宋体"/>
          <w:color w:val="auto"/>
          <w:spacing w:val="-3"/>
          <w:szCs w:val="21"/>
          <w:u w:val="single"/>
        </w:rPr>
        <w:t>。</w:t>
      </w:r>
      <w:r>
        <w:rPr>
          <w:rFonts w:hint="eastAsia" w:ascii="宋体" w:hAnsi="宋体" w:cs="宋体"/>
          <w:color w:val="auto"/>
          <w:szCs w:val="21"/>
          <w:u w:val="single"/>
        </w:rPr>
        <w:t>电</w:t>
      </w:r>
      <w:r>
        <w:rPr>
          <w:rFonts w:hint="eastAsia" w:ascii="宋体" w:hAnsi="宋体" w:cs="宋体"/>
          <w:color w:val="auto"/>
          <w:spacing w:val="-2"/>
          <w:szCs w:val="21"/>
          <w:u w:val="single"/>
        </w:rPr>
        <w:t>子</w:t>
      </w:r>
      <w:r>
        <w:rPr>
          <w:rFonts w:hint="eastAsia" w:ascii="宋体" w:hAnsi="宋体" w:cs="宋体"/>
          <w:color w:val="auto"/>
          <w:szCs w:val="21"/>
          <w:u w:val="single"/>
        </w:rPr>
        <w:t>招</w:t>
      </w:r>
      <w:r>
        <w:rPr>
          <w:rFonts w:hint="eastAsia" w:ascii="宋体" w:hAnsi="宋体" w:cs="宋体"/>
          <w:color w:val="auto"/>
          <w:spacing w:val="-2"/>
          <w:szCs w:val="21"/>
          <w:u w:val="single"/>
        </w:rPr>
        <w:t>标</w:t>
      </w:r>
      <w:r>
        <w:rPr>
          <w:rFonts w:hint="eastAsia" w:ascii="宋体" w:hAnsi="宋体" w:cs="宋体"/>
          <w:color w:val="auto"/>
          <w:szCs w:val="21"/>
          <w:u w:val="single"/>
        </w:rPr>
        <w:t>投标</w:t>
      </w:r>
      <w:r>
        <w:rPr>
          <w:rFonts w:hint="eastAsia" w:ascii="宋体" w:hAnsi="宋体" w:cs="宋体"/>
          <w:color w:val="auto"/>
          <w:spacing w:val="-2"/>
          <w:szCs w:val="21"/>
          <w:u w:val="single"/>
        </w:rPr>
        <w:t>交</w:t>
      </w:r>
      <w:r>
        <w:rPr>
          <w:rFonts w:hint="eastAsia" w:ascii="宋体" w:hAnsi="宋体" w:cs="宋体"/>
          <w:color w:val="auto"/>
          <w:szCs w:val="21"/>
          <w:u w:val="single"/>
        </w:rPr>
        <w:t>易</w:t>
      </w:r>
      <w:r>
        <w:rPr>
          <w:rFonts w:hint="eastAsia" w:ascii="宋体" w:hAnsi="宋体" w:cs="宋体"/>
          <w:color w:val="auto"/>
          <w:spacing w:val="-2"/>
          <w:szCs w:val="21"/>
          <w:u w:val="single"/>
        </w:rPr>
        <w:t>平</w:t>
      </w:r>
      <w:r>
        <w:rPr>
          <w:rFonts w:hint="eastAsia" w:ascii="宋体" w:hAnsi="宋体" w:cs="宋体"/>
          <w:color w:val="auto"/>
          <w:szCs w:val="21"/>
          <w:u w:val="single"/>
        </w:rPr>
        <w:t>台</w:t>
      </w:r>
      <w:r>
        <w:rPr>
          <w:rFonts w:hint="eastAsia" w:ascii="宋体" w:hAnsi="宋体" w:cs="宋体"/>
          <w:color w:val="auto"/>
          <w:spacing w:val="-2"/>
          <w:szCs w:val="21"/>
          <w:u w:val="single"/>
        </w:rPr>
        <w:t>收</w:t>
      </w:r>
      <w:r>
        <w:rPr>
          <w:rFonts w:hint="eastAsia" w:ascii="宋体" w:hAnsi="宋体" w:cs="宋体"/>
          <w:color w:val="auto"/>
          <w:szCs w:val="21"/>
          <w:u w:val="single"/>
        </w:rPr>
        <w:t>到</w:t>
      </w:r>
      <w:r>
        <w:rPr>
          <w:rFonts w:hint="eastAsia" w:ascii="宋体" w:hAnsi="宋体" w:cs="宋体"/>
          <w:color w:val="auto"/>
          <w:spacing w:val="-2"/>
          <w:szCs w:val="21"/>
          <w:u w:val="single"/>
        </w:rPr>
        <w:t>通</w:t>
      </w:r>
      <w:r>
        <w:rPr>
          <w:rFonts w:hint="eastAsia" w:ascii="宋体" w:hAnsi="宋体" w:cs="宋体"/>
          <w:color w:val="auto"/>
          <w:szCs w:val="21"/>
          <w:u w:val="single"/>
        </w:rPr>
        <w:t>知</w:t>
      </w:r>
      <w:r>
        <w:rPr>
          <w:rFonts w:hint="eastAsia" w:ascii="宋体" w:hAnsi="宋体" w:cs="宋体"/>
          <w:color w:val="auto"/>
          <w:spacing w:val="-2"/>
          <w:szCs w:val="21"/>
          <w:u w:val="single"/>
        </w:rPr>
        <w:t>后</w:t>
      </w:r>
      <w:r>
        <w:rPr>
          <w:rFonts w:hint="eastAsia" w:ascii="宋体" w:hAnsi="宋体" w:cs="宋体"/>
          <w:color w:val="auto"/>
          <w:szCs w:val="21"/>
          <w:u w:val="single"/>
        </w:rPr>
        <w:t>，即</w:t>
      </w:r>
      <w:r>
        <w:rPr>
          <w:rFonts w:hint="eastAsia" w:ascii="宋体" w:hAnsi="宋体" w:cs="宋体"/>
          <w:color w:val="auto"/>
          <w:spacing w:val="-2"/>
          <w:szCs w:val="21"/>
          <w:u w:val="single"/>
        </w:rPr>
        <w:t>时</w:t>
      </w:r>
      <w:r>
        <w:rPr>
          <w:rFonts w:hint="eastAsia" w:ascii="宋体" w:hAnsi="宋体" w:cs="宋体"/>
          <w:color w:val="auto"/>
          <w:szCs w:val="21"/>
          <w:u w:val="single"/>
        </w:rPr>
        <w:t>向</w:t>
      </w:r>
      <w:r>
        <w:rPr>
          <w:rFonts w:hint="eastAsia" w:ascii="宋体" w:hAnsi="宋体" w:cs="宋体"/>
          <w:color w:val="auto"/>
          <w:spacing w:val="-2"/>
          <w:szCs w:val="21"/>
          <w:u w:val="single"/>
        </w:rPr>
        <w:t>投</w:t>
      </w:r>
      <w:r>
        <w:rPr>
          <w:rFonts w:hint="eastAsia" w:ascii="宋体" w:hAnsi="宋体" w:cs="宋体"/>
          <w:color w:val="auto"/>
          <w:szCs w:val="21"/>
          <w:u w:val="single"/>
        </w:rPr>
        <w:t>标</w:t>
      </w:r>
      <w:r>
        <w:rPr>
          <w:rFonts w:hint="eastAsia" w:ascii="宋体" w:hAnsi="宋体" w:cs="宋体"/>
          <w:color w:val="auto"/>
          <w:spacing w:val="-2"/>
          <w:szCs w:val="21"/>
          <w:u w:val="single"/>
        </w:rPr>
        <w:t>人</w:t>
      </w:r>
      <w:r>
        <w:rPr>
          <w:rFonts w:hint="eastAsia" w:ascii="宋体" w:hAnsi="宋体" w:cs="宋体"/>
          <w:color w:val="auto"/>
          <w:szCs w:val="21"/>
          <w:u w:val="single"/>
        </w:rPr>
        <w:t>发</w:t>
      </w:r>
      <w:r>
        <w:rPr>
          <w:rFonts w:hint="eastAsia" w:ascii="宋体" w:hAnsi="宋体" w:cs="宋体"/>
          <w:color w:val="auto"/>
          <w:spacing w:val="-2"/>
          <w:szCs w:val="21"/>
          <w:u w:val="single"/>
        </w:rPr>
        <w:t>出</w:t>
      </w:r>
      <w:r>
        <w:rPr>
          <w:rFonts w:hint="eastAsia" w:ascii="宋体" w:hAnsi="宋体" w:cs="宋体"/>
          <w:color w:val="auto"/>
          <w:szCs w:val="21"/>
          <w:u w:val="single"/>
        </w:rPr>
        <w:t>确</w:t>
      </w:r>
      <w:r>
        <w:rPr>
          <w:rFonts w:hint="eastAsia" w:ascii="宋体" w:hAnsi="宋体" w:cs="宋体"/>
          <w:color w:val="auto"/>
          <w:spacing w:val="-2"/>
          <w:szCs w:val="21"/>
          <w:u w:val="single"/>
        </w:rPr>
        <w:t>认</w:t>
      </w:r>
      <w:r>
        <w:rPr>
          <w:rFonts w:hint="eastAsia" w:ascii="宋体" w:hAnsi="宋体" w:cs="宋体"/>
          <w:color w:val="auto"/>
          <w:szCs w:val="21"/>
          <w:u w:val="single"/>
        </w:rPr>
        <w:t>回执</w:t>
      </w:r>
      <w:r>
        <w:rPr>
          <w:rFonts w:hint="eastAsia" w:ascii="宋体" w:hAnsi="宋体" w:cs="宋体"/>
          <w:color w:val="auto"/>
          <w:spacing w:val="-2"/>
          <w:szCs w:val="21"/>
          <w:u w:val="single"/>
        </w:rPr>
        <w:t>通</w:t>
      </w:r>
      <w:r>
        <w:rPr>
          <w:rFonts w:hint="eastAsia" w:ascii="宋体" w:hAnsi="宋体" w:cs="宋体"/>
          <w:color w:val="auto"/>
          <w:szCs w:val="21"/>
          <w:u w:val="single"/>
        </w:rPr>
        <w:t>知</w:t>
      </w:r>
      <w:r>
        <w:rPr>
          <w:rFonts w:hint="eastAsia" w:ascii="宋体" w:hAnsi="宋体" w:cs="宋体"/>
          <w:color w:val="auto"/>
        </w:rPr>
        <w:t>。</w:t>
      </w:r>
    </w:p>
    <w:p w14:paraId="77F19892">
      <w:pPr>
        <w:spacing w:line="400" w:lineRule="exact"/>
        <w:ind w:firstLine="420" w:firstLineChars="200"/>
        <w:rPr>
          <w:rFonts w:hint="eastAsia" w:ascii="宋体" w:hAnsi="宋体" w:cs="宋体"/>
          <w:color w:val="auto"/>
        </w:rPr>
      </w:pPr>
      <w:r>
        <w:rPr>
          <w:rFonts w:hint="eastAsia" w:ascii="宋体" w:hAnsi="宋体" w:cs="宋体"/>
          <w:color w:val="auto"/>
        </w:rPr>
        <w:t>4.3.3 投标人撤回投标文件的，招标人自收到投标人书面撤回通知之日起5日内退还已收取的投标保证金。</w:t>
      </w:r>
    </w:p>
    <w:p w14:paraId="5118C425">
      <w:pPr>
        <w:spacing w:line="400" w:lineRule="exact"/>
        <w:ind w:firstLine="420" w:firstLineChars="200"/>
        <w:rPr>
          <w:rFonts w:hint="eastAsia" w:ascii="宋体" w:hAnsi="宋体" w:cs="宋体"/>
          <w:color w:val="auto"/>
        </w:rPr>
      </w:pPr>
      <w:r>
        <w:rPr>
          <w:rFonts w:hint="eastAsia" w:ascii="宋体" w:hAnsi="宋体" w:cs="宋体"/>
          <w:color w:val="auto"/>
        </w:rPr>
        <w:t>4.3.4 修改的内容为投标文件的组成部分。修改的投标文件应按照本章第3条、第4条规定进行编制、密封、标记和递交，并标明“修改”字样。</w:t>
      </w:r>
    </w:p>
    <w:p w14:paraId="1EF8DF79">
      <w:pPr>
        <w:pStyle w:val="3"/>
        <w:rPr>
          <w:rFonts w:hint="eastAsia" w:ascii="宋体" w:hAnsi="宋体" w:eastAsia="宋体" w:cs="宋体"/>
          <w:color w:val="auto"/>
        </w:rPr>
      </w:pPr>
      <w:bookmarkStart w:id="248" w:name="_Toc247527584"/>
      <w:bookmarkStart w:id="249" w:name="_Toc144974527"/>
      <w:bookmarkStart w:id="250" w:name="_Toc6688"/>
      <w:bookmarkStart w:id="251" w:name="_Toc963"/>
      <w:bookmarkStart w:id="252" w:name="_Toc152042335"/>
      <w:bookmarkStart w:id="253" w:name="_Toc247513983"/>
      <w:bookmarkStart w:id="254" w:name="_Toc152045559"/>
      <w:r>
        <w:rPr>
          <w:rFonts w:hint="eastAsia" w:ascii="宋体" w:hAnsi="宋体" w:eastAsia="宋体" w:cs="宋体"/>
          <w:color w:val="auto"/>
        </w:rPr>
        <w:t>5. 开标</w:t>
      </w:r>
      <w:bookmarkEnd w:id="248"/>
      <w:bookmarkEnd w:id="249"/>
      <w:bookmarkEnd w:id="250"/>
      <w:bookmarkEnd w:id="251"/>
      <w:bookmarkEnd w:id="252"/>
      <w:bookmarkEnd w:id="253"/>
      <w:bookmarkEnd w:id="254"/>
    </w:p>
    <w:p w14:paraId="6543E319">
      <w:pPr>
        <w:pStyle w:val="4"/>
        <w:rPr>
          <w:rFonts w:hint="eastAsia" w:ascii="宋体" w:eastAsia="宋体" w:cs="宋体"/>
          <w:color w:val="auto"/>
        </w:rPr>
      </w:pPr>
      <w:bookmarkStart w:id="255" w:name="_Toc152042336"/>
      <w:bookmarkStart w:id="256" w:name="_Toc144974528"/>
      <w:bookmarkStart w:id="257" w:name="_Toc247513984"/>
      <w:bookmarkStart w:id="258" w:name="_Toc247527585"/>
      <w:bookmarkStart w:id="259" w:name="_Toc152045560"/>
      <w:bookmarkStart w:id="260" w:name="_Toc16458"/>
      <w:bookmarkStart w:id="261" w:name="_Toc18095"/>
      <w:r>
        <w:rPr>
          <w:rFonts w:hint="eastAsia" w:ascii="宋体" w:eastAsia="宋体" w:cs="宋体"/>
          <w:color w:val="auto"/>
        </w:rPr>
        <w:t>5.1 开标时间和地点</w:t>
      </w:r>
      <w:bookmarkEnd w:id="255"/>
      <w:bookmarkEnd w:id="256"/>
      <w:bookmarkEnd w:id="257"/>
      <w:bookmarkEnd w:id="258"/>
      <w:bookmarkEnd w:id="259"/>
      <w:bookmarkEnd w:id="260"/>
      <w:bookmarkEnd w:id="261"/>
    </w:p>
    <w:p w14:paraId="5E85D495">
      <w:pPr>
        <w:spacing w:line="400" w:lineRule="exact"/>
        <w:ind w:firstLine="420" w:firstLineChars="200"/>
        <w:rPr>
          <w:rFonts w:hint="eastAsia" w:ascii="宋体" w:hAnsi="宋体" w:cs="宋体"/>
          <w:color w:val="auto"/>
        </w:rPr>
      </w:pPr>
      <w:r>
        <w:rPr>
          <w:rFonts w:hint="eastAsia" w:ascii="宋体" w:hAnsi="宋体" w:cs="宋体"/>
          <w:color w:val="auto"/>
        </w:rPr>
        <w:t>招标人在本章第2.2.2项规定的投标截止时间（开标时间）和投标人须知前附表规定的地点公开开标，并邀请所有投标人的法定代表人或其委托代理人准时参加。</w:t>
      </w:r>
    </w:p>
    <w:p w14:paraId="19B6742F">
      <w:pPr>
        <w:pStyle w:val="4"/>
        <w:rPr>
          <w:rFonts w:hint="eastAsia" w:ascii="宋体" w:eastAsia="宋体" w:cs="宋体"/>
          <w:color w:val="auto"/>
        </w:rPr>
      </w:pPr>
      <w:bookmarkStart w:id="262" w:name="_Toc22865"/>
      <w:bookmarkStart w:id="263" w:name="_Toc247527586"/>
      <w:bookmarkStart w:id="264" w:name="_Toc247513985"/>
      <w:bookmarkStart w:id="265" w:name="_Toc144974529"/>
      <w:bookmarkStart w:id="266" w:name="_Toc152045561"/>
      <w:bookmarkStart w:id="267" w:name="_Toc19643"/>
      <w:bookmarkStart w:id="268" w:name="_Toc152042337"/>
      <w:r>
        <w:rPr>
          <w:rFonts w:hint="eastAsia" w:ascii="宋体" w:eastAsia="宋体" w:cs="宋体"/>
          <w:color w:val="auto"/>
        </w:rPr>
        <w:t>5.2 开标程序</w:t>
      </w:r>
      <w:bookmarkEnd w:id="262"/>
      <w:bookmarkEnd w:id="263"/>
      <w:bookmarkEnd w:id="264"/>
      <w:bookmarkEnd w:id="265"/>
      <w:bookmarkEnd w:id="266"/>
      <w:bookmarkEnd w:id="267"/>
      <w:bookmarkEnd w:id="268"/>
    </w:p>
    <w:p w14:paraId="7772F136">
      <w:pPr>
        <w:snapToGrid w:val="0"/>
        <w:spacing w:line="360" w:lineRule="auto"/>
        <w:ind w:firstLine="420" w:firstLineChars="200"/>
        <w:rPr>
          <w:rFonts w:hint="eastAsia" w:ascii="新宋体" w:hAnsi="新宋体" w:eastAsia="新宋体" w:cs="新宋体"/>
          <w:color w:val="auto"/>
          <w:szCs w:val="21"/>
          <w:u w:val="single"/>
        </w:rPr>
      </w:pPr>
      <w:bookmarkStart w:id="269" w:name="_Toc27275"/>
      <w:r>
        <w:rPr>
          <w:rFonts w:hint="eastAsia" w:ascii="新宋体" w:hAnsi="新宋体" w:eastAsia="新宋体" w:cs="新宋体"/>
          <w:color w:val="auto"/>
          <w:szCs w:val="21"/>
          <w:u w:val="single"/>
        </w:rPr>
        <w:t>主持人按下列程序进行开标：</w:t>
      </w:r>
    </w:p>
    <w:p w14:paraId="2D1F587E">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（1）宣布开标纪律；</w:t>
      </w:r>
    </w:p>
    <w:p w14:paraId="18398228">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（2）公布在投标截止时间前递交投标文件的投标人名称；</w:t>
      </w:r>
    </w:p>
    <w:p w14:paraId="3BFB9D6B">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3）在投标截止时间后60分钟内，投标人通过递交投标文件的交易平台对已递交的电子投标文件进行解密。投标人完成解密后，再由招标人进行解密（投标人只用执行一次解密，招标人执行解密次数根据招标文件开标次数确定）。</w:t>
      </w:r>
    </w:p>
    <w:p w14:paraId="6578F67B">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（4）解密完成后，公布：a投标人名称；b投标文件递交情况；c投标文件解密情况；d投标担保递交情况；e项目负责人(兼施工负责人)、设计负责人、</w:t>
      </w:r>
      <w:r>
        <w:rPr>
          <w:rFonts w:hint="eastAsia" w:ascii="新宋体" w:hAnsi="新宋体" w:eastAsia="新宋体" w:cs="新宋体"/>
          <w:strike/>
          <w:color w:val="auto"/>
          <w:szCs w:val="21"/>
          <w:u w:val="single"/>
        </w:rPr>
        <w:t>施工负责人、</w:t>
      </w:r>
      <w:r>
        <w:rPr>
          <w:rFonts w:hint="eastAsia" w:ascii="新宋体" w:hAnsi="新宋体" w:eastAsia="新宋体" w:cs="新宋体"/>
          <w:color w:val="auto"/>
          <w:szCs w:val="21"/>
          <w:u w:val="single"/>
        </w:rPr>
        <w:t>专职安全员；f投标报价（含设计报价和施工报价）；g工期；h质量标准；i投标人的加密打包投标文件电脑机器特征码等主要内容，并记录在案。未在规定时间内解密的投标文件不参与开标、评标。</w:t>
      </w:r>
    </w:p>
    <w:p w14:paraId="572AC573">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（5）截标后，开标开始时间因故推迟的，相关评标信息仍以原定的开标开始时间的信息为准。</w:t>
      </w:r>
    </w:p>
    <w:p w14:paraId="3773F55C">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（6）备用光盘的读取按“10 电子招标投标”第6点的规定执行。</w:t>
      </w:r>
    </w:p>
    <w:p w14:paraId="37DDBB93">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7）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14:paraId="47066EFB">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8）参加现场开标的投标人对开标结果有异议的，应当在开标现场提出，招标人应当当场作出答复，并制作记录。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14:paraId="62E51C7B">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（9）投标人未参加开标或在规定的时间内未提出异议的，视为对开标无异议。</w:t>
      </w:r>
    </w:p>
    <w:p w14:paraId="0214D2ED">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（10）开标时，本项目两个（含两个）以上的投标人加密打包投标文件电脑机器特征码一致的，不参与下一程序，并由评标委员会否决其投标。</w:t>
      </w:r>
    </w:p>
    <w:p w14:paraId="02A098E1">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11）投标文件（设计方案）开标时不得开启，在评标时由交易平台随机编号后开启，交由评标委员会进行评审。编号所对应的投标人在设计方案评审结束前不得告知评标委员会、交易平台工作人员、招标人或招标代理机构。</w:t>
      </w:r>
    </w:p>
    <w:p w14:paraId="24554CCB">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（12）投标人代表、招标人代表、监标人、记录人等有关人员在开标记录上签字确认；若有关人员不签字的，不影响开标程序；</w:t>
      </w:r>
    </w:p>
    <w:p w14:paraId="6E39C896">
      <w:pPr>
        <w:snapToGrid w:val="0"/>
        <w:spacing w:line="360" w:lineRule="auto"/>
        <w:ind w:firstLine="420" w:firstLineChars="200"/>
        <w:rPr>
          <w:rFonts w:hint="eastAsia" w:ascii="新宋体" w:hAnsi="新宋体" w:eastAsia="新宋体" w:cs="新宋体"/>
          <w:color w:val="auto"/>
          <w:szCs w:val="21"/>
          <w:u w:val="single"/>
        </w:rPr>
      </w:pPr>
      <w:r>
        <w:rPr>
          <w:rFonts w:hint="eastAsia" w:ascii="新宋体" w:hAnsi="新宋体" w:eastAsia="新宋体" w:cs="新宋体"/>
          <w:color w:val="auto"/>
          <w:szCs w:val="21"/>
          <w:u w:val="single"/>
        </w:rPr>
        <w:t>（13）开标结束。</w:t>
      </w:r>
    </w:p>
    <w:p w14:paraId="4736E6F8">
      <w:pPr>
        <w:pStyle w:val="4"/>
        <w:rPr>
          <w:rFonts w:hint="eastAsia" w:ascii="宋体" w:eastAsia="宋体" w:cs="宋体"/>
          <w:color w:val="auto"/>
        </w:rPr>
      </w:pPr>
      <w:bookmarkStart w:id="270" w:name="_Toc26734"/>
      <w:r>
        <w:rPr>
          <w:rFonts w:hint="eastAsia" w:ascii="宋体" w:eastAsia="宋体" w:cs="宋体"/>
          <w:color w:val="auto"/>
        </w:rPr>
        <w:t>5.3 开标异议</w:t>
      </w:r>
      <w:bookmarkEnd w:id="269"/>
      <w:bookmarkEnd w:id="270"/>
    </w:p>
    <w:p w14:paraId="28E476E6">
      <w:pPr>
        <w:spacing w:line="400" w:lineRule="exact"/>
        <w:ind w:firstLine="359" w:firstLineChars="171"/>
        <w:rPr>
          <w:rFonts w:hint="eastAsia" w:ascii="宋体" w:hAnsi="宋体" w:cs="宋体"/>
          <w:color w:val="auto"/>
        </w:rPr>
      </w:pPr>
      <w:r>
        <w:rPr>
          <w:rFonts w:hint="eastAsia" w:ascii="宋体" w:hAnsi="宋体" w:cs="宋体"/>
          <w:color w:val="auto"/>
        </w:rPr>
        <w:t>投标人对开标有异议的，应当在</w:t>
      </w:r>
      <w:r>
        <w:rPr>
          <w:rFonts w:hint="eastAsia" w:ascii="宋体" w:hAnsi="宋体" w:cs="宋体"/>
          <w:color w:val="auto"/>
          <w:u w:val="single"/>
        </w:rPr>
        <w:t>交易平台规定的时间内</w:t>
      </w:r>
      <w:r>
        <w:rPr>
          <w:rFonts w:hint="eastAsia" w:ascii="宋体" w:hAnsi="宋体" w:cs="宋体"/>
          <w:color w:val="auto"/>
        </w:rPr>
        <w:t>提出，招标人当场作出答复，并制作记录。</w:t>
      </w:r>
      <w:bookmarkStart w:id="271" w:name="_Toc247527587"/>
      <w:bookmarkStart w:id="272" w:name="_Toc247513986"/>
      <w:bookmarkStart w:id="273" w:name="_Toc144974530"/>
      <w:bookmarkStart w:id="274" w:name="_Toc152045562"/>
      <w:bookmarkStart w:id="275" w:name="_Toc152042338"/>
      <w:bookmarkStart w:id="276" w:name="_Toc18405"/>
    </w:p>
    <w:p w14:paraId="17F7BC56">
      <w:pPr>
        <w:spacing w:line="400" w:lineRule="exact"/>
        <w:ind w:firstLine="359" w:firstLineChars="171"/>
        <w:rPr>
          <w:rFonts w:hint="eastAsia" w:ascii="宋体" w:hAnsi="宋体" w:cs="宋体"/>
          <w:color w:val="auto"/>
        </w:rPr>
      </w:pPr>
    </w:p>
    <w:p w14:paraId="007384EE">
      <w:pPr>
        <w:numPr>
          <w:ilvl w:val="0"/>
          <w:numId w:val="2"/>
        </w:numPr>
        <w:spacing w:line="400" w:lineRule="exact"/>
        <w:ind w:firstLine="478" w:firstLineChars="171"/>
        <w:outlineLvl w:val="1"/>
        <w:rPr>
          <w:rFonts w:hint="eastAsia" w:ascii="宋体" w:hAnsi="宋体" w:cs="宋体"/>
          <w:bCs/>
          <w:color w:val="auto"/>
          <w:sz w:val="28"/>
          <w:szCs w:val="28"/>
        </w:rPr>
      </w:pPr>
      <w:bookmarkStart w:id="277" w:name="_Toc6783"/>
      <w:r>
        <w:rPr>
          <w:rFonts w:hint="eastAsia" w:ascii="宋体" w:hAnsi="宋体" w:cs="宋体"/>
          <w:bCs/>
          <w:color w:val="auto"/>
          <w:sz w:val="28"/>
          <w:szCs w:val="28"/>
        </w:rPr>
        <w:t>评标</w:t>
      </w:r>
      <w:bookmarkEnd w:id="271"/>
      <w:bookmarkEnd w:id="272"/>
      <w:bookmarkEnd w:id="273"/>
      <w:bookmarkEnd w:id="274"/>
      <w:bookmarkEnd w:id="275"/>
      <w:bookmarkEnd w:id="276"/>
      <w:bookmarkEnd w:id="277"/>
      <w:bookmarkStart w:id="278" w:name="_Toc247527588"/>
      <w:bookmarkStart w:id="279" w:name="_Toc152045563"/>
      <w:bookmarkStart w:id="280" w:name="_Toc152042339"/>
      <w:bookmarkStart w:id="281" w:name="_Toc247513987"/>
      <w:bookmarkStart w:id="282" w:name="_Toc144974531"/>
      <w:bookmarkStart w:id="283" w:name="_Toc19178"/>
    </w:p>
    <w:p w14:paraId="02E978A7">
      <w:pPr>
        <w:spacing w:line="400" w:lineRule="exact"/>
        <w:rPr>
          <w:rFonts w:hint="eastAsia" w:ascii="宋体" w:hAnsi="宋体" w:cs="宋体"/>
          <w:color w:val="auto"/>
        </w:rPr>
      </w:pPr>
    </w:p>
    <w:p w14:paraId="31AF1327">
      <w:pPr>
        <w:spacing w:line="400" w:lineRule="exact"/>
        <w:ind w:firstLine="420" w:firstLineChars="200"/>
        <w:outlineLvl w:val="2"/>
        <w:rPr>
          <w:rFonts w:hint="eastAsia" w:ascii="宋体" w:hAnsi="宋体" w:cs="宋体"/>
          <w:color w:val="auto"/>
        </w:rPr>
      </w:pPr>
      <w:bookmarkStart w:id="284" w:name="_Toc2239"/>
      <w:r>
        <w:rPr>
          <w:rFonts w:hint="eastAsia" w:ascii="宋体" w:hAnsi="宋体" w:cs="宋体"/>
          <w:color w:val="auto"/>
        </w:rPr>
        <w:t>6.1 评标委员会</w:t>
      </w:r>
      <w:bookmarkEnd w:id="278"/>
      <w:bookmarkEnd w:id="279"/>
      <w:bookmarkEnd w:id="280"/>
      <w:bookmarkEnd w:id="281"/>
      <w:bookmarkEnd w:id="282"/>
      <w:bookmarkEnd w:id="283"/>
      <w:bookmarkEnd w:id="284"/>
    </w:p>
    <w:p w14:paraId="0110DB0C">
      <w:pPr>
        <w:spacing w:line="400" w:lineRule="exact"/>
        <w:ind w:firstLine="420" w:firstLineChars="200"/>
        <w:rPr>
          <w:rFonts w:hint="eastAsia" w:ascii="宋体" w:hAnsi="宋体" w:cs="宋体"/>
          <w:color w:val="auto"/>
        </w:rPr>
      </w:pPr>
      <w:r>
        <w:rPr>
          <w:rFonts w:hint="eastAsia" w:ascii="宋体" w:hAnsi="宋体" w:cs="宋体"/>
          <w:color w:val="auto"/>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2B1FF88">
      <w:pPr>
        <w:spacing w:line="400" w:lineRule="exact"/>
        <w:ind w:firstLine="420" w:firstLineChars="200"/>
        <w:rPr>
          <w:rFonts w:hint="eastAsia" w:ascii="宋体" w:hAnsi="宋体" w:cs="宋体"/>
          <w:color w:val="auto"/>
        </w:rPr>
      </w:pPr>
      <w:r>
        <w:rPr>
          <w:rFonts w:hint="eastAsia" w:ascii="宋体" w:hAnsi="宋体" w:cs="宋体"/>
          <w:color w:val="auto"/>
        </w:rPr>
        <w:t>6.1.2 评标委员会成员有下列情形之一的，应当回避：</w:t>
      </w:r>
    </w:p>
    <w:p w14:paraId="675AB082">
      <w:pPr>
        <w:spacing w:line="400" w:lineRule="exact"/>
        <w:ind w:firstLine="718" w:firstLineChars="342"/>
        <w:rPr>
          <w:rFonts w:hint="eastAsia" w:ascii="宋体" w:hAnsi="宋体" w:cs="宋体"/>
          <w:color w:val="auto"/>
        </w:rPr>
      </w:pPr>
      <w:r>
        <w:rPr>
          <w:rFonts w:hint="eastAsia" w:ascii="宋体" w:hAnsi="宋体" w:cs="宋体"/>
          <w:color w:val="auto"/>
        </w:rPr>
        <w:t>（1）投标人或投标人主要负责人的近亲属；</w:t>
      </w:r>
    </w:p>
    <w:p w14:paraId="542C0CB5">
      <w:pPr>
        <w:spacing w:line="400" w:lineRule="exact"/>
        <w:ind w:firstLine="718" w:firstLineChars="342"/>
        <w:rPr>
          <w:rFonts w:hint="eastAsia" w:ascii="宋体" w:hAnsi="宋体" w:cs="宋体"/>
          <w:color w:val="auto"/>
        </w:rPr>
      </w:pPr>
      <w:r>
        <w:rPr>
          <w:rFonts w:hint="eastAsia" w:ascii="宋体" w:hAnsi="宋体" w:cs="宋体"/>
          <w:color w:val="auto"/>
        </w:rPr>
        <w:t>（2）项目主管部门或者行政监督部门的人员；</w:t>
      </w:r>
    </w:p>
    <w:p w14:paraId="1A037B0F">
      <w:pPr>
        <w:spacing w:line="400" w:lineRule="exact"/>
        <w:ind w:firstLine="718" w:firstLineChars="342"/>
        <w:rPr>
          <w:rFonts w:hint="eastAsia" w:ascii="宋体" w:hAnsi="宋体" w:cs="宋体"/>
          <w:color w:val="auto"/>
        </w:rPr>
      </w:pPr>
      <w:r>
        <w:rPr>
          <w:rFonts w:hint="eastAsia" w:ascii="宋体" w:hAnsi="宋体" w:cs="宋体"/>
          <w:color w:val="auto"/>
        </w:rPr>
        <w:t>（3）与投标人有经济利益关系，可能影响对投标公正评审的；</w:t>
      </w:r>
    </w:p>
    <w:p w14:paraId="3C585E4E">
      <w:pPr>
        <w:spacing w:line="400" w:lineRule="exact"/>
        <w:ind w:firstLine="718" w:firstLineChars="342"/>
        <w:rPr>
          <w:rFonts w:hint="eastAsia" w:ascii="宋体" w:hAnsi="宋体" w:cs="宋体"/>
          <w:color w:val="auto"/>
        </w:rPr>
      </w:pPr>
      <w:r>
        <w:rPr>
          <w:rFonts w:hint="eastAsia" w:ascii="宋体" w:hAnsi="宋体" w:cs="宋体"/>
          <w:color w:val="auto"/>
        </w:rPr>
        <w:t>（4）曾因在招标、评标以及其他与招标投标有关活动中从事违法行为而受过行政处罚或刑事处罚的；</w:t>
      </w:r>
    </w:p>
    <w:p w14:paraId="688AAA97">
      <w:pPr>
        <w:spacing w:line="400" w:lineRule="exact"/>
        <w:ind w:firstLine="718" w:firstLineChars="342"/>
        <w:rPr>
          <w:rFonts w:hint="eastAsia" w:ascii="宋体" w:hAnsi="宋体" w:cs="宋体"/>
          <w:color w:val="auto"/>
        </w:rPr>
      </w:pPr>
      <w:r>
        <w:rPr>
          <w:rFonts w:hint="eastAsia" w:ascii="宋体" w:hAnsi="宋体" w:cs="宋体"/>
          <w:color w:val="auto"/>
        </w:rPr>
        <w:t>（5）与投标人有其他利害关系。</w:t>
      </w:r>
    </w:p>
    <w:p w14:paraId="2809B6BD">
      <w:pPr>
        <w:pStyle w:val="35"/>
        <w:rPr>
          <w:rFonts w:hint="eastAsia" w:ascii="宋体" w:hAnsi="宋体" w:cs="宋体"/>
          <w:color w:val="auto"/>
          <w:sz w:val="21"/>
          <w:szCs w:val="21"/>
          <w:u w:val="single"/>
        </w:rPr>
      </w:pPr>
      <w:r>
        <w:rPr>
          <w:rFonts w:hint="eastAsia" w:ascii="宋体" w:hAnsi="宋体" w:cs="宋体"/>
          <w:color w:val="auto"/>
          <w:sz w:val="21"/>
          <w:szCs w:val="21"/>
          <w:u w:val="single"/>
        </w:rPr>
        <w:t>6.1.3 评标过程中，评标委员会成员有回避事由、擅离职守或者因健康等原因不能继续评标的，招标人有权更换。被更换的评标委员会成员作出的评审结论无效，由更换后的评标委员会成员重新进行评审；</w:t>
      </w:r>
    </w:p>
    <w:p w14:paraId="116F47B8">
      <w:pPr>
        <w:pStyle w:val="35"/>
        <w:rPr>
          <w:rFonts w:hint="eastAsia" w:ascii="宋体" w:hAnsi="宋体" w:cs="宋体"/>
          <w:b/>
          <w:bCs/>
          <w:color w:val="auto"/>
          <w:sz w:val="21"/>
          <w:szCs w:val="21"/>
          <w:u w:val="single"/>
        </w:rPr>
      </w:pPr>
      <w:r>
        <w:rPr>
          <w:rFonts w:hint="eastAsia" w:ascii="宋体" w:hAnsi="宋体" w:cs="宋体"/>
          <w:color w:val="auto"/>
          <w:sz w:val="21"/>
          <w:szCs w:val="21"/>
          <w:u w:val="single"/>
        </w:rPr>
        <w:t>6.1.4评标委员会在开始评标前，应了解评标专家的职责及守则，认真阅读附件《评标委员会成员声明》的内容并签名，签字后方可进行评标。</w:t>
      </w:r>
    </w:p>
    <w:p w14:paraId="2D7BDC74">
      <w:pPr>
        <w:pStyle w:val="4"/>
        <w:rPr>
          <w:rFonts w:hint="eastAsia" w:ascii="宋体" w:eastAsia="宋体" w:cs="宋体"/>
          <w:color w:val="auto"/>
        </w:rPr>
      </w:pPr>
      <w:bookmarkStart w:id="285" w:name="_Toc247513988"/>
      <w:bookmarkStart w:id="286" w:name="_Toc144974532"/>
      <w:bookmarkStart w:id="287" w:name="_Toc247527589"/>
      <w:bookmarkStart w:id="288" w:name="_Toc152042340"/>
      <w:bookmarkStart w:id="289" w:name="_Toc2192"/>
      <w:bookmarkStart w:id="290" w:name="_Toc152045564"/>
      <w:bookmarkStart w:id="291" w:name="_Toc29261"/>
      <w:r>
        <w:rPr>
          <w:rFonts w:hint="eastAsia" w:ascii="宋体" w:eastAsia="宋体" w:cs="宋体"/>
          <w:color w:val="auto"/>
        </w:rPr>
        <w:t>6.2 评标原则</w:t>
      </w:r>
      <w:bookmarkEnd w:id="285"/>
      <w:bookmarkEnd w:id="286"/>
      <w:bookmarkEnd w:id="287"/>
      <w:bookmarkEnd w:id="288"/>
      <w:bookmarkEnd w:id="289"/>
      <w:bookmarkEnd w:id="290"/>
      <w:bookmarkEnd w:id="291"/>
      <w:r>
        <w:rPr>
          <w:rFonts w:hint="eastAsia" w:ascii="宋体" w:eastAsia="宋体" w:cs="宋体"/>
          <w:color w:val="auto"/>
        </w:rPr>
        <w:tab/>
      </w:r>
    </w:p>
    <w:p w14:paraId="36A861C6">
      <w:pPr>
        <w:spacing w:line="400" w:lineRule="exact"/>
        <w:ind w:firstLine="420" w:firstLineChars="200"/>
        <w:rPr>
          <w:rFonts w:hint="eastAsia" w:ascii="宋体" w:hAnsi="宋体" w:cs="宋体"/>
          <w:color w:val="auto"/>
        </w:rPr>
      </w:pPr>
      <w:r>
        <w:rPr>
          <w:rFonts w:hint="eastAsia" w:ascii="宋体" w:hAnsi="宋体" w:cs="宋体"/>
          <w:color w:val="auto"/>
        </w:rPr>
        <w:t>评标活动遵循公平、公正、科学和择优的原则。</w:t>
      </w:r>
    </w:p>
    <w:p w14:paraId="2303DA47">
      <w:pPr>
        <w:pStyle w:val="4"/>
        <w:rPr>
          <w:rFonts w:hint="eastAsia" w:ascii="宋体" w:eastAsia="宋体" w:cs="宋体"/>
          <w:color w:val="auto"/>
        </w:rPr>
      </w:pPr>
      <w:bookmarkStart w:id="292" w:name="_Toc9663"/>
      <w:bookmarkStart w:id="293" w:name="_Toc247513989"/>
      <w:bookmarkStart w:id="294" w:name="_Toc144974533"/>
      <w:bookmarkStart w:id="295" w:name="_Toc24990"/>
      <w:bookmarkStart w:id="296" w:name="_Toc152045565"/>
      <w:bookmarkStart w:id="297" w:name="_Toc247527590"/>
      <w:bookmarkStart w:id="298" w:name="_Toc152042341"/>
      <w:r>
        <w:rPr>
          <w:rFonts w:hint="eastAsia" w:ascii="宋体" w:eastAsia="宋体" w:cs="宋体"/>
          <w:color w:val="auto"/>
        </w:rPr>
        <w:t>6.3 评标</w:t>
      </w:r>
      <w:bookmarkEnd w:id="292"/>
      <w:bookmarkEnd w:id="293"/>
      <w:bookmarkEnd w:id="294"/>
      <w:bookmarkEnd w:id="295"/>
      <w:bookmarkEnd w:id="296"/>
      <w:bookmarkEnd w:id="297"/>
      <w:bookmarkEnd w:id="298"/>
    </w:p>
    <w:p w14:paraId="3CD31701">
      <w:pPr>
        <w:spacing w:line="400" w:lineRule="exact"/>
        <w:ind w:firstLine="420" w:firstLineChars="200"/>
        <w:rPr>
          <w:rFonts w:hint="eastAsia" w:ascii="宋体" w:hAnsi="宋体" w:cs="宋体"/>
          <w:color w:val="auto"/>
        </w:rPr>
      </w:pPr>
      <w:r>
        <w:rPr>
          <w:rFonts w:hint="eastAsia" w:ascii="宋体" w:hAnsi="宋体" w:cs="宋体"/>
          <w:color w:val="auto"/>
        </w:rPr>
        <w:t>6.3.1评标委员会按照第三章“评标办法”规定的方法、评审因素、标准和程序对投标文件进行评审。第三章“评标办法”没有规定的方法、评审因素和标准，不作为评标依据。</w:t>
      </w:r>
    </w:p>
    <w:p w14:paraId="1BA0414B">
      <w:pPr>
        <w:spacing w:line="400" w:lineRule="exact"/>
        <w:ind w:firstLine="420" w:firstLineChars="200"/>
        <w:rPr>
          <w:rFonts w:hint="eastAsia" w:ascii="宋体" w:hAnsi="宋体" w:cs="宋体"/>
          <w:color w:val="auto"/>
          <w:u w:val="single"/>
        </w:rPr>
      </w:pPr>
      <w:r>
        <w:rPr>
          <w:rFonts w:hint="eastAsia" w:ascii="宋体" w:hAnsi="宋体" w:cs="宋体"/>
          <w:color w:val="auto"/>
          <w:u w:val="single"/>
        </w:rPr>
        <w:t>6.3.2评标完成后，评标委员会应当向招标人提交书面评标报告和中标候选人名单。评标委员会推荐中标候选人的人数见投标人须知前附表。</w:t>
      </w:r>
    </w:p>
    <w:p w14:paraId="430EB7DF">
      <w:pPr>
        <w:spacing w:line="400" w:lineRule="exact"/>
        <w:ind w:firstLine="420" w:firstLineChars="200"/>
        <w:rPr>
          <w:rFonts w:hint="eastAsia" w:ascii="宋体" w:hAnsi="宋体" w:cs="宋体"/>
          <w:color w:val="auto"/>
        </w:rPr>
      </w:pPr>
    </w:p>
    <w:p w14:paraId="04A583CF">
      <w:pPr>
        <w:pStyle w:val="3"/>
        <w:rPr>
          <w:rFonts w:hint="eastAsia" w:ascii="宋体" w:hAnsi="宋体" w:eastAsia="宋体" w:cs="宋体"/>
          <w:color w:val="auto"/>
        </w:rPr>
      </w:pPr>
      <w:bookmarkStart w:id="299" w:name="_Toc247527591"/>
      <w:bookmarkStart w:id="300" w:name="_Toc152045566"/>
      <w:bookmarkStart w:id="301" w:name="_Toc144974534"/>
      <w:bookmarkStart w:id="302" w:name="_Toc25703"/>
      <w:bookmarkStart w:id="303" w:name="_Toc247513990"/>
      <w:bookmarkStart w:id="304" w:name="_Toc7626"/>
      <w:bookmarkStart w:id="305" w:name="_Toc152042342"/>
      <w:r>
        <w:rPr>
          <w:rFonts w:hint="eastAsia" w:ascii="宋体" w:hAnsi="宋体" w:eastAsia="宋体" w:cs="宋体"/>
          <w:color w:val="auto"/>
        </w:rPr>
        <w:t>7. 合同授予</w:t>
      </w:r>
      <w:bookmarkEnd w:id="299"/>
      <w:bookmarkEnd w:id="300"/>
      <w:bookmarkEnd w:id="301"/>
      <w:bookmarkEnd w:id="302"/>
      <w:bookmarkEnd w:id="303"/>
      <w:bookmarkEnd w:id="304"/>
      <w:bookmarkEnd w:id="305"/>
    </w:p>
    <w:p w14:paraId="04D2F275">
      <w:pPr>
        <w:pStyle w:val="4"/>
        <w:rPr>
          <w:rFonts w:hint="eastAsia" w:ascii="宋体" w:eastAsia="宋体" w:cs="宋体"/>
          <w:color w:val="auto"/>
        </w:rPr>
      </w:pPr>
      <w:bookmarkStart w:id="306" w:name="_Toc152045567"/>
      <w:bookmarkStart w:id="307" w:name="_Toc247513991"/>
      <w:bookmarkStart w:id="308" w:name="_Toc152042343"/>
      <w:bookmarkStart w:id="309" w:name="_Toc247527592"/>
      <w:bookmarkStart w:id="310" w:name="_Toc11234"/>
      <w:bookmarkStart w:id="311" w:name="_Toc144974535"/>
      <w:bookmarkStart w:id="312" w:name="_Toc4338"/>
      <w:r>
        <w:rPr>
          <w:rFonts w:hint="eastAsia" w:ascii="宋体" w:eastAsia="宋体" w:cs="宋体"/>
          <w:color w:val="auto"/>
        </w:rPr>
        <w:t>7.1 定标方式</w:t>
      </w:r>
      <w:bookmarkEnd w:id="306"/>
      <w:bookmarkEnd w:id="307"/>
      <w:bookmarkEnd w:id="308"/>
      <w:bookmarkEnd w:id="309"/>
      <w:bookmarkEnd w:id="310"/>
      <w:bookmarkEnd w:id="311"/>
      <w:bookmarkEnd w:id="312"/>
    </w:p>
    <w:p w14:paraId="43CBF7EA">
      <w:pPr>
        <w:spacing w:line="400" w:lineRule="exact"/>
        <w:ind w:firstLine="420" w:firstLineChars="200"/>
        <w:rPr>
          <w:rFonts w:hint="eastAsia" w:ascii="宋体" w:hAnsi="宋体" w:cs="宋体"/>
          <w:color w:val="auto"/>
        </w:rPr>
      </w:pPr>
      <w:r>
        <w:rPr>
          <w:rFonts w:hint="eastAsia" w:ascii="宋体" w:hAnsi="宋体" w:cs="宋体"/>
          <w:color w:val="auto"/>
        </w:rPr>
        <w:t>除投标人须知前附表规定评标委员会直接确定中标人外，招标人依据评标委员会推荐的中标候选人确定中标人，评标委员会推荐中标候选人的人数见投标人须知前附表。</w:t>
      </w:r>
    </w:p>
    <w:p w14:paraId="2B974505">
      <w:pPr>
        <w:pStyle w:val="4"/>
        <w:rPr>
          <w:rFonts w:hint="eastAsia" w:ascii="宋体" w:eastAsia="宋体" w:cs="宋体"/>
          <w:color w:val="auto"/>
        </w:rPr>
      </w:pPr>
      <w:bookmarkStart w:id="313" w:name="_Toc11852"/>
      <w:bookmarkStart w:id="314" w:name="_Toc14554"/>
      <w:r>
        <w:rPr>
          <w:rFonts w:hint="eastAsia" w:ascii="宋体" w:eastAsia="宋体" w:cs="宋体"/>
          <w:color w:val="auto"/>
        </w:rPr>
        <w:t>7.2 中标候选人公示</w:t>
      </w:r>
      <w:bookmarkEnd w:id="313"/>
      <w:bookmarkEnd w:id="314"/>
    </w:p>
    <w:p w14:paraId="6507399F">
      <w:pPr>
        <w:spacing w:line="400" w:lineRule="exact"/>
        <w:ind w:firstLine="420" w:firstLineChars="200"/>
        <w:rPr>
          <w:rFonts w:hint="eastAsia" w:ascii="宋体" w:hAnsi="宋体" w:cs="宋体"/>
          <w:color w:val="auto"/>
        </w:rPr>
      </w:pPr>
      <w:r>
        <w:rPr>
          <w:rFonts w:hint="eastAsia" w:ascii="宋体" w:hAnsi="宋体" w:cs="宋体"/>
          <w:color w:val="auto"/>
        </w:rPr>
        <w:t>招标人在投标人须知前附表规定的媒介公示中标候选人。</w:t>
      </w:r>
    </w:p>
    <w:p w14:paraId="00F3E7EB">
      <w:pPr>
        <w:pStyle w:val="4"/>
        <w:rPr>
          <w:rFonts w:hint="eastAsia" w:ascii="宋体" w:eastAsia="宋体" w:cs="宋体"/>
          <w:color w:val="auto"/>
        </w:rPr>
      </w:pPr>
      <w:bookmarkStart w:id="315" w:name="_Toc12010"/>
      <w:bookmarkStart w:id="316" w:name="_Toc247513992"/>
      <w:bookmarkStart w:id="317" w:name="_Toc144974536"/>
      <w:bookmarkStart w:id="318" w:name="_Toc152042344"/>
      <w:bookmarkStart w:id="319" w:name="_Toc6076"/>
      <w:bookmarkStart w:id="320" w:name="_Toc152045568"/>
      <w:bookmarkStart w:id="321" w:name="_Toc247527593"/>
      <w:r>
        <w:rPr>
          <w:rFonts w:hint="eastAsia" w:ascii="宋体" w:eastAsia="宋体" w:cs="宋体"/>
          <w:color w:val="auto"/>
        </w:rPr>
        <w:t>7.3 中标通知</w:t>
      </w:r>
      <w:bookmarkEnd w:id="315"/>
      <w:bookmarkEnd w:id="316"/>
      <w:bookmarkEnd w:id="317"/>
      <w:bookmarkEnd w:id="318"/>
      <w:bookmarkEnd w:id="319"/>
      <w:bookmarkEnd w:id="320"/>
      <w:bookmarkEnd w:id="321"/>
    </w:p>
    <w:p w14:paraId="4D6C134E">
      <w:pPr>
        <w:spacing w:line="400" w:lineRule="exact"/>
        <w:ind w:firstLine="420" w:firstLineChars="200"/>
        <w:rPr>
          <w:rFonts w:hint="eastAsia" w:ascii="宋体" w:hAnsi="宋体" w:cs="宋体"/>
          <w:color w:val="auto"/>
        </w:rPr>
      </w:pPr>
      <w:r>
        <w:rPr>
          <w:rFonts w:hint="eastAsia" w:ascii="宋体" w:hAnsi="宋体" w:cs="宋体"/>
          <w:color w:val="auto"/>
        </w:rPr>
        <w:t>在本章第3.3款规定的投标有效期内，招标人以书面形式向中标人发出中标通知书，同时将中标结果通知未中标的投标人。中标通知书按本章附表格式填写。</w:t>
      </w:r>
    </w:p>
    <w:p w14:paraId="7F6E4699">
      <w:pPr>
        <w:pStyle w:val="4"/>
        <w:rPr>
          <w:rFonts w:hint="eastAsia" w:ascii="宋体" w:eastAsia="宋体" w:cs="宋体"/>
          <w:color w:val="auto"/>
        </w:rPr>
      </w:pPr>
      <w:bookmarkStart w:id="322" w:name="_Toc152045569"/>
      <w:bookmarkStart w:id="323" w:name="_Toc144974537"/>
      <w:bookmarkStart w:id="324" w:name="_Toc247527594"/>
      <w:bookmarkStart w:id="325" w:name="_Toc247513993"/>
      <w:bookmarkStart w:id="326" w:name="_Toc25890"/>
      <w:bookmarkStart w:id="327" w:name="_Toc24641"/>
      <w:bookmarkStart w:id="328" w:name="_Toc152042345"/>
      <w:r>
        <w:rPr>
          <w:rFonts w:hint="eastAsia" w:ascii="宋体" w:eastAsia="宋体" w:cs="宋体"/>
          <w:color w:val="auto"/>
        </w:rPr>
        <w:t>7.4 履约担保</w:t>
      </w:r>
      <w:bookmarkEnd w:id="322"/>
      <w:bookmarkEnd w:id="323"/>
      <w:bookmarkEnd w:id="324"/>
      <w:bookmarkEnd w:id="325"/>
      <w:bookmarkEnd w:id="326"/>
      <w:bookmarkEnd w:id="327"/>
      <w:bookmarkEnd w:id="328"/>
    </w:p>
    <w:p w14:paraId="2DDC0327">
      <w:pPr>
        <w:spacing w:line="400" w:lineRule="exact"/>
        <w:ind w:firstLine="420" w:firstLineChars="200"/>
        <w:rPr>
          <w:rFonts w:hint="eastAsia" w:ascii="宋体" w:hAnsi="宋体" w:cs="宋体"/>
          <w:color w:val="auto"/>
        </w:rPr>
      </w:pPr>
      <w:r>
        <w:rPr>
          <w:rFonts w:hint="eastAsia" w:ascii="宋体" w:hAnsi="宋体" w:cs="宋体"/>
          <w:color w:val="auto"/>
        </w:rPr>
        <w:t>7.4.1 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联合体中标的，其履约担保由联合体各方或者联合体中主办人的名义提交。</w:t>
      </w:r>
    </w:p>
    <w:p w14:paraId="33F8CB28">
      <w:pPr>
        <w:spacing w:line="400" w:lineRule="exact"/>
        <w:ind w:firstLine="420" w:firstLineChars="200"/>
        <w:rPr>
          <w:rFonts w:hint="eastAsia" w:ascii="宋体" w:hAnsi="宋体" w:cs="宋体"/>
          <w:color w:val="auto"/>
        </w:rPr>
      </w:pPr>
      <w:r>
        <w:rPr>
          <w:rFonts w:hint="eastAsia" w:ascii="宋体" w:hAnsi="宋体" w:cs="宋体"/>
          <w:color w:val="auto"/>
        </w:rPr>
        <w:t>7.4.2 中标人不能按本章第7.4.1项要求提交履约担保的，视为放弃中标，其投标保证金不予退还，给招标人造成的损失超过投标保证金数额的，中标人还应当对超过部分予以赔偿。</w:t>
      </w:r>
    </w:p>
    <w:p w14:paraId="4038E903">
      <w:pPr>
        <w:pStyle w:val="4"/>
        <w:rPr>
          <w:rFonts w:hint="eastAsia" w:ascii="宋体" w:eastAsia="宋体" w:cs="宋体"/>
          <w:color w:val="auto"/>
        </w:rPr>
      </w:pPr>
      <w:bookmarkStart w:id="329" w:name="_Toc13630"/>
      <w:bookmarkStart w:id="330" w:name="_Toc152045570"/>
      <w:bookmarkStart w:id="331" w:name="_Toc4692"/>
      <w:bookmarkStart w:id="332" w:name="_Toc247527595"/>
      <w:bookmarkStart w:id="333" w:name="_Toc152042346"/>
      <w:bookmarkStart w:id="334" w:name="_Toc144974538"/>
      <w:bookmarkStart w:id="335" w:name="_Toc247513994"/>
      <w:r>
        <w:rPr>
          <w:rFonts w:hint="eastAsia" w:ascii="宋体" w:eastAsia="宋体" w:cs="宋体"/>
          <w:color w:val="auto"/>
        </w:rPr>
        <w:t>7.5 签订合同</w:t>
      </w:r>
      <w:bookmarkEnd w:id="329"/>
      <w:bookmarkEnd w:id="330"/>
      <w:bookmarkEnd w:id="331"/>
      <w:bookmarkEnd w:id="332"/>
      <w:bookmarkEnd w:id="333"/>
      <w:bookmarkEnd w:id="334"/>
      <w:bookmarkEnd w:id="335"/>
    </w:p>
    <w:p w14:paraId="3F0B28DD">
      <w:pPr>
        <w:spacing w:line="400" w:lineRule="exact"/>
        <w:ind w:firstLine="420" w:firstLineChars="200"/>
        <w:rPr>
          <w:rFonts w:hint="eastAsia" w:ascii="宋体" w:hAnsi="宋体" w:cs="宋体"/>
          <w:color w:val="auto"/>
        </w:rPr>
      </w:pPr>
      <w:r>
        <w:rPr>
          <w:rFonts w:hint="eastAsia" w:ascii="宋体" w:hAnsi="宋体" w:cs="宋体"/>
          <w:color w:val="auto"/>
        </w:rPr>
        <w:t xml:space="preserve">7.5.1 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14:paraId="22CE8DE6">
      <w:pPr>
        <w:spacing w:line="400" w:lineRule="exact"/>
        <w:ind w:firstLine="420" w:firstLineChars="200"/>
        <w:rPr>
          <w:rFonts w:hint="eastAsia" w:ascii="宋体" w:hAnsi="宋体" w:cs="宋体"/>
          <w:color w:val="auto"/>
        </w:rPr>
      </w:pPr>
      <w:r>
        <w:rPr>
          <w:rFonts w:hint="eastAsia" w:ascii="宋体" w:hAnsi="宋体" w:cs="宋体"/>
          <w:color w:val="auto"/>
        </w:rPr>
        <w:t xml:space="preserve">7.5.2 发出中标通知书后，招标人无正当理由拒签合同的，招标人向中标人退还投标保证金；给中标人造成损失的，还应当赔偿损失。 </w:t>
      </w:r>
    </w:p>
    <w:p w14:paraId="2F697DFE">
      <w:pPr>
        <w:pStyle w:val="3"/>
        <w:rPr>
          <w:rFonts w:hint="eastAsia" w:ascii="宋体" w:hAnsi="宋体" w:eastAsia="宋体" w:cs="宋体"/>
          <w:color w:val="auto"/>
        </w:rPr>
      </w:pPr>
      <w:bookmarkStart w:id="336" w:name="_Toc152042347"/>
      <w:bookmarkStart w:id="337" w:name="_Toc152045571"/>
      <w:bookmarkStart w:id="338" w:name="_Toc247513995"/>
      <w:bookmarkStart w:id="339" w:name="_Toc247527596"/>
      <w:bookmarkStart w:id="340" w:name="_Toc144974539"/>
      <w:bookmarkStart w:id="341" w:name="_Toc23477"/>
      <w:bookmarkStart w:id="342" w:name="_Toc26568"/>
      <w:r>
        <w:rPr>
          <w:rFonts w:hint="eastAsia" w:ascii="宋体" w:hAnsi="宋体" w:eastAsia="宋体" w:cs="宋体"/>
          <w:color w:val="auto"/>
        </w:rPr>
        <w:t>8.</w:t>
      </w:r>
      <w:bookmarkEnd w:id="336"/>
      <w:bookmarkEnd w:id="337"/>
      <w:bookmarkEnd w:id="338"/>
      <w:bookmarkEnd w:id="339"/>
      <w:bookmarkEnd w:id="340"/>
      <w:bookmarkStart w:id="343" w:name="_Toc247513998"/>
      <w:bookmarkStart w:id="344" w:name="_Toc144974542"/>
      <w:bookmarkStart w:id="345" w:name="_Toc152045574"/>
      <w:bookmarkStart w:id="346" w:name="_Toc247527599"/>
      <w:bookmarkStart w:id="347" w:name="_Toc152042350"/>
      <w:r>
        <w:rPr>
          <w:rFonts w:hint="eastAsia" w:ascii="宋体" w:hAnsi="宋体" w:eastAsia="宋体" w:cs="宋体"/>
          <w:color w:val="auto"/>
        </w:rPr>
        <w:t xml:space="preserve"> 纪律和监督</w:t>
      </w:r>
      <w:bookmarkEnd w:id="341"/>
      <w:bookmarkEnd w:id="342"/>
      <w:bookmarkEnd w:id="343"/>
      <w:bookmarkEnd w:id="344"/>
      <w:bookmarkEnd w:id="345"/>
      <w:bookmarkEnd w:id="346"/>
      <w:bookmarkEnd w:id="347"/>
    </w:p>
    <w:p w14:paraId="649732E6">
      <w:pPr>
        <w:pStyle w:val="4"/>
        <w:rPr>
          <w:rFonts w:hint="eastAsia" w:ascii="宋体" w:eastAsia="宋体" w:cs="宋体"/>
          <w:color w:val="auto"/>
        </w:rPr>
      </w:pPr>
      <w:bookmarkStart w:id="348" w:name="_Toc9436"/>
      <w:bookmarkStart w:id="349" w:name="_Toc10904"/>
      <w:bookmarkStart w:id="350" w:name="_Toc152042351"/>
      <w:bookmarkStart w:id="351" w:name="_Toc247527600"/>
      <w:bookmarkStart w:id="352" w:name="_Toc152045575"/>
      <w:bookmarkStart w:id="353" w:name="_Toc247513999"/>
      <w:bookmarkStart w:id="354" w:name="_Toc144974543"/>
      <w:r>
        <w:rPr>
          <w:rFonts w:hint="eastAsia" w:ascii="宋体" w:eastAsia="宋体" w:cs="宋体"/>
          <w:color w:val="auto"/>
        </w:rPr>
        <w:t>8.1 对招标人的纪律要求</w:t>
      </w:r>
      <w:bookmarkEnd w:id="348"/>
      <w:bookmarkEnd w:id="349"/>
      <w:bookmarkEnd w:id="350"/>
      <w:bookmarkEnd w:id="351"/>
      <w:bookmarkEnd w:id="352"/>
      <w:bookmarkEnd w:id="353"/>
      <w:bookmarkEnd w:id="354"/>
    </w:p>
    <w:p w14:paraId="5A7E76EF">
      <w:pPr>
        <w:spacing w:line="400" w:lineRule="exact"/>
        <w:ind w:firstLine="420" w:firstLineChars="200"/>
        <w:rPr>
          <w:rFonts w:hint="eastAsia" w:ascii="宋体" w:hAnsi="宋体" w:cs="宋体"/>
          <w:color w:val="auto"/>
        </w:rPr>
      </w:pPr>
      <w:r>
        <w:rPr>
          <w:rFonts w:hint="eastAsia" w:ascii="宋体" w:hAnsi="宋体" w:cs="宋体"/>
          <w:color w:val="auto"/>
        </w:rPr>
        <w:t>招标人不得泄漏招标投标活动中应当保密的情况和资料，不得与投标人串通损害国家利益、社会公共利益或者他人合法权益。</w:t>
      </w:r>
    </w:p>
    <w:p w14:paraId="37233350">
      <w:pPr>
        <w:pStyle w:val="4"/>
        <w:rPr>
          <w:rFonts w:hint="eastAsia" w:ascii="宋体" w:eastAsia="宋体" w:cs="宋体"/>
          <w:color w:val="auto"/>
        </w:rPr>
      </w:pPr>
      <w:bookmarkStart w:id="355" w:name="_Toc152045576"/>
      <w:bookmarkStart w:id="356" w:name="_Toc152042352"/>
      <w:bookmarkStart w:id="357" w:name="_Toc20721"/>
      <w:bookmarkStart w:id="358" w:name="_Toc247527601"/>
      <w:bookmarkStart w:id="359" w:name="_Toc247514000"/>
      <w:bookmarkStart w:id="360" w:name="_Toc144974544"/>
      <w:bookmarkStart w:id="361" w:name="_Toc17939"/>
      <w:r>
        <w:rPr>
          <w:rFonts w:hint="eastAsia" w:ascii="宋体" w:eastAsia="宋体" w:cs="宋体"/>
          <w:color w:val="auto"/>
        </w:rPr>
        <w:t>8.2 对投标人的纪律要求</w:t>
      </w:r>
      <w:bookmarkEnd w:id="355"/>
      <w:bookmarkEnd w:id="356"/>
      <w:bookmarkEnd w:id="357"/>
      <w:bookmarkEnd w:id="358"/>
      <w:bookmarkEnd w:id="359"/>
      <w:bookmarkEnd w:id="360"/>
      <w:bookmarkEnd w:id="361"/>
    </w:p>
    <w:p w14:paraId="17059EAA">
      <w:pPr>
        <w:spacing w:line="400" w:lineRule="exact"/>
        <w:ind w:firstLine="420" w:firstLineChars="200"/>
        <w:rPr>
          <w:rFonts w:hint="eastAsia" w:ascii="宋体" w:hAnsi="宋体" w:cs="宋体"/>
          <w:color w:val="auto"/>
        </w:rPr>
      </w:pPr>
      <w:r>
        <w:rPr>
          <w:rFonts w:hint="eastAsia" w:ascii="宋体" w:hAnsi="宋体" w:cs="宋体"/>
          <w:color w:val="auto"/>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DF54E8A">
      <w:pPr>
        <w:pStyle w:val="4"/>
        <w:rPr>
          <w:rFonts w:hint="eastAsia" w:ascii="宋体" w:eastAsia="宋体" w:cs="宋体"/>
          <w:color w:val="auto"/>
        </w:rPr>
      </w:pPr>
      <w:bookmarkStart w:id="362" w:name="_Toc16012"/>
      <w:bookmarkStart w:id="363" w:name="_Toc152045577"/>
      <w:bookmarkStart w:id="364" w:name="_Toc247514001"/>
      <w:bookmarkStart w:id="365" w:name="_Toc152042353"/>
      <w:bookmarkStart w:id="366" w:name="_Toc247527602"/>
      <w:bookmarkStart w:id="367" w:name="_Toc144974545"/>
      <w:bookmarkStart w:id="368" w:name="_Toc32659"/>
      <w:r>
        <w:rPr>
          <w:rFonts w:hint="eastAsia" w:ascii="宋体" w:eastAsia="宋体" w:cs="宋体"/>
          <w:color w:val="auto"/>
        </w:rPr>
        <w:t>8.3 对评标委员会成员的纪律要求</w:t>
      </w:r>
      <w:bookmarkEnd w:id="362"/>
      <w:bookmarkEnd w:id="363"/>
      <w:bookmarkEnd w:id="364"/>
      <w:bookmarkEnd w:id="365"/>
      <w:bookmarkEnd w:id="366"/>
      <w:bookmarkEnd w:id="367"/>
      <w:bookmarkEnd w:id="368"/>
    </w:p>
    <w:p w14:paraId="317CF6E6">
      <w:pPr>
        <w:spacing w:line="400" w:lineRule="exact"/>
        <w:ind w:firstLine="420" w:firstLineChars="200"/>
        <w:rPr>
          <w:rFonts w:hint="eastAsia" w:ascii="宋体" w:hAnsi="宋体" w:cs="宋体"/>
          <w:color w:val="auto"/>
        </w:rPr>
      </w:pPr>
      <w:r>
        <w:rPr>
          <w:rFonts w:hint="eastAsia" w:ascii="宋体" w:hAnsi="宋体" w:cs="宋体"/>
          <w:color w:val="auto"/>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572FE044">
      <w:pPr>
        <w:pStyle w:val="4"/>
        <w:rPr>
          <w:rFonts w:hint="eastAsia" w:ascii="宋体" w:eastAsia="宋体" w:cs="宋体"/>
          <w:color w:val="auto"/>
        </w:rPr>
      </w:pPr>
      <w:bookmarkStart w:id="369" w:name="_Toc247514002"/>
      <w:bookmarkStart w:id="370" w:name="_Toc18141"/>
      <w:bookmarkStart w:id="371" w:name="_Toc18477"/>
      <w:bookmarkStart w:id="372" w:name="_Toc247527603"/>
      <w:bookmarkStart w:id="373" w:name="_Toc152042354"/>
      <w:bookmarkStart w:id="374" w:name="_Toc152045578"/>
      <w:bookmarkStart w:id="375" w:name="_Toc144974546"/>
      <w:r>
        <w:rPr>
          <w:rFonts w:hint="eastAsia" w:ascii="宋体" w:eastAsia="宋体" w:cs="宋体"/>
          <w:color w:val="auto"/>
        </w:rPr>
        <w:t>8.4 对与评标活动有关的工作人员的纪律要求</w:t>
      </w:r>
      <w:bookmarkEnd w:id="369"/>
      <w:bookmarkEnd w:id="370"/>
      <w:bookmarkEnd w:id="371"/>
      <w:bookmarkEnd w:id="372"/>
      <w:bookmarkEnd w:id="373"/>
      <w:bookmarkEnd w:id="374"/>
    </w:p>
    <w:p w14:paraId="0634D881">
      <w:pPr>
        <w:spacing w:line="400" w:lineRule="exact"/>
        <w:ind w:firstLine="420" w:firstLineChars="200"/>
        <w:rPr>
          <w:rFonts w:hint="eastAsia" w:ascii="宋体" w:hAnsi="宋体" w:cs="宋体"/>
          <w:color w:val="auto"/>
        </w:rPr>
      </w:pPr>
      <w:bookmarkStart w:id="376" w:name="_Toc152042355"/>
      <w:r>
        <w:rPr>
          <w:rFonts w:hint="eastAsia" w:ascii="宋体" w:hAnsi="宋体" w:cs="宋体"/>
          <w:color w:val="auto"/>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76"/>
    </w:p>
    <w:p w14:paraId="39419493">
      <w:pPr>
        <w:pStyle w:val="4"/>
        <w:rPr>
          <w:rFonts w:hint="eastAsia" w:ascii="宋体" w:eastAsia="宋体" w:cs="宋体"/>
          <w:color w:val="auto"/>
        </w:rPr>
      </w:pPr>
      <w:bookmarkStart w:id="377" w:name="_Toc152045579"/>
      <w:bookmarkStart w:id="378" w:name="_Toc247514003"/>
      <w:bookmarkStart w:id="379" w:name="_Toc152042356"/>
      <w:bookmarkStart w:id="380" w:name="_Toc247527604"/>
      <w:bookmarkStart w:id="381" w:name="_Toc1085"/>
      <w:bookmarkStart w:id="382" w:name="_Toc1651"/>
      <w:r>
        <w:rPr>
          <w:rFonts w:hint="eastAsia" w:ascii="宋体" w:eastAsia="宋体" w:cs="宋体"/>
          <w:color w:val="auto"/>
        </w:rPr>
        <w:t>8.5 投诉</w:t>
      </w:r>
      <w:bookmarkEnd w:id="375"/>
      <w:bookmarkEnd w:id="377"/>
      <w:bookmarkEnd w:id="378"/>
      <w:bookmarkEnd w:id="379"/>
      <w:bookmarkEnd w:id="380"/>
      <w:bookmarkEnd w:id="381"/>
      <w:bookmarkEnd w:id="382"/>
    </w:p>
    <w:p w14:paraId="32B030E6">
      <w:pPr>
        <w:spacing w:line="400" w:lineRule="exact"/>
        <w:ind w:firstLine="420" w:firstLineChars="200"/>
        <w:rPr>
          <w:rFonts w:hint="eastAsia" w:ascii="宋体" w:hAnsi="宋体" w:cs="宋体"/>
          <w:color w:val="auto"/>
        </w:rPr>
      </w:pPr>
      <w:r>
        <w:rPr>
          <w:rFonts w:hint="eastAsia" w:ascii="宋体" w:hAnsi="宋体" w:cs="宋体"/>
          <w:color w:val="auto"/>
        </w:rPr>
        <w:t>投标人和其他利害关系人认为本次招标活动违反法律、法规和规章规定的，有权向有关行政监督部门投诉。</w:t>
      </w:r>
    </w:p>
    <w:p w14:paraId="7A435716">
      <w:pPr>
        <w:pStyle w:val="3"/>
        <w:rPr>
          <w:rFonts w:hint="eastAsia" w:ascii="宋体" w:hAnsi="宋体" w:eastAsia="宋体" w:cs="宋体"/>
          <w:color w:val="auto"/>
        </w:rPr>
      </w:pPr>
      <w:bookmarkStart w:id="383" w:name="_Toc247514004"/>
      <w:bookmarkStart w:id="384" w:name="_Toc152045580"/>
      <w:bookmarkStart w:id="385" w:name="_Toc28389"/>
      <w:bookmarkStart w:id="386" w:name="_Toc6725"/>
      <w:bookmarkStart w:id="387" w:name="_Toc247527605"/>
      <w:bookmarkStart w:id="388" w:name="_Toc152042357"/>
      <w:bookmarkStart w:id="389" w:name="_Toc144974547"/>
      <w:r>
        <w:rPr>
          <w:rFonts w:hint="eastAsia" w:ascii="宋体" w:hAnsi="宋体" w:eastAsia="宋体" w:cs="宋体"/>
          <w:color w:val="auto"/>
        </w:rPr>
        <w:t>9. 需要补充的其他内容</w:t>
      </w:r>
      <w:bookmarkEnd w:id="383"/>
      <w:bookmarkEnd w:id="384"/>
      <w:bookmarkEnd w:id="385"/>
      <w:bookmarkEnd w:id="386"/>
      <w:bookmarkEnd w:id="387"/>
      <w:bookmarkEnd w:id="388"/>
      <w:bookmarkEnd w:id="389"/>
    </w:p>
    <w:p w14:paraId="3F7B0DA5">
      <w:pPr>
        <w:spacing w:line="400" w:lineRule="exact"/>
        <w:ind w:firstLine="420" w:firstLineChars="200"/>
        <w:rPr>
          <w:rFonts w:hint="eastAsia" w:ascii="宋体" w:hAnsi="宋体" w:cs="宋体"/>
          <w:color w:val="auto"/>
        </w:rPr>
      </w:pPr>
      <w:r>
        <w:rPr>
          <w:rFonts w:hint="eastAsia" w:ascii="宋体" w:hAnsi="宋体" w:cs="宋体"/>
          <w:color w:val="auto"/>
        </w:rPr>
        <w:t>需要补充的其他内容：见投标人须知前附表。</w:t>
      </w:r>
    </w:p>
    <w:p w14:paraId="5A2B7C95">
      <w:pPr>
        <w:pStyle w:val="3"/>
        <w:rPr>
          <w:rFonts w:hint="eastAsia" w:ascii="宋体" w:hAnsi="宋体" w:eastAsia="宋体" w:cs="宋体"/>
          <w:color w:val="auto"/>
        </w:rPr>
      </w:pPr>
      <w:bookmarkStart w:id="390" w:name="_Toc4738"/>
      <w:bookmarkStart w:id="391" w:name="_Toc28950"/>
      <w:r>
        <w:rPr>
          <w:rFonts w:hint="eastAsia" w:ascii="宋体" w:hAnsi="宋体" w:eastAsia="宋体" w:cs="宋体"/>
          <w:color w:val="auto"/>
        </w:rPr>
        <w:t>10. 电子招标投标</w:t>
      </w:r>
      <w:bookmarkEnd w:id="390"/>
      <w:bookmarkEnd w:id="391"/>
    </w:p>
    <w:p w14:paraId="2A0C8F98">
      <w:pPr>
        <w:spacing w:line="400" w:lineRule="exact"/>
        <w:ind w:firstLine="420" w:firstLineChars="200"/>
        <w:rPr>
          <w:rFonts w:hint="eastAsia" w:ascii="宋体" w:hAnsi="宋体" w:cs="宋体"/>
          <w:color w:val="auto"/>
        </w:rPr>
      </w:pPr>
      <w:r>
        <w:rPr>
          <w:rFonts w:hint="eastAsia" w:ascii="宋体" w:hAnsi="宋体" w:cs="宋体"/>
          <w:color w:val="auto"/>
        </w:rPr>
        <w:t>采用电子招标投标，对投标文件的编制、密封和标记、递交、开标、评标等具体要求，见投标人须知前附表。</w:t>
      </w:r>
    </w:p>
    <w:p w14:paraId="1B7BFEC0">
      <w:pPr>
        <w:spacing w:line="400" w:lineRule="exact"/>
        <w:ind w:firstLine="420" w:firstLineChars="200"/>
        <w:outlineLvl w:val="2"/>
        <w:rPr>
          <w:rFonts w:hint="eastAsia" w:ascii="宋体" w:hAnsi="宋体" w:cs="宋体"/>
          <w:color w:val="auto"/>
        </w:rPr>
      </w:pPr>
      <w:r>
        <w:rPr>
          <w:rFonts w:hint="eastAsia" w:ascii="宋体" w:hAnsi="宋体" w:cs="宋体"/>
          <w:color w:val="auto"/>
        </w:rPr>
        <w:br w:type="page"/>
      </w:r>
      <w:bookmarkStart w:id="392" w:name="_Toc152042358"/>
      <w:bookmarkStart w:id="393" w:name="_Toc247514005"/>
      <w:bookmarkStart w:id="394" w:name="_Toc144974548"/>
      <w:bookmarkStart w:id="395" w:name="_Toc2041"/>
      <w:bookmarkStart w:id="396" w:name="_Toc247527606"/>
      <w:bookmarkStart w:id="397" w:name="_Toc152045581"/>
      <w:bookmarkStart w:id="398" w:name="_Toc19551"/>
      <w:r>
        <w:rPr>
          <w:rFonts w:hint="eastAsia" w:ascii="宋体" w:hAnsi="宋体" w:cs="宋体"/>
          <w:bCs/>
          <w:color w:val="auto"/>
          <w:sz w:val="28"/>
          <w:szCs w:val="28"/>
        </w:rPr>
        <w:t>附件一：开标记录表</w:t>
      </w:r>
      <w:bookmarkEnd w:id="392"/>
      <w:bookmarkEnd w:id="393"/>
      <w:bookmarkEnd w:id="394"/>
      <w:bookmarkEnd w:id="395"/>
      <w:bookmarkEnd w:id="396"/>
      <w:bookmarkEnd w:id="397"/>
      <w:bookmarkEnd w:id="398"/>
    </w:p>
    <w:p w14:paraId="58AE3AD9">
      <w:pPr>
        <w:spacing w:line="400" w:lineRule="exact"/>
        <w:rPr>
          <w:rFonts w:hint="eastAsia" w:ascii="宋体" w:hAnsi="宋体" w:cs="宋体"/>
          <w:color w:val="auto"/>
        </w:rPr>
      </w:pPr>
      <w:r>
        <w:rPr>
          <w:rFonts w:hint="eastAsia" w:ascii="宋体" w:hAnsi="宋体" w:cs="宋体"/>
          <w:color w:val="auto"/>
        </w:rPr>
        <w:t xml:space="preserve">              </w:t>
      </w:r>
    </w:p>
    <w:p w14:paraId="4AE7AA77">
      <w:pPr>
        <w:spacing w:line="400" w:lineRule="exact"/>
        <w:jc w:val="center"/>
        <w:rPr>
          <w:rFonts w:hint="eastAsia" w:ascii="宋体" w:hAnsi="宋体" w:cs="宋体"/>
          <w:color w:val="auto"/>
          <w:sz w:val="28"/>
          <w:szCs w:val="28"/>
        </w:rPr>
      </w:pPr>
      <w:r>
        <w:rPr>
          <w:rFonts w:hint="eastAsia" w:ascii="宋体" w:hAnsi="宋体" w:cs="宋体"/>
          <w:color w:val="auto"/>
          <w:sz w:val="28"/>
          <w:szCs w:val="28"/>
          <w:u w:val="single"/>
        </w:rPr>
        <w:t xml:space="preserve">        </w:t>
      </w:r>
      <w:r>
        <w:rPr>
          <w:rFonts w:hint="eastAsia" w:ascii="宋体" w:hAnsi="宋体" w:cs="宋体"/>
          <w:color w:val="auto"/>
          <w:sz w:val="28"/>
          <w:szCs w:val="28"/>
        </w:rPr>
        <w:t>（项目名称）招标开标记录表</w:t>
      </w:r>
    </w:p>
    <w:p w14:paraId="76B7EE9F">
      <w:pPr>
        <w:spacing w:line="400" w:lineRule="exact"/>
        <w:rPr>
          <w:rFonts w:hint="eastAsia" w:ascii="宋体" w:hAnsi="宋体" w:cs="宋体"/>
          <w:color w:val="auto"/>
        </w:rPr>
      </w:pPr>
    </w:p>
    <w:p w14:paraId="4A2B5B32">
      <w:pPr>
        <w:spacing w:line="360" w:lineRule="auto"/>
        <w:ind w:right="420"/>
        <w:jc w:val="right"/>
        <w:rPr>
          <w:rFonts w:hint="eastAsia" w:ascii="宋体" w:hAnsi="宋体" w:cs="宋体"/>
          <w:color w:val="auto"/>
        </w:rPr>
      </w:pPr>
      <w:r>
        <w:rPr>
          <w:rFonts w:hint="eastAsia" w:ascii="宋体" w:hAnsi="宋体" w:cs="宋体"/>
          <w:color w:val="auto"/>
        </w:rPr>
        <w:t>开标时间：</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r>
        <w:rPr>
          <w:rFonts w:hint="eastAsia" w:ascii="宋体" w:hAnsi="宋体" w:cs="宋体"/>
          <w:color w:val="auto"/>
          <w:u w:val="single"/>
        </w:rPr>
        <w:t xml:space="preserve">      </w:t>
      </w:r>
      <w:r>
        <w:rPr>
          <w:rFonts w:hint="eastAsia" w:ascii="宋体" w:hAnsi="宋体" w:cs="宋体"/>
          <w:color w:val="auto"/>
        </w:rPr>
        <w:t>时</w:t>
      </w:r>
      <w:r>
        <w:rPr>
          <w:rFonts w:hint="eastAsia" w:ascii="宋体" w:hAnsi="宋体" w:cs="宋体"/>
          <w:color w:val="auto"/>
          <w:u w:val="single"/>
        </w:rPr>
        <w:t xml:space="preserve">      </w:t>
      </w:r>
      <w:r>
        <w:rPr>
          <w:rFonts w:hint="eastAsia" w:ascii="宋体" w:hAnsi="宋体" w:cs="宋体"/>
          <w:color w:val="auto"/>
        </w:rPr>
        <w:t>分</w:t>
      </w:r>
    </w:p>
    <w:tbl>
      <w:tblPr>
        <w:tblStyle w:val="37"/>
        <w:tblW w:w="10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840"/>
        <w:gridCol w:w="795"/>
        <w:gridCol w:w="720"/>
        <w:gridCol w:w="675"/>
        <w:gridCol w:w="769"/>
        <w:gridCol w:w="690"/>
        <w:gridCol w:w="585"/>
        <w:gridCol w:w="615"/>
        <w:gridCol w:w="661"/>
        <w:gridCol w:w="756"/>
        <w:gridCol w:w="709"/>
        <w:gridCol w:w="567"/>
        <w:gridCol w:w="425"/>
        <w:gridCol w:w="270"/>
        <w:gridCol w:w="433"/>
      </w:tblGrid>
      <w:tr w14:paraId="1AD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01" w:type="dxa"/>
            <w:vAlign w:val="center"/>
          </w:tcPr>
          <w:p w14:paraId="36BB390C">
            <w:pPr>
              <w:spacing w:line="360" w:lineRule="auto"/>
              <w:jc w:val="center"/>
              <w:rPr>
                <w:rFonts w:hint="eastAsia" w:ascii="宋体" w:hAnsi="宋体" w:cs="宋体"/>
                <w:color w:val="auto"/>
                <w:sz w:val="18"/>
                <w:szCs w:val="18"/>
              </w:rPr>
            </w:pPr>
            <w:r>
              <w:rPr>
                <w:rFonts w:hint="eastAsia" w:ascii="宋体" w:hAnsi="宋体" w:cs="宋体"/>
                <w:color w:val="auto"/>
                <w:sz w:val="18"/>
                <w:szCs w:val="18"/>
              </w:rPr>
              <w:t>序号</w:t>
            </w:r>
          </w:p>
        </w:tc>
        <w:tc>
          <w:tcPr>
            <w:tcW w:w="840" w:type="dxa"/>
            <w:vAlign w:val="center"/>
          </w:tcPr>
          <w:p w14:paraId="25D735B3">
            <w:pPr>
              <w:spacing w:line="360" w:lineRule="auto"/>
              <w:jc w:val="center"/>
              <w:rPr>
                <w:rFonts w:hint="eastAsia" w:ascii="宋体" w:hAnsi="宋体" w:cs="宋体"/>
                <w:color w:val="auto"/>
                <w:sz w:val="18"/>
                <w:szCs w:val="18"/>
              </w:rPr>
            </w:pPr>
            <w:r>
              <w:rPr>
                <w:rFonts w:hint="eastAsia" w:ascii="宋体" w:hAnsi="宋体" w:cs="宋体"/>
                <w:color w:val="auto"/>
                <w:sz w:val="18"/>
                <w:szCs w:val="18"/>
              </w:rPr>
              <w:t>投标人名称</w:t>
            </w:r>
          </w:p>
        </w:tc>
        <w:tc>
          <w:tcPr>
            <w:tcW w:w="795" w:type="dxa"/>
            <w:vAlign w:val="center"/>
          </w:tcPr>
          <w:p w14:paraId="05BCEAFE">
            <w:pPr>
              <w:spacing w:line="360" w:lineRule="auto"/>
              <w:jc w:val="center"/>
              <w:rPr>
                <w:rFonts w:hint="eastAsia" w:ascii="宋体" w:hAnsi="宋体" w:cs="宋体"/>
                <w:color w:val="auto"/>
                <w:sz w:val="18"/>
                <w:szCs w:val="18"/>
              </w:rPr>
            </w:pPr>
            <w:r>
              <w:rPr>
                <w:rFonts w:hint="eastAsia" w:ascii="宋体" w:hAnsi="宋体" w:cs="宋体"/>
                <w:color w:val="auto"/>
                <w:sz w:val="18"/>
                <w:szCs w:val="18"/>
              </w:rPr>
              <w:t>投标文件递交情况</w:t>
            </w:r>
          </w:p>
        </w:tc>
        <w:tc>
          <w:tcPr>
            <w:tcW w:w="720" w:type="dxa"/>
            <w:vAlign w:val="center"/>
          </w:tcPr>
          <w:p w14:paraId="735D2922">
            <w:pPr>
              <w:spacing w:line="360" w:lineRule="auto"/>
              <w:jc w:val="center"/>
              <w:rPr>
                <w:rFonts w:hint="eastAsia" w:ascii="宋体" w:hAnsi="宋体" w:cs="宋体"/>
                <w:color w:val="auto"/>
                <w:sz w:val="18"/>
                <w:szCs w:val="18"/>
              </w:rPr>
            </w:pPr>
            <w:r>
              <w:rPr>
                <w:rFonts w:hint="eastAsia" w:ascii="宋体" w:hAnsi="宋体" w:cs="宋体"/>
                <w:color w:val="auto"/>
                <w:sz w:val="18"/>
                <w:szCs w:val="18"/>
              </w:rPr>
              <w:t>投标文件解密情况</w:t>
            </w:r>
          </w:p>
        </w:tc>
        <w:tc>
          <w:tcPr>
            <w:tcW w:w="675" w:type="dxa"/>
            <w:vAlign w:val="center"/>
          </w:tcPr>
          <w:p w14:paraId="526C76BD">
            <w:pPr>
              <w:spacing w:line="360" w:lineRule="auto"/>
              <w:jc w:val="center"/>
              <w:rPr>
                <w:rFonts w:hint="eastAsia" w:ascii="宋体" w:hAnsi="宋体" w:cs="宋体"/>
                <w:strike/>
                <w:color w:val="auto"/>
                <w:sz w:val="18"/>
                <w:szCs w:val="18"/>
              </w:rPr>
            </w:pPr>
            <w:r>
              <w:rPr>
                <w:rFonts w:hint="eastAsia" w:ascii="宋体" w:hAnsi="宋体" w:cs="宋体"/>
                <w:color w:val="auto"/>
                <w:sz w:val="18"/>
                <w:szCs w:val="18"/>
              </w:rPr>
              <w:t>投标担保递交情况</w:t>
            </w:r>
          </w:p>
        </w:tc>
        <w:tc>
          <w:tcPr>
            <w:tcW w:w="769" w:type="dxa"/>
            <w:vAlign w:val="center"/>
          </w:tcPr>
          <w:p w14:paraId="12F8CDFB">
            <w:pPr>
              <w:spacing w:line="360" w:lineRule="auto"/>
              <w:jc w:val="center"/>
              <w:rPr>
                <w:rFonts w:hint="eastAsia" w:ascii="宋体" w:hAnsi="宋体" w:cs="宋体"/>
                <w:color w:val="auto"/>
                <w:sz w:val="18"/>
                <w:szCs w:val="18"/>
              </w:rPr>
            </w:pPr>
            <w:r>
              <w:rPr>
                <w:rFonts w:hint="eastAsia" w:ascii="宋体" w:hAnsi="宋体" w:cs="宋体"/>
                <w:color w:val="auto"/>
                <w:sz w:val="18"/>
                <w:szCs w:val="18"/>
                <w:u w:val="single"/>
              </w:rPr>
              <w:t>项目负责人（兼施工负责人）</w:t>
            </w:r>
          </w:p>
        </w:tc>
        <w:tc>
          <w:tcPr>
            <w:tcW w:w="690" w:type="dxa"/>
            <w:vAlign w:val="center"/>
          </w:tcPr>
          <w:p w14:paraId="2A5D92D2">
            <w:pPr>
              <w:spacing w:line="360" w:lineRule="auto"/>
              <w:jc w:val="center"/>
              <w:rPr>
                <w:rFonts w:hint="eastAsia" w:ascii="宋体" w:hAnsi="宋体" w:cs="宋体"/>
                <w:color w:val="auto"/>
                <w:sz w:val="18"/>
                <w:szCs w:val="18"/>
              </w:rPr>
            </w:pPr>
            <w:r>
              <w:rPr>
                <w:rFonts w:hint="eastAsia" w:ascii="宋体" w:hAnsi="宋体" w:cs="宋体"/>
                <w:color w:val="auto"/>
                <w:sz w:val="18"/>
                <w:szCs w:val="18"/>
              </w:rPr>
              <w:t>设计负责人</w:t>
            </w:r>
          </w:p>
        </w:tc>
        <w:tc>
          <w:tcPr>
            <w:tcW w:w="585" w:type="dxa"/>
            <w:vAlign w:val="center"/>
          </w:tcPr>
          <w:p w14:paraId="5AD13155">
            <w:pPr>
              <w:spacing w:line="360" w:lineRule="auto"/>
              <w:jc w:val="center"/>
              <w:rPr>
                <w:rFonts w:hint="eastAsia" w:ascii="宋体" w:hAnsi="宋体" w:cs="宋体"/>
                <w:color w:val="auto"/>
                <w:sz w:val="18"/>
                <w:szCs w:val="18"/>
              </w:rPr>
            </w:pPr>
            <w:r>
              <w:rPr>
                <w:rFonts w:hint="eastAsia" w:ascii="新宋体" w:hAnsi="新宋体" w:eastAsia="新宋体" w:cs="新宋体"/>
                <w:strike/>
                <w:color w:val="auto"/>
                <w:sz w:val="18"/>
                <w:szCs w:val="18"/>
              </w:rPr>
              <w:t>施工负责人</w:t>
            </w:r>
          </w:p>
        </w:tc>
        <w:tc>
          <w:tcPr>
            <w:tcW w:w="615" w:type="dxa"/>
            <w:vAlign w:val="center"/>
          </w:tcPr>
          <w:p w14:paraId="3489C66A">
            <w:pPr>
              <w:spacing w:line="360" w:lineRule="auto"/>
              <w:jc w:val="center"/>
              <w:rPr>
                <w:rFonts w:hint="eastAsia" w:ascii="宋体" w:hAnsi="宋体" w:cs="宋体"/>
                <w:color w:val="auto"/>
                <w:sz w:val="18"/>
                <w:szCs w:val="18"/>
              </w:rPr>
            </w:pPr>
            <w:r>
              <w:rPr>
                <w:rFonts w:hint="eastAsia" w:ascii="宋体" w:hAnsi="宋体" w:cs="宋体"/>
                <w:color w:val="auto"/>
                <w:sz w:val="18"/>
                <w:szCs w:val="18"/>
              </w:rPr>
              <w:t>专职安全员</w:t>
            </w:r>
          </w:p>
        </w:tc>
        <w:tc>
          <w:tcPr>
            <w:tcW w:w="661" w:type="dxa"/>
            <w:vAlign w:val="center"/>
          </w:tcPr>
          <w:p w14:paraId="0E33FB58">
            <w:pPr>
              <w:spacing w:line="360" w:lineRule="auto"/>
              <w:jc w:val="center"/>
              <w:rPr>
                <w:rFonts w:hint="eastAsia" w:ascii="宋体" w:hAnsi="宋体" w:cs="宋体"/>
                <w:color w:val="auto"/>
                <w:sz w:val="18"/>
                <w:szCs w:val="18"/>
              </w:rPr>
            </w:pPr>
            <w:r>
              <w:rPr>
                <w:rFonts w:hint="eastAsia" w:ascii="宋体" w:hAnsi="宋体" w:cs="宋体"/>
                <w:color w:val="auto"/>
                <w:sz w:val="18"/>
                <w:szCs w:val="18"/>
              </w:rPr>
              <w:t>投标总报价</w:t>
            </w:r>
          </w:p>
          <w:p w14:paraId="59B26A6D">
            <w:pPr>
              <w:spacing w:line="360" w:lineRule="auto"/>
              <w:jc w:val="center"/>
              <w:rPr>
                <w:rFonts w:hint="eastAsia" w:ascii="宋体" w:hAnsi="宋体" w:cs="宋体"/>
                <w:color w:val="auto"/>
                <w:sz w:val="18"/>
                <w:szCs w:val="18"/>
              </w:rPr>
            </w:pPr>
            <w:r>
              <w:rPr>
                <w:rFonts w:hint="eastAsia" w:ascii="宋体" w:hAnsi="宋体" w:cs="宋体"/>
                <w:color w:val="auto"/>
                <w:sz w:val="18"/>
                <w:szCs w:val="18"/>
              </w:rPr>
              <w:t>（元）</w:t>
            </w:r>
          </w:p>
        </w:tc>
        <w:tc>
          <w:tcPr>
            <w:tcW w:w="756" w:type="dxa"/>
            <w:vAlign w:val="center"/>
          </w:tcPr>
          <w:p w14:paraId="04B2834B">
            <w:pPr>
              <w:spacing w:line="360" w:lineRule="auto"/>
              <w:jc w:val="center"/>
              <w:rPr>
                <w:rFonts w:hint="eastAsia" w:ascii="宋体" w:hAnsi="宋体" w:cs="宋体"/>
                <w:color w:val="auto"/>
                <w:sz w:val="18"/>
                <w:szCs w:val="18"/>
              </w:rPr>
            </w:pPr>
            <w:r>
              <w:rPr>
                <w:rFonts w:hint="eastAsia" w:ascii="宋体" w:hAnsi="宋体" w:cs="宋体"/>
                <w:color w:val="auto"/>
                <w:sz w:val="18"/>
                <w:szCs w:val="18"/>
              </w:rPr>
              <w:t>建安工程费报价</w:t>
            </w:r>
          </w:p>
          <w:p w14:paraId="6C1498FB">
            <w:pPr>
              <w:spacing w:line="360" w:lineRule="auto"/>
              <w:jc w:val="center"/>
              <w:rPr>
                <w:rFonts w:hint="eastAsia" w:ascii="宋体" w:hAnsi="宋体" w:cs="宋体"/>
                <w:color w:val="auto"/>
                <w:sz w:val="18"/>
                <w:szCs w:val="18"/>
              </w:rPr>
            </w:pPr>
            <w:r>
              <w:rPr>
                <w:rFonts w:hint="eastAsia" w:ascii="宋体" w:hAnsi="宋体" w:cs="宋体"/>
                <w:color w:val="auto"/>
                <w:sz w:val="18"/>
                <w:szCs w:val="18"/>
              </w:rPr>
              <w:t>（元）</w:t>
            </w:r>
          </w:p>
        </w:tc>
        <w:tc>
          <w:tcPr>
            <w:tcW w:w="709" w:type="dxa"/>
            <w:vAlign w:val="center"/>
          </w:tcPr>
          <w:p w14:paraId="25034588">
            <w:pPr>
              <w:spacing w:line="360" w:lineRule="auto"/>
              <w:jc w:val="center"/>
              <w:rPr>
                <w:rFonts w:hint="eastAsia" w:ascii="宋体" w:hAnsi="宋体" w:cs="宋体"/>
                <w:color w:val="auto"/>
                <w:sz w:val="18"/>
                <w:szCs w:val="18"/>
              </w:rPr>
            </w:pPr>
            <w:r>
              <w:rPr>
                <w:rFonts w:hint="eastAsia" w:ascii="宋体" w:hAnsi="宋体" w:cs="宋体"/>
                <w:color w:val="auto"/>
                <w:sz w:val="18"/>
                <w:szCs w:val="18"/>
              </w:rPr>
              <w:t>设计费报价（元）</w:t>
            </w:r>
          </w:p>
        </w:tc>
        <w:tc>
          <w:tcPr>
            <w:tcW w:w="567" w:type="dxa"/>
            <w:vAlign w:val="center"/>
          </w:tcPr>
          <w:p w14:paraId="2EC5694E">
            <w:pPr>
              <w:spacing w:line="360" w:lineRule="auto"/>
              <w:jc w:val="center"/>
              <w:rPr>
                <w:rFonts w:hint="eastAsia" w:ascii="宋体" w:hAnsi="宋体" w:cs="宋体"/>
                <w:color w:val="auto"/>
                <w:sz w:val="18"/>
                <w:szCs w:val="18"/>
              </w:rPr>
            </w:pPr>
            <w:r>
              <w:rPr>
                <w:rFonts w:hint="eastAsia" w:ascii="宋体" w:hAnsi="宋体" w:cs="宋体"/>
                <w:color w:val="auto"/>
                <w:sz w:val="18"/>
                <w:szCs w:val="18"/>
              </w:rPr>
              <w:t>工期</w:t>
            </w:r>
          </w:p>
        </w:tc>
        <w:tc>
          <w:tcPr>
            <w:tcW w:w="425" w:type="dxa"/>
            <w:vAlign w:val="center"/>
          </w:tcPr>
          <w:p w14:paraId="2DCE0CE3">
            <w:pPr>
              <w:spacing w:line="360" w:lineRule="auto"/>
              <w:jc w:val="center"/>
              <w:rPr>
                <w:rFonts w:hint="eastAsia" w:ascii="宋体" w:hAnsi="宋体" w:cs="宋体"/>
                <w:color w:val="auto"/>
                <w:sz w:val="18"/>
                <w:szCs w:val="18"/>
                <w:u w:val="single"/>
              </w:rPr>
            </w:pPr>
            <w:r>
              <w:rPr>
                <w:rFonts w:hint="eastAsia" w:ascii="宋体" w:hAnsi="宋体" w:cs="宋体"/>
                <w:color w:val="auto"/>
                <w:sz w:val="18"/>
                <w:szCs w:val="18"/>
                <w:u w:val="single"/>
              </w:rPr>
              <w:t>质量标准</w:t>
            </w:r>
          </w:p>
        </w:tc>
        <w:tc>
          <w:tcPr>
            <w:tcW w:w="703" w:type="dxa"/>
            <w:gridSpan w:val="2"/>
            <w:vAlign w:val="center"/>
          </w:tcPr>
          <w:p w14:paraId="62A55BEA">
            <w:pPr>
              <w:spacing w:line="360" w:lineRule="auto"/>
              <w:jc w:val="center"/>
              <w:rPr>
                <w:rFonts w:hint="eastAsia" w:ascii="宋体" w:hAnsi="宋体" w:cs="宋体"/>
                <w:color w:val="auto"/>
                <w:sz w:val="18"/>
                <w:szCs w:val="18"/>
              </w:rPr>
            </w:pPr>
            <w:r>
              <w:rPr>
                <w:rFonts w:hint="eastAsia" w:ascii="宋体" w:hAnsi="宋体" w:cs="宋体"/>
                <w:color w:val="auto"/>
                <w:sz w:val="18"/>
                <w:szCs w:val="18"/>
              </w:rPr>
              <w:t>电脑机器特征码</w:t>
            </w:r>
          </w:p>
        </w:tc>
      </w:tr>
      <w:tr w14:paraId="33C4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tcPr>
          <w:p w14:paraId="67116662">
            <w:pPr>
              <w:spacing w:line="360" w:lineRule="auto"/>
              <w:rPr>
                <w:rFonts w:hint="eastAsia" w:ascii="宋体" w:hAnsi="宋体" w:cs="宋体"/>
                <w:color w:val="auto"/>
                <w:szCs w:val="21"/>
              </w:rPr>
            </w:pPr>
          </w:p>
        </w:tc>
        <w:tc>
          <w:tcPr>
            <w:tcW w:w="840" w:type="dxa"/>
          </w:tcPr>
          <w:p w14:paraId="727F0E1C">
            <w:pPr>
              <w:spacing w:line="360" w:lineRule="auto"/>
              <w:rPr>
                <w:rFonts w:hint="eastAsia" w:ascii="宋体" w:hAnsi="宋体" w:cs="宋体"/>
                <w:color w:val="auto"/>
                <w:szCs w:val="21"/>
              </w:rPr>
            </w:pPr>
          </w:p>
        </w:tc>
        <w:tc>
          <w:tcPr>
            <w:tcW w:w="795" w:type="dxa"/>
          </w:tcPr>
          <w:p w14:paraId="2422337B">
            <w:pPr>
              <w:spacing w:line="360" w:lineRule="auto"/>
              <w:rPr>
                <w:rFonts w:hint="eastAsia" w:ascii="宋体" w:hAnsi="宋体" w:cs="宋体"/>
                <w:color w:val="auto"/>
                <w:szCs w:val="21"/>
              </w:rPr>
            </w:pPr>
          </w:p>
        </w:tc>
        <w:tc>
          <w:tcPr>
            <w:tcW w:w="720" w:type="dxa"/>
          </w:tcPr>
          <w:p w14:paraId="6B53DE1D">
            <w:pPr>
              <w:spacing w:line="360" w:lineRule="auto"/>
              <w:rPr>
                <w:rFonts w:hint="eastAsia" w:ascii="宋体" w:hAnsi="宋体" w:cs="宋体"/>
                <w:color w:val="auto"/>
                <w:szCs w:val="21"/>
              </w:rPr>
            </w:pPr>
          </w:p>
        </w:tc>
        <w:tc>
          <w:tcPr>
            <w:tcW w:w="675" w:type="dxa"/>
          </w:tcPr>
          <w:p w14:paraId="04EF101D">
            <w:pPr>
              <w:spacing w:line="360" w:lineRule="auto"/>
              <w:rPr>
                <w:rFonts w:hint="eastAsia" w:ascii="宋体" w:hAnsi="宋体" w:cs="宋体"/>
                <w:color w:val="auto"/>
                <w:szCs w:val="21"/>
              </w:rPr>
            </w:pPr>
          </w:p>
        </w:tc>
        <w:tc>
          <w:tcPr>
            <w:tcW w:w="769" w:type="dxa"/>
          </w:tcPr>
          <w:p w14:paraId="597AE342">
            <w:pPr>
              <w:spacing w:line="360" w:lineRule="auto"/>
              <w:rPr>
                <w:rFonts w:hint="eastAsia" w:ascii="宋体" w:hAnsi="宋体" w:cs="宋体"/>
                <w:color w:val="auto"/>
                <w:szCs w:val="21"/>
              </w:rPr>
            </w:pPr>
          </w:p>
        </w:tc>
        <w:tc>
          <w:tcPr>
            <w:tcW w:w="690" w:type="dxa"/>
          </w:tcPr>
          <w:p w14:paraId="6C0DD392">
            <w:pPr>
              <w:spacing w:line="360" w:lineRule="auto"/>
              <w:rPr>
                <w:rFonts w:hint="eastAsia" w:ascii="宋体" w:hAnsi="宋体" w:cs="宋体"/>
                <w:color w:val="auto"/>
                <w:szCs w:val="21"/>
              </w:rPr>
            </w:pPr>
          </w:p>
        </w:tc>
        <w:tc>
          <w:tcPr>
            <w:tcW w:w="585" w:type="dxa"/>
          </w:tcPr>
          <w:p w14:paraId="3FF687A3">
            <w:pPr>
              <w:spacing w:line="360" w:lineRule="auto"/>
              <w:rPr>
                <w:rFonts w:hint="eastAsia" w:ascii="宋体" w:hAnsi="宋体" w:cs="宋体"/>
                <w:color w:val="auto"/>
                <w:szCs w:val="21"/>
              </w:rPr>
            </w:pPr>
          </w:p>
        </w:tc>
        <w:tc>
          <w:tcPr>
            <w:tcW w:w="615" w:type="dxa"/>
          </w:tcPr>
          <w:p w14:paraId="09911766">
            <w:pPr>
              <w:spacing w:line="360" w:lineRule="auto"/>
              <w:rPr>
                <w:rFonts w:hint="eastAsia" w:ascii="宋体" w:hAnsi="宋体" w:cs="宋体"/>
                <w:color w:val="auto"/>
                <w:szCs w:val="21"/>
              </w:rPr>
            </w:pPr>
          </w:p>
        </w:tc>
        <w:tc>
          <w:tcPr>
            <w:tcW w:w="661" w:type="dxa"/>
          </w:tcPr>
          <w:p w14:paraId="61E9C5AB">
            <w:pPr>
              <w:spacing w:line="360" w:lineRule="auto"/>
              <w:rPr>
                <w:rFonts w:hint="eastAsia" w:ascii="宋体" w:hAnsi="宋体" w:cs="宋体"/>
                <w:color w:val="auto"/>
                <w:szCs w:val="21"/>
              </w:rPr>
            </w:pPr>
          </w:p>
        </w:tc>
        <w:tc>
          <w:tcPr>
            <w:tcW w:w="756" w:type="dxa"/>
          </w:tcPr>
          <w:p w14:paraId="004D6395">
            <w:pPr>
              <w:spacing w:line="360" w:lineRule="auto"/>
              <w:rPr>
                <w:rFonts w:hint="eastAsia" w:ascii="宋体" w:hAnsi="宋体" w:cs="宋体"/>
                <w:color w:val="auto"/>
                <w:szCs w:val="21"/>
              </w:rPr>
            </w:pPr>
          </w:p>
        </w:tc>
        <w:tc>
          <w:tcPr>
            <w:tcW w:w="709" w:type="dxa"/>
            <w:vAlign w:val="center"/>
          </w:tcPr>
          <w:p w14:paraId="53C70F51">
            <w:pPr>
              <w:spacing w:line="360" w:lineRule="auto"/>
              <w:jc w:val="center"/>
              <w:rPr>
                <w:rFonts w:hint="eastAsia" w:ascii="宋体" w:hAnsi="宋体" w:cs="宋体"/>
                <w:color w:val="auto"/>
                <w:sz w:val="18"/>
                <w:szCs w:val="18"/>
              </w:rPr>
            </w:pPr>
          </w:p>
        </w:tc>
        <w:tc>
          <w:tcPr>
            <w:tcW w:w="567" w:type="dxa"/>
          </w:tcPr>
          <w:p w14:paraId="66D5B492">
            <w:pPr>
              <w:spacing w:line="360" w:lineRule="auto"/>
              <w:rPr>
                <w:rFonts w:hint="eastAsia" w:ascii="宋体" w:hAnsi="宋体" w:cs="宋体"/>
                <w:color w:val="auto"/>
                <w:szCs w:val="21"/>
              </w:rPr>
            </w:pPr>
          </w:p>
        </w:tc>
        <w:tc>
          <w:tcPr>
            <w:tcW w:w="425" w:type="dxa"/>
          </w:tcPr>
          <w:p w14:paraId="7789983C">
            <w:pPr>
              <w:spacing w:line="360" w:lineRule="auto"/>
              <w:rPr>
                <w:rFonts w:hint="eastAsia" w:ascii="宋体" w:hAnsi="宋体" w:cs="宋体"/>
                <w:color w:val="auto"/>
                <w:szCs w:val="21"/>
              </w:rPr>
            </w:pPr>
          </w:p>
        </w:tc>
        <w:tc>
          <w:tcPr>
            <w:tcW w:w="703" w:type="dxa"/>
            <w:gridSpan w:val="2"/>
          </w:tcPr>
          <w:p w14:paraId="263E9125">
            <w:pPr>
              <w:spacing w:line="360" w:lineRule="auto"/>
              <w:rPr>
                <w:rFonts w:hint="eastAsia" w:ascii="宋体" w:hAnsi="宋体" w:cs="宋体"/>
                <w:color w:val="auto"/>
                <w:szCs w:val="21"/>
              </w:rPr>
            </w:pPr>
          </w:p>
        </w:tc>
      </w:tr>
      <w:tr w14:paraId="2EF5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tcPr>
          <w:p w14:paraId="66544AF6">
            <w:pPr>
              <w:spacing w:line="360" w:lineRule="auto"/>
              <w:rPr>
                <w:rFonts w:hint="eastAsia" w:ascii="宋体" w:hAnsi="宋体" w:cs="宋体"/>
                <w:color w:val="auto"/>
                <w:szCs w:val="21"/>
              </w:rPr>
            </w:pPr>
          </w:p>
        </w:tc>
        <w:tc>
          <w:tcPr>
            <w:tcW w:w="840" w:type="dxa"/>
          </w:tcPr>
          <w:p w14:paraId="066C0F7D">
            <w:pPr>
              <w:spacing w:line="360" w:lineRule="auto"/>
              <w:rPr>
                <w:rFonts w:hint="eastAsia" w:ascii="宋体" w:hAnsi="宋体" w:cs="宋体"/>
                <w:color w:val="auto"/>
                <w:szCs w:val="21"/>
              </w:rPr>
            </w:pPr>
          </w:p>
        </w:tc>
        <w:tc>
          <w:tcPr>
            <w:tcW w:w="795" w:type="dxa"/>
          </w:tcPr>
          <w:p w14:paraId="7217A4FE">
            <w:pPr>
              <w:spacing w:line="360" w:lineRule="auto"/>
              <w:rPr>
                <w:rFonts w:hint="eastAsia" w:ascii="宋体" w:hAnsi="宋体" w:cs="宋体"/>
                <w:color w:val="auto"/>
                <w:szCs w:val="21"/>
              </w:rPr>
            </w:pPr>
          </w:p>
        </w:tc>
        <w:tc>
          <w:tcPr>
            <w:tcW w:w="720" w:type="dxa"/>
          </w:tcPr>
          <w:p w14:paraId="6D6F76B6">
            <w:pPr>
              <w:spacing w:line="360" w:lineRule="auto"/>
              <w:rPr>
                <w:rFonts w:hint="eastAsia" w:ascii="宋体" w:hAnsi="宋体" w:cs="宋体"/>
                <w:color w:val="auto"/>
                <w:szCs w:val="21"/>
              </w:rPr>
            </w:pPr>
          </w:p>
        </w:tc>
        <w:tc>
          <w:tcPr>
            <w:tcW w:w="675" w:type="dxa"/>
          </w:tcPr>
          <w:p w14:paraId="13D1D63F">
            <w:pPr>
              <w:spacing w:line="360" w:lineRule="auto"/>
              <w:rPr>
                <w:rFonts w:hint="eastAsia" w:ascii="宋体" w:hAnsi="宋体" w:cs="宋体"/>
                <w:color w:val="auto"/>
                <w:szCs w:val="21"/>
              </w:rPr>
            </w:pPr>
          </w:p>
        </w:tc>
        <w:tc>
          <w:tcPr>
            <w:tcW w:w="769" w:type="dxa"/>
          </w:tcPr>
          <w:p w14:paraId="6400F9E5">
            <w:pPr>
              <w:spacing w:line="360" w:lineRule="auto"/>
              <w:rPr>
                <w:rFonts w:hint="eastAsia" w:ascii="宋体" w:hAnsi="宋体" w:cs="宋体"/>
                <w:color w:val="auto"/>
                <w:szCs w:val="21"/>
              </w:rPr>
            </w:pPr>
          </w:p>
        </w:tc>
        <w:tc>
          <w:tcPr>
            <w:tcW w:w="690" w:type="dxa"/>
          </w:tcPr>
          <w:p w14:paraId="7DAE4F3F">
            <w:pPr>
              <w:spacing w:line="360" w:lineRule="auto"/>
              <w:rPr>
                <w:rFonts w:hint="eastAsia" w:ascii="宋体" w:hAnsi="宋体" w:cs="宋体"/>
                <w:color w:val="auto"/>
                <w:szCs w:val="21"/>
              </w:rPr>
            </w:pPr>
          </w:p>
        </w:tc>
        <w:tc>
          <w:tcPr>
            <w:tcW w:w="585" w:type="dxa"/>
          </w:tcPr>
          <w:p w14:paraId="64BAB0F3">
            <w:pPr>
              <w:spacing w:line="360" w:lineRule="auto"/>
              <w:rPr>
                <w:rFonts w:hint="eastAsia" w:ascii="宋体" w:hAnsi="宋体" w:cs="宋体"/>
                <w:color w:val="auto"/>
                <w:szCs w:val="21"/>
              </w:rPr>
            </w:pPr>
          </w:p>
        </w:tc>
        <w:tc>
          <w:tcPr>
            <w:tcW w:w="615" w:type="dxa"/>
          </w:tcPr>
          <w:p w14:paraId="042483D0">
            <w:pPr>
              <w:spacing w:line="360" w:lineRule="auto"/>
              <w:rPr>
                <w:rFonts w:hint="eastAsia" w:ascii="宋体" w:hAnsi="宋体" w:cs="宋体"/>
                <w:color w:val="auto"/>
                <w:szCs w:val="21"/>
              </w:rPr>
            </w:pPr>
          </w:p>
        </w:tc>
        <w:tc>
          <w:tcPr>
            <w:tcW w:w="661" w:type="dxa"/>
          </w:tcPr>
          <w:p w14:paraId="313ABDBA">
            <w:pPr>
              <w:spacing w:line="360" w:lineRule="auto"/>
              <w:rPr>
                <w:rFonts w:hint="eastAsia" w:ascii="宋体" w:hAnsi="宋体" w:cs="宋体"/>
                <w:color w:val="auto"/>
                <w:szCs w:val="21"/>
              </w:rPr>
            </w:pPr>
          </w:p>
        </w:tc>
        <w:tc>
          <w:tcPr>
            <w:tcW w:w="756" w:type="dxa"/>
          </w:tcPr>
          <w:p w14:paraId="493BB850">
            <w:pPr>
              <w:spacing w:line="360" w:lineRule="auto"/>
              <w:rPr>
                <w:rFonts w:hint="eastAsia" w:ascii="宋体" w:hAnsi="宋体" w:cs="宋体"/>
                <w:color w:val="auto"/>
                <w:szCs w:val="21"/>
              </w:rPr>
            </w:pPr>
          </w:p>
        </w:tc>
        <w:tc>
          <w:tcPr>
            <w:tcW w:w="709" w:type="dxa"/>
          </w:tcPr>
          <w:p w14:paraId="27958289">
            <w:pPr>
              <w:spacing w:line="360" w:lineRule="auto"/>
              <w:rPr>
                <w:rFonts w:hint="eastAsia" w:ascii="宋体" w:hAnsi="宋体" w:cs="宋体"/>
                <w:color w:val="auto"/>
                <w:szCs w:val="21"/>
              </w:rPr>
            </w:pPr>
          </w:p>
        </w:tc>
        <w:tc>
          <w:tcPr>
            <w:tcW w:w="567" w:type="dxa"/>
          </w:tcPr>
          <w:p w14:paraId="4D7E7582">
            <w:pPr>
              <w:spacing w:line="360" w:lineRule="auto"/>
              <w:rPr>
                <w:rFonts w:hint="eastAsia" w:ascii="宋体" w:hAnsi="宋体" w:cs="宋体"/>
                <w:color w:val="auto"/>
                <w:szCs w:val="21"/>
              </w:rPr>
            </w:pPr>
          </w:p>
        </w:tc>
        <w:tc>
          <w:tcPr>
            <w:tcW w:w="425" w:type="dxa"/>
          </w:tcPr>
          <w:p w14:paraId="13428E6A">
            <w:pPr>
              <w:spacing w:line="360" w:lineRule="auto"/>
              <w:rPr>
                <w:rFonts w:hint="eastAsia" w:ascii="宋体" w:hAnsi="宋体" w:cs="宋体"/>
                <w:color w:val="auto"/>
                <w:szCs w:val="21"/>
              </w:rPr>
            </w:pPr>
          </w:p>
        </w:tc>
        <w:tc>
          <w:tcPr>
            <w:tcW w:w="703" w:type="dxa"/>
            <w:gridSpan w:val="2"/>
          </w:tcPr>
          <w:p w14:paraId="54573192">
            <w:pPr>
              <w:spacing w:line="360" w:lineRule="auto"/>
              <w:rPr>
                <w:rFonts w:hint="eastAsia" w:ascii="宋体" w:hAnsi="宋体" w:cs="宋体"/>
                <w:color w:val="auto"/>
                <w:szCs w:val="21"/>
              </w:rPr>
            </w:pPr>
          </w:p>
        </w:tc>
      </w:tr>
      <w:tr w14:paraId="24DD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tcPr>
          <w:p w14:paraId="0788E7A7">
            <w:pPr>
              <w:spacing w:line="360" w:lineRule="auto"/>
              <w:rPr>
                <w:rFonts w:hint="eastAsia" w:ascii="宋体" w:hAnsi="宋体" w:cs="宋体"/>
                <w:color w:val="auto"/>
                <w:szCs w:val="21"/>
              </w:rPr>
            </w:pPr>
          </w:p>
        </w:tc>
        <w:tc>
          <w:tcPr>
            <w:tcW w:w="840" w:type="dxa"/>
          </w:tcPr>
          <w:p w14:paraId="34F9F468">
            <w:pPr>
              <w:spacing w:line="360" w:lineRule="auto"/>
              <w:rPr>
                <w:rFonts w:hint="eastAsia" w:ascii="宋体" w:hAnsi="宋体" w:cs="宋体"/>
                <w:color w:val="auto"/>
                <w:szCs w:val="21"/>
              </w:rPr>
            </w:pPr>
          </w:p>
        </w:tc>
        <w:tc>
          <w:tcPr>
            <w:tcW w:w="795" w:type="dxa"/>
          </w:tcPr>
          <w:p w14:paraId="4E7CEB2E">
            <w:pPr>
              <w:spacing w:line="360" w:lineRule="auto"/>
              <w:rPr>
                <w:rFonts w:hint="eastAsia" w:ascii="宋体" w:hAnsi="宋体" w:cs="宋体"/>
                <w:color w:val="auto"/>
                <w:szCs w:val="21"/>
              </w:rPr>
            </w:pPr>
          </w:p>
        </w:tc>
        <w:tc>
          <w:tcPr>
            <w:tcW w:w="720" w:type="dxa"/>
          </w:tcPr>
          <w:p w14:paraId="2F9A07F7">
            <w:pPr>
              <w:spacing w:line="360" w:lineRule="auto"/>
              <w:rPr>
                <w:rFonts w:hint="eastAsia" w:ascii="宋体" w:hAnsi="宋体" w:cs="宋体"/>
                <w:color w:val="auto"/>
                <w:szCs w:val="21"/>
              </w:rPr>
            </w:pPr>
          </w:p>
        </w:tc>
        <w:tc>
          <w:tcPr>
            <w:tcW w:w="675" w:type="dxa"/>
          </w:tcPr>
          <w:p w14:paraId="2FEBED06">
            <w:pPr>
              <w:spacing w:line="360" w:lineRule="auto"/>
              <w:rPr>
                <w:rFonts w:hint="eastAsia" w:ascii="宋体" w:hAnsi="宋体" w:cs="宋体"/>
                <w:color w:val="auto"/>
                <w:szCs w:val="21"/>
              </w:rPr>
            </w:pPr>
          </w:p>
        </w:tc>
        <w:tc>
          <w:tcPr>
            <w:tcW w:w="769" w:type="dxa"/>
          </w:tcPr>
          <w:p w14:paraId="581B5001">
            <w:pPr>
              <w:spacing w:line="360" w:lineRule="auto"/>
              <w:rPr>
                <w:rFonts w:hint="eastAsia" w:ascii="宋体" w:hAnsi="宋体" w:cs="宋体"/>
                <w:color w:val="auto"/>
                <w:szCs w:val="21"/>
              </w:rPr>
            </w:pPr>
          </w:p>
        </w:tc>
        <w:tc>
          <w:tcPr>
            <w:tcW w:w="690" w:type="dxa"/>
          </w:tcPr>
          <w:p w14:paraId="652E63A5">
            <w:pPr>
              <w:spacing w:line="360" w:lineRule="auto"/>
              <w:rPr>
                <w:rFonts w:hint="eastAsia" w:ascii="宋体" w:hAnsi="宋体" w:cs="宋体"/>
                <w:color w:val="auto"/>
                <w:szCs w:val="21"/>
              </w:rPr>
            </w:pPr>
          </w:p>
        </w:tc>
        <w:tc>
          <w:tcPr>
            <w:tcW w:w="585" w:type="dxa"/>
          </w:tcPr>
          <w:p w14:paraId="41ACBA73">
            <w:pPr>
              <w:spacing w:line="360" w:lineRule="auto"/>
              <w:rPr>
                <w:rFonts w:hint="eastAsia" w:ascii="宋体" w:hAnsi="宋体" w:cs="宋体"/>
                <w:color w:val="auto"/>
                <w:szCs w:val="21"/>
              </w:rPr>
            </w:pPr>
          </w:p>
        </w:tc>
        <w:tc>
          <w:tcPr>
            <w:tcW w:w="615" w:type="dxa"/>
          </w:tcPr>
          <w:p w14:paraId="05642BDB">
            <w:pPr>
              <w:spacing w:line="360" w:lineRule="auto"/>
              <w:rPr>
                <w:rFonts w:hint="eastAsia" w:ascii="宋体" w:hAnsi="宋体" w:cs="宋体"/>
                <w:color w:val="auto"/>
                <w:szCs w:val="21"/>
              </w:rPr>
            </w:pPr>
          </w:p>
        </w:tc>
        <w:tc>
          <w:tcPr>
            <w:tcW w:w="661" w:type="dxa"/>
          </w:tcPr>
          <w:p w14:paraId="674EF0A6">
            <w:pPr>
              <w:spacing w:line="360" w:lineRule="auto"/>
              <w:rPr>
                <w:rFonts w:hint="eastAsia" w:ascii="宋体" w:hAnsi="宋体" w:cs="宋体"/>
                <w:color w:val="auto"/>
                <w:szCs w:val="21"/>
              </w:rPr>
            </w:pPr>
          </w:p>
        </w:tc>
        <w:tc>
          <w:tcPr>
            <w:tcW w:w="756" w:type="dxa"/>
          </w:tcPr>
          <w:p w14:paraId="41067BCF">
            <w:pPr>
              <w:spacing w:line="360" w:lineRule="auto"/>
              <w:rPr>
                <w:rFonts w:hint="eastAsia" w:ascii="宋体" w:hAnsi="宋体" w:cs="宋体"/>
                <w:color w:val="auto"/>
                <w:szCs w:val="21"/>
              </w:rPr>
            </w:pPr>
          </w:p>
        </w:tc>
        <w:tc>
          <w:tcPr>
            <w:tcW w:w="709" w:type="dxa"/>
          </w:tcPr>
          <w:p w14:paraId="38A8A31C">
            <w:pPr>
              <w:spacing w:line="360" w:lineRule="auto"/>
              <w:rPr>
                <w:rFonts w:hint="eastAsia" w:ascii="宋体" w:hAnsi="宋体" w:cs="宋体"/>
                <w:color w:val="auto"/>
                <w:szCs w:val="21"/>
              </w:rPr>
            </w:pPr>
          </w:p>
        </w:tc>
        <w:tc>
          <w:tcPr>
            <w:tcW w:w="567" w:type="dxa"/>
          </w:tcPr>
          <w:p w14:paraId="425723E3">
            <w:pPr>
              <w:spacing w:line="360" w:lineRule="auto"/>
              <w:rPr>
                <w:rFonts w:hint="eastAsia" w:ascii="宋体" w:hAnsi="宋体" w:cs="宋体"/>
                <w:color w:val="auto"/>
                <w:szCs w:val="21"/>
              </w:rPr>
            </w:pPr>
          </w:p>
        </w:tc>
        <w:tc>
          <w:tcPr>
            <w:tcW w:w="425" w:type="dxa"/>
          </w:tcPr>
          <w:p w14:paraId="7D6D1970">
            <w:pPr>
              <w:spacing w:line="360" w:lineRule="auto"/>
              <w:rPr>
                <w:rFonts w:hint="eastAsia" w:ascii="宋体" w:hAnsi="宋体" w:cs="宋体"/>
                <w:color w:val="auto"/>
                <w:szCs w:val="21"/>
              </w:rPr>
            </w:pPr>
          </w:p>
        </w:tc>
        <w:tc>
          <w:tcPr>
            <w:tcW w:w="703" w:type="dxa"/>
            <w:gridSpan w:val="2"/>
          </w:tcPr>
          <w:p w14:paraId="44027838">
            <w:pPr>
              <w:spacing w:line="360" w:lineRule="auto"/>
              <w:rPr>
                <w:rFonts w:hint="eastAsia" w:ascii="宋体" w:hAnsi="宋体" w:cs="宋体"/>
                <w:color w:val="auto"/>
                <w:szCs w:val="21"/>
              </w:rPr>
            </w:pPr>
          </w:p>
        </w:tc>
      </w:tr>
      <w:tr w14:paraId="1B23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tcPr>
          <w:p w14:paraId="3EE170DB">
            <w:pPr>
              <w:spacing w:line="360" w:lineRule="auto"/>
              <w:rPr>
                <w:rFonts w:hint="eastAsia" w:ascii="宋体" w:hAnsi="宋体" w:cs="宋体"/>
                <w:color w:val="auto"/>
                <w:szCs w:val="21"/>
              </w:rPr>
            </w:pPr>
          </w:p>
        </w:tc>
        <w:tc>
          <w:tcPr>
            <w:tcW w:w="840" w:type="dxa"/>
          </w:tcPr>
          <w:p w14:paraId="206D8669">
            <w:pPr>
              <w:spacing w:line="360" w:lineRule="auto"/>
              <w:rPr>
                <w:rFonts w:hint="eastAsia" w:ascii="宋体" w:hAnsi="宋体" w:cs="宋体"/>
                <w:color w:val="auto"/>
                <w:szCs w:val="21"/>
              </w:rPr>
            </w:pPr>
          </w:p>
        </w:tc>
        <w:tc>
          <w:tcPr>
            <w:tcW w:w="795" w:type="dxa"/>
          </w:tcPr>
          <w:p w14:paraId="0E4C7F1B">
            <w:pPr>
              <w:spacing w:line="360" w:lineRule="auto"/>
              <w:rPr>
                <w:rFonts w:hint="eastAsia" w:ascii="宋体" w:hAnsi="宋体" w:cs="宋体"/>
                <w:color w:val="auto"/>
                <w:szCs w:val="21"/>
              </w:rPr>
            </w:pPr>
          </w:p>
        </w:tc>
        <w:tc>
          <w:tcPr>
            <w:tcW w:w="720" w:type="dxa"/>
          </w:tcPr>
          <w:p w14:paraId="0012BEC9">
            <w:pPr>
              <w:spacing w:line="360" w:lineRule="auto"/>
              <w:rPr>
                <w:rFonts w:hint="eastAsia" w:ascii="宋体" w:hAnsi="宋体" w:cs="宋体"/>
                <w:color w:val="auto"/>
                <w:szCs w:val="21"/>
              </w:rPr>
            </w:pPr>
          </w:p>
        </w:tc>
        <w:tc>
          <w:tcPr>
            <w:tcW w:w="675" w:type="dxa"/>
          </w:tcPr>
          <w:p w14:paraId="0FF1652C">
            <w:pPr>
              <w:spacing w:line="360" w:lineRule="auto"/>
              <w:rPr>
                <w:rFonts w:hint="eastAsia" w:ascii="宋体" w:hAnsi="宋体" w:cs="宋体"/>
                <w:color w:val="auto"/>
                <w:szCs w:val="21"/>
              </w:rPr>
            </w:pPr>
          </w:p>
        </w:tc>
        <w:tc>
          <w:tcPr>
            <w:tcW w:w="769" w:type="dxa"/>
          </w:tcPr>
          <w:p w14:paraId="500D7A85">
            <w:pPr>
              <w:spacing w:line="360" w:lineRule="auto"/>
              <w:rPr>
                <w:rFonts w:hint="eastAsia" w:ascii="宋体" w:hAnsi="宋体" w:cs="宋体"/>
                <w:color w:val="auto"/>
                <w:szCs w:val="21"/>
              </w:rPr>
            </w:pPr>
          </w:p>
        </w:tc>
        <w:tc>
          <w:tcPr>
            <w:tcW w:w="690" w:type="dxa"/>
          </w:tcPr>
          <w:p w14:paraId="7AE3FA46">
            <w:pPr>
              <w:spacing w:line="360" w:lineRule="auto"/>
              <w:rPr>
                <w:rFonts w:hint="eastAsia" w:ascii="宋体" w:hAnsi="宋体" w:cs="宋体"/>
                <w:color w:val="auto"/>
                <w:szCs w:val="21"/>
              </w:rPr>
            </w:pPr>
          </w:p>
        </w:tc>
        <w:tc>
          <w:tcPr>
            <w:tcW w:w="585" w:type="dxa"/>
          </w:tcPr>
          <w:p w14:paraId="06B14CCC">
            <w:pPr>
              <w:spacing w:line="360" w:lineRule="auto"/>
              <w:rPr>
                <w:rFonts w:hint="eastAsia" w:ascii="宋体" w:hAnsi="宋体" w:cs="宋体"/>
                <w:color w:val="auto"/>
                <w:szCs w:val="21"/>
              </w:rPr>
            </w:pPr>
          </w:p>
        </w:tc>
        <w:tc>
          <w:tcPr>
            <w:tcW w:w="615" w:type="dxa"/>
          </w:tcPr>
          <w:p w14:paraId="23F26D2E">
            <w:pPr>
              <w:spacing w:line="360" w:lineRule="auto"/>
              <w:rPr>
                <w:rFonts w:hint="eastAsia" w:ascii="宋体" w:hAnsi="宋体" w:cs="宋体"/>
                <w:color w:val="auto"/>
                <w:szCs w:val="21"/>
              </w:rPr>
            </w:pPr>
          </w:p>
        </w:tc>
        <w:tc>
          <w:tcPr>
            <w:tcW w:w="661" w:type="dxa"/>
          </w:tcPr>
          <w:p w14:paraId="34C07556">
            <w:pPr>
              <w:spacing w:line="360" w:lineRule="auto"/>
              <w:rPr>
                <w:rFonts w:hint="eastAsia" w:ascii="宋体" w:hAnsi="宋体" w:cs="宋体"/>
                <w:color w:val="auto"/>
                <w:szCs w:val="21"/>
              </w:rPr>
            </w:pPr>
          </w:p>
        </w:tc>
        <w:tc>
          <w:tcPr>
            <w:tcW w:w="756" w:type="dxa"/>
          </w:tcPr>
          <w:p w14:paraId="526D921F">
            <w:pPr>
              <w:spacing w:line="360" w:lineRule="auto"/>
              <w:rPr>
                <w:rFonts w:hint="eastAsia" w:ascii="宋体" w:hAnsi="宋体" w:cs="宋体"/>
                <w:color w:val="auto"/>
                <w:szCs w:val="21"/>
              </w:rPr>
            </w:pPr>
          </w:p>
        </w:tc>
        <w:tc>
          <w:tcPr>
            <w:tcW w:w="709" w:type="dxa"/>
          </w:tcPr>
          <w:p w14:paraId="12A78E6A">
            <w:pPr>
              <w:spacing w:line="360" w:lineRule="auto"/>
              <w:rPr>
                <w:rFonts w:hint="eastAsia" w:ascii="宋体" w:hAnsi="宋体" w:cs="宋体"/>
                <w:color w:val="auto"/>
                <w:szCs w:val="21"/>
              </w:rPr>
            </w:pPr>
          </w:p>
        </w:tc>
        <w:tc>
          <w:tcPr>
            <w:tcW w:w="567" w:type="dxa"/>
          </w:tcPr>
          <w:p w14:paraId="79EE8125">
            <w:pPr>
              <w:spacing w:line="360" w:lineRule="auto"/>
              <w:rPr>
                <w:rFonts w:hint="eastAsia" w:ascii="宋体" w:hAnsi="宋体" w:cs="宋体"/>
                <w:color w:val="auto"/>
                <w:szCs w:val="21"/>
              </w:rPr>
            </w:pPr>
          </w:p>
        </w:tc>
        <w:tc>
          <w:tcPr>
            <w:tcW w:w="425" w:type="dxa"/>
          </w:tcPr>
          <w:p w14:paraId="5BCFB14E">
            <w:pPr>
              <w:spacing w:line="360" w:lineRule="auto"/>
              <w:rPr>
                <w:rFonts w:hint="eastAsia" w:ascii="宋体" w:hAnsi="宋体" w:cs="宋体"/>
                <w:color w:val="auto"/>
                <w:szCs w:val="21"/>
              </w:rPr>
            </w:pPr>
          </w:p>
        </w:tc>
        <w:tc>
          <w:tcPr>
            <w:tcW w:w="703" w:type="dxa"/>
            <w:gridSpan w:val="2"/>
          </w:tcPr>
          <w:p w14:paraId="56150D87">
            <w:pPr>
              <w:spacing w:line="360" w:lineRule="auto"/>
              <w:rPr>
                <w:rFonts w:hint="eastAsia" w:ascii="宋体" w:hAnsi="宋体" w:cs="宋体"/>
                <w:color w:val="auto"/>
                <w:szCs w:val="21"/>
              </w:rPr>
            </w:pPr>
          </w:p>
        </w:tc>
      </w:tr>
      <w:tr w14:paraId="514A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dxa"/>
          </w:tcPr>
          <w:p w14:paraId="4CA2123A">
            <w:pPr>
              <w:spacing w:line="360" w:lineRule="auto"/>
              <w:rPr>
                <w:rFonts w:hint="eastAsia" w:ascii="宋体" w:hAnsi="宋体" w:cs="宋体"/>
                <w:color w:val="auto"/>
                <w:szCs w:val="21"/>
              </w:rPr>
            </w:pPr>
          </w:p>
        </w:tc>
        <w:tc>
          <w:tcPr>
            <w:tcW w:w="840" w:type="dxa"/>
          </w:tcPr>
          <w:p w14:paraId="2271CFB3">
            <w:pPr>
              <w:spacing w:line="360" w:lineRule="auto"/>
              <w:rPr>
                <w:rFonts w:hint="eastAsia" w:ascii="宋体" w:hAnsi="宋体" w:cs="宋体"/>
                <w:color w:val="auto"/>
                <w:szCs w:val="21"/>
              </w:rPr>
            </w:pPr>
          </w:p>
        </w:tc>
        <w:tc>
          <w:tcPr>
            <w:tcW w:w="795" w:type="dxa"/>
          </w:tcPr>
          <w:p w14:paraId="735B00FD">
            <w:pPr>
              <w:spacing w:line="360" w:lineRule="auto"/>
              <w:rPr>
                <w:rFonts w:hint="eastAsia" w:ascii="宋体" w:hAnsi="宋体" w:cs="宋体"/>
                <w:color w:val="auto"/>
                <w:szCs w:val="21"/>
              </w:rPr>
            </w:pPr>
          </w:p>
        </w:tc>
        <w:tc>
          <w:tcPr>
            <w:tcW w:w="720" w:type="dxa"/>
          </w:tcPr>
          <w:p w14:paraId="2918B9BE">
            <w:pPr>
              <w:spacing w:line="360" w:lineRule="auto"/>
              <w:rPr>
                <w:rFonts w:hint="eastAsia" w:ascii="宋体" w:hAnsi="宋体" w:cs="宋体"/>
                <w:color w:val="auto"/>
                <w:szCs w:val="21"/>
              </w:rPr>
            </w:pPr>
          </w:p>
        </w:tc>
        <w:tc>
          <w:tcPr>
            <w:tcW w:w="675" w:type="dxa"/>
          </w:tcPr>
          <w:p w14:paraId="5DE74F88">
            <w:pPr>
              <w:spacing w:line="360" w:lineRule="auto"/>
              <w:rPr>
                <w:rFonts w:hint="eastAsia" w:ascii="宋体" w:hAnsi="宋体" w:cs="宋体"/>
                <w:color w:val="auto"/>
                <w:szCs w:val="21"/>
              </w:rPr>
            </w:pPr>
          </w:p>
        </w:tc>
        <w:tc>
          <w:tcPr>
            <w:tcW w:w="769" w:type="dxa"/>
          </w:tcPr>
          <w:p w14:paraId="0DC48C7F">
            <w:pPr>
              <w:spacing w:line="360" w:lineRule="auto"/>
              <w:rPr>
                <w:rFonts w:hint="eastAsia" w:ascii="宋体" w:hAnsi="宋体" w:cs="宋体"/>
                <w:color w:val="auto"/>
                <w:szCs w:val="21"/>
              </w:rPr>
            </w:pPr>
          </w:p>
        </w:tc>
        <w:tc>
          <w:tcPr>
            <w:tcW w:w="690" w:type="dxa"/>
          </w:tcPr>
          <w:p w14:paraId="222BEE09">
            <w:pPr>
              <w:spacing w:line="360" w:lineRule="auto"/>
              <w:rPr>
                <w:rFonts w:hint="eastAsia" w:ascii="宋体" w:hAnsi="宋体" w:cs="宋体"/>
                <w:color w:val="auto"/>
                <w:szCs w:val="21"/>
              </w:rPr>
            </w:pPr>
          </w:p>
        </w:tc>
        <w:tc>
          <w:tcPr>
            <w:tcW w:w="585" w:type="dxa"/>
          </w:tcPr>
          <w:p w14:paraId="69ABD3C6">
            <w:pPr>
              <w:spacing w:line="360" w:lineRule="auto"/>
              <w:rPr>
                <w:rFonts w:hint="eastAsia" w:ascii="宋体" w:hAnsi="宋体" w:cs="宋体"/>
                <w:color w:val="auto"/>
                <w:szCs w:val="21"/>
              </w:rPr>
            </w:pPr>
          </w:p>
        </w:tc>
        <w:tc>
          <w:tcPr>
            <w:tcW w:w="615" w:type="dxa"/>
          </w:tcPr>
          <w:p w14:paraId="2D422254">
            <w:pPr>
              <w:spacing w:line="360" w:lineRule="auto"/>
              <w:rPr>
                <w:rFonts w:hint="eastAsia" w:ascii="宋体" w:hAnsi="宋体" w:cs="宋体"/>
                <w:color w:val="auto"/>
                <w:szCs w:val="21"/>
              </w:rPr>
            </w:pPr>
          </w:p>
        </w:tc>
        <w:tc>
          <w:tcPr>
            <w:tcW w:w="661" w:type="dxa"/>
          </w:tcPr>
          <w:p w14:paraId="4FBA0FB3">
            <w:pPr>
              <w:spacing w:line="360" w:lineRule="auto"/>
              <w:rPr>
                <w:rFonts w:hint="eastAsia" w:ascii="宋体" w:hAnsi="宋体" w:cs="宋体"/>
                <w:color w:val="auto"/>
                <w:szCs w:val="21"/>
              </w:rPr>
            </w:pPr>
          </w:p>
        </w:tc>
        <w:tc>
          <w:tcPr>
            <w:tcW w:w="756" w:type="dxa"/>
          </w:tcPr>
          <w:p w14:paraId="4C1382D3">
            <w:pPr>
              <w:spacing w:line="360" w:lineRule="auto"/>
              <w:rPr>
                <w:rFonts w:hint="eastAsia" w:ascii="宋体" w:hAnsi="宋体" w:cs="宋体"/>
                <w:color w:val="auto"/>
                <w:szCs w:val="21"/>
              </w:rPr>
            </w:pPr>
          </w:p>
        </w:tc>
        <w:tc>
          <w:tcPr>
            <w:tcW w:w="709" w:type="dxa"/>
          </w:tcPr>
          <w:p w14:paraId="388A02BF">
            <w:pPr>
              <w:spacing w:line="360" w:lineRule="auto"/>
              <w:rPr>
                <w:rFonts w:hint="eastAsia" w:ascii="宋体" w:hAnsi="宋体" w:cs="宋体"/>
                <w:color w:val="auto"/>
                <w:szCs w:val="21"/>
              </w:rPr>
            </w:pPr>
          </w:p>
        </w:tc>
        <w:tc>
          <w:tcPr>
            <w:tcW w:w="567" w:type="dxa"/>
          </w:tcPr>
          <w:p w14:paraId="21B37E50">
            <w:pPr>
              <w:spacing w:line="360" w:lineRule="auto"/>
              <w:rPr>
                <w:rFonts w:hint="eastAsia" w:ascii="宋体" w:hAnsi="宋体" w:cs="宋体"/>
                <w:color w:val="auto"/>
                <w:szCs w:val="21"/>
              </w:rPr>
            </w:pPr>
          </w:p>
        </w:tc>
        <w:tc>
          <w:tcPr>
            <w:tcW w:w="425" w:type="dxa"/>
          </w:tcPr>
          <w:p w14:paraId="6BAC0547">
            <w:pPr>
              <w:spacing w:line="360" w:lineRule="auto"/>
              <w:rPr>
                <w:rFonts w:hint="eastAsia" w:ascii="宋体" w:hAnsi="宋体" w:cs="宋体"/>
                <w:color w:val="auto"/>
                <w:szCs w:val="21"/>
              </w:rPr>
            </w:pPr>
          </w:p>
        </w:tc>
        <w:tc>
          <w:tcPr>
            <w:tcW w:w="703" w:type="dxa"/>
            <w:gridSpan w:val="2"/>
          </w:tcPr>
          <w:p w14:paraId="28073349">
            <w:pPr>
              <w:spacing w:line="360" w:lineRule="auto"/>
              <w:rPr>
                <w:rFonts w:hint="eastAsia" w:ascii="宋体" w:hAnsi="宋体" w:cs="宋体"/>
                <w:color w:val="auto"/>
                <w:szCs w:val="21"/>
              </w:rPr>
            </w:pPr>
          </w:p>
        </w:tc>
      </w:tr>
      <w:tr w14:paraId="4BEF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3" w:type="dxa"/>
          <w:jc w:val="center"/>
        </w:trPr>
        <w:tc>
          <w:tcPr>
            <w:tcW w:w="9578" w:type="dxa"/>
            <w:gridSpan w:val="15"/>
          </w:tcPr>
          <w:p w14:paraId="4BCB1198">
            <w:pPr>
              <w:spacing w:line="360" w:lineRule="auto"/>
              <w:rPr>
                <w:rFonts w:hint="eastAsia" w:ascii="宋体" w:hAnsi="宋体" w:cs="宋体"/>
                <w:color w:val="auto"/>
                <w:szCs w:val="21"/>
              </w:rPr>
            </w:pPr>
            <w:r>
              <w:rPr>
                <w:rFonts w:hint="eastAsia" w:ascii="宋体" w:hAnsi="宋体" w:cs="宋体"/>
                <w:color w:val="auto"/>
                <w:kern w:val="1"/>
                <w:szCs w:val="21"/>
              </w:rPr>
              <w:t xml:space="preserve">投标最高限价：   </w:t>
            </w:r>
          </w:p>
        </w:tc>
      </w:tr>
    </w:tbl>
    <w:p w14:paraId="199AD564">
      <w:pPr>
        <w:spacing w:line="400" w:lineRule="exact"/>
        <w:ind w:right="420"/>
        <w:rPr>
          <w:rFonts w:hint="eastAsia" w:ascii="宋体" w:hAnsi="宋体" w:cs="宋体"/>
          <w:color w:val="auto"/>
          <w:szCs w:val="21"/>
        </w:rPr>
      </w:pPr>
      <w:r>
        <w:rPr>
          <w:rFonts w:hint="eastAsia" w:ascii="宋体" w:hAnsi="宋体" w:cs="宋体"/>
          <w:color w:val="auto"/>
          <w:szCs w:val="21"/>
        </w:rPr>
        <w:t>招标人代表：</w:t>
      </w:r>
      <w:r>
        <w:rPr>
          <w:rFonts w:hint="eastAsia" w:ascii="宋体" w:hAnsi="宋体" w:cs="宋体"/>
          <w:color w:val="auto"/>
          <w:szCs w:val="21"/>
          <w:u w:val="single"/>
        </w:rPr>
        <w:t xml:space="preserve">            </w:t>
      </w:r>
      <w:r>
        <w:rPr>
          <w:rFonts w:hint="eastAsia" w:ascii="宋体" w:hAnsi="宋体" w:cs="宋体"/>
          <w:color w:val="auto"/>
          <w:szCs w:val="21"/>
        </w:rPr>
        <w:t xml:space="preserve"> 记录人：</w:t>
      </w:r>
      <w:r>
        <w:rPr>
          <w:rFonts w:hint="eastAsia" w:ascii="宋体" w:hAnsi="宋体" w:cs="宋体"/>
          <w:color w:val="auto"/>
          <w:szCs w:val="21"/>
          <w:u w:val="single"/>
        </w:rPr>
        <w:t xml:space="preserve">            </w:t>
      </w:r>
      <w:r>
        <w:rPr>
          <w:rFonts w:hint="eastAsia" w:ascii="宋体" w:hAnsi="宋体" w:cs="宋体"/>
          <w:color w:val="auto"/>
          <w:szCs w:val="21"/>
        </w:rPr>
        <w:t xml:space="preserve"> 监标人：</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7146EC0B">
      <w:pPr>
        <w:spacing w:line="620" w:lineRule="exact"/>
        <w:rPr>
          <w:rFonts w:hint="eastAsia" w:ascii="宋体" w:hAnsi="宋体" w:cs="宋体"/>
          <w:color w:val="auto"/>
          <w:sz w:val="20"/>
          <w:szCs w:val="20"/>
        </w:rPr>
      </w:pPr>
      <w:r>
        <w:rPr>
          <w:rFonts w:hint="eastAsia" w:ascii="宋体" w:hAnsi="宋体" w:cs="宋体"/>
          <w:color w:val="auto"/>
          <w:szCs w:val="21"/>
        </w:rPr>
        <w:t xml:space="preserve">                                        </w:t>
      </w:r>
      <w:r>
        <w:rPr>
          <w:rFonts w:hint="eastAsia" w:ascii="宋体" w:hAnsi="宋体" w:cs="宋体"/>
          <w:color w:val="auto"/>
          <w:szCs w:val="21"/>
          <w:u w:val="single"/>
        </w:rPr>
        <w:t xml:space="preserve"> </w:t>
      </w:r>
      <w:r>
        <w:rPr>
          <w:rFonts w:hint="eastAsia" w:ascii="宋体" w:hAnsi="宋体" w:cs="宋体"/>
          <w:color w:val="auto"/>
          <w:u w:val="single"/>
        </w:rPr>
        <w:t xml:space="preserve">      </w:t>
      </w:r>
      <w:r>
        <w:rPr>
          <w:rFonts w:hint="eastAsia" w:ascii="宋体" w:hAnsi="宋体" w:cs="宋体"/>
          <w:color w:val="auto"/>
          <w:szCs w:val="21"/>
        </w:rPr>
        <w:t>年</w:t>
      </w:r>
      <w:r>
        <w:rPr>
          <w:rFonts w:hint="eastAsia" w:ascii="宋体" w:hAnsi="宋体" w:cs="宋体"/>
          <w:color w:val="auto"/>
          <w:u w:val="single"/>
        </w:rPr>
        <w:t xml:space="preserve">      </w:t>
      </w:r>
      <w:r>
        <w:rPr>
          <w:rFonts w:hint="eastAsia" w:ascii="宋体" w:hAnsi="宋体" w:cs="宋体"/>
          <w:color w:val="auto"/>
          <w:szCs w:val="21"/>
        </w:rPr>
        <w:t>月</w:t>
      </w:r>
      <w:r>
        <w:rPr>
          <w:rFonts w:hint="eastAsia" w:ascii="宋体" w:hAnsi="宋体" w:cs="宋体"/>
          <w:color w:val="auto"/>
          <w:u w:val="single"/>
        </w:rPr>
        <w:t xml:space="preserve">      </w:t>
      </w:r>
      <w:r>
        <w:rPr>
          <w:rFonts w:hint="eastAsia" w:ascii="宋体" w:hAnsi="宋体" w:cs="宋体"/>
          <w:color w:val="auto"/>
          <w:szCs w:val="21"/>
        </w:rPr>
        <w:t>日</w:t>
      </w:r>
    </w:p>
    <w:p w14:paraId="1DB3075B">
      <w:pPr>
        <w:ind w:firstLine="118"/>
        <w:rPr>
          <w:rFonts w:ascii="宋体" w:cs="宋体"/>
          <w:color w:val="auto"/>
          <w:kern w:val="1"/>
          <w:sz w:val="24"/>
          <w:u w:val="single"/>
        </w:rPr>
      </w:pPr>
      <w:r>
        <w:rPr>
          <w:rFonts w:hint="eastAsia" w:ascii="宋体" w:cs="宋体"/>
          <w:color w:val="auto"/>
          <w:kern w:val="1"/>
          <w:sz w:val="24"/>
          <w:u w:val="single"/>
        </w:rPr>
        <w:t>本表仅供参考，具体以开标时的开标记录表为准。</w:t>
      </w:r>
    </w:p>
    <w:p w14:paraId="3B1294F4">
      <w:pPr>
        <w:pStyle w:val="4"/>
        <w:ind w:firstLine="118"/>
        <w:rPr>
          <w:rFonts w:hint="eastAsia" w:ascii="宋体" w:eastAsia="宋体" w:cs="宋体"/>
          <w:color w:val="auto"/>
        </w:rPr>
      </w:pPr>
      <w:r>
        <w:rPr>
          <w:rFonts w:hint="eastAsia" w:ascii="宋体" w:eastAsia="宋体" w:cs="宋体"/>
          <w:color w:val="auto"/>
          <w:sz w:val="24"/>
          <w:szCs w:val="24"/>
        </w:rPr>
        <w:br w:type="page"/>
      </w:r>
      <w:bookmarkStart w:id="399" w:name="_Toc32539"/>
      <w:r>
        <w:rPr>
          <w:rFonts w:hint="eastAsia" w:ascii="宋体" w:eastAsia="宋体" w:cs="宋体"/>
          <w:color w:val="auto"/>
        </w:rPr>
        <w:t>附件二：问题澄清通知</w:t>
      </w:r>
      <w:bookmarkEnd w:id="399"/>
    </w:p>
    <w:p w14:paraId="7CCCC0FD">
      <w:pPr>
        <w:spacing w:line="440" w:lineRule="exact"/>
        <w:jc w:val="center"/>
        <w:rPr>
          <w:rFonts w:hint="eastAsia" w:ascii="宋体" w:hAnsi="宋体" w:cs="宋体"/>
          <w:color w:val="auto"/>
          <w:szCs w:val="21"/>
        </w:rPr>
      </w:pPr>
    </w:p>
    <w:p w14:paraId="7F1A4592">
      <w:pPr>
        <w:spacing w:line="440" w:lineRule="exact"/>
        <w:jc w:val="center"/>
        <w:rPr>
          <w:rFonts w:hint="eastAsia" w:ascii="宋体" w:hAnsi="宋体" w:cs="宋体"/>
          <w:color w:val="auto"/>
          <w:sz w:val="28"/>
          <w:szCs w:val="28"/>
        </w:rPr>
      </w:pPr>
      <w:r>
        <w:rPr>
          <w:rFonts w:hint="eastAsia" w:ascii="宋体" w:hAnsi="宋体" w:cs="宋体"/>
          <w:color w:val="auto"/>
          <w:sz w:val="28"/>
          <w:szCs w:val="28"/>
        </w:rPr>
        <w:t>问题澄清通知</w:t>
      </w:r>
    </w:p>
    <w:p w14:paraId="6CEA98E3">
      <w:pPr>
        <w:spacing w:line="440" w:lineRule="exact"/>
        <w:rPr>
          <w:rFonts w:hint="eastAsia" w:ascii="宋体" w:hAnsi="宋体" w:cs="宋体"/>
          <w:color w:val="auto"/>
          <w:szCs w:val="21"/>
        </w:rPr>
      </w:pPr>
      <w:r>
        <w:rPr>
          <w:rFonts w:hint="eastAsia" w:ascii="宋体" w:hAnsi="宋体" w:cs="宋体"/>
          <w:color w:val="auto"/>
          <w:szCs w:val="21"/>
        </w:rPr>
        <w:t xml:space="preserve">                               编号：</w:t>
      </w:r>
    </w:p>
    <w:p w14:paraId="78D0349A">
      <w:pPr>
        <w:spacing w:line="440" w:lineRule="exact"/>
        <w:rPr>
          <w:rFonts w:hint="eastAsia" w:ascii="宋体" w:hAnsi="宋体" w:cs="宋体"/>
          <w:color w:val="auto"/>
          <w:szCs w:val="21"/>
        </w:rPr>
      </w:pPr>
    </w:p>
    <w:p w14:paraId="0B2DA8A8">
      <w:pPr>
        <w:spacing w:line="440" w:lineRule="exact"/>
        <w:rPr>
          <w:rFonts w:hint="eastAsia" w:ascii="宋体" w:hAnsi="宋体" w:cs="宋体"/>
          <w:color w:val="auto"/>
          <w:szCs w:val="21"/>
        </w:rPr>
      </w:pPr>
      <w:r>
        <w:rPr>
          <w:rFonts w:hint="eastAsia" w:ascii="宋体" w:hAnsi="宋体" w:cs="宋体"/>
          <w:color w:val="auto"/>
          <w:szCs w:val="21"/>
        </w:rPr>
        <w:t>（投标人名称）：</w:t>
      </w:r>
    </w:p>
    <w:p w14:paraId="194CE6DE">
      <w:pPr>
        <w:spacing w:line="440" w:lineRule="exact"/>
        <w:rPr>
          <w:rFonts w:hint="eastAsia" w:ascii="宋体" w:hAnsi="宋体" w:cs="宋体"/>
          <w:color w:val="auto"/>
          <w:szCs w:val="21"/>
        </w:rPr>
      </w:pPr>
    </w:p>
    <w:p w14:paraId="33A7C756">
      <w:pPr>
        <w:spacing w:line="440" w:lineRule="exact"/>
        <w:rPr>
          <w:rFonts w:hint="eastAsia"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u w:val="single"/>
        </w:rPr>
        <w:t xml:space="preserve">　             </w:t>
      </w:r>
      <w:r>
        <w:rPr>
          <w:rFonts w:hint="eastAsia" w:ascii="宋体" w:hAnsi="宋体" w:cs="宋体"/>
          <w:color w:val="auto"/>
          <w:szCs w:val="21"/>
        </w:rPr>
        <w:t>（项目名称）招标的评标委员会，对你方的投标文件进行了仔细的审查，现需你方对下列问题以书面形式予以澄清：</w:t>
      </w:r>
    </w:p>
    <w:p w14:paraId="6235C107">
      <w:pPr>
        <w:spacing w:line="440" w:lineRule="exact"/>
        <w:rPr>
          <w:rFonts w:hint="eastAsia" w:ascii="宋体" w:hAnsi="宋体" w:cs="宋体"/>
          <w:color w:val="auto"/>
          <w:szCs w:val="21"/>
        </w:rPr>
      </w:pPr>
      <w:r>
        <w:rPr>
          <w:rFonts w:hint="eastAsia" w:ascii="宋体" w:hAnsi="宋体" w:cs="宋体"/>
          <w:color w:val="auto"/>
          <w:szCs w:val="21"/>
        </w:rPr>
        <w:t>　　</w:t>
      </w:r>
    </w:p>
    <w:p w14:paraId="2A45314D">
      <w:pPr>
        <w:spacing w:line="440" w:lineRule="exact"/>
        <w:rPr>
          <w:rFonts w:hint="eastAsia" w:ascii="宋体" w:hAnsi="宋体" w:cs="宋体"/>
          <w:color w:val="auto"/>
          <w:szCs w:val="21"/>
        </w:rPr>
      </w:pPr>
      <w:r>
        <w:rPr>
          <w:rFonts w:hint="eastAsia" w:ascii="宋体" w:hAnsi="宋体" w:cs="宋体"/>
          <w:color w:val="auto"/>
          <w:szCs w:val="21"/>
        </w:rPr>
        <w:t xml:space="preserve">    1.</w:t>
      </w:r>
    </w:p>
    <w:p w14:paraId="191A0834">
      <w:pPr>
        <w:spacing w:line="440" w:lineRule="exact"/>
        <w:rPr>
          <w:rFonts w:hint="eastAsia" w:ascii="宋体" w:hAnsi="宋体" w:cs="宋体"/>
          <w:color w:val="auto"/>
          <w:szCs w:val="21"/>
        </w:rPr>
      </w:pPr>
      <w:r>
        <w:rPr>
          <w:rFonts w:hint="eastAsia" w:ascii="宋体" w:hAnsi="宋体" w:cs="宋体"/>
          <w:color w:val="auto"/>
          <w:szCs w:val="21"/>
        </w:rPr>
        <w:t xml:space="preserve">    2.</w:t>
      </w:r>
    </w:p>
    <w:p w14:paraId="0CAF376F">
      <w:pPr>
        <w:spacing w:line="440" w:lineRule="exact"/>
        <w:rPr>
          <w:rFonts w:hint="eastAsia" w:ascii="宋体" w:hAnsi="宋体" w:cs="宋体"/>
          <w:color w:val="auto"/>
          <w:szCs w:val="21"/>
        </w:rPr>
      </w:pPr>
      <w:r>
        <w:rPr>
          <w:rFonts w:hint="eastAsia" w:ascii="宋体" w:hAnsi="宋体" w:cs="宋体"/>
          <w:color w:val="auto"/>
          <w:szCs w:val="21"/>
        </w:rPr>
        <w:t xml:space="preserve">     ......   </w:t>
      </w:r>
    </w:p>
    <w:p w14:paraId="165C9F62">
      <w:pPr>
        <w:spacing w:line="440" w:lineRule="exact"/>
        <w:rPr>
          <w:rFonts w:hint="eastAsia" w:ascii="宋体" w:hAnsi="宋体" w:cs="宋体"/>
          <w:color w:val="auto"/>
          <w:szCs w:val="21"/>
        </w:rPr>
      </w:pPr>
      <w:r>
        <w:rPr>
          <w:rFonts w:hint="eastAsia" w:ascii="宋体" w:hAnsi="宋体" w:cs="宋体"/>
          <w:color w:val="auto"/>
          <w:szCs w:val="21"/>
        </w:rPr>
        <w:t>　　　</w:t>
      </w:r>
    </w:p>
    <w:p w14:paraId="4A0230AC">
      <w:pPr>
        <w:spacing w:line="440" w:lineRule="exact"/>
        <w:rPr>
          <w:rFonts w:hint="eastAsia" w:ascii="宋体" w:hAnsi="宋体" w:cs="宋体"/>
          <w:color w:val="auto"/>
          <w:szCs w:val="21"/>
        </w:rPr>
      </w:pPr>
      <w:r>
        <w:rPr>
          <w:rFonts w:hint="eastAsia" w:ascii="宋体" w:hAnsi="宋体" w:cs="宋体"/>
          <w:color w:val="auto"/>
          <w:szCs w:val="21"/>
        </w:rPr>
        <w:t>　　请将上述问题的澄清于年月日时前递交至（详细地址）或传真至</w:t>
      </w:r>
      <w:bookmarkStart w:id="400" w:name="_Toc439246049"/>
      <w:bookmarkStart w:id="401" w:name="_Toc357089563"/>
      <w:bookmarkStart w:id="402" w:name="_Toc144974549"/>
      <w:bookmarkStart w:id="403" w:name="_Toc300835003"/>
      <w:bookmarkStart w:id="404" w:name="_Toc439240650"/>
      <w:bookmarkStart w:id="405" w:name="_Toc356469229"/>
      <w:bookmarkStart w:id="406" w:name="_Toc247527607"/>
      <w:bookmarkStart w:id="407" w:name="_Toc152045582"/>
      <w:bookmarkStart w:id="408" w:name="_Toc247514006"/>
      <w:bookmarkStart w:id="409" w:name="_Toc152042359"/>
      <w:r>
        <w:rPr>
          <w:rFonts w:hint="eastAsia" w:ascii="宋体" w:hAnsi="宋体" w:cs="宋体"/>
          <w:color w:val="auto"/>
          <w:szCs w:val="21"/>
        </w:rPr>
        <w:t>（传真号码</w:t>
      </w:r>
      <w:bookmarkEnd w:id="400"/>
      <w:bookmarkEnd w:id="401"/>
      <w:bookmarkEnd w:id="402"/>
      <w:bookmarkEnd w:id="403"/>
      <w:bookmarkEnd w:id="404"/>
      <w:bookmarkEnd w:id="405"/>
      <w:bookmarkEnd w:id="406"/>
      <w:bookmarkEnd w:id="407"/>
      <w:bookmarkEnd w:id="408"/>
      <w:bookmarkEnd w:id="409"/>
      <w:r>
        <w:rPr>
          <w:rFonts w:hint="eastAsia" w:ascii="宋体" w:hAnsi="宋体" w:cs="宋体"/>
          <w:color w:val="auto"/>
          <w:szCs w:val="21"/>
        </w:rPr>
        <w:t>）。采用传真方式的，应在年月日时前将原件递交至（详细地址）。</w:t>
      </w:r>
    </w:p>
    <w:p w14:paraId="4E5097D3">
      <w:pPr>
        <w:spacing w:line="440" w:lineRule="exact"/>
        <w:rPr>
          <w:rFonts w:hint="eastAsia" w:ascii="宋体" w:hAnsi="宋体" w:cs="宋体"/>
          <w:color w:val="auto"/>
          <w:szCs w:val="21"/>
        </w:rPr>
      </w:pPr>
    </w:p>
    <w:p w14:paraId="456F367C">
      <w:pPr>
        <w:spacing w:line="440" w:lineRule="exact"/>
        <w:rPr>
          <w:rFonts w:hint="eastAsia" w:ascii="宋体" w:hAnsi="宋体" w:cs="宋体"/>
          <w:color w:val="auto"/>
          <w:szCs w:val="21"/>
        </w:rPr>
      </w:pPr>
    </w:p>
    <w:p w14:paraId="10000BCF">
      <w:pPr>
        <w:spacing w:line="440" w:lineRule="exact"/>
        <w:jc w:val="center"/>
        <w:rPr>
          <w:rFonts w:hint="eastAsia" w:ascii="宋体" w:hAnsi="宋体" w:cs="宋体"/>
          <w:color w:val="auto"/>
          <w:szCs w:val="21"/>
        </w:rPr>
      </w:pPr>
      <w:r>
        <w:rPr>
          <w:rFonts w:hint="eastAsia" w:ascii="宋体" w:hAnsi="宋体" w:cs="宋体"/>
          <w:color w:val="auto"/>
          <w:szCs w:val="21"/>
        </w:rPr>
        <w:t>评标委员会</w:t>
      </w:r>
    </w:p>
    <w:p w14:paraId="743D777A">
      <w:pPr>
        <w:spacing w:line="440" w:lineRule="exact"/>
        <w:rPr>
          <w:rFonts w:hint="eastAsia" w:ascii="宋体" w:hAnsi="宋体" w:cs="宋体"/>
          <w:color w:val="auto"/>
          <w:szCs w:val="21"/>
        </w:rPr>
      </w:pPr>
    </w:p>
    <w:p w14:paraId="760BAB9C">
      <w:pPr>
        <w:spacing w:line="440" w:lineRule="exact"/>
        <w:ind w:firstLine="5670" w:firstLineChars="2700"/>
        <w:rPr>
          <w:rFonts w:hint="eastAsia" w:ascii="宋体" w:hAnsi="宋体" w:cs="宋体"/>
          <w:color w:val="auto"/>
          <w:szCs w:val="21"/>
        </w:rPr>
      </w:pPr>
      <w:r>
        <w:rPr>
          <w:rFonts w:hint="eastAsia" w:ascii="宋体" w:hAnsi="宋体" w:cs="宋体"/>
          <w:color w:val="auto"/>
          <w:szCs w:val="21"/>
        </w:rPr>
        <w:t>年  月  日</w:t>
      </w:r>
    </w:p>
    <w:p w14:paraId="6FC6937C">
      <w:pPr>
        <w:spacing w:line="400" w:lineRule="exact"/>
        <w:rPr>
          <w:rFonts w:hint="eastAsia" w:ascii="宋体" w:hAnsi="宋体" w:cs="宋体"/>
          <w:color w:val="auto"/>
        </w:rPr>
      </w:pPr>
    </w:p>
    <w:p w14:paraId="44E235E3">
      <w:pPr>
        <w:spacing w:line="400" w:lineRule="exact"/>
        <w:rPr>
          <w:rFonts w:hint="eastAsia" w:ascii="宋体" w:hAnsi="宋体" w:cs="宋体"/>
          <w:color w:val="auto"/>
        </w:rPr>
      </w:pPr>
      <w:r>
        <w:rPr>
          <w:rFonts w:hint="eastAsia" w:ascii="宋体" w:hAnsi="宋体" w:cs="宋体"/>
          <w:color w:val="auto"/>
        </w:rPr>
        <w:br w:type="page"/>
      </w:r>
    </w:p>
    <w:p w14:paraId="0BD11485">
      <w:pPr>
        <w:pStyle w:val="4"/>
        <w:rPr>
          <w:rFonts w:hint="eastAsia" w:ascii="宋体" w:eastAsia="宋体" w:cs="宋体"/>
          <w:color w:val="auto"/>
        </w:rPr>
      </w:pPr>
      <w:bookmarkStart w:id="410" w:name="_Toc27079"/>
      <w:r>
        <w:rPr>
          <w:rFonts w:hint="eastAsia" w:ascii="宋体" w:eastAsia="宋体" w:cs="宋体"/>
          <w:color w:val="auto"/>
        </w:rPr>
        <w:t>附件三：问题的澄清</w:t>
      </w:r>
      <w:bookmarkEnd w:id="410"/>
    </w:p>
    <w:p w14:paraId="2E1EB2D0">
      <w:pPr>
        <w:spacing w:line="400" w:lineRule="exact"/>
        <w:jc w:val="center"/>
        <w:rPr>
          <w:rFonts w:hint="eastAsia" w:ascii="宋体" w:hAnsi="宋体" w:cs="宋体"/>
          <w:color w:val="auto"/>
          <w:sz w:val="28"/>
          <w:szCs w:val="28"/>
        </w:rPr>
      </w:pPr>
    </w:p>
    <w:p w14:paraId="5370DE95">
      <w:pPr>
        <w:spacing w:line="400" w:lineRule="exact"/>
        <w:jc w:val="center"/>
        <w:rPr>
          <w:rFonts w:hint="eastAsia" w:ascii="宋体" w:hAnsi="宋体" w:cs="宋体"/>
          <w:color w:val="auto"/>
          <w:sz w:val="28"/>
          <w:szCs w:val="28"/>
        </w:rPr>
      </w:pPr>
      <w:r>
        <w:rPr>
          <w:rFonts w:hint="eastAsia" w:ascii="宋体" w:hAnsi="宋体" w:cs="宋体"/>
          <w:color w:val="auto"/>
          <w:sz w:val="28"/>
          <w:szCs w:val="28"/>
        </w:rPr>
        <w:t>问题的澄清</w:t>
      </w:r>
    </w:p>
    <w:p w14:paraId="5DA37B36">
      <w:pPr>
        <w:spacing w:line="400" w:lineRule="exact"/>
        <w:ind w:firstLine="3465" w:firstLineChars="1650"/>
        <w:rPr>
          <w:rFonts w:hint="eastAsia" w:ascii="宋体" w:hAnsi="宋体" w:cs="宋体"/>
          <w:color w:val="auto"/>
        </w:rPr>
      </w:pPr>
      <w:r>
        <w:rPr>
          <w:rFonts w:hint="eastAsia" w:ascii="宋体" w:hAnsi="宋体" w:cs="宋体"/>
          <w:color w:val="auto"/>
        </w:rPr>
        <w:t xml:space="preserve">编号： </w:t>
      </w:r>
    </w:p>
    <w:p w14:paraId="105BAD69">
      <w:pPr>
        <w:spacing w:line="400" w:lineRule="exact"/>
        <w:rPr>
          <w:rFonts w:hint="eastAsia" w:ascii="宋体" w:hAnsi="宋体" w:cs="宋体"/>
          <w:color w:val="auto"/>
          <w:szCs w:val="21"/>
        </w:rPr>
      </w:pPr>
    </w:p>
    <w:p w14:paraId="663D6C22">
      <w:pPr>
        <w:spacing w:line="440" w:lineRule="exact"/>
        <w:rPr>
          <w:rFonts w:hint="eastAsia" w:ascii="宋体" w:hAnsi="宋体" w:cs="宋体"/>
          <w:color w:val="auto"/>
          <w:szCs w:val="21"/>
        </w:rPr>
      </w:pPr>
      <w:r>
        <w:rPr>
          <w:rFonts w:hint="eastAsia" w:ascii="宋体" w:hAnsi="宋体" w:cs="宋体"/>
          <w:color w:val="auto"/>
          <w:szCs w:val="21"/>
        </w:rPr>
        <w:t>（项目名称）招标评标委员会：</w:t>
      </w:r>
    </w:p>
    <w:p w14:paraId="7444DD89">
      <w:pPr>
        <w:spacing w:line="440" w:lineRule="exact"/>
        <w:rPr>
          <w:rFonts w:hint="eastAsia" w:ascii="宋体" w:hAnsi="宋体" w:cs="宋体"/>
          <w:color w:val="auto"/>
          <w:szCs w:val="21"/>
        </w:rPr>
      </w:pPr>
    </w:p>
    <w:p w14:paraId="33F9BA81">
      <w:pPr>
        <w:spacing w:line="440" w:lineRule="exact"/>
        <w:rPr>
          <w:rFonts w:hint="eastAsia" w:ascii="宋体" w:hAnsi="宋体" w:cs="宋体"/>
          <w:color w:val="auto"/>
          <w:szCs w:val="21"/>
        </w:rPr>
      </w:pPr>
      <w:r>
        <w:rPr>
          <w:rFonts w:hint="eastAsia" w:ascii="宋体" w:hAnsi="宋体" w:cs="宋体"/>
          <w:color w:val="auto"/>
          <w:szCs w:val="21"/>
        </w:rPr>
        <w:t>　　问题澄清通知（编号：）已收悉，现澄清如下：</w:t>
      </w:r>
    </w:p>
    <w:p w14:paraId="068E20BA">
      <w:pPr>
        <w:spacing w:line="440" w:lineRule="exact"/>
        <w:rPr>
          <w:rFonts w:hint="eastAsia" w:ascii="宋体" w:hAnsi="宋体" w:cs="宋体"/>
          <w:color w:val="auto"/>
          <w:szCs w:val="21"/>
        </w:rPr>
      </w:pPr>
      <w:r>
        <w:rPr>
          <w:rFonts w:hint="eastAsia" w:ascii="宋体" w:hAnsi="宋体" w:cs="宋体"/>
          <w:color w:val="auto"/>
          <w:szCs w:val="21"/>
        </w:rPr>
        <w:t>　     1.</w:t>
      </w:r>
    </w:p>
    <w:p w14:paraId="5CD911AD">
      <w:pPr>
        <w:spacing w:line="440" w:lineRule="exact"/>
        <w:rPr>
          <w:rFonts w:hint="eastAsia" w:ascii="宋体" w:hAnsi="宋体" w:cs="宋体"/>
          <w:color w:val="auto"/>
          <w:szCs w:val="21"/>
        </w:rPr>
      </w:pPr>
      <w:r>
        <w:rPr>
          <w:rFonts w:hint="eastAsia" w:ascii="宋体" w:hAnsi="宋体" w:cs="宋体"/>
          <w:color w:val="auto"/>
          <w:szCs w:val="21"/>
        </w:rPr>
        <w:t>　     2.</w:t>
      </w:r>
    </w:p>
    <w:p w14:paraId="0040AE5D">
      <w:pPr>
        <w:spacing w:line="440" w:lineRule="exact"/>
        <w:rPr>
          <w:rFonts w:hint="eastAsia" w:ascii="宋体" w:hAnsi="宋体" w:cs="宋体"/>
          <w:color w:val="auto"/>
          <w:szCs w:val="21"/>
        </w:rPr>
      </w:pPr>
      <w:r>
        <w:rPr>
          <w:rFonts w:hint="eastAsia" w:ascii="宋体" w:hAnsi="宋体" w:cs="宋体"/>
          <w:color w:val="auto"/>
          <w:szCs w:val="21"/>
        </w:rPr>
        <w:t>　    .....</w:t>
      </w:r>
    </w:p>
    <w:p w14:paraId="7B01315F">
      <w:pPr>
        <w:spacing w:line="440" w:lineRule="exact"/>
        <w:rPr>
          <w:rFonts w:hint="eastAsia" w:ascii="宋体" w:hAnsi="宋体" w:cs="宋体"/>
          <w:color w:val="auto"/>
          <w:szCs w:val="21"/>
        </w:rPr>
      </w:pPr>
    </w:p>
    <w:p w14:paraId="760FE5DB">
      <w:pPr>
        <w:spacing w:line="440" w:lineRule="exact"/>
        <w:rPr>
          <w:rFonts w:hint="eastAsia" w:ascii="宋体" w:hAnsi="宋体" w:cs="宋体"/>
          <w:color w:val="auto"/>
          <w:szCs w:val="21"/>
        </w:rPr>
      </w:pPr>
      <w:r>
        <w:rPr>
          <w:rFonts w:hint="eastAsia" w:ascii="宋体" w:hAnsi="宋体" w:cs="宋体"/>
          <w:color w:val="auto"/>
          <w:szCs w:val="21"/>
        </w:rPr>
        <w:t xml:space="preserve">　 </w:t>
      </w:r>
    </w:p>
    <w:p w14:paraId="37235475">
      <w:pPr>
        <w:spacing w:line="440" w:lineRule="exact"/>
        <w:rPr>
          <w:rFonts w:hint="eastAsia" w:ascii="宋体" w:hAnsi="宋体" w:cs="宋体"/>
          <w:color w:val="auto"/>
          <w:szCs w:val="21"/>
        </w:rPr>
      </w:pPr>
    </w:p>
    <w:p w14:paraId="1F35E4CE">
      <w:pPr>
        <w:spacing w:line="440" w:lineRule="exact"/>
        <w:rPr>
          <w:rFonts w:hint="eastAsia" w:ascii="宋体" w:hAnsi="宋体" w:cs="宋体"/>
          <w:color w:val="auto"/>
          <w:szCs w:val="21"/>
        </w:rPr>
      </w:pPr>
    </w:p>
    <w:p w14:paraId="76C55D09">
      <w:pPr>
        <w:spacing w:line="440" w:lineRule="exact"/>
        <w:rPr>
          <w:rFonts w:hint="eastAsia" w:ascii="宋体" w:hAnsi="宋体" w:cs="宋体"/>
          <w:color w:val="auto"/>
          <w:szCs w:val="21"/>
        </w:rPr>
      </w:pPr>
    </w:p>
    <w:p w14:paraId="02FE5C7F">
      <w:pPr>
        <w:spacing w:line="440" w:lineRule="exact"/>
        <w:rPr>
          <w:rFonts w:hint="eastAsia" w:ascii="宋体" w:hAnsi="宋体" w:cs="宋体"/>
          <w:color w:val="auto"/>
          <w:szCs w:val="21"/>
        </w:rPr>
      </w:pPr>
    </w:p>
    <w:p w14:paraId="2405022E">
      <w:pPr>
        <w:spacing w:line="440" w:lineRule="exact"/>
        <w:rPr>
          <w:rFonts w:hint="eastAsia" w:ascii="宋体" w:hAnsi="宋体" w:cs="宋体"/>
          <w:color w:val="auto"/>
          <w:szCs w:val="21"/>
        </w:rPr>
      </w:pPr>
      <w:r>
        <w:rPr>
          <w:rFonts w:hint="eastAsia" w:ascii="宋体" w:hAnsi="宋体" w:cs="宋体"/>
          <w:color w:val="auto"/>
          <w:szCs w:val="21"/>
        </w:rPr>
        <w:t>　　　　　　　　　　　　　　　投标人：（盖单位章）</w:t>
      </w:r>
    </w:p>
    <w:p w14:paraId="4CA35AB1">
      <w:pPr>
        <w:spacing w:line="440" w:lineRule="exact"/>
        <w:rPr>
          <w:rFonts w:hint="eastAsia" w:ascii="宋体" w:hAnsi="宋体" w:cs="宋体"/>
          <w:color w:val="auto"/>
          <w:szCs w:val="21"/>
        </w:rPr>
      </w:pPr>
      <w:r>
        <w:rPr>
          <w:rFonts w:hint="eastAsia" w:ascii="宋体" w:hAnsi="宋体" w:cs="宋体"/>
          <w:color w:val="auto"/>
          <w:szCs w:val="21"/>
        </w:rPr>
        <w:t>　　　　　　　　　　　　　　　</w:t>
      </w:r>
    </w:p>
    <w:p w14:paraId="1CB9A597">
      <w:pPr>
        <w:spacing w:line="440" w:lineRule="exact"/>
        <w:rPr>
          <w:rFonts w:hint="eastAsia" w:ascii="宋体" w:hAnsi="宋体" w:cs="宋体"/>
          <w:color w:val="auto"/>
          <w:szCs w:val="21"/>
        </w:rPr>
      </w:pPr>
      <w:r>
        <w:rPr>
          <w:rFonts w:hint="eastAsia" w:ascii="宋体" w:hAnsi="宋体" w:cs="宋体"/>
          <w:color w:val="auto"/>
          <w:szCs w:val="21"/>
        </w:rPr>
        <w:t>　　　　　　　　　　　　　　　法定代表人或其委托代理人：（签字）</w:t>
      </w:r>
    </w:p>
    <w:p w14:paraId="4D623314">
      <w:pPr>
        <w:spacing w:line="440" w:lineRule="exact"/>
        <w:rPr>
          <w:rFonts w:hint="eastAsia" w:ascii="宋体" w:hAnsi="宋体" w:cs="宋体"/>
          <w:color w:val="auto"/>
          <w:szCs w:val="21"/>
        </w:rPr>
      </w:pPr>
      <w:r>
        <w:rPr>
          <w:rFonts w:hint="eastAsia" w:ascii="宋体" w:hAnsi="宋体" w:cs="宋体"/>
          <w:color w:val="auto"/>
          <w:szCs w:val="21"/>
        </w:rPr>
        <w:t>　　　　　　</w:t>
      </w:r>
      <w:bookmarkStart w:id="411" w:name="_Toc300835004"/>
      <w:bookmarkStart w:id="412" w:name="_Toc144974550"/>
      <w:bookmarkStart w:id="413" w:name="_Toc439246050"/>
      <w:bookmarkStart w:id="414" w:name="_Toc439240651"/>
      <w:bookmarkStart w:id="415" w:name="_Toc247514007"/>
      <w:bookmarkStart w:id="416" w:name="_Toc247527608"/>
      <w:bookmarkStart w:id="417" w:name="_Toc357089564"/>
      <w:bookmarkStart w:id="418" w:name="_Toc356469230"/>
      <w:bookmarkStart w:id="419" w:name="_Toc152042360"/>
      <w:bookmarkStart w:id="420" w:name="_Toc152045583"/>
      <w:r>
        <w:rPr>
          <w:rFonts w:hint="eastAsia" w:ascii="宋体" w:hAnsi="宋体" w:cs="宋体"/>
          <w:color w:val="auto"/>
          <w:szCs w:val="21"/>
        </w:rPr>
        <w:t>　　　　　　　　　</w:t>
      </w:r>
      <w:bookmarkEnd w:id="411"/>
      <w:bookmarkEnd w:id="412"/>
      <w:bookmarkEnd w:id="413"/>
      <w:bookmarkEnd w:id="414"/>
      <w:bookmarkEnd w:id="415"/>
      <w:bookmarkEnd w:id="416"/>
      <w:bookmarkEnd w:id="417"/>
      <w:bookmarkEnd w:id="418"/>
      <w:bookmarkEnd w:id="419"/>
      <w:bookmarkEnd w:id="420"/>
    </w:p>
    <w:p w14:paraId="5E705FF3">
      <w:pPr>
        <w:spacing w:line="440" w:lineRule="exact"/>
        <w:rPr>
          <w:rFonts w:hint="eastAsia" w:ascii="宋体" w:hAnsi="宋体" w:cs="宋体"/>
          <w:color w:val="auto"/>
          <w:szCs w:val="21"/>
        </w:rPr>
      </w:pPr>
      <w:r>
        <w:rPr>
          <w:rFonts w:hint="eastAsia" w:ascii="宋体" w:hAnsi="宋体" w:cs="宋体"/>
          <w:color w:val="auto"/>
          <w:szCs w:val="21"/>
        </w:rPr>
        <w:t>　　　　　　　　　　　　　　　        年  月   日</w:t>
      </w:r>
    </w:p>
    <w:p w14:paraId="3E0FCC5A">
      <w:pPr>
        <w:spacing w:line="440" w:lineRule="exact"/>
        <w:rPr>
          <w:rFonts w:hint="eastAsia" w:ascii="宋体" w:hAnsi="宋体" w:cs="宋体"/>
          <w:color w:val="auto"/>
        </w:rPr>
      </w:pPr>
    </w:p>
    <w:p w14:paraId="416B4011">
      <w:pPr>
        <w:pStyle w:val="35"/>
        <w:rPr>
          <w:rFonts w:hint="eastAsia" w:ascii="宋体" w:hAnsi="宋体" w:cs="宋体"/>
          <w:color w:val="auto"/>
        </w:rPr>
      </w:pPr>
    </w:p>
    <w:p w14:paraId="3BDF496E">
      <w:pPr>
        <w:pStyle w:val="35"/>
        <w:rPr>
          <w:rFonts w:hint="eastAsia" w:ascii="宋体" w:hAnsi="宋体" w:cs="宋体"/>
          <w:color w:val="auto"/>
        </w:rPr>
      </w:pPr>
    </w:p>
    <w:p w14:paraId="6F0B5969">
      <w:pPr>
        <w:pStyle w:val="35"/>
        <w:rPr>
          <w:rFonts w:hint="eastAsia" w:ascii="宋体" w:hAnsi="宋体" w:cs="宋体"/>
          <w:color w:val="auto"/>
        </w:rPr>
      </w:pPr>
    </w:p>
    <w:p w14:paraId="51B92143">
      <w:pPr>
        <w:pStyle w:val="35"/>
        <w:rPr>
          <w:rFonts w:hint="eastAsia" w:ascii="宋体" w:hAnsi="宋体" w:cs="宋体"/>
          <w:color w:val="auto"/>
        </w:rPr>
      </w:pPr>
    </w:p>
    <w:p w14:paraId="0354B4D5">
      <w:pPr>
        <w:pStyle w:val="35"/>
        <w:rPr>
          <w:rFonts w:hint="eastAsia" w:ascii="宋体" w:hAnsi="宋体" w:cs="宋体"/>
          <w:color w:val="auto"/>
        </w:rPr>
      </w:pPr>
    </w:p>
    <w:p w14:paraId="36E10015">
      <w:pPr>
        <w:pStyle w:val="35"/>
        <w:rPr>
          <w:rFonts w:hint="eastAsia" w:ascii="宋体" w:hAnsi="宋体" w:cs="宋体"/>
          <w:color w:val="auto"/>
        </w:rPr>
      </w:pPr>
    </w:p>
    <w:p w14:paraId="59CA7395">
      <w:pPr>
        <w:pStyle w:val="35"/>
        <w:rPr>
          <w:rFonts w:hint="eastAsia" w:ascii="宋体" w:hAnsi="宋体" w:cs="宋体"/>
          <w:color w:val="auto"/>
        </w:rPr>
      </w:pPr>
    </w:p>
    <w:p w14:paraId="4798342B">
      <w:pPr>
        <w:pStyle w:val="4"/>
        <w:rPr>
          <w:rFonts w:hint="eastAsia" w:ascii="宋体" w:eastAsia="宋体" w:cs="宋体"/>
          <w:color w:val="auto"/>
        </w:rPr>
      </w:pPr>
      <w:bookmarkStart w:id="421" w:name="_Toc28476"/>
      <w:r>
        <w:rPr>
          <w:rFonts w:hint="eastAsia" w:ascii="宋体" w:eastAsia="宋体" w:cs="宋体"/>
          <w:color w:val="auto"/>
        </w:rPr>
        <w:t>附件四：评标委员会成员声明</w:t>
      </w:r>
      <w:bookmarkEnd w:id="421"/>
    </w:p>
    <w:p w14:paraId="4FF88D59">
      <w:pPr>
        <w:ind w:firstLine="640" w:firstLineChars="200"/>
        <w:jc w:val="center"/>
        <w:rPr>
          <w:rFonts w:hint="eastAsia" w:ascii="宋体" w:hAnsi="宋体" w:cs="宋体"/>
          <w:color w:val="auto"/>
          <w:sz w:val="32"/>
          <w:szCs w:val="32"/>
        </w:rPr>
      </w:pPr>
      <w:r>
        <w:rPr>
          <w:rFonts w:hint="eastAsia" w:ascii="宋体" w:hAnsi="宋体" w:cs="宋体"/>
          <w:color w:val="auto"/>
          <w:sz w:val="32"/>
          <w:szCs w:val="32"/>
        </w:rPr>
        <w:t>评标委员会成员声明</w:t>
      </w:r>
    </w:p>
    <w:p w14:paraId="77002A41">
      <w:pPr>
        <w:spacing w:line="360" w:lineRule="auto"/>
        <w:rPr>
          <w:rFonts w:hint="eastAsia" w:ascii="宋体" w:hAnsi="宋体" w:cs="宋体"/>
          <w:color w:val="auto"/>
          <w:sz w:val="24"/>
        </w:rPr>
      </w:pPr>
      <w:r>
        <w:rPr>
          <w:rFonts w:hint="eastAsia" w:ascii="宋体" w:hAnsi="宋体" w:cs="宋体"/>
          <w:color w:val="auto"/>
          <w:sz w:val="24"/>
          <w:u w:val="single"/>
        </w:rPr>
        <w:t xml:space="preserve">   本项目招标人  </w:t>
      </w:r>
      <w:r>
        <w:rPr>
          <w:rFonts w:hint="eastAsia" w:ascii="宋体" w:hAnsi="宋体" w:cs="宋体"/>
          <w:color w:val="auto"/>
          <w:sz w:val="24"/>
        </w:rPr>
        <w:t>：</w:t>
      </w:r>
    </w:p>
    <w:p w14:paraId="3F5FF1E0">
      <w:pPr>
        <w:spacing w:line="360" w:lineRule="auto"/>
        <w:ind w:firstLine="480" w:firstLineChars="200"/>
        <w:rPr>
          <w:rFonts w:hint="eastAsia" w:ascii="宋体" w:hAnsi="宋体" w:cs="宋体"/>
          <w:color w:val="auto"/>
          <w:sz w:val="24"/>
        </w:rPr>
      </w:pPr>
      <w:r>
        <w:rPr>
          <w:rFonts w:hint="eastAsia" w:ascii="宋体" w:hAnsi="宋体" w:cs="宋体"/>
          <w:color w:val="auto"/>
          <w:sz w:val="24"/>
        </w:rPr>
        <w:t>本人就参与</w:t>
      </w:r>
      <w:r>
        <w:rPr>
          <w:rFonts w:hint="eastAsia" w:ascii="宋体" w:hAnsi="宋体" w:cs="宋体"/>
          <w:color w:val="auto"/>
          <w:sz w:val="24"/>
          <w:u w:val="single"/>
        </w:rPr>
        <w:t xml:space="preserve">               </w:t>
      </w:r>
      <w:r>
        <w:rPr>
          <w:rFonts w:hint="eastAsia" w:ascii="宋体" w:hAnsi="宋体" w:cs="宋体"/>
          <w:color w:val="auto"/>
          <w:sz w:val="24"/>
        </w:rPr>
        <w:t>项目的评标工作，作出郑重声明：</w:t>
      </w:r>
    </w:p>
    <w:p w14:paraId="18907E09">
      <w:pPr>
        <w:spacing w:line="360" w:lineRule="auto"/>
        <w:ind w:firstLine="480" w:firstLineChars="200"/>
        <w:rPr>
          <w:rFonts w:hint="eastAsia" w:ascii="宋体" w:hAnsi="宋体" w:cs="宋体"/>
          <w:color w:val="auto"/>
          <w:sz w:val="24"/>
        </w:rPr>
      </w:pPr>
      <w:r>
        <w:rPr>
          <w:rFonts w:hint="eastAsia" w:ascii="宋体" w:hAnsi="宋体" w:cs="宋体"/>
          <w:color w:val="auto"/>
          <w:sz w:val="24"/>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49401C71">
      <w:pPr>
        <w:spacing w:line="360" w:lineRule="auto"/>
        <w:ind w:firstLine="480" w:firstLineChars="200"/>
        <w:rPr>
          <w:rFonts w:hint="eastAsia" w:ascii="宋体" w:hAnsi="宋体" w:cs="宋体"/>
          <w:color w:val="auto"/>
          <w:sz w:val="24"/>
        </w:rPr>
      </w:pPr>
      <w:r>
        <w:rPr>
          <w:rFonts w:hint="eastAsia" w:ascii="宋体" w:hAnsi="宋体" w:cs="宋体"/>
          <w:color w:val="auto"/>
          <w:sz w:val="24"/>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48A9C09D">
      <w:pPr>
        <w:spacing w:line="360" w:lineRule="auto"/>
        <w:ind w:firstLine="480" w:firstLineChars="200"/>
        <w:rPr>
          <w:rFonts w:hint="eastAsia" w:ascii="宋体" w:hAnsi="宋体" w:cs="宋体"/>
          <w:color w:val="auto"/>
          <w:sz w:val="24"/>
        </w:rPr>
      </w:pPr>
      <w:r>
        <w:rPr>
          <w:rFonts w:hint="eastAsia" w:ascii="宋体" w:hAnsi="宋体" w:cs="宋体"/>
          <w:color w:val="auto"/>
          <w:sz w:val="24"/>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3653A0AD">
      <w:pPr>
        <w:spacing w:line="360" w:lineRule="auto"/>
        <w:ind w:firstLine="480" w:firstLineChars="200"/>
        <w:rPr>
          <w:rFonts w:hint="eastAsia" w:ascii="宋体" w:hAnsi="宋体" w:cs="宋体"/>
          <w:color w:val="auto"/>
          <w:sz w:val="24"/>
        </w:rPr>
      </w:pPr>
      <w:r>
        <w:rPr>
          <w:rFonts w:hint="eastAsia" w:ascii="宋体" w:hAnsi="宋体" w:cs="宋体"/>
          <w:color w:val="auto"/>
          <w:sz w:val="24"/>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393F7606">
      <w:pPr>
        <w:spacing w:line="360" w:lineRule="auto"/>
        <w:ind w:firstLine="480" w:firstLineChars="200"/>
        <w:rPr>
          <w:rFonts w:hint="eastAsia" w:ascii="宋体" w:hAnsi="宋体" w:cs="宋体"/>
          <w:color w:val="auto"/>
          <w:sz w:val="24"/>
        </w:rPr>
      </w:pPr>
      <w:r>
        <w:rPr>
          <w:rFonts w:hint="eastAsia" w:ascii="宋体" w:hAnsi="宋体" w:cs="宋体"/>
          <w:color w:val="auto"/>
          <w:sz w:val="24"/>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681F805C">
      <w:pPr>
        <w:spacing w:line="360" w:lineRule="auto"/>
        <w:ind w:firstLine="480" w:firstLineChars="200"/>
        <w:rPr>
          <w:rFonts w:hint="eastAsia" w:ascii="宋体" w:hAnsi="宋体" w:cs="宋体"/>
          <w:color w:val="auto"/>
          <w:sz w:val="24"/>
        </w:rPr>
      </w:pPr>
      <w:r>
        <w:rPr>
          <w:rFonts w:hint="eastAsia" w:ascii="宋体" w:hAnsi="宋体" w:cs="宋体"/>
          <w:color w:val="auto"/>
          <w:sz w:val="24"/>
        </w:rPr>
        <w:t>如果本人违反上述声明内容，造成的后果由本人自行承担。</w:t>
      </w:r>
    </w:p>
    <w:p w14:paraId="18114DF7">
      <w:pPr>
        <w:pStyle w:val="35"/>
        <w:spacing w:line="360" w:lineRule="auto"/>
        <w:rPr>
          <w:rFonts w:hint="eastAsia" w:ascii="宋体" w:hAnsi="宋体" w:cs="宋体"/>
          <w:color w:val="auto"/>
        </w:rPr>
      </w:pPr>
      <w:r>
        <w:rPr>
          <w:rFonts w:hint="eastAsia" w:ascii="宋体" w:hAnsi="宋体" w:cs="宋体"/>
          <w:color w:val="auto"/>
          <w:sz w:val="24"/>
          <w:szCs w:val="24"/>
        </w:rPr>
        <w:t xml:space="preserve">                             声明人：</w:t>
      </w:r>
      <w:r>
        <w:rPr>
          <w:rFonts w:hint="eastAsia" w:ascii="宋体" w:hAnsi="宋体" w:cs="宋体"/>
          <w:color w:val="auto"/>
          <w:sz w:val="24"/>
          <w:szCs w:val="24"/>
          <w:u w:val="single"/>
        </w:rPr>
        <w:t xml:space="preserve">（签名）  </w:t>
      </w:r>
    </w:p>
    <w:p w14:paraId="22369C4D">
      <w:pPr>
        <w:rPr>
          <w:rFonts w:hint="eastAsia" w:ascii="宋体" w:hAnsi="宋体" w:cs="宋体"/>
          <w:color w:val="auto"/>
        </w:rPr>
      </w:pPr>
      <w:bookmarkStart w:id="422" w:name="_Toc152045598"/>
      <w:bookmarkStart w:id="423" w:name="_Toc247514022"/>
      <w:bookmarkStart w:id="424" w:name="_Toc144974565"/>
      <w:bookmarkStart w:id="425" w:name="_Toc247527623"/>
      <w:bookmarkStart w:id="426" w:name="_Toc152042375"/>
      <w:bookmarkStart w:id="427" w:name="_Toc23959"/>
      <w:r>
        <w:rPr>
          <w:rFonts w:hint="eastAsia" w:ascii="宋体" w:hAnsi="宋体" w:cs="宋体"/>
          <w:color w:val="auto"/>
        </w:rPr>
        <w:br w:type="page"/>
      </w:r>
    </w:p>
    <w:p w14:paraId="4B81E119">
      <w:pPr>
        <w:pStyle w:val="2"/>
        <w:jc w:val="center"/>
        <w:rPr>
          <w:rFonts w:hint="eastAsia" w:ascii="宋体" w:hAnsi="宋体" w:cs="宋体"/>
          <w:color w:val="auto"/>
          <w:highlight w:val="none"/>
        </w:rPr>
      </w:pPr>
      <w:bookmarkStart w:id="428" w:name="_Toc11613"/>
      <w:r>
        <w:rPr>
          <w:rFonts w:hint="eastAsia" w:ascii="宋体" w:hAnsi="宋体" w:cs="宋体"/>
          <w:color w:val="auto"/>
          <w:highlight w:val="none"/>
        </w:rPr>
        <w:t xml:space="preserve">第三章 </w:t>
      </w:r>
      <w:bookmarkEnd w:id="422"/>
      <w:bookmarkEnd w:id="423"/>
      <w:bookmarkEnd w:id="424"/>
      <w:bookmarkEnd w:id="425"/>
      <w:bookmarkEnd w:id="426"/>
      <w:bookmarkEnd w:id="427"/>
      <w:bookmarkStart w:id="429" w:name="_Toc152045609"/>
      <w:bookmarkStart w:id="430" w:name="_Toc13796"/>
      <w:bookmarkStart w:id="431" w:name="_Toc247527634"/>
      <w:bookmarkStart w:id="432" w:name="_Toc247514033"/>
      <w:bookmarkStart w:id="433" w:name="_Toc152042387"/>
      <w:bookmarkStart w:id="434" w:name="_Toc144974577"/>
      <w:r>
        <w:rPr>
          <w:rFonts w:hint="eastAsia" w:ascii="宋体" w:hAnsi="宋体" w:cs="宋体"/>
          <w:color w:val="auto"/>
          <w:highlight w:val="none"/>
        </w:rPr>
        <w:t>评标办法（综合评估法）</w:t>
      </w:r>
      <w:bookmarkEnd w:id="428"/>
      <w:bookmarkStart w:id="435" w:name="_Toc247514023"/>
      <w:bookmarkStart w:id="436" w:name="_Toc152045599"/>
      <w:bookmarkStart w:id="437" w:name="_Toc152042376"/>
      <w:bookmarkStart w:id="438" w:name="_Toc247527624"/>
      <w:bookmarkStart w:id="439" w:name="_Toc144974566"/>
    </w:p>
    <w:p w14:paraId="4882B2AE">
      <w:pPr>
        <w:pStyle w:val="3"/>
        <w:jc w:val="left"/>
        <w:rPr>
          <w:rFonts w:hint="eastAsia" w:ascii="宋体" w:hAnsi="宋体" w:eastAsia="宋体" w:cs="宋体"/>
          <w:color w:val="auto"/>
        </w:rPr>
      </w:pPr>
      <w:bookmarkStart w:id="440" w:name="_Toc10846"/>
      <w:bookmarkStart w:id="441" w:name="_Toc27308"/>
      <w:r>
        <w:rPr>
          <w:rFonts w:hint="eastAsia" w:ascii="宋体" w:hAnsi="宋体" w:eastAsia="宋体" w:cs="宋体"/>
          <w:color w:val="auto"/>
        </w:rPr>
        <w:t>评标办法前附表</w:t>
      </w:r>
      <w:bookmarkEnd w:id="435"/>
      <w:bookmarkEnd w:id="436"/>
      <w:bookmarkEnd w:id="437"/>
      <w:bookmarkEnd w:id="438"/>
      <w:bookmarkEnd w:id="439"/>
      <w:bookmarkEnd w:id="440"/>
      <w:bookmarkEnd w:id="441"/>
    </w:p>
    <w:tbl>
      <w:tblPr>
        <w:tblStyle w:val="37"/>
        <w:tblW w:w="935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93"/>
        <w:gridCol w:w="1014"/>
        <w:gridCol w:w="986"/>
        <w:gridCol w:w="835"/>
        <w:gridCol w:w="371"/>
        <w:gridCol w:w="5157"/>
        <w:tblGridChange w:id="0">
          <w:tblGrid>
            <w:gridCol w:w="900"/>
            <w:gridCol w:w="93"/>
            <w:gridCol w:w="1014"/>
            <w:gridCol w:w="986"/>
            <w:gridCol w:w="835"/>
            <w:gridCol w:w="371"/>
            <w:gridCol w:w="5157"/>
          </w:tblGrid>
        </w:tblGridChange>
      </w:tblGrid>
      <w:tr w14:paraId="09A97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07" w:type="dxa"/>
            <w:gridSpan w:val="3"/>
            <w:tcBorders>
              <w:top w:val="single" w:color="auto" w:sz="4" w:space="0"/>
              <w:bottom w:val="single" w:color="auto" w:sz="4" w:space="0"/>
              <w:right w:val="single" w:color="auto" w:sz="4" w:space="0"/>
            </w:tcBorders>
            <w:vAlign w:val="center"/>
          </w:tcPr>
          <w:p w14:paraId="1335296C">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0686CB5A">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评审因素</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E0626A9">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评审标准</w:t>
            </w:r>
          </w:p>
        </w:tc>
      </w:tr>
      <w:tr w14:paraId="5EDB8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restart"/>
            <w:tcBorders>
              <w:top w:val="single" w:color="auto" w:sz="4" w:space="0"/>
              <w:bottom w:val="single" w:color="auto" w:sz="4" w:space="0"/>
              <w:right w:val="single" w:color="auto" w:sz="4" w:space="0"/>
            </w:tcBorders>
            <w:vAlign w:val="center"/>
          </w:tcPr>
          <w:p w14:paraId="7C030E07">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2.1.1</w:t>
            </w:r>
          </w:p>
        </w:tc>
        <w:tc>
          <w:tcPr>
            <w:tcW w:w="1107" w:type="dxa"/>
            <w:gridSpan w:val="2"/>
            <w:vMerge w:val="restart"/>
            <w:tcBorders>
              <w:top w:val="single" w:color="auto" w:sz="4" w:space="0"/>
              <w:bottom w:val="single" w:color="auto" w:sz="4" w:space="0"/>
              <w:right w:val="single" w:color="auto" w:sz="4" w:space="0"/>
            </w:tcBorders>
            <w:vAlign w:val="center"/>
          </w:tcPr>
          <w:p w14:paraId="6B8B65F5">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形式评审标准</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7A05E43B">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投标人名称</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5894BF7A">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与营业执照、资质证书一致</w:t>
            </w:r>
          </w:p>
        </w:tc>
      </w:tr>
      <w:tr w14:paraId="7AE048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4452A2CB">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12F61708">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29C21C65">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法定代表人证明及授权</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56E5B8A2">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投标文件中有有效的法定代表人证明书，或由委托代理人签字或盖章的投标文件中有法定代表人证明书和授权委托证明书</w:t>
            </w:r>
          </w:p>
        </w:tc>
      </w:tr>
      <w:tr w14:paraId="4D1C4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nil"/>
              <w:bottom w:val="single" w:color="auto" w:sz="4" w:space="0"/>
              <w:right w:val="single" w:color="auto" w:sz="4" w:space="0"/>
            </w:tcBorders>
            <w:vAlign w:val="center"/>
          </w:tcPr>
          <w:p w14:paraId="2DE43275">
            <w:pPr>
              <w:spacing w:line="440" w:lineRule="exact"/>
              <w:jc w:val="center"/>
              <w:rPr>
                <w:rFonts w:hint="eastAsia" w:ascii="宋体" w:hAnsi="宋体" w:cs="宋体"/>
                <w:color w:val="auto"/>
                <w:szCs w:val="21"/>
                <w:highlight w:val="none"/>
              </w:rPr>
            </w:pPr>
          </w:p>
        </w:tc>
        <w:tc>
          <w:tcPr>
            <w:tcW w:w="1107" w:type="dxa"/>
            <w:gridSpan w:val="2"/>
            <w:vMerge w:val="continue"/>
            <w:tcBorders>
              <w:top w:val="nil"/>
              <w:bottom w:val="single" w:color="auto" w:sz="4" w:space="0"/>
              <w:right w:val="single" w:color="auto" w:sz="4" w:space="0"/>
            </w:tcBorders>
            <w:vAlign w:val="center"/>
          </w:tcPr>
          <w:p w14:paraId="6DEE7B56">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69E5A5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投标承诺函</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EBBDF39">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投标承诺函内容与招标文件规定一致，且按规定加盖投标人电子印章</w:t>
            </w:r>
          </w:p>
        </w:tc>
      </w:tr>
      <w:tr w14:paraId="188BE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nil"/>
              <w:bottom w:val="single" w:color="auto" w:sz="4" w:space="0"/>
              <w:right w:val="single" w:color="auto" w:sz="4" w:space="0"/>
            </w:tcBorders>
            <w:vAlign w:val="center"/>
          </w:tcPr>
          <w:p w14:paraId="2D07D213">
            <w:pPr>
              <w:spacing w:line="440" w:lineRule="exact"/>
              <w:jc w:val="center"/>
              <w:rPr>
                <w:rFonts w:hint="eastAsia" w:ascii="宋体" w:hAnsi="宋体" w:cs="宋体"/>
                <w:color w:val="auto"/>
                <w:szCs w:val="21"/>
                <w:highlight w:val="none"/>
              </w:rPr>
            </w:pPr>
          </w:p>
        </w:tc>
        <w:tc>
          <w:tcPr>
            <w:tcW w:w="1107" w:type="dxa"/>
            <w:gridSpan w:val="2"/>
            <w:vMerge w:val="continue"/>
            <w:tcBorders>
              <w:top w:val="nil"/>
              <w:bottom w:val="single" w:color="auto" w:sz="4" w:space="0"/>
              <w:right w:val="single" w:color="auto" w:sz="4" w:space="0"/>
            </w:tcBorders>
            <w:vAlign w:val="center"/>
          </w:tcPr>
          <w:p w14:paraId="087903F2">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37246A54">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投标文件格式</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36C3A7F">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符合第七章“投标文件格式” （格式二、四、八）的要求</w:t>
            </w:r>
          </w:p>
        </w:tc>
      </w:tr>
      <w:tr w14:paraId="2FEEEE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900" w:type="dxa"/>
            <w:vMerge w:val="continue"/>
            <w:tcBorders>
              <w:top w:val="nil"/>
              <w:bottom w:val="single" w:color="auto" w:sz="4" w:space="0"/>
              <w:right w:val="single" w:color="auto" w:sz="4" w:space="0"/>
            </w:tcBorders>
            <w:vAlign w:val="center"/>
          </w:tcPr>
          <w:p w14:paraId="639AF222">
            <w:pPr>
              <w:spacing w:line="440" w:lineRule="exact"/>
              <w:jc w:val="center"/>
              <w:rPr>
                <w:rFonts w:hint="eastAsia" w:ascii="宋体" w:hAnsi="宋体" w:cs="宋体"/>
                <w:color w:val="auto"/>
                <w:szCs w:val="21"/>
                <w:highlight w:val="none"/>
              </w:rPr>
            </w:pPr>
          </w:p>
        </w:tc>
        <w:tc>
          <w:tcPr>
            <w:tcW w:w="1107" w:type="dxa"/>
            <w:gridSpan w:val="2"/>
            <w:vMerge w:val="continue"/>
            <w:tcBorders>
              <w:top w:val="nil"/>
              <w:bottom w:val="single" w:color="auto" w:sz="4" w:space="0"/>
              <w:right w:val="single" w:color="auto" w:sz="4" w:space="0"/>
            </w:tcBorders>
            <w:vAlign w:val="center"/>
          </w:tcPr>
          <w:p w14:paraId="1D72907C">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right w:val="single" w:color="auto" w:sz="4" w:space="0"/>
            </w:tcBorders>
            <w:vAlign w:val="center"/>
          </w:tcPr>
          <w:p w14:paraId="1D913A07">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报价唯一</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CB88B82">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只能有一个有效</w:t>
            </w:r>
            <w:r>
              <w:rPr>
                <w:rFonts w:hint="eastAsia" w:ascii="宋体" w:hAnsi="宋体" w:cs="宋体"/>
                <w:color w:val="auto"/>
                <w:szCs w:val="21"/>
                <w:highlight w:val="none"/>
                <w:lang w:val="en-US" w:eastAsia="zh-CN"/>
              </w:rPr>
              <w:t>投标总</w:t>
            </w:r>
            <w:r>
              <w:rPr>
                <w:rFonts w:hint="eastAsia" w:ascii="宋体" w:hAnsi="宋体" w:cs="宋体"/>
                <w:color w:val="auto"/>
                <w:szCs w:val="21"/>
                <w:highlight w:val="none"/>
              </w:rPr>
              <w:t>报价</w:t>
            </w:r>
          </w:p>
        </w:tc>
      </w:tr>
      <w:tr w14:paraId="43EFFD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900" w:type="dxa"/>
            <w:vMerge w:val="continue"/>
            <w:tcBorders>
              <w:top w:val="nil"/>
              <w:bottom w:val="single" w:color="auto" w:sz="4" w:space="0"/>
              <w:right w:val="single" w:color="auto" w:sz="4" w:space="0"/>
            </w:tcBorders>
            <w:vAlign w:val="center"/>
          </w:tcPr>
          <w:p w14:paraId="2D16DA58">
            <w:pPr>
              <w:spacing w:line="440" w:lineRule="exact"/>
              <w:jc w:val="center"/>
              <w:rPr>
                <w:rFonts w:hint="eastAsia" w:ascii="宋体" w:hAnsi="宋体" w:cs="宋体"/>
                <w:color w:val="auto"/>
                <w:szCs w:val="21"/>
                <w:highlight w:val="none"/>
              </w:rPr>
            </w:pPr>
          </w:p>
        </w:tc>
        <w:tc>
          <w:tcPr>
            <w:tcW w:w="1107" w:type="dxa"/>
            <w:gridSpan w:val="2"/>
            <w:vMerge w:val="continue"/>
            <w:tcBorders>
              <w:top w:val="nil"/>
              <w:bottom w:val="single" w:color="auto" w:sz="4" w:space="0"/>
              <w:right w:val="single" w:color="auto" w:sz="4" w:space="0"/>
            </w:tcBorders>
            <w:vAlign w:val="center"/>
          </w:tcPr>
          <w:p w14:paraId="7EE673C7">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right w:val="single" w:color="auto" w:sz="4" w:space="0"/>
            </w:tcBorders>
            <w:vAlign w:val="center"/>
          </w:tcPr>
          <w:p w14:paraId="2D16C912">
            <w:pPr>
              <w:spacing w:line="440" w:lineRule="exact"/>
              <w:jc w:val="center"/>
              <w:rPr>
                <w:rFonts w:hint="eastAsia" w:ascii="宋体" w:hAnsi="宋体" w:cs="宋体"/>
                <w:b/>
                <w:color w:val="auto"/>
                <w:szCs w:val="21"/>
                <w:highlight w:val="none"/>
              </w:rPr>
            </w:pPr>
            <w:r>
              <w:rPr>
                <w:rFonts w:hint="eastAsia" w:ascii="新宋体" w:hAnsi="新宋体" w:eastAsia="新宋体" w:cs="新宋体"/>
                <w:bCs/>
                <w:color w:val="auto"/>
                <w:szCs w:val="21"/>
                <w:highlight w:val="none"/>
              </w:rPr>
              <w:t>投标保证金递交情况</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7BF7DAB3">
            <w:pPr>
              <w:spacing w:line="440" w:lineRule="exact"/>
              <w:rPr>
                <w:rFonts w:hint="eastAsia" w:ascii="宋体" w:hAnsi="宋体" w:cs="宋体"/>
                <w:color w:val="auto"/>
                <w:szCs w:val="21"/>
                <w:highlight w:val="none"/>
              </w:rPr>
            </w:pPr>
            <w:r>
              <w:rPr>
                <w:rFonts w:hint="eastAsia" w:ascii="新宋体" w:hAnsi="新宋体" w:eastAsia="新宋体" w:cs="新宋体"/>
                <w:color w:val="auto"/>
                <w:szCs w:val="21"/>
                <w:highlight w:val="none"/>
              </w:rPr>
              <w:t>按招标文件要求递交投标保证金</w:t>
            </w:r>
          </w:p>
        </w:tc>
      </w:tr>
      <w:tr w14:paraId="0797C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nil"/>
              <w:bottom w:val="single" w:color="auto" w:sz="4" w:space="0"/>
              <w:right w:val="single" w:color="auto" w:sz="4" w:space="0"/>
            </w:tcBorders>
            <w:vAlign w:val="center"/>
          </w:tcPr>
          <w:p w14:paraId="43DD92F5">
            <w:pPr>
              <w:spacing w:line="440" w:lineRule="exact"/>
              <w:jc w:val="center"/>
              <w:rPr>
                <w:rFonts w:hint="eastAsia" w:ascii="宋体" w:hAnsi="宋体" w:cs="宋体"/>
                <w:color w:val="auto"/>
                <w:szCs w:val="21"/>
                <w:highlight w:val="none"/>
              </w:rPr>
            </w:pPr>
          </w:p>
        </w:tc>
        <w:tc>
          <w:tcPr>
            <w:tcW w:w="1107" w:type="dxa"/>
            <w:gridSpan w:val="2"/>
            <w:vMerge w:val="continue"/>
            <w:tcBorders>
              <w:top w:val="nil"/>
              <w:bottom w:val="single" w:color="auto" w:sz="4" w:space="0"/>
              <w:right w:val="single" w:color="auto" w:sz="4" w:space="0"/>
            </w:tcBorders>
            <w:vAlign w:val="center"/>
          </w:tcPr>
          <w:p w14:paraId="5EF9D276">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40A0FD6B">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机器特征码一致</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67610E7F">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本项目不同投标人的加密打包投标文件电脑机器特征码不一致</w:t>
            </w:r>
          </w:p>
        </w:tc>
      </w:tr>
      <w:tr w14:paraId="0ADB0F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900" w:type="dxa"/>
            <w:vMerge w:val="continue"/>
            <w:tcBorders>
              <w:top w:val="nil"/>
              <w:bottom w:val="single" w:color="auto" w:sz="4" w:space="0"/>
              <w:right w:val="single" w:color="auto" w:sz="4" w:space="0"/>
            </w:tcBorders>
            <w:vAlign w:val="center"/>
          </w:tcPr>
          <w:p w14:paraId="5C3591AC">
            <w:pPr>
              <w:spacing w:line="440" w:lineRule="exact"/>
              <w:jc w:val="center"/>
              <w:rPr>
                <w:rFonts w:hint="eastAsia" w:ascii="宋体" w:hAnsi="宋体" w:cs="宋体"/>
                <w:color w:val="auto"/>
                <w:szCs w:val="21"/>
                <w:highlight w:val="none"/>
              </w:rPr>
            </w:pPr>
          </w:p>
        </w:tc>
        <w:tc>
          <w:tcPr>
            <w:tcW w:w="1107" w:type="dxa"/>
            <w:gridSpan w:val="2"/>
            <w:vMerge w:val="continue"/>
            <w:tcBorders>
              <w:top w:val="nil"/>
              <w:bottom w:val="single" w:color="auto" w:sz="4" w:space="0"/>
              <w:right w:val="single" w:color="auto" w:sz="4" w:space="0"/>
            </w:tcBorders>
            <w:vAlign w:val="center"/>
          </w:tcPr>
          <w:p w14:paraId="01B6EB9C">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03F2536B">
            <w:pPr>
              <w:spacing w:line="360" w:lineRule="auto"/>
              <w:jc w:val="center"/>
              <w:rPr>
                <w:rFonts w:hint="eastAsia" w:ascii="宋体" w:hAnsi="宋体" w:cs="宋体"/>
                <w:color w:val="auto"/>
                <w:szCs w:val="21"/>
                <w:highlight w:val="none"/>
                <w:u w:val="single"/>
              </w:rPr>
            </w:pPr>
            <w:r>
              <w:rPr>
                <w:rFonts w:hint="eastAsia" w:ascii="宋体" w:hAnsi="宋体" w:cs="宋体"/>
                <w:color w:val="auto"/>
                <w:szCs w:val="21"/>
                <w:highlight w:val="none"/>
                <w:u w:val="single"/>
              </w:rPr>
              <w:t>备选投标方案</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4379231A">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u w:val="single"/>
              </w:rPr>
              <w:t>不允许</w:t>
            </w:r>
          </w:p>
        </w:tc>
      </w:tr>
      <w:tr w14:paraId="4765B3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restart"/>
            <w:tcBorders>
              <w:top w:val="single" w:color="auto" w:sz="4" w:space="0"/>
              <w:right w:val="single" w:color="auto" w:sz="4" w:space="0"/>
            </w:tcBorders>
            <w:vAlign w:val="center"/>
          </w:tcPr>
          <w:p w14:paraId="194BCB54">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2.1.2</w:t>
            </w:r>
          </w:p>
        </w:tc>
        <w:tc>
          <w:tcPr>
            <w:tcW w:w="1107" w:type="dxa"/>
            <w:gridSpan w:val="2"/>
            <w:vMerge w:val="restart"/>
            <w:tcBorders>
              <w:top w:val="single" w:color="auto" w:sz="4" w:space="0"/>
              <w:right w:val="single" w:color="auto" w:sz="4" w:space="0"/>
            </w:tcBorders>
            <w:vAlign w:val="center"/>
          </w:tcPr>
          <w:p w14:paraId="281E87B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资格评审标准</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65D2CA3E">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营业执照</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676EF764">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具备有效的营业执照</w:t>
            </w:r>
          </w:p>
        </w:tc>
      </w:tr>
      <w:tr w14:paraId="772213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7D7AD2CE">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3C1CB4B1">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5AC8A850">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资质等级</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8C7AA48">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符合第二章“投标人须知”第1.4.1项规定</w:t>
            </w:r>
          </w:p>
        </w:tc>
      </w:tr>
      <w:tr w14:paraId="74209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01AB1A42">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0C4519C7">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66662E2">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u w:val="single"/>
              </w:rPr>
              <w:t>项目负责人（兼施工负责人）</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6009BD29">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符合第二章“投标人须知”第1.4.1项规定</w:t>
            </w:r>
          </w:p>
        </w:tc>
      </w:tr>
      <w:tr w14:paraId="70526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900" w:type="dxa"/>
            <w:vMerge w:val="continue"/>
            <w:tcBorders>
              <w:right w:val="single" w:color="auto" w:sz="4" w:space="0"/>
            </w:tcBorders>
            <w:vAlign w:val="center"/>
          </w:tcPr>
          <w:p w14:paraId="708A52D1">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0F26044C">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EE049C6">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设计负责人</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2CD33EED">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符合第二章“投标人须知”第1.4.1项规定</w:t>
            </w:r>
          </w:p>
        </w:tc>
      </w:tr>
      <w:tr w14:paraId="4E2F5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6418C6BE">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70C1D261">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6BF9CFA6">
            <w:pPr>
              <w:spacing w:line="440" w:lineRule="exact"/>
              <w:jc w:val="center"/>
              <w:rPr>
                <w:rFonts w:hint="eastAsia" w:ascii="宋体" w:hAnsi="宋体" w:cs="宋体"/>
                <w:color w:val="auto"/>
                <w:szCs w:val="21"/>
                <w:highlight w:val="none"/>
                <w:u w:val="single"/>
              </w:rPr>
            </w:pPr>
            <w:r>
              <w:rPr>
                <w:rFonts w:hint="eastAsia" w:ascii="宋体" w:hAnsi="宋体" w:cs="宋体"/>
                <w:color w:val="auto"/>
                <w:szCs w:val="21"/>
                <w:highlight w:val="none"/>
                <w:u w:val="single"/>
              </w:rPr>
              <w:t>技术负责人</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BA38172">
            <w:pPr>
              <w:spacing w:line="440" w:lineRule="exact"/>
              <w:rPr>
                <w:rFonts w:hint="eastAsia" w:ascii="宋体" w:hAnsi="宋体" w:cs="宋体"/>
                <w:color w:val="auto"/>
                <w:szCs w:val="21"/>
                <w:highlight w:val="none"/>
                <w:u w:val="single"/>
              </w:rPr>
            </w:pPr>
            <w:r>
              <w:rPr>
                <w:rFonts w:hint="eastAsia" w:ascii="宋体" w:hAnsi="宋体" w:cs="宋体"/>
                <w:color w:val="auto"/>
                <w:szCs w:val="21"/>
                <w:highlight w:val="none"/>
                <w:u w:val="single"/>
              </w:rPr>
              <w:t>符合第二章“投标人须知”第1.4.1项规定</w:t>
            </w:r>
          </w:p>
        </w:tc>
      </w:tr>
      <w:tr w14:paraId="69561E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40CFD276">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51F8A1C4">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797F5EBC">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专职安全员</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7104ADCC">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符合第二章“投标人须知”第1.4.1项规定</w:t>
            </w:r>
          </w:p>
        </w:tc>
      </w:tr>
      <w:tr w14:paraId="23C806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321A20EC">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4218BE00">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4F09CC74">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其他要求</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54036A99">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符合第二章“投标人须知”第1.4.1项规定</w:t>
            </w:r>
          </w:p>
        </w:tc>
      </w:tr>
      <w:tr w14:paraId="3F2A0F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900" w:type="dxa"/>
            <w:vMerge w:val="continue"/>
            <w:tcBorders>
              <w:bottom w:val="single" w:color="auto" w:sz="4" w:space="0"/>
              <w:right w:val="single" w:color="auto" w:sz="4" w:space="0"/>
            </w:tcBorders>
            <w:vAlign w:val="center"/>
          </w:tcPr>
          <w:p w14:paraId="3F525C4E">
            <w:pPr>
              <w:spacing w:line="440" w:lineRule="exact"/>
              <w:jc w:val="center"/>
              <w:rPr>
                <w:rFonts w:hint="eastAsia" w:ascii="宋体" w:hAnsi="宋体" w:cs="宋体"/>
                <w:color w:val="auto"/>
                <w:szCs w:val="21"/>
                <w:highlight w:val="none"/>
              </w:rPr>
            </w:pPr>
          </w:p>
        </w:tc>
        <w:tc>
          <w:tcPr>
            <w:tcW w:w="1107" w:type="dxa"/>
            <w:gridSpan w:val="2"/>
            <w:vMerge w:val="continue"/>
            <w:tcBorders>
              <w:bottom w:val="single" w:color="auto" w:sz="4" w:space="0"/>
              <w:right w:val="single" w:color="auto" w:sz="4" w:space="0"/>
            </w:tcBorders>
            <w:vAlign w:val="center"/>
          </w:tcPr>
          <w:p w14:paraId="6642B18E">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right w:val="single" w:color="auto" w:sz="4" w:space="0"/>
            </w:tcBorders>
            <w:vAlign w:val="center"/>
          </w:tcPr>
          <w:p w14:paraId="79E75B76">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联合体投标人</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18555805">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符合第二章“投标人须知”第1.4.2项规定</w:t>
            </w:r>
          </w:p>
        </w:tc>
      </w:tr>
      <w:tr w14:paraId="66BC5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restart"/>
            <w:tcBorders>
              <w:top w:val="single" w:color="auto" w:sz="4" w:space="0"/>
              <w:right w:val="single" w:color="auto" w:sz="4" w:space="0"/>
            </w:tcBorders>
            <w:vAlign w:val="center"/>
          </w:tcPr>
          <w:p w14:paraId="5338D3F1">
            <w:pPr>
              <w:spacing w:line="440" w:lineRule="exact"/>
              <w:jc w:val="center"/>
              <w:rPr>
                <w:rFonts w:hint="eastAsia" w:ascii="宋体" w:hAnsi="宋体" w:cs="宋体"/>
                <w:color w:val="auto"/>
                <w:szCs w:val="21"/>
                <w:highlight w:val="none"/>
              </w:rPr>
            </w:pPr>
          </w:p>
          <w:p w14:paraId="1E1B29A6">
            <w:pPr>
              <w:spacing w:line="440" w:lineRule="exact"/>
              <w:jc w:val="center"/>
              <w:rPr>
                <w:rFonts w:hint="eastAsia" w:ascii="宋体" w:hAnsi="宋体" w:cs="宋体"/>
                <w:color w:val="auto"/>
                <w:szCs w:val="21"/>
                <w:highlight w:val="none"/>
              </w:rPr>
            </w:pPr>
          </w:p>
          <w:p w14:paraId="4708A71B">
            <w:pPr>
              <w:spacing w:line="440" w:lineRule="exact"/>
              <w:jc w:val="center"/>
              <w:rPr>
                <w:rFonts w:hint="eastAsia" w:ascii="宋体" w:hAnsi="宋体" w:cs="宋体"/>
                <w:color w:val="auto"/>
                <w:szCs w:val="21"/>
                <w:highlight w:val="none"/>
              </w:rPr>
            </w:pPr>
          </w:p>
          <w:p w14:paraId="031E56A5">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2.1.3（1）</w:t>
            </w:r>
          </w:p>
        </w:tc>
        <w:tc>
          <w:tcPr>
            <w:tcW w:w="1107" w:type="dxa"/>
            <w:gridSpan w:val="2"/>
            <w:vMerge w:val="restart"/>
            <w:tcBorders>
              <w:top w:val="single" w:color="auto" w:sz="4" w:space="0"/>
              <w:right w:val="single" w:color="auto" w:sz="4" w:space="0"/>
            </w:tcBorders>
            <w:vAlign w:val="center"/>
          </w:tcPr>
          <w:p w14:paraId="0A17CA28">
            <w:pPr>
              <w:spacing w:line="440" w:lineRule="exact"/>
              <w:jc w:val="center"/>
              <w:rPr>
                <w:rFonts w:hint="eastAsia" w:ascii="宋体" w:hAnsi="宋体" w:cs="宋体"/>
                <w:color w:val="auto"/>
                <w:szCs w:val="21"/>
                <w:highlight w:val="none"/>
              </w:rPr>
            </w:pPr>
          </w:p>
          <w:p w14:paraId="2073C876">
            <w:pPr>
              <w:spacing w:line="440" w:lineRule="exact"/>
              <w:jc w:val="center"/>
              <w:rPr>
                <w:rFonts w:hint="eastAsia" w:ascii="宋体" w:hAnsi="宋体" w:cs="宋体"/>
                <w:color w:val="auto"/>
                <w:szCs w:val="21"/>
                <w:highlight w:val="none"/>
              </w:rPr>
            </w:pPr>
          </w:p>
          <w:p w14:paraId="20679DD7">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设计方案文件响应性评审标准</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3F2D3E9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暗标形式</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E2ECCDF">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投标人未在设计方案上标注或做任何可以辨认投标人及专业技术人员身份的名称、印章、商标、图形等</w:t>
            </w:r>
          </w:p>
        </w:tc>
      </w:tr>
      <w:tr w14:paraId="3864F2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1AAE4EA6">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709A4996">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302E57A7">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明标暗标互相印章</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4BB44AC">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投标文件</w:t>
            </w:r>
            <w:r>
              <w:rPr>
                <w:rFonts w:hint="eastAsia" w:ascii="宋体" w:hAnsi="宋体" w:cs="宋体"/>
                <w:color w:val="auto"/>
                <w:szCs w:val="21"/>
                <w:highlight w:val="none"/>
                <w:lang w:val="en-US" w:eastAsia="zh-CN"/>
              </w:rPr>
              <w:t>不存在</w:t>
            </w:r>
            <w:r>
              <w:rPr>
                <w:rFonts w:hint="eastAsia" w:ascii="宋体" w:hAnsi="宋体" w:cs="宋体"/>
                <w:color w:val="auto"/>
                <w:szCs w:val="21"/>
                <w:highlight w:val="none"/>
              </w:rPr>
              <w:t>通过明标、暗标中包含的相同内容（如报价等）互相印证、辨认投标人身份</w:t>
            </w:r>
          </w:p>
        </w:tc>
      </w:tr>
      <w:tr w14:paraId="31634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24288BA5">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7C715BCA">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5BD69FBB">
            <w:pPr>
              <w:spacing w:line="440" w:lineRule="exact"/>
              <w:jc w:val="center"/>
              <w:rPr>
                <w:rFonts w:hint="eastAsia" w:ascii="宋体" w:hAnsi="宋体" w:cs="宋体"/>
                <w:color w:val="auto"/>
                <w:szCs w:val="21"/>
                <w:highlight w:val="none"/>
                <w:u w:val="single"/>
              </w:rPr>
            </w:pPr>
            <w:r>
              <w:rPr>
                <w:rFonts w:hint="eastAsia" w:ascii="宋体" w:hAnsi="宋体" w:cs="宋体"/>
                <w:color w:val="auto"/>
                <w:highlight w:val="none"/>
                <w:u w:val="single"/>
              </w:rPr>
              <w:t>抄袭行为</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608A5C6E">
            <w:pPr>
              <w:spacing w:line="440" w:lineRule="exact"/>
              <w:rPr>
                <w:rFonts w:hint="eastAsia" w:ascii="宋体" w:hAnsi="宋体" w:cs="宋体"/>
                <w:color w:val="auto"/>
                <w:szCs w:val="21"/>
                <w:highlight w:val="none"/>
                <w:u w:val="single"/>
              </w:rPr>
            </w:pPr>
            <w:r>
              <w:rPr>
                <w:rFonts w:hint="eastAsia" w:ascii="宋体" w:hAnsi="宋体" w:cs="宋体"/>
                <w:color w:val="auto"/>
                <w:szCs w:val="21"/>
                <w:highlight w:val="none"/>
                <w:u w:val="single"/>
              </w:rPr>
              <w:t>投标文件未</w:t>
            </w:r>
            <w:r>
              <w:rPr>
                <w:rFonts w:hint="eastAsia" w:ascii="宋体" w:hAnsi="宋体" w:cs="宋体"/>
                <w:color w:val="auto"/>
                <w:highlight w:val="none"/>
                <w:u w:val="single"/>
              </w:rPr>
              <w:t>发现明显抄袭行为</w:t>
            </w:r>
          </w:p>
        </w:tc>
      </w:tr>
      <w:tr w14:paraId="40A82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3B133CBF">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4D505E20">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490187E8">
            <w:pPr>
              <w:spacing w:line="440" w:lineRule="exact"/>
              <w:jc w:val="center"/>
              <w:rPr>
                <w:rFonts w:hint="eastAsia" w:ascii="宋体" w:hAnsi="宋体" w:cs="宋体"/>
                <w:color w:val="auto"/>
                <w:highlight w:val="none"/>
                <w:u w:val="single"/>
              </w:rPr>
            </w:pPr>
            <w:r>
              <w:rPr>
                <w:rFonts w:hint="eastAsia" w:ascii="宋体" w:hAnsi="宋体" w:cs="宋体"/>
                <w:color w:val="auto"/>
                <w:highlight w:val="none"/>
                <w:u w:val="single"/>
              </w:rPr>
              <w:t>著作权和特许权</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6C76771">
            <w:pPr>
              <w:spacing w:line="440" w:lineRule="exact"/>
              <w:rPr>
                <w:rFonts w:hint="eastAsia" w:ascii="宋体" w:hAnsi="宋体" w:cs="宋体"/>
                <w:color w:val="auto"/>
                <w:szCs w:val="21"/>
                <w:highlight w:val="none"/>
                <w:u w:val="single"/>
              </w:rPr>
            </w:pPr>
            <w:r>
              <w:rPr>
                <w:rFonts w:hint="eastAsia" w:ascii="宋体" w:hAnsi="宋体" w:cs="宋体"/>
                <w:color w:val="auto"/>
                <w:szCs w:val="21"/>
                <w:highlight w:val="none"/>
                <w:u w:val="single"/>
              </w:rPr>
              <w:t>投标文件未</w:t>
            </w:r>
            <w:r>
              <w:rPr>
                <w:rFonts w:hint="eastAsia" w:ascii="宋体" w:hAnsi="宋体" w:cs="宋体"/>
                <w:color w:val="auto"/>
                <w:highlight w:val="none"/>
                <w:u w:val="single"/>
              </w:rPr>
              <w:t>发现侵犯他人著作权和特许权</w:t>
            </w:r>
          </w:p>
        </w:tc>
      </w:tr>
      <w:tr w14:paraId="2E146A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130A2D79">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2F670AE6">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03ACD6C6">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合法合规性</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18FF7A44">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投标人之间不存在《广东省实施&lt;中华人民共和国招标投标法&gt;办法》第十六条所禁止的情形的</w:t>
            </w:r>
          </w:p>
        </w:tc>
      </w:tr>
      <w:tr w14:paraId="778A00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restart"/>
            <w:tcBorders>
              <w:top w:val="single" w:color="auto" w:sz="4" w:space="0"/>
              <w:right w:val="single" w:color="auto" w:sz="4" w:space="0"/>
            </w:tcBorders>
            <w:vAlign w:val="center"/>
          </w:tcPr>
          <w:p w14:paraId="40D2ED40">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2.1.3</w:t>
            </w:r>
          </w:p>
          <w:p w14:paraId="29C59316">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107" w:type="dxa"/>
            <w:gridSpan w:val="2"/>
            <w:vMerge w:val="restart"/>
            <w:tcBorders>
              <w:top w:val="single" w:color="auto" w:sz="4" w:space="0"/>
              <w:right w:val="single" w:color="auto" w:sz="4" w:space="0"/>
            </w:tcBorders>
            <w:vAlign w:val="center"/>
          </w:tcPr>
          <w:p w14:paraId="6015BA54">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工程承包实施方案响应性评审标准</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6E53BCD4">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投标报价</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554417C">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符合第二章“投标人须知”第3.2.4项规定且不低于企业成本</w:t>
            </w:r>
          </w:p>
        </w:tc>
      </w:tr>
      <w:tr w14:paraId="59E6AC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top w:val="single" w:color="auto" w:sz="4" w:space="0"/>
              <w:right w:val="single" w:color="auto" w:sz="4" w:space="0"/>
            </w:tcBorders>
            <w:vAlign w:val="center"/>
          </w:tcPr>
          <w:p w14:paraId="6F69AFCD">
            <w:pPr>
              <w:spacing w:line="440" w:lineRule="exact"/>
              <w:jc w:val="center"/>
              <w:rPr>
                <w:rFonts w:hint="eastAsia" w:ascii="宋体" w:hAnsi="宋体" w:cs="宋体"/>
                <w:color w:val="auto"/>
                <w:szCs w:val="21"/>
                <w:highlight w:val="none"/>
              </w:rPr>
            </w:pPr>
          </w:p>
        </w:tc>
        <w:tc>
          <w:tcPr>
            <w:tcW w:w="1107" w:type="dxa"/>
            <w:gridSpan w:val="2"/>
            <w:vMerge w:val="continue"/>
            <w:tcBorders>
              <w:top w:val="single" w:color="auto" w:sz="4" w:space="0"/>
              <w:right w:val="single" w:color="auto" w:sz="4" w:space="0"/>
            </w:tcBorders>
            <w:vAlign w:val="center"/>
          </w:tcPr>
          <w:p w14:paraId="7B90DAFF">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0627090">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投标内容</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2849F4EC">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符合第二章“投标人须知”第1.3.1项规定</w:t>
            </w:r>
          </w:p>
        </w:tc>
      </w:tr>
      <w:tr w14:paraId="32777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4565597D">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57BBBF18">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5F56C06D">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工期</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13079A6A">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符合第二章“投标人须知”第1.3.2项规定</w:t>
            </w:r>
          </w:p>
        </w:tc>
      </w:tr>
      <w:tr w14:paraId="06557C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4E157BC8">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0FCE8687">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3ED0FFF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质量标准</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CE10DCC">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符合第二章“投标人须知”第1.3.3项规定</w:t>
            </w:r>
          </w:p>
        </w:tc>
      </w:tr>
      <w:tr w14:paraId="075C70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vMerge w:val="continue"/>
            <w:tcBorders>
              <w:right w:val="single" w:color="auto" w:sz="4" w:space="0"/>
            </w:tcBorders>
            <w:vAlign w:val="center"/>
          </w:tcPr>
          <w:p w14:paraId="3DD22238">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108132C6">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F27F17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投标有效期</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24A57699">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符合第二章“投标人须知”第3.3.1项规定</w:t>
            </w:r>
          </w:p>
        </w:tc>
      </w:tr>
      <w:tr w14:paraId="66EED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900" w:type="dxa"/>
            <w:vMerge w:val="continue"/>
            <w:tcBorders>
              <w:right w:val="single" w:color="auto" w:sz="4" w:space="0"/>
            </w:tcBorders>
            <w:vAlign w:val="center"/>
          </w:tcPr>
          <w:p w14:paraId="5C23297A">
            <w:pPr>
              <w:spacing w:line="440" w:lineRule="exact"/>
              <w:jc w:val="center"/>
              <w:rPr>
                <w:rFonts w:hint="eastAsia" w:ascii="宋体" w:hAnsi="宋体" w:cs="宋体"/>
                <w:color w:val="auto"/>
                <w:szCs w:val="21"/>
                <w:highlight w:val="none"/>
              </w:rPr>
            </w:pPr>
          </w:p>
        </w:tc>
        <w:tc>
          <w:tcPr>
            <w:tcW w:w="1107" w:type="dxa"/>
            <w:gridSpan w:val="2"/>
            <w:vMerge w:val="continue"/>
            <w:tcBorders>
              <w:right w:val="single" w:color="auto" w:sz="4" w:space="0"/>
            </w:tcBorders>
            <w:vAlign w:val="center"/>
          </w:tcPr>
          <w:p w14:paraId="2A28B6A8">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right w:val="single" w:color="auto" w:sz="4" w:space="0"/>
            </w:tcBorders>
            <w:vAlign w:val="center"/>
          </w:tcPr>
          <w:p w14:paraId="3BA222FD">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算术复核</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42B09507">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投标单位未存在算术复核后的投标报价与原投标报价相比存在1%或以上误差的；</w:t>
            </w:r>
          </w:p>
        </w:tc>
      </w:tr>
      <w:tr w14:paraId="29201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00" w:type="dxa"/>
            <w:vMerge w:val="continue"/>
            <w:tcBorders>
              <w:bottom w:val="single" w:color="auto" w:sz="4" w:space="0"/>
              <w:right w:val="single" w:color="auto" w:sz="4" w:space="0"/>
            </w:tcBorders>
            <w:vAlign w:val="center"/>
          </w:tcPr>
          <w:p w14:paraId="1FB1F566">
            <w:pPr>
              <w:spacing w:line="440" w:lineRule="exact"/>
              <w:rPr>
                <w:rFonts w:hint="eastAsia" w:ascii="宋体" w:hAnsi="宋体" w:cs="宋体"/>
                <w:color w:val="auto"/>
                <w:szCs w:val="21"/>
                <w:highlight w:val="none"/>
              </w:rPr>
            </w:pPr>
          </w:p>
        </w:tc>
        <w:tc>
          <w:tcPr>
            <w:tcW w:w="1107" w:type="dxa"/>
            <w:gridSpan w:val="2"/>
            <w:vMerge w:val="continue"/>
            <w:tcBorders>
              <w:bottom w:val="single" w:color="auto" w:sz="4" w:space="0"/>
              <w:right w:val="single" w:color="auto" w:sz="4" w:space="0"/>
            </w:tcBorders>
            <w:vAlign w:val="center"/>
          </w:tcPr>
          <w:p w14:paraId="259F6C8D">
            <w:pPr>
              <w:spacing w:line="440" w:lineRule="exact"/>
              <w:jc w:val="center"/>
              <w:rPr>
                <w:rFonts w:hint="eastAsia" w:ascii="宋体" w:hAnsi="宋体" w:cs="宋体"/>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3A703A1">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合法合规性</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76F334FD">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投标人之间不存在《广东省实施&lt;中华人民共和国招标投标法&gt;办法》第十六条所禁止的情形的</w:t>
            </w:r>
          </w:p>
        </w:tc>
      </w:tr>
      <w:tr w14:paraId="09B4CA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07" w:type="dxa"/>
            <w:gridSpan w:val="3"/>
            <w:tcBorders>
              <w:bottom w:val="single" w:color="auto" w:sz="4" w:space="0"/>
              <w:right w:val="single" w:color="auto" w:sz="4" w:space="0"/>
            </w:tcBorders>
            <w:vAlign w:val="center"/>
          </w:tcPr>
          <w:p w14:paraId="296ACECB">
            <w:pPr>
              <w:spacing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9026278">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条款内容</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0302C80">
            <w:pPr>
              <w:spacing w:line="440" w:lineRule="exact"/>
              <w:jc w:val="center"/>
              <w:rPr>
                <w:rFonts w:hint="eastAsia" w:ascii="宋体" w:hAnsi="宋体" w:cs="宋体"/>
                <w:color w:val="auto"/>
                <w:szCs w:val="21"/>
                <w:highlight w:val="none"/>
              </w:rPr>
            </w:pPr>
            <w:r>
              <w:rPr>
                <w:rFonts w:hint="eastAsia" w:ascii="宋体" w:hAnsi="宋体" w:cs="宋体"/>
                <w:b/>
                <w:color w:val="auto"/>
                <w:szCs w:val="21"/>
                <w:highlight w:val="none"/>
              </w:rPr>
              <w:t>编制内容</w:t>
            </w:r>
          </w:p>
        </w:tc>
      </w:tr>
      <w:tr w14:paraId="5A7342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07" w:type="dxa"/>
            <w:gridSpan w:val="3"/>
            <w:tcBorders>
              <w:bottom w:val="single" w:color="auto" w:sz="4" w:space="0"/>
              <w:right w:val="single" w:color="auto" w:sz="4" w:space="0"/>
            </w:tcBorders>
            <w:vAlign w:val="center"/>
          </w:tcPr>
          <w:p w14:paraId="587BC24F">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2.2.1</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7A5C4C02">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分值构成</w:t>
            </w:r>
          </w:p>
          <w:p w14:paraId="522CB22E">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(总分100分)</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56174906">
            <w:pPr>
              <w:pStyle w:val="35"/>
              <w:ind w:firstLine="0"/>
              <w:rPr>
                <w:rFonts w:hint="eastAsia" w:ascii="宋体" w:hAnsi="宋体"/>
                <w:color w:val="auto"/>
                <w:kern w:val="2"/>
                <w:sz w:val="21"/>
                <w:szCs w:val="21"/>
                <w:highlight w:val="none"/>
              </w:rPr>
            </w:pPr>
            <w:r>
              <w:rPr>
                <w:rFonts w:hint="eastAsia" w:ascii="宋体" w:hAnsi="宋体"/>
                <w:color w:val="auto"/>
                <w:kern w:val="2"/>
                <w:sz w:val="21"/>
                <w:szCs w:val="21"/>
                <w:highlight w:val="none"/>
              </w:rPr>
              <w:t>投标人总得分（满分100分）=设计标方案部分得分（100分×权重 （30%）+施工标部分得分（100分）×权重（70%）</w:t>
            </w:r>
          </w:p>
          <w:p w14:paraId="1D8AF324">
            <w:pPr>
              <w:pStyle w:val="35"/>
              <w:ind w:firstLine="0"/>
              <w:rPr>
                <w:rFonts w:hint="eastAsia" w:ascii="宋体" w:hAnsi="宋体"/>
                <w:color w:val="auto"/>
                <w:kern w:val="2"/>
                <w:sz w:val="21"/>
                <w:szCs w:val="21"/>
                <w:highlight w:val="none"/>
              </w:rPr>
            </w:pPr>
            <w:r>
              <w:rPr>
                <w:rFonts w:hint="eastAsia" w:ascii="宋体" w:hAnsi="宋体"/>
                <w:color w:val="auto"/>
                <w:kern w:val="2"/>
                <w:sz w:val="21"/>
                <w:szCs w:val="21"/>
                <w:highlight w:val="none"/>
              </w:rPr>
              <w:t>其中：施工标部分得分=工程承包实施方案得分（100分）×权重（50%）+投标报价得分（100分）×权重（50%）</w:t>
            </w:r>
          </w:p>
        </w:tc>
      </w:tr>
      <w:tr w14:paraId="41AD38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07" w:type="dxa"/>
            <w:gridSpan w:val="3"/>
            <w:tcBorders>
              <w:top w:val="single" w:color="auto" w:sz="4" w:space="0"/>
              <w:bottom w:val="single" w:color="auto" w:sz="4" w:space="0"/>
              <w:right w:val="single" w:color="auto" w:sz="4" w:space="0"/>
            </w:tcBorders>
            <w:vAlign w:val="center"/>
          </w:tcPr>
          <w:p w14:paraId="22DBCBD5">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2.2.2</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45F45B9E">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评标基准价计算方法</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A741096">
            <w:pPr>
              <w:pStyle w:val="35"/>
              <w:ind w:firstLine="41"/>
              <w:jc w:val="left"/>
              <w:rPr>
                <w:rFonts w:hint="eastAsia" w:ascii="宋体" w:hAnsi="宋体" w:cs="宋体"/>
                <w:color w:val="auto"/>
                <w:kern w:val="2"/>
                <w:sz w:val="21"/>
                <w:szCs w:val="21"/>
                <w:highlight w:val="none"/>
                <w:lang w:val="zh-TW" w:eastAsia="zh-TW"/>
              </w:rPr>
            </w:pPr>
            <w:r>
              <w:rPr>
                <w:rFonts w:hint="eastAsia" w:ascii="宋体" w:hAnsi="宋体"/>
                <w:color w:val="auto"/>
                <w:kern w:val="2"/>
                <w:sz w:val="21"/>
                <w:szCs w:val="21"/>
                <w:highlight w:val="none"/>
              </w:rPr>
              <w:t>通过工程承包实施方案响应性审查且经算术校核的投标总报价位于[投标总报价最高限价×</w:t>
            </w:r>
            <w:r>
              <w:rPr>
                <w:rFonts w:hint="eastAsia" w:ascii="宋体" w:hAnsi="宋体"/>
                <w:color w:val="auto"/>
                <w:kern w:val="2"/>
                <w:sz w:val="21"/>
                <w:szCs w:val="21"/>
                <w:highlight w:val="none"/>
                <w:lang w:eastAsia="zh-CN"/>
              </w:rPr>
              <w:t>90</w:t>
            </w:r>
            <w:r>
              <w:rPr>
                <w:rFonts w:hint="eastAsia" w:ascii="宋体" w:hAnsi="宋体"/>
                <w:color w:val="auto"/>
                <w:kern w:val="2"/>
                <w:sz w:val="21"/>
                <w:szCs w:val="21"/>
                <w:highlight w:val="none"/>
              </w:rPr>
              <w:t>%，投标总报价最高限价]区间的投标人超过5家时，在经算术校核的位于[投标总报价最高限价×</w:t>
            </w:r>
            <w:r>
              <w:rPr>
                <w:rFonts w:hint="eastAsia" w:ascii="宋体" w:hAnsi="宋体"/>
                <w:color w:val="auto"/>
                <w:kern w:val="2"/>
                <w:sz w:val="21"/>
                <w:szCs w:val="21"/>
                <w:highlight w:val="none"/>
                <w:lang w:eastAsia="zh-CN"/>
              </w:rPr>
              <w:t>90</w:t>
            </w:r>
            <w:r>
              <w:rPr>
                <w:rFonts w:hint="eastAsia" w:ascii="宋体" w:hAnsi="宋体"/>
                <w:color w:val="auto"/>
                <w:kern w:val="2"/>
                <w:sz w:val="21"/>
                <w:szCs w:val="21"/>
                <w:highlight w:val="none"/>
              </w:rPr>
              <w:t>%，投标总报价最高限价]区间的投标人的投标总报价中，去掉一个最高价和一个最低价后，取剩余报价的算术平均值为评标参考价；通过工程承包实施方案响应性审查且经算术校核的投标总报价位于[投标总报价最高限价×</w:t>
            </w:r>
            <w:r>
              <w:rPr>
                <w:rFonts w:hint="eastAsia" w:ascii="宋体" w:hAnsi="宋体"/>
                <w:color w:val="auto"/>
                <w:kern w:val="2"/>
                <w:sz w:val="21"/>
                <w:szCs w:val="21"/>
                <w:highlight w:val="none"/>
                <w:lang w:eastAsia="zh-CN"/>
              </w:rPr>
              <w:t>90</w:t>
            </w:r>
            <w:r>
              <w:rPr>
                <w:rFonts w:hint="eastAsia" w:ascii="宋体" w:hAnsi="宋体"/>
                <w:color w:val="auto"/>
                <w:kern w:val="2"/>
                <w:sz w:val="21"/>
                <w:szCs w:val="21"/>
                <w:highlight w:val="none"/>
              </w:rPr>
              <w:t>%，投标总报价最高限价]区间的投标人少于5家（含5家）时，</w:t>
            </w:r>
            <w:r>
              <w:rPr>
                <w:rFonts w:hint="eastAsia" w:ascii="宋体" w:hAnsi="宋体"/>
                <w:color w:val="auto"/>
                <w:kern w:val="2"/>
                <w:sz w:val="21"/>
                <w:szCs w:val="21"/>
                <w:highlight w:val="none"/>
                <w:lang w:val="en-US" w:eastAsia="zh-CN"/>
              </w:rPr>
              <w:t>所有</w:t>
            </w:r>
            <w:r>
              <w:rPr>
                <w:rFonts w:hint="eastAsia" w:ascii="宋体" w:hAnsi="宋体"/>
                <w:color w:val="auto"/>
                <w:kern w:val="2"/>
                <w:sz w:val="21"/>
                <w:szCs w:val="21"/>
                <w:highlight w:val="none"/>
              </w:rPr>
              <w:t>报价的算术平均值为评标参考价。</w:t>
            </w:r>
          </w:p>
        </w:tc>
      </w:tr>
      <w:tr w14:paraId="0EAE4C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2007" w:type="dxa"/>
            <w:gridSpan w:val="3"/>
            <w:tcBorders>
              <w:top w:val="single" w:color="auto" w:sz="4" w:space="0"/>
              <w:bottom w:val="single" w:color="auto" w:sz="4" w:space="0"/>
              <w:right w:val="single" w:color="auto" w:sz="4" w:space="0"/>
            </w:tcBorders>
            <w:vAlign w:val="center"/>
          </w:tcPr>
          <w:p w14:paraId="37A04B61">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2.2.3</w:t>
            </w:r>
          </w:p>
        </w:tc>
        <w:tc>
          <w:tcPr>
            <w:tcW w:w="1821" w:type="dxa"/>
            <w:gridSpan w:val="2"/>
            <w:tcBorders>
              <w:top w:val="single" w:color="auto" w:sz="4" w:space="0"/>
              <w:left w:val="single" w:color="auto" w:sz="4" w:space="0"/>
              <w:right w:val="single" w:color="auto" w:sz="4" w:space="0"/>
            </w:tcBorders>
            <w:vAlign w:val="center"/>
          </w:tcPr>
          <w:p w14:paraId="53EF2F5C">
            <w:pPr>
              <w:spacing w:line="440" w:lineRule="exact"/>
              <w:jc w:val="center"/>
              <w:rPr>
                <w:rFonts w:hint="eastAsia" w:ascii="宋体" w:hAnsi="宋体" w:cs="宋体"/>
                <w:color w:val="auto"/>
                <w:szCs w:val="21"/>
                <w:highlight w:val="none"/>
                <w:lang w:val="zh-TW" w:eastAsia="zh-TW"/>
              </w:rPr>
            </w:pPr>
            <w:r>
              <w:rPr>
                <w:rFonts w:hint="eastAsia" w:ascii="宋体" w:hAnsi="宋体" w:cs="宋体"/>
                <w:color w:val="auto"/>
                <w:szCs w:val="21"/>
                <w:highlight w:val="none"/>
                <w:lang w:val="zh-TW" w:eastAsia="zh-TW"/>
              </w:rPr>
              <w:t>投标报价的偏差率计算公式</w:t>
            </w:r>
          </w:p>
        </w:tc>
        <w:tc>
          <w:tcPr>
            <w:tcW w:w="5528" w:type="dxa"/>
            <w:gridSpan w:val="2"/>
            <w:tcBorders>
              <w:top w:val="single" w:color="auto" w:sz="4" w:space="0"/>
              <w:left w:val="single" w:color="auto" w:sz="4" w:space="0"/>
              <w:right w:val="single" w:color="auto" w:sz="4" w:space="0"/>
            </w:tcBorders>
            <w:vAlign w:val="center"/>
          </w:tcPr>
          <w:p w14:paraId="45881E1E">
            <w:pPr>
              <w:spacing w:line="440" w:lineRule="exact"/>
              <w:jc w:val="center"/>
              <w:rPr>
                <w:rFonts w:hint="eastAsia" w:ascii="宋体" w:hAnsi="宋体" w:cs="宋体"/>
                <w:color w:val="auto"/>
                <w:szCs w:val="21"/>
                <w:highlight w:val="none"/>
                <w:lang w:val="zh-TW" w:eastAsia="zh-TW"/>
              </w:rPr>
            </w:pPr>
            <w:r>
              <w:rPr>
                <w:rFonts w:hint="eastAsia" w:ascii="宋体" w:hAnsi="宋体" w:cs="宋体"/>
                <w:color w:val="auto"/>
                <w:szCs w:val="21"/>
                <w:highlight w:val="none"/>
                <w:lang w:val="zh-TW" w:eastAsia="zh-TW"/>
              </w:rPr>
              <w:t>偏差率=100%</w:t>
            </w:r>
            <w:r>
              <w:rPr>
                <w:rFonts w:ascii="宋体" w:hAnsi="宋体" w:cs="Arial"/>
                <w:color w:val="auto"/>
                <w:szCs w:val="21"/>
                <w:highlight w:val="none"/>
                <w:lang w:val="zh-TW" w:eastAsia="zh-TW"/>
              </w:rPr>
              <w:t>×</w:t>
            </w:r>
            <w:r>
              <w:rPr>
                <w:rFonts w:hint="eastAsia" w:ascii="宋体" w:hAnsi="宋体" w:cs="宋体"/>
                <w:color w:val="auto"/>
                <w:szCs w:val="21"/>
                <w:highlight w:val="none"/>
                <w:lang w:val="zh-TW" w:eastAsia="zh-TW"/>
              </w:rPr>
              <w:t>（投标人报价－评标基准价）/评标基准价</w:t>
            </w:r>
          </w:p>
        </w:tc>
      </w:tr>
      <w:tr w14:paraId="174BB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2007" w:type="dxa"/>
            <w:gridSpan w:val="3"/>
            <w:tcBorders>
              <w:top w:val="single" w:color="auto" w:sz="4" w:space="0"/>
              <w:bottom w:val="single" w:color="auto" w:sz="4" w:space="0"/>
              <w:right w:val="single" w:color="auto" w:sz="4" w:space="0"/>
            </w:tcBorders>
            <w:vAlign w:val="center"/>
          </w:tcPr>
          <w:p w14:paraId="6418697E">
            <w:pPr>
              <w:spacing w:line="440" w:lineRule="exact"/>
              <w:jc w:val="center"/>
              <w:rPr>
                <w:rFonts w:hint="eastAsia" w:ascii="宋体" w:hAnsi="宋体" w:cs="宋体"/>
                <w:color w:val="auto"/>
                <w:szCs w:val="21"/>
                <w:highlight w:val="none"/>
              </w:rPr>
            </w:pPr>
            <w:r>
              <w:rPr>
                <w:rFonts w:hint="eastAsia" w:ascii="宋体" w:hAnsi="宋体" w:cs="宋体"/>
                <w:b/>
                <w:color w:val="auto"/>
                <w:szCs w:val="21"/>
                <w:highlight w:val="none"/>
              </w:rPr>
              <w:t>条款号</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2FEDB5EC">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评分因素</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3F7F0152">
            <w:pPr>
              <w:spacing w:line="440" w:lineRule="exact"/>
              <w:jc w:val="center"/>
              <w:rPr>
                <w:rFonts w:hint="eastAsia" w:ascii="宋体" w:hAnsi="宋体" w:cs="宋体"/>
                <w:color w:val="auto"/>
                <w:szCs w:val="21"/>
                <w:highlight w:val="none"/>
              </w:rPr>
            </w:pPr>
            <w:r>
              <w:rPr>
                <w:rFonts w:hint="eastAsia" w:ascii="宋体" w:hAnsi="宋体" w:cs="宋体"/>
                <w:b/>
                <w:color w:val="auto"/>
                <w:szCs w:val="21"/>
                <w:highlight w:val="none"/>
              </w:rPr>
              <w:t>评分标准</w:t>
            </w:r>
          </w:p>
        </w:tc>
      </w:tr>
      <w:tr w14:paraId="71806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3" w:type="dxa"/>
            <w:gridSpan w:val="2"/>
            <w:vMerge w:val="restart"/>
            <w:tcBorders>
              <w:top w:val="single" w:color="auto" w:sz="4" w:space="0"/>
              <w:right w:val="single" w:color="auto" w:sz="4" w:space="0"/>
            </w:tcBorders>
            <w:vAlign w:val="center"/>
          </w:tcPr>
          <w:p w14:paraId="093E71AC">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2.2.4（1）</w:t>
            </w:r>
          </w:p>
        </w:tc>
        <w:tc>
          <w:tcPr>
            <w:tcW w:w="1014" w:type="dxa"/>
            <w:vMerge w:val="restart"/>
            <w:tcBorders>
              <w:top w:val="single" w:color="auto" w:sz="4" w:space="0"/>
              <w:right w:val="single" w:color="auto" w:sz="4" w:space="0"/>
            </w:tcBorders>
            <w:vAlign w:val="center"/>
          </w:tcPr>
          <w:p w14:paraId="4DB63FD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设计方案评分标准</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0E7E70AC">
            <w:pPr>
              <w:spacing w:line="440" w:lineRule="exact"/>
              <w:jc w:val="center"/>
              <w:rPr>
                <w:rFonts w:hint="eastAsia" w:ascii="宋体" w:hAnsi="宋体" w:cs="宋体"/>
                <w:color w:val="auto"/>
                <w:szCs w:val="21"/>
                <w:highlight w:val="none"/>
                <w:lang w:val="zh-TW"/>
              </w:rPr>
            </w:pPr>
            <w:r>
              <w:rPr>
                <w:rFonts w:hint="eastAsia" w:ascii="宋体" w:hAnsi="宋体" w:cs="宋体"/>
                <w:color w:val="auto"/>
                <w:szCs w:val="21"/>
                <w:highlight w:val="none"/>
                <w:lang w:val="zh-TW" w:eastAsia="zh-TW"/>
              </w:rPr>
              <w:t>设计理念</w:t>
            </w:r>
          </w:p>
          <w:p w14:paraId="4C4D49A8">
            <w:pPr>
              <w:spacing w:line="440" w:lineRule="exact"/>
              <w:jc w:val="center"/>
              <w:rPr>
                <w:rFonts w:hint="eastAsia" w:ascii="宋体" w:hAnsi="宋体" w:cs="宋体"/>
                <w:color w:val="auto"/>
                <w:szCs w:val="21"/>
                <w:highlight w:val="none"/>
                <w:lang w:val="zh-TW" w:eastAsia="zh-TW"/>
              </w:rPr>
            </w:pPr>
            <w:r>
              <w:rPr>
                <w:rFonts w:hint="eastAsia" w:ascii="宋体" w:hAnsi="宋体" w:cs="宋体"/>
                <w:color w:val="auto"/>
                <w:szCs w:val="21"/>
                <w:highlight w:val="none"/>
                <w:lang w:val="zh-TW" w:eastAsia="zh-TW"/>
              </w:rPr>
              <w:t>（</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lang w:val="zh-TW" w:eastAsia="zh-TW"/>
              </w:rPr>
              <w:t>分）</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1B4D7622">
            <w:pPr>
              <w:spacing w:line="320" w:lineRule="exact"/>
              <w:jc w:val="left"/>
              <w:rPr>
                <w:rFonts w:hint="eastAsia" w:ascii="宋体" w:hAnsi="宋体"/>
                <w:color w:val="auto"/>
                <w:szCs w:val="21"/>
                <w:highlight w:val="none"/>
              </w:rPr>
            </w:pPr>
            <w:r>
              <w:rPr>
                <w:rFonts w:hint="eastAsia" w:ascii="宋体" w:hAnsi="宋体"/>
                <w:color w:val="auto"/>
                <w:szCs w:val="21"/>
                <w:highlight w:val="none"/>
              </w:rPr>
              <w:t>设计立意独特且明确，设计理念符合招标人要求，理念具有</w:t>
            </w:r>
            <w:r>
              <w:rPr>
                <w:rFonts w:hint="eastAsia"/>
                <w:color w:val="auto"/>
                <w:highlight w:val="none"/>
              </w:rPr>
              <w:t>打造具有地标性和文化性的商业引流和新消费场景，</w:t>
            </w:r>
            <w:r>
              <w:rPr>
                <w:rFonts w:hint="eastAsia" w:ascii="宋体" w:hAnsi="宋体"/>
                <w:color w:val="auto"/>
                <w:szCs w:val="21"/>
                <w:highlight w:val="none"/>
              </w:rPr>
              <w:t>符合适用、实用和美观原则。具有创新的风格和意识，富有特色和吸引力。设计方向明确合理，符合招标需求的设计理念；思路清晰并特出项目重点和难点。</w:t>
            </w:r>
          </w:p>
          <w:p w14:paraId="567A7C19">
            <w:pPr>
              <w:spacing w:line="320" w:lineRule="exact"/>
              <w:jc w:val="left"/>
              <w:rPr>
                <w:rFonts w:hint="eastAsia" w:ascii="宋体" w:hAnsi="宋体"/>
                <w:color w:val="auto"/>
                <w:szCs w:val="21"/>
                <w:highlight w:val="none"/>
              </w:rPr>
            </w:pPr>
            <w:r>
              <w:rPr>
                <w:rFonts w:hint="eastAsia" w:ascii="宋体" w:hAnsi="宋体"/>
                <w:color w:val="auto"/>
                <w:szCs w:val="21"/>
                <w:highlight w:val="none"/>
              </w:rPr>
              <w:t>优得[20-15)分；良得[15-10）分；中得[10-5）分；差得[5-0]分；</w:t>
            </w:r>
          </w:p>
        </w:tc>
      </w:tr>
      <w:tr w14:paraId="361CB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3" w:type="dxa"/>
            <w:gridSpan w:val="2"/>
            <w:vMerge w:val="continue"/>
            <w:tcBorders>
              <w:right w:val="single" w:color="auto" w:sz="4" w:space="0"/>
            </w:tcBorders>
            <w:vAlign w:val="center"/>
          </w:tcPr>
          <w:p w14:paraId="5EA2F018">
            <w:pPr>
              <w:spacing w:line="440" w:lineRule="exact"/>
              <w:jc w:val="center"/>
              <w:rPr>
                <w:rFonts w:hint="eastAsia" w:ascii="宋体" w:hAnsi="宋体" w:cs="宋体"/>
                <w:b/>
                <w:color w:val="auto"/>
                <w:szCs w:val="21"/>
                <w:highlight w:val="none"/>
              </w:rPr>
            </w:pPr>
          </w:p>
        </w:tc>
        <w:tc>
          <w:tcPr>
            <w:tcW w:w="1014" w:type="dxa"/>
            <w:vMerge w:val="continue"/>
            <w:tcBorders>
              <w:right w:val="single" w:color="auto" w:sz="4" w:space="0"/>
            </w:tcBorders>
            <w:vAlign w:val="center"/>
          </w:tcPr>
          <w:p w14:paraId="5D48C436">
            <w:pPr>
              <w:spacing w:line="440" w:lineRule="exact"/>
              <w:jc w:val="center"/>
              <w:rPr>
                <w:rFonts w:hint="eastAsia" w:ascii="宋体" w:hAnsi="宋体" w:cs="宋体"/>
                <w:b/>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5E0415D7">
            <w:pPr>
              <w:spacing w:line="440" w:lineRule="exact"/>
              <w:jc w:val="center"/>
              <w:rPr>
                <w:rFonts w:hint="eastAsia" w:ascii="宋体" w:hAnsi="宋体" w:cs="宋体"/>
                <w:color w:val="auto"/>
                <w:szCs w:val="21"/>
                <w:highlight w:val="none"/>
                <w:lang w:val="zh-TW"/>
              </w:rPr>
            </w:pPr>
            <w:r>
              <w:rPr>
                <w:rFonts w:hint="eastAsia" w:ascii="宋体" w:hAnsi="宋体" w:cs="宋体"/>
                <w:color w:val="auto"/>
                <w:szCs w:val="21"/>
                <w:highlight w:val="none"/>
                <w:lang w:val="zh-TW" w:eastAsia="zh-TW"/>
              </w:rPr>
              <w:t>功能布局</w:t>
            </w:r>
          </w:p>
          <w:p w14:paraId="6E7BB921">
            <w:pPr>
              <w:spacing w:line="440" w:lineRule="exact"/>
              <w:jc w:val="center"/>
              <w:rPr>
                <w:rFonts w:hint="eastAsia" w:ascii="宋体" w:hAnsi="宋体" w:cs="宋体"/>
                <w:color w:val="auto"/>
                <w:szCs w:val="21"/>
                <w:highlight w:val="none"/>
                <w:lang w:val="zh-TW" w:eastAsia="zh-TW"/>
              </w:rPr>
            </w:pPr>
            <w:r>
              <w:rPr>
                <w:rFonts w:hint="eastAsia" w:ascii="宋体" w:hAnsi="宋体" w:cs="宋体"/>
                <w:color w:val="auto"/>
                <w:szCs w:val="21"/>
                <w:highlight w:val="none"/>
                <w:lang w:val="zh-TW" w:eastAsia="zh-TW"/>
              </w:rPr>
              <w:t>（</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lang w:val="zh-TW" w:eastAsia="zh-TW"/>
              </w:rPr>
              <w:t>分）</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111FD31">
            <w:pPr>
              <w:spacing w:line="320" w:lineRule="exact"/>
              <w:jc w:val="left"/>
              <w:rPr>
                <w:rFonts w:hint="eastAsia" w:ascii="宋体" w:hAnsi="宋体" w:eastAsiaTheme="minorEastAsia"/>
                <w:color w:val="auto"/>
                <w:szCs w:val="21"/>
                <w:highlight w:val="none"/>
              </w:rPr>
            </w:pPr>
            <w:r>
              <w:rPr>
                <w:rFonts w:hint="eastAsia" w:ascii="宋体" w:hAnsi="宋体"/>
                <w:color w:val="auto"/>
                <w:szCs w:val="21"/>
                <w:highlight w:val="none"/>
              </w:rPr>
              <w:t>根据设计任务书的建议合理规划功能布局，符合室内设计原理，</w:t>
            </w:r>
            <w:r>
              <w:rPr>
                <w:rFonts w:hint="eastAsia"/>
                <w:color w:val="auto"/>
                <w:highlight w:val="none"/>
              </w:rPr>
              <w:t>考虑顾客流动、产品展示、员工工作等区域的合理划分，高效利用空间，</w:t>
            </w:r>
            <w:r>
              <w:rPr>
                <w:rFonts w:hint="eastAsia" w:ascii="宋体" w:hAnsi="宋体"/>
                <w:color w:val="auto"/>
                <w:szCs w:val="21"/>
                <w:highlight w:val="none"/>
              </w:rPr>
              <w:t>空间形态多样化并具有预见性和灵活性，</w:t>
            </w:r>
            <w:r>
              <w:rPr>
                <w:rFonts w:hint="eastAsia"/>
                <w:color w:val="auto"/>
                <w:highlight w:val="none"/>
              </w:rPr>
              <w:t>营造舒适和吸引人的购物、体验环境。</w:t>
            </w:r>
          </w:p>
          <w:p w14:paraId="18D66402">
            <w:pPr>
              <w:spacing w:line="320" w:lineRule="exact"/>
              <w:jc w:val="left"/>
              <w:rPr>
                <w:rFonts w:hint="eastAsia" w:ascii="宋体" w:hAnsi="宋体"/>
                <w:color w:val="auto"/>
                <w:szCs w:val="21"/>
                <w:highlight w:val="none"/>
              </w:rPr>
            </w:pPr>
            <w:r>
              <w:rPr>
                <w:rFonts w:hint="eastAsia" w:ascii="宋体" w:hAnsi="宋体"/>
                <w:color w:val="auto"/>
                <w:szCs w:val="21"/>
                <w:highlight w:val="none"/>
              </w:rPr>
              <w:t>优得[</w:t>
            </w:r>
            <w:r>
              <w:rPr>
                <w:rFonts w:hint="eastAsia" w:ascii="宋体" w:hAnsi="宋体"/>
                <w:color w:val="auto"/>
                <w:szCs w:val="21"/>
                <w:highlight w:val="none"/>
                <w:lang w:val="en-US" w:eastAsia="zh-CN"/>
              </w:rPr>
              <w:t>15</w:t>
            </w: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)分；良得[</w:t>
            </w:r>
            <w:r>
              <w:rPr>
                <w:rFonts w:hint="eastAsia" w:ascii="宋体" w:hAnsi="宋体"/>
                <w:color w:val="auto"/>
                <w:szCs w:val="21"/>
                <w:highlight w:val="none"/>
                <w:lang w:val="en-US" w:eastAsia="zh-CN"/>
              </w:rPr>
              <w:t>11</w:t>
            </w: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）分；中得[</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）分；差得[</w:t>
            </w:r>
            <w:r>
              <w:rPr>
                <w:rFonts w:hint="eastAsia" w:ascii="宋体" w:hAnsi="宋体"/>
                <w:color w:val="auto"/>
                <w:szCs w:val="21"/>
                <w:highlight w:val="none"/>
                <w:lang w:val="en-US" w:eastAsia="zh-CN"/>
              </w:rPr>
              <w:t>3</w:t>
            </w:r>
            <w:r>
              <w:rPr>
                <w:rFonts w:hint="eastAsia" w:ascii="宋体" w:hAnsi="宋体"/>
                <w:color w:val="auto"/>
                <w:szCs w:val="21"/>
                <w:highlight w:val="none"/>
              </w:rPr>
              <w:t>-0]分；</w:t>
            </w:r>
          </w:p>
        </w:tc>
      </w:tr>
      <w:tr w14:paraId="061268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993" w:type="dxa"/>
            <w:gridSpan w:val="2"/>
            <w:vMerge w:val="continue"/>
            <w:tcBorders>
              <w:right w:val="single" w:color="auto" w:sz="4" w:space="0"/>
            </w:tcBorders>
            <w:vAlign w:val="center"/>
          </w:tcPr>
          <w:p w14:paraId="4C68A31A">
            <w:pPr>
              <w:spacing w:line="440" w:lineRule="exact"/>
              <w:jc w:val="center"/>
              <w:rPr>
                <w:rFonts w:hint="eastAsia" w:ascii="宋体" w:hAnsi="宋体" w:cs="宋体"/>
                <w:b/>
                <w:color w:val="auto"/>
                <w:szCs w:val="21"/>
                <w:highlight w:val="none"/>
              </w:rPr>
            </w:pPr>
          </w:p>
        </w:tc>
        <w:tc>
          <w:tcPr>
            <w:tcW w:w="1014" w:type="dxa"/>
            <w:vMerge w:val="continue"/>
            <w:tcBorders>
              <w:right w:val="single" w:color="auto" w:sz="4" w:space="0"/>
            </w:tcBorders>
            <w:vAlign w:val="center"/>
          </w:tcPr>
          <w:p w14:paraId="2B8DB8C3">
            <w:pPr>
              <w:spacing w:line="440" w:lineRule="exact"/>
              <w:jc w:val="center"/>
              <w:rPr>
                <w:rFonts w:hint="eastAsia" w:ascii="宋体" w:hAnsi="宋体" w:cs="宋体"/>
                <w:b/>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949C92A">
            <w:pPr>
              <w:spacing w:line="440" w:lineRule="exact"/>
              <w:jc w:val="center"/>
              <w:rPr>
                <w:rFonts w:hint="eastAsia" w:ascii="宋体" w:hAnsi="宋体" w:cs="宋体"/>
                <w:color w:val="auto"/>
                <w:szCs w:val="21"/>
                <w:highlight w:val="none"/>
                <w:lang w:val="zh-TW"/>
              </w:rPr>
            </w:pPr>
            <w:r>
              <w:rPr>
                <w:rFonts w:hint="eastAsia" w:ascii="宋体" w:hAnsi="宋体" w:cs="宋体"/>
                <w:color w:val="auto"/>
                <w:szCs w:val="21"/>
                <w:highlight w:val="none"/>
              </w:rPr>
              <w:t>设计创意</w:t>
            </w:r>
          </w:p>
          <w:p w14:paraId="0263670A">
            <w:pPr>
              <w:spacing w:line="440" w:lineRule="exact"/>
              <w:jc w:val="center"/>
              <w:rPr>
                <w:rFonts w:hint="eastAsia" w:ascii="宋体" w:hAnsi="宋体" w:cs="宋体"/>
                <w:color w:val="auto"/>
                <w:szCs w:val="21"/>
                <w:highlight w:val="none"/>
                <w:lang w:val="zh-TW" w:eastAsia="zh-TW"/>
              </w:rPr>
            </w:pPr>
            <w:r>
              <w:rPr>
                <w:rFonts w:hint="eastAsia" w:ascii="宋体" w:hAnsi="宋体" w:cs="宋体"/>
                <w:color w:val="auto"/>
                <w:szCs w:val="21"/>
                <w:highlight w:val="none"/>
                <w:lang w:val="zh-TW" w:eastAsia="zh-TW"/>
              </w:rPr>
              <w:t>（</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lang w:val="zh-TW" w:eastAsia="zh-TW"/>
              </w:rPr>
              <w:t>分）</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561F4175">
            <w:pPr>
              <w:spacing w:line="320" w:lineRule="exact"/>
              <w:jc w:val="left"/>
              <w:rPr>
                <w:color w:val="auto"/>
                <w:highlight w:val="none"/>
              </w:rPr>
            </w:pPr>
            <w:r>
              <w:rPr>
                <w:rFonts w:hint="eastAsia"/>
                <w:color w:val="auto"/>
                <w:highlight w:val="none"/>
              </w:rPr>
              <w:t>设计具有独特的创意，与传统珠宝店设计有所差异，体现文化感、现代感与创新性，</w:t>
            </w:r>
            <w:r>
              <w:rPr>
                <w:rFonts w:hint="eastAsia" w:ascii="宋体" w:hAnsi="宋体"/>
                <w:color w:val="auto"/>
                <w:szCs w:val="21"/>
                <w:highlight w:val="none"/>
              </w:rPr>
              <w:t>具有良好的整体设计效果以及舒适的空间氛围，</w:t>
            </w:r>
            <w:r>
              <w:rPr>
                <w:rFonts w:hint="eastAsia"/>
                <w:color w:val="auto"/>
                <w:highlight w:val="none"/>
              </w:rPr>
              <w:t>符合现代审美和商业需求，能够吸引顾客。</w:t>
            </w:r>
          </w:p>
          <w:p w14:paraId="64F53DDD">
            <w:pPr>
              <w:spacing w:line="320" w:lineRule="exact"/>
              <w:jc w:val="left"/>
              <w:rPr>
                <w:rFonts w:hint="eastAsia" w:ascii="宋体" w:hAnsi="宋体"/>
                <w:color w:val="auto"/>
                <w:szCs w:val="21"/>
                <w:highlight w:val="none"/>
              </w:rPr>
            </w:pPr>
            <w:r>
              <w:rPr>
                <w:rFonts w:hint="eastAsia" w:ascii="宋体" w:hAnsi="宋体"/>
                <w:color w:val="auto"/>
                <w:szCs w:val="21"/>
                <w:highlight w:val="none"/>
              </w:rPr>
              <w:t>优得[</w:t>
            </w:r>
            <w:r>
              <w:rPr>
                <w:rFonts w:hint="eastAsia" w:ascii="宋体" w:hAnsi="宋体"/>
                <w:color w:val="auto"/>
                <w:szCs w:val="21"/>
                <w:highlight w:val="none"/>
                <w:lang w:val="en-US" w:eastAsia="zh-CN"/>
              </w:rPr>
              <w:t>30</w:t>
            </w:r>
            <w:r>
              <w:rPr>
                <w:rFonts w:hint="eastAsia" w:ascii="宋体" w:hAnsi="宋体"/>
                <w:color w:val="auto"/>
                <w:szCs w:val="21"/>
                <w:highlight w:val="none"/>
              </w:rPr>
              <w:t>-</w:t>
            </w:r>
            <w:r>
              <w:rPr>
                <w:rFonts w:hint="eastAsia" w:ascii="宋体" w:hAnsi="宋体"/>
                <w:color w:val="auto"/>
                <w:szCs w:val="21"/>
                <w:highlight w:val="none"/>
                <w:lang w:val="en-US" w:eastAsia="zh-CN"/>
              </w:rPr>
              <w:t>22</w:t>
            </w:r>
            <w:r>
              <w:rPr>
                <w:rFonts w:hint="eastAsia" w:ascii="宋体" w:hAnsi="宋体"/>
                <w:color w:val="auto"/>
                <w:szCs w:val="21"/>
                <w:highlight w:val="none"/>
              </w:rPr>
              <w:t>)分；良得[</w:t>
            </w:r>
            <w:r>
              <w:rPr>
                <w:rFonts w:hint="eastAsia" w:ascii="宋体" w:hAnsi="宋体"/>
                <w:color w:val="auto"/>
                <w:szCs w:val="21"/>
                <w:highlight w:val="none"/>
                <w:lang w:val="en-US" w:eastAsia="zh-CN"/>
              </w:rPr>
              <w:t>22</w:t>
            </w:r>
            <w:r>
              <w:rPr>
                <w:rFonts w:hint="eastAsia" w:ascii="宋体" w:hAnsi="宋体"/>
                <w:color w:val="auto"/>
                <w:szCs w:val="21"/>
                <w:highlight w:val="none"/>
              </w:rPr>
              <w:t>-</w:t>
            </w:r>
            <w:r>
              <w:rPr>
                <w:rFonts w:hint="eastAsia" w:ascii="宋体" w:hAnsi="宋体"/>
                <w:color w:val="auto"/>
                <w:szCs w:val="21"/>
                <w:highlight w:val="none"/>
                <w:lang w:val="en-US" w:eastAsia="zh-CN"/>
              </w:rPr>
              <w:t>14</w:t>
            </w:r>
            <w:r>
              <w:rPr>
                <w:rFonts w:hint="eastAsia" w:ascii="宋体" w:hAnsi="宋体"/>
                <w:color w:val="auto"/>
                <w:szCs w:val="21"/>
                <w:highlight w:val="none"/>
              </w:rPr>
              <w:t>）分；中得[</w:t>
            </w:r>
            <w:r>
              <w:rPr>
                <w:rFonts w:hint="eastAsia" w:ascii="宋体" w:hAnsi="宋体"/>
                <w:color w:val="auto"/>
                <w:szCs w:val="21"/>
                <w:highlight w:val="none"/>
                <w:lang w:val="en-US" w:eastAsia="zh-CN"/>
              </w:rPr>
              <w:t>14</w:t>
            </w: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）分；差得[</w:t>
            </w:r>
            <w:r>
              <w:rPr>
                <w:rFonts w:hint="eastAsia" w:ascii="宋体" w:hAnsi="宋体"/>
                <w:color w:val="auto"/>
                <w:szCs w:val="21"/>
                <w:highlight w:val="none"/>
                <w:lang w:val="en-US" w:eastAsia="zh-CN"/>
              </w:rPr>
              <w:t>7</w:t>
            </w:r>
            <w:r>
              <w:rPr>
                <w:rFonts w:hint="eastAsia" w:ascii="宋体" w:hAnsi="宋体"/>
                <w:color w:val="auto"/>
                <w:szCs w:val="21"/>
                <w:highlight w:val="none"/>
              </w:rPr>
              <w:t>-0]分；</w:t>
            </w:r>
          </w:p>
        </w:tc>
      </w:tr>
      <w:tr w14:paraId="3F193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3" w:type="dxa"/>
            <w:gridSpan w:val="2"/>
            <w:vMerge w:val="continue"/>
            <w:tcBorders>
              <w:right w:val="single" w:color="auto" w:sz="4" w:space="0"/>
            </w:tcBorders>
            <w:vAlign w:val="center"/>
          </w:tcPr>
          <w:p w14:paraId="4DCB50E0">
            <w:pPr>
              <w:spacing w:line="440" w:lineRule="exact"/>
              <w:jc w:val="center"/>
              <w:rPr>
                <w:rFonts w:hint="eastAsia" w:ascii="宋体" w:hAnsi="宋体" w:cs="宋体"/>
                <w:b/>
                <w:color w:val="auto"/>
                <w:szCs w:val="21"/>
                <w:highlight w:val="none"/>
              </w:rPr>
            </w:pPr>
          </w:p>
        </w:tc>
        <w:tc>
          <w:tcPr>
            <w:tcW w:w="1014" w:type="dxa"/>
            <w:vMerge w:val="continue"/>
            <w:tcBorders>
              <w:right w:val="single" w:color="auto" w:sz="4" w:space="0"/>
            </w:tcBorders>
            <w:vAlign w:val="center"/>
          </w:tcPr>
          <w:p w14:paraId="68072764">
            <w:pPr>
              <w:spacing w:line="440" w:lineRule="exact"/>
              <w:jc w:val="center"/>
              <w:rPr>
                <w:rFonts w:hint="eastAsia" w:ascii="宋体" w:hAnsi="宋体" w:cs="宋体"/>
                <w:b/>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696AD58E">
            <w:pPr>
              <w:snapToGrid w:val="0"/>
              <w:jc w:val="center"/>
              <w:rPr>
                <w:rFonts w:ascii="宋体" w:cs="宋体"/>
                <w:color w:val="auto"/>
                <w:szCs w:val="21"/>
                <w:highlight w:val="none"/>
              </w:rPr>
            </w:pPr>
            <w:r>
              <w:rPr>
                <w:rFonts w:hint="eastAsia" w:ascii="宋体" w:cs="宋体"/>
                <w:color w:val="auto"/>
                <w:szCs w:val="21"/>
                <w:highlight w:val="none"/>
              </w:rPr>
              <w:t>设计深度</w:t>
            </w:r>
          </w:p>
          <w:p w14:paraId="7291725B">
            <w:pPr>
              <w:snapToGrid w:val="0"/>
              <w:jc w:val="center"/>
              <w:rPr>
                <w:rFonts w:hint="eastAsia" w:ascii="宋体" w:hAnsi="宋体" w:cs="宋体"/>
                <w:color w:val="auto"/>
                <w:szCs w:val="21"/>
                <w:highlight w:val="none"/>
                <w:lang w:val="zh-TW" w:eastAsia="zh-TW"/>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5分）</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770E6E1E">
            <w:pPr>
              <w:spacing w:line="320" w:lineRule="exact"/>
              <w:jc w:val="left"/>
              <w:rPr>
                <w:rFonts w:hint="eastAsia" w:ascii="宋体" w:hAnsi="宋体"/>
                <w:color w:val="auto"/>
                <w:szCs w:val="21"/>
                <w:highlight w:val="none"/>
              </w:rPr>
            </w:pPr>
            <w:r>
              <w:rPr>
                <w:rFonts w:hint="eastAsia" w:ascii="宋体" w:hAnsi="宋体"/>
                <w:color w:val="auto"/>
                <w:szCs w:val="21"/>
                <w:highlight w:val="none"/>
              </w:rPr>
              <w:t>空间效果图、平面布局、立面、剖面等图纸及三维动画方案表达完整清晰，结合珠宝品类业态设计说明，并考虑实施的可行性、经济性和商业性；充分考虑除装修专业以外其他专业的方案，并考虑与装修效果图的协调，对设计任务书内的设计要求响应充分。</w:t>
            </w:r>
          </w:p>
          <w:p w14:paraId="32FE8C2C">
            <w:pPr>
              <w:spacing w:line="320" w:lineRule="exact"/>
              <w:jc w:val="left"/>
              <w:rPr>
                <w:rFonts w:hint="eastAsia" w:ascii="宋体" w:hAnsi="宋体"/>
                <w:color w:val="auto"/>
                <w:szCs w:val="21"/>
                <w:highlight w:val="none"/>
              </w:rPr>
            </w:pPr>
            <w:r>
              <w:rPr>
                <w:rFonts w:hint="eastAsia" w:ascii="宋体" w:hAnsi="宋体"/>
                <w:color w:val="auto"/>
                <w:szCs w:val="21"/>
                <w:highlight w:val="none"/>
              </w:rPr>
              <w:t>优得[25-20)分；良得[20-12）分；中得[12-5）分；差得[5-0]分；</w:t>
            </w:r>
          </w:p>
        </w:tc>
      </w:tr>
      <w:tr w14:paraId="5185B8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93" w:type="dxa"/>
            <w:gridSpan w:val="2"/>
            <w:vMerge w:val="continue"/>
            <w:tcBorders>
              <w:right w:val="single" w:color="auto" w:sz="4" w:space="0"/>
            </w:tcBorders>
            <w:vAlign w:val="center"/>
          </w:tcPr>
          <w:p w14:paraId="0BDC7C4F">
            <w:pPr>
              <w:spacing w:line="440" w:lineRule="exact"/>
              <w:jc w:val="center"/>
              <w:rPr>
                <w:rFonts w:hint="eastAsia" w:ascii="宋体" w:hAnsi="宋体" w:cs="宋体"/>
                <w:b/>
                <w:color w:val="auto"/>
                <w:szCs w:val="21"/>
                <w:highlight w:val="none"/>
              </w:rPr>
            </w:pPr>
          </w:p>
        </w:tc>
        <w:tc>
          <w:tcPr>
            <w:tcW w:w="1014" w:type="dxa"/>
            <w:vMerge w:val="continue"/>
            <w:tcBorders>
              <w:right w:val="single" w:color="auto" w:sz="4" w:space="0"/>
            </w:tcBorders>
            <w:vAlign w:val="center"/>
          </w:tcPr>
          <w:p w14:paraId="68667276">
            <w:pPr>
              <w:spacing w:line="440" w:lineRule="exact"/>
              <w:jc w:val="center"/>
              <w:rPr>
                <w:rFonts w:hint="eastAsia" w:ascii="宋体" w:hAnsi="宋体" w:cs="宋体"/>
                <w:b/>
                <w:color w:val="auto"/>
                <w:szCs w:val="21"/>
                <w:highlight w:val="none"/>
              </w:rPr>
            </w:pP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18B07762">
            <w:pPr>
              <w:snapToGrid w:val="0"/>
              <w:jc w:val="center"/>
              <w:rPr>
                <w:rFonts w:ascii="Arial" w:hAnsi="Arial" w:cs="Arial"/>
                <w:color w:val="auto"/>
                <w:szCs w:val="21"/>
                <w:highlight w:val="none"/>
              </w:rPr>
            </w:pPr>
            <w:r>
              <w:rPr>
                <w:rFonts w:hint="eastAsia" w:ascii="Arial" w:hAnsi="Arial" w:cs="Arial"/>
                <w:color w:val="auto"/>
                <w:szCs w:val="21"/>
                <w:highlight w:val="none"/>
              </w:rPr>
              <w:t>绿色环保节能</w:t>
            </w:r>
          </w:p>
          <w:p w14:paraId="62B660C8">
            <w:pPr>
              <w:snapToGrid w:val="0"/>
              <w:jc w:val="center"/>
              <w:rPr>
                <w:rFonts w:ascii="Arial" w:hAnsi="Arial" w:cs="Arial"/>
                <w:color w:val="auto"/>
                <w:szCs w:val="21"/>
                <w:highlight w:val="none"/>
              </w:rPr>
            </w:pPr>
            <w:r>
              <w:rPr>
                <w:rFonts w:hint="eastAsia" w:ascii="宋体" w:hAnsi="宋体" w:cs="宋体"/>
                <w:color w:val="auto"/>
                <w:highlight w:val="none"/>
              </w:rPr>
              <w:t>（10分）</w:t>
            </w:r>
          </w:p>
        </w:tc>
        <w:tc>
          <w:tcPr>
            <w:tcW w:w="5528" w:type="dxa"/>
            <w:gridSpan w:val="2"/>
            <w:tcBorders>
              <w:top w:val="single" w:color="auto" w:sz="4" w:space="0"/>
              <w:left w:val="single" w:color="auto" w:sz="4" w:space="0"/>
              <w:bottom w:val="single" w:color="auto" w:sz="4" w:space="0"/>
              <w:right w:val="single" w:color="auto" w:sz="4" w:space="0"/>
            </w:tcBorders>
            <w:vAlign w:val="center"/>
          </w:tcPr>
          <w:p w14:paraId="073769B3">
            <w:pPr>
              <w:spacing w:line="320" w:lineRule="exact"/>
              <w:jc w:val="left"/>
              <w:rPr>
                <w:rFonts w:hint="eastAsia" w:ascii="宋体" w:hAnsi="宋体"/>
                <w:color w:val="auto"/>
                <w:szCs w:val="21"/>
                <w:highlight w:val="none"/>
              </w:rPr>
            </w:pPr>
            <w:r>
              <w:rPr>
                <w:rFonts w:hint="eastAsia" w:ascii="宋体" w:hAnsi="宋体"/>
                <w:color w:val="auto"/>
                <w:szCs w:val="21"/>
                <w:highlight w:val="none"/>
              </w:rPr>
              <w:t>设计方案满足安全性、绿色和节能要求，充分利用新材料、新技术，体现智能化设计要求；在空间材料运用上符合绿色环保要求，利用节材与材料资源利用、室内环境质量、创新与提高达到绿色建筑评价指标。</w:t>
            </w:r>
          </w:p>
          <w:p w14:paraId="014F6BFE">
            <w:pPr>
              <w:spacing w:line="320" w:lineRule="exact"/>
              <w:jc w:val="left"/>
              <w:rPr>
                <w:rFonts w:hint="eastAsia" w:ascii="宋体" w:hAnsi="宋体"/>
                <w:color w:val="auto"/>
                <w:szCs w:val="21"/>
                <w:highlight w:val="none"/>
              </w:rPr>
            </w:pPr>
            <w:r>
              <w:rPr>
                <w:rFonts w:hint="eastAsia" w:ascii="宋体" w:hAnsi="宋体"/>
                <w:color w:val="auto"/>
                <w:szCs w:val="21"/>
                <w:highlight w:val="none"/>
              </w:rPr>
              <w:t>优得[10-8)分；良得[8-5）分；中得[5-2）分；差得[2-0]分；</w:t>
            </w:r>
          </w:p>
        </w:tc>
      </w:tr>
      <w:tr w14:paraId="53DD15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Change w:id="1" w:author="利记" w:date="2024-12-03T21:49:02Z">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blPrExChange>
        </w:tblPrEx>
        <w:trPr>
          <w:trHeight w:val="90" w:hRule="atLeast"/>
          <w:trPrChange w:id="1" w:author="利记" w:date="2024-12-03T21:49:02Z">
            <w:trPr>
              <w:trHeight w:val="699" w:hRule="atLeast"/>
            </w:trPr>
          </w:trPrChange>
        </w:trPr>
        <w:tc>
          <w:tcPr>
            <w:tcW w:w="993" w:type="dxa"/>
            <w:gridSpan w:val="2"/>
            <w:vMerge w:val="restart"/>
            <w:tcBorders>
              <w:top w:val="single" w:color="auto" w:sz="4" w:space="0"/>
              <w:right w:val="single" w:color="auto" w:sz="4" w:space="0"/>
            </w:tcBorders>
            <w:vAlign w:val="center"/>
            <w:tcPrChange w:id="2" w:author="利记" w:date="2024-12-03T21:49:02Z">
              <w:tcPr>
                <w:tcW w:w="993" w:type="dxa"/>
                <w:gridSpan w:val="2"/>
                <w:vMerge w:val="restart"/>
                <w:tcBorders>
                  <w:top w:val="single" w:color="auto" w:sz="4" w:space="0"/>
                  <w:right w:val="single" w:color="auto" w:sz="4" w:space="0"/>
                </w:tcBorders>
                <w:vAlign w:val="center"/>
              </w:tcPr>
            </w:tcPrChange>
          </w:tcPr>
          <w:p w14:paraId="645F3942">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2.2.4（2）</w:t>
            </w:r>
          </w:p>
        </w:tc>
        <w:tc>
          <w:tcPr>
            <w:tcW w:w="1014" w:type="dxa"/>
            <w:vMerge w:val="restart"/>
            <w:tcBorders>
              <w:top w:val="single" w:color="auto" w:sz="4" w:space="0"/>
              <w:right w:val="single" w:color="auto" w:sz="4" w:space="0"/>
            </w:tcBorders>
            <w:tcPrChange w:id="3" w:author="利记" w:date="2024-12-03T21:49:02Z">
              <w:tcPr>
                <w:tcW w:w="1014" w:type="dxa"/>
                <w:vMerge w:val="restart"/>
                <w:tcBorders>
                  <w:top w:val="single" w:color="auto" w:sz="4" w:space="0"/>
                  <w:right w:val="single" w:color="auto" w:sz="4" w:space="0"/>
                </w:tcBorders>
              </w:tcPr>
            </w:tcPrChange>
          </w:tcPr>
          <w:p w14:paraId="1E2A83B1">
            <w:pPr>
              <w:spacing w:line="440" w:lineRule="exact"/>
              <w:jc w:val="center"/>
              <w:rPr>
                <w:rFonts w:hint="eastAsia" w:ascii="宋体" w:hAnsi="宋体" w:cs="宋体"/>
                <w:color w:val="auto"/>
                <w:szCs w:val="21"/>
                <w:highlight w:val="none"/>
              </w:rPr>
            </w:pPr>
          </w:p>
          <w:p w14:paraId="4B217EE9">
            <w:pPr>
              <w:spacing w:line="440" w:lineRule="exact"/>
              <w:jc w:val="center"/>
              <w:rPr>
                <w:rFonts w:hint="eastAsia" w:ascii="宋体" w:hAnsi="宋体" w:cs="宋体"/>
                <w:color w:val="auto"/>
                <w:szCs w:val="21"/>
                <w:highlight w:val="none"/>
              </w:rPr>
            </w:pPr>
          </w:p>
          <w:p w14:paraId="4AE3111E">
            <w:pPr>
              <w:spacing w:line="440" w:lineRule="exact"/>
              <w:jc w:val="center"/>
              <w:rPr>
                <w:rFonts w:hint="eastAsia" w:ascii="宋体" w:hAnsi="宋体" w:cs="宋体"/>
                <w:color w:val="auto"/>
                <w:szCs w:val="21"/>
                <w:highlight w:val="none"/>
              </w:rPr>
            </w:pPr>
          </w:p>
          <w:p w14:paraId="3E55A2B1">
            <w:pPr>
              <w:spacing w:line="440" w:lineRule="exact"/>
              <w:jc w:val="center"/>
              <w:rPr>
                <w:rFonts w:hint="eastAsia" w:ascii="宋体" w:hAnsi="宋体" w:cs="宋体"/>
                <w:color w:val="auto"/>
                <w:szCs w:val="21"/>
                <w:highlight w:val="none"/>
              </w:rPr>
            </w:pPr>
          </w:p>
          <w:p w14:paraId="7FFEEE1F">
            <w:pPr>
              <w:spacing w:line="440" w:lineRule="exact"/>
              <w:jc w:val="center"/>
              <w:rPr>
                <w:rFonts w:hint="eastAsia" w:ascii="宋体" w:hAnsi="宋体" w:cs="宋体"/>
                <w:color w:val="auto"/>
                <w:szCs w:val="21"/>
                <w:highlight w:val="none"/>
              </w:rPr>
            </w:pPr>
          </w:p>
          <w:p w14:paraId="118563F2">
            <w:pPr>
              <w:spacing w:line="440" w:lineRule="exact"/>
              <w:jc w:val="center"/>
              <w:rPr>
                <w:rFonts w:hint="eastAsia" w:ascii="宋体" w:hAnsi="宋体" w:cs="宋体"/>
                <w:color w:val="auto"/>
                <w:szCs w:val="21"/>
                <w:highlight w:val="none"/>
              </w:rPr>
            </w:pPr>
          </w:p>
          <w:p w14:paraId="46DDD839">
            <w:pPr>
              <w:spacing w:line="440" w:lineRule="exact"/>
              <w:jc w:val="center"/>
              <w:rPr>
                <w:rFonts w:hint="eastAsia" w:ascii="宋体" w:hAnsi="宋体" w:cs="宋体"/>
                <w:color w:val="auto"/>
                <w:szCs w:val="21"/>
                <w:highlight w:val="none"/>
              </w:rPr>
            </w:pPr>
          </w:p>
          <w:p w14:paraId="503A3EDE">
            <w:pPr>
              <w:spacing w:line="440" w:lineRule="exact"/>
              <w:jc w:val="center"/>
              <w:rPr>
                <w:rFonts w:hint="eastAsia" w:ascii="宋体" w:hAnsi="宋体" w:cs="宋体"/>
                <w:color w:val="auto"/>
                <w:szCs w:val="21"/>
                <w:highlight w:val="none"/>
              </w:rPr>
            </w:pPr>
          </w:p>
          <w:p w14:paraId="1DB17787">
            <w:pPr>
              <w:spacing w:line="440" w:lineRule="exact"/>
              <w:jc w:val="center"/>
              <w:rPr>
                <w:rFonts w:hint="eastAsia" w:ascii="宋体" w:hAnsi="宋体" w:cs="宋体"/>
                <w:color w:val="auto"/>
                <w:szCs w:val="21"/>
                <w:highlight w:val="none"/>
              </w:rPr>
            </w:pPr>
          </w:p>
          <w:p w14:paraId="1A1D9083">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工程承包实施方案评分标准</w:t>
            </w:r>
          </w:p>
        </w:tc>
        <w:tc>
          <w:tcPr>
            <w:tcW w:w="986" w:type="dxa"/>
            <w:vMerge w:val="restart"/>
            <w:tcBorders>
              <w:top w:val="single" w:color="auto" w:sz="4" w:space="0"/>
              <w:left w:val="single" w:color="auto" w:sz="4" w:space="0"/>
              <w:right w:val="single" w:color="auto" w:sz="4" w:space="0"/>
            </w:tcBorders>
            <w:vAlign w:val="center"/>
            <w:tcPrChange w:id="4" w:author="利记" w:date="2024-12-03T21:49:02Z">
              <w:tcPr>
                <w:tcW w:w="986" w:type="dxa"/>
                <w:vMerge w:val="restart"/>
                <w:tcBorders>
                  <w:top w:val="single" w:color="auto" w:sz="4" w:space="0"/>
                  <w:left w:val="single" w:color="auto" w:sz="4" w:space="0"/>
                  <w:right w:val="single" w:color="auto" w:sz="4" w:space="0"/>
                </w:tcBorders>
                <w:vAlign w:val="center"/>
              </w:tcPr>
            </w:tcPrChange>
          </w:tcPr>
          <w:p w14:paraId="6CA4901D">
            <w:pPr>
              <w:spacing w:line="440" w:lineRule="exact"/>
              <w:rPr>
                <w:rFonts w:hint="eastAsia" w:ascii="宋体" w:hAnsi="宋体" w:cs="宋体"/>
                <w:color w:val="auto"/>
                <w:highlight w:val="none"/>
              </w:rPr>
            </w:pPr>
            <w:r>
              <w:rPr>
                <w:rFonts w:hint="eastAsia" w:ascii="宋体" w:hAnsi="宋体" w:cs="宋体"/>
                <w:color w:val="auto"/>
                <w:highlight w:val="none"/>
              </w:rPr>
              <w:t>企业资信部分</w:t>
            </w:r>
          </w:p>
          <w:p w14:paraId="1D5B5FDD">
            <w:pPr>
              <w:spacing w:line="440" w:lineRule="exact"/>
              <w:jc w:val="center"/>
              <w:rPr>
                <w:rFonts w:hint="eastAsia" w:ascii="宋体" w:hAnsi="宋体" w:cs="宋体"/>
                <w:color w:val="auto"/>
                <w:szCs w:val="21"/>
                <w:highlight w:val="none"/>
              </w:rPr>
            </w:pPr>
            <w:r>
              <w:rPr>
                <w:rFonts w:hint="eastAsia" w:ascii="宋体" w:hAnsi="宋体" w:cs="宋体"/>
                <w:color w:val="auto"/>
                <w:highlight w:val="none"/>
              </w:rPr>
              <w:t>（30分）</w:t>
            </w:r>
          </w:p>
        </w:tc>
        <w:tc>
          <w:tcPr>
            <w:tcW w:w="1206" w:type="dxa"/>
            <w:gridSpan w:val="2"/>
            <w:tcBorders>
              <w:top w:val="single" w:color="auto" w:sz="4" w:space="0"/>
              <w:left w:val="single" w:color="auto" w:sz="4" w:space="0"/>
              <w:right w:val="single" w:color="auto" w:sz="4" w:space="0"/>
            </w:tcBorders>
            <w:vAlign w:val="center"/>
            <w:tcPrChange w:id="5" w:author="利记" w:date="2024-12-03T21:49:02Z">
              <w:tcPr>
                <w:tcW w:w="1206" w:type="dxa"/>
                <w:gridSpan w:val="2"/>
                <w:tcBorders>
                  <w:top w:val="single" w:color="auto" w:sz="4" w:space="0"/>
                  <w:left w:val="single" w:color="auto" w:sz="4" w:space="0"/>
                  <w:right w:val="single" w:color="auto" w:sz="4" w:space="0"/>
                </w:tcBorders>
                <w:vAlign w:val="center"/>
              </w:tcPr>
            </w:tcPrChange>
          </w:tcPr>
          <w:p w14:paraId="7EBF86D2">
            <w:pPr>
              <w:spacing w:line="440" w:lineRule="exact"/>
              <w:jc w:val="center"/>
              <w:rPr>
                <w:rFonts w:hint="eastAsia" w:ascii="宋体" w:hAnsi="宋体" w:cs="宋体"/>
                <w:color w:val="auto"/>
                <w:highlight w:val="none"/>
              </w:rPr>
            </w:pPr>
            <w:r>
              <w:rPr>
                <w:rFonts w:hint="eastAsia" w:ascii="宋体" w:hAnsi="宋体" w:cs="宋体"/>
                <w:color w:val="auto"/>
                <w:highlight w:val="none"/>
              </w:rPr>
              <w:t>施工企业业绩</w:t>
            </w:r>
          </w:p>
          <w:p w14:paraId="70D29062">
            <w:pPr>
              <w:spacing w:line="440" w:lineRule="exact"/>
              <w:jc w:val="center"/>
              <w:rPr>
                <w:rFonts w:hint="eastAsia" w:ascii="宋体" w:hAnsi="宋体" w:cs="宋体"/>
                <w:color w:val="auto"/>
                <w:szCs w:val="21"/>
                <w:highlight w:val="none"/>
              </w:rPr>
            </w:pPr>
            <w:r>
              <w:rPr>
                <w:rFonts w:hint="eastAsia" w:ascii="宋体" w:hAnsi="宋体" w:cs="宋体"/>
                <w:color w:val="auto"/>
                <w:highlight w:val="none"/>
              </w:rPr>
              <w:t>（8分）</w:t>
            </w:r>
          </w:p>
        </w:tc>
        <w:tc>
          <w:tcPr>
            <w:tcW w:w="5157" w:type="dxa"/>
            <w:tcBorders>
              <w:top w:val="single" w:color="auto" w:sz="4" w:space="0"/>
              <w:left w:val="single" w:color="auto" w:sz="4" w:space="0"/>
              <w:bottom w:val="single" w:color="auto" w:sz="4" w:space="0"/>
              <w:right w:val="single" w:color="auto" w:sz="4" w:space="0"/>
            </w:tcBorders>
            <w:vAlign w:val="center"/>
            <w:tcPrChange w:id="6" w:author="利记" w:date="2024-12-03T21:49:02Z">
              <w:tcPr>
                <w:tcW w:w="5157" w:type="dxa"/>
                <w:tcBorders>
                  <w:top w:val="single" w:color="auto" w:sz="4" w:space="0"/>
                  <w:left w:val="single" w:color="auto" w:sz="4" w:space="0"/>
                  <w:bottom w:val="single" w:color="auto" w:sz="4" w:space="0"/>
                  <w:right w:val="single" w:color="auto" w:sz="4" w:space="0"/>
                </w:tcBorders>
                <w:vAlign w:val="center"/>
              </w:tcPr>
            </w:tcPrChange>
          </w:tcPr>
          <w:p w14:paraId="2FF7D4F8">
            <w:pPr>
              <w:spacing w:line="320" w:lineRule="exact"/>
              <w:jc w:val="left"/>
              <w:rPr>
                <w:rFonts w:hint="eastAsia" w:ascii="宋体" w:hAnsi="宋体" w:cstheme="minorBidi"/>
                <w:color w:val="auto"/>
                <w:szCs w:val="21"/>
                <w:highlight w:val="none"/>
              </w:rPr>
            </w:pPr>
            <w:r>
              <w:rPr>
                <w:rFonts w:hint="eastAsia" w:ascii="宋体" w:hAnsi="宋体"/>
                <w:color w:val="auto"/>
                <w:szCs w:val="21"/>
                <w:highlight w:val="none"/>
              </w:rPr>
              <w:t>2021年1月1日至投标截止时间止，投标人（主办方）完成过质量合格的类似项目施工业绩：</w:t>
            </w:r>
          </w:p>
          <w:p w14:paraId="5B0019DA">
            <w:pPr>
              <w:spacing w:line="320" w:lineRule="exact"/>
              <w:jc w:val="left"/>
              <w:rPr>
                <w:rFonts w:hint="eastAsia" w:ascii="宋体" w:hAnsi="宋体"/>
                <w:color w:val="auto"/>
                <w:szCs w:val="21"/>
                <w:highlight w:val="none"/>
              </w:rPr>
            </w:pPr>
            <w:r>
              <w:rPr>
                <w:rFonts w:hint="eastAsia" w:ascii="宋体" w:hAnsi="宋体"/>
                <w:color w:val="auto"/>
                <w:szCs w:val="21"/>
                <w:highlight w:val="none"/>
              </w:rPr>
              <w:t>（1）完成</w:t>
            </w:r>
            <w:r>
              <w:rPr>
                <w:rFonts w:hint="eastAsia" w:ascii="宋体" w:hAnsi="宋体"/>
                <w:color w:val="auto"/>
                <w:szCs w:val="21"/>
                <w:highlight w:val="none"/>
                <w:lang w:val="en-US" w:eastAsia="zh-CN"/>
              </w:rPr>
              <w:t>5</w:t>
            </w:r>
            <w:r>
              <w:rPr>
                <w:rFonts w:hint="eastAsia" w:ascii="宋体" w:hAnsi="宋体"/>
                <w:color w:val="auto"/>
                <w:szCs w:val="21"/>
                <w:highlight w:val="none"/>
              </w:rPr>
              <w:t>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不含</w:t>
            </w:r>
            <w:r>
              <w:rPr>
                <w:rFonts w:hint="eastAsia" w:ascii="宋体" w:hAnsi="宋体"/>
                <w:color w:val="auto"/>
                <w:szCs w:val="21"/>
                <w:highlight w:val="none"/>
                <w:lang w:eastAsia="zh-CN"/>
              </w:rPr>
              <w:t>）</w:t>
            </w:r>
            <w:r>
              <w:rPr>
                <w:rFonts w:hint="eastAsia" w:ascii="宋体" w:hAnsi="宋体"/>
                <w:color w:val="auto"/>
                <w:szCs w:val="21"/>
                <w:highlight w:val="none"/>
              </w:rPr>
              <w:t>以上的，得8分；</w:t>
            </w:r>
          </w:p>
          <w:p w14:paraId="26FC2298">
            <w:pPr>
              <w:spacing w:line="320" w:lineRule="exact"/>
              <w:jc w:val="left"/>
              <w:rPr>
                <w:rFonts w:hint="eastAsia" w:ascii="宋体" w:hAnsi="宋体"/>
                <w:color w:val="auto"/>
                <w:szCs w:val="21"/>
                <w:highlight w:val="none"/>
              </w:rPr>
            </w:pPr>
            <w:r>
              <w:rPr>
                <w:rFonts w:hint="eastAsia" w:ascii="宋体" w:hAnsi="宋体"/>
                <w:color w:val="auto"/>
                <w:szCs w:val="21"/>
                <w:highlight w:val="none"/>
              </w:rPr>
              <w:t>（2）完成</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项的，得4分；</w:t>
            </w:r>
          </w:p>
          <w:p w14:paraId="71D2B2D0">
            <w:pPr>
              <w:spacing w:line="320" w:lineRule="exact"/>
              <w:jc w:val="left"/>
              <w:rPr>
                <w:rFonts w:hint="eastAsia" w:ascii="宋体" w:hAnsi="宋体"/>
                <w:color w:val="auto"/>
                <w:szCs w:val="21"/>
                <w:highlight w:val="none"/>
              </w:rPr>
            </w:pPr>
            <w:r>
              <w:rPr>
                <w:rFonts w:hint="eastAsia" w:ascii="宋体" w:hAnsi="宋体"/>
                <w:color w:val="auto"/>
                <w:szCs w:val="21"/>
                <w:highlight w:val="none"/>
              </w:rPr>
              <w:t>（3）完成1-</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项的，得2分； </w:t>
            </w:r>
          </w:p>
          <w:p w14:paraId="32C109B8">
            <w:pPr>
              <w:spacing w:line="320" w:lineRule="exact"/>
              <w:jc w:val="left"/>
              <w:rPr>
                <w:rFonts w:hint="eastAsia" w:ascii="宋体" w:hAnsi="宋体"/>
                <w:color w:val="auto"/>
                <w:szCs w:val="21"/>
                <w:highlight w:val="none"/>
              </w:rPr>
            </w:pPr>
            <w:r>
              <w:rPr>
                <w:rFonts w:hint="eastAsia" w:ascii="宋体" w:hAnsi="宋体"/>
                <w:color w:val="auto"/>
                <w:szCs w:val="21"/>
                <w:highlight w:val="none"/>
              </w:rPr>
              <w:t>类似项目是指：工程造价大于或等于600万元的建筑装饰装修施工工程。</w:t>
            </w:r>
          </w:p>
        </w:tc>
      </w:tr>
      <w:tr w14:paraId="057DC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vMerge w:val="continue"/>
            <w:tcBorders>
              <w:right w:val="single" w:color="auto" w:sz="4" w:space="0"/>
            </w:tcBorders>
            <w:vAlign w:val="center"/>
          </w:tcPr>
          <w:p w14:paraId="67F95F4A">
            <w:pPr>
              <w:spacing w:line="440" w:lineRule="exact"/>
              <w:jc w:val="center"/>
              <w:rPr>
                <w:rFonts w:hint="eastAsia" w:ascii="宋体" w:hAnsi="宋体" w:cs="宋体"/>
                <w:color w:val="auto"/>
                <w:highlight w:val="none"/>
              </w:rPr>
            </w:pPr>
          </w:p>
        </w:tc>
        <w:tc>
          <w:tcPr>
            <w:tcW w:w="1014" w:type="dxa"/>
            <w:vMerge w:val="continue"/>
            <w:tcBorders>
              <w:right w:val="single" w:color="auto" w:sz="4" w:space="0"/>
            </w:tcBorders>
          </w:tcPr>
          <w:p w14:paraId="1671A94A">
            <w:pPr>
              <w:spacing w:line="440" w:lineRule="exact"/>
              <w:jc w:val="center"/>
              <w:rPr>
                <w:rFonts w:hint="eastAsia" w:ascii="宋体" w:hAnsi="宋体" w:cs="宋体"/>
                <w:color w:val="auto"/>
                <w:highlight w:val="none"/>
              </w:rPr>
            </w:pPr>
          </w:p>
        </w:tc>
        <w:tc>
          <w:tcPr>
            <w:tcW w:w="986" w:type="dxa"/>
            <w:vMerge w:val="continue"/>
            <w:tcBorders>
              <w:left w:val="single" w:color="auto" w:sz="4" w:space="0"/>
              <w:right w:val="single" w:color="auto" w:sz="4" w:space="0"/>
            </w:tcBorders>
            <w:vAlign w:val="center"/>
          </w:tcPr>
          <w:p w14:paraId="51AB12A2">
            <w:pPr>
              <w:spacing w:line="440" w:lineRule="exact"/>
              <w:jc w:val="center"/>
              <w:rPr>
                <w:rFonts w:hint="eastAsia" w:ascii="宋体" w:hAnsi="宋体" w:cs="宋体"/>
                <w:color w:val="auto"/>
                <w:highlight w:val="none"/>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7B7B92DF">
            <w:pPr>
              <w:spacing w:line="440" w:lineRule="exact"/>
              <w:jc w:val="center"/>
              <w:rPr>
                <w:rFonts w:hint="eastAsia" w:ascii="宋体" w:hAnsi="宋体" w:cs="宋体"/>
                <w:color w:val="auto"/>
                <w:highlight w:val="none"/>
              </w:rPr>
            </w:pPr>
            <w:r>
              <w:rPr>
                <w:rFonts w:hint="eastAsia" w:ascii="宋体" w:hAnsi="宋体" w:cs="宋体"/>
                <w:color w:val="auto"/>
                <w:kern w:val="0"/>
                <w:highlight w:val="none"/>
              </w:rPr>
              <w:t>施工</w:t>
            </w:r>
            <w:r>
              <w:rPr>
                <w:rFonts w:hint="eastAsia" w:ascii="宋体" w:hAnsi="宋体" w:cs="宋体"/>
                <w:color w:val="auto"/>
                <w:highlight w:val="none"/>
              </w:rPr>
              <w:t>企业获奖（12分）</w:t>
            </w:r>
          </w:p>
        </w:tc>
        <w:tc>
          <w:tcPr>
            <w:tcW w:w="5157" w:type="dxa"/>
            <w:tcBorders>
              <w:top w:val="single" w:color="auto" w:sz="4" w:space="0"/>
              <w:left w:val="single" w:color="auto" w:sz="4" w:space="0"/>
              <w:bottom w:val="single" w:color="auto" w:sz="4" w:space="0"/>
              <w:right w:val="single" w:color="auto" w:sz="4" w:space="0"/>
            </w:tcBorders>
            <w:vAlign w:val="center"/>
          </w:tcPr>
          <w:p w14:paraId="7194D4B4">
            <w:pPr>
              <w:spacing w:line="320" w:lineRule="exact"/>
              <w:jc w:val="left"/>
              <w:rPr>
                <w:rFonts w:hint="eastAsia" w:ascii="宋体" w:hAnsi="宋体" w:cstheme="minorBidi"/>
                <w:color w:val="auto"/>
                <w:szCs w:val="21"/>
                <w:highlight w:val="none"/>
              </w:rPr>
            </w:pPr>
            <w:r>
              <w:rPr>
                <w:rFonts w:hint="eastAsia" w:ascii="宋体" w:hAnsi="宋体"/>
                <w:color w:val="auto"/>
                <w:szCs w:val="21"/>
                <w:highlight w:val="none"/>
              </w:rPr>
              <w:t>2021年1月1日至今（以颁奖时间为准），投标人（主办方）完成过建筑装修装饰工程获得过市级（或以上）的质量奖项情况：</w:t>
            </w:r>
          </w:p>
          <w:p w14:paraId="313B425D">
            <w:pPr>
              <w:spacing w:line="320" w:lineRule="exact"/>
              <w:jc w:val="left"/>
              <w:rPr>
                <w:rFonts w:hint="eastAsia" w:ascii="宋体" w:hAnsi="宋体"/>
                <w:color w:val="auto"/>
                <w:szCs w:val="21"/>
                <w:highlight w:val="none"/>
              </w:rPr>
            </w:pPr>
            <w:r>
              <w:rPr>
                <w:rFonts w:hint="eastAsia" w:ascii="宋体" w:hAnsi="宋体"/>
                <w:color w:val="auto"/>
                <w:szCs w:val="21"/>
                <w:highlight w:val="none"/>
              </w:rPr>
              <w:t>（1）具有1</w:t>
            </w:r>
            <w:r>
              <w:rPr>
                <w:rFonts w:hint="eastAsia" w:ascii="宋体" w:hAnsi="宋体"/>
                <w:color w:val="auto"/>
                <w:szCs w:val="21"/>
                <w:highlight w:val="none"/>
                <w:lang w:val="en-US" w:eastAsia="zh-CN"/>
              </w:rPr>
              <w:t>5</w:t>
            </w:r>
            <w:r>
              <w:rPr>
                <w:rFonts w:hint="eastAsia" w:ascii="宋体" w:hAnsi="宋体"/>
                <w:color w:val="auto"/>
                <w:szCs w:val="21"/>
                <w:highlight w:val="none"/>
              </w:rPr>
              <w:t>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不含</w:t>
            </w:r>
            <w:r>
              <w:rPr>
                <w:rFonts w:hint="eastAsia" w:ascii="宋体" w:hAnsi="宋体"/>
                <w:color w:val="auto"/>
                <w:szCs w:val="21"/>
                <w:highlight w:val="none"/>
                <w:lang w:eastAsia="zh-CN"/>
              </w:rPr>
              <w:t>）</w:t>
            </w:r>
            <w:r>
              <w:rPr>
                <w:rFonts w:hint="eastAsia" w:ascii="宋体" w:hAnsi="宋体"/>
                <w:color w:val="auto"/>
                <w:szCs w:val="21"/>
                <w:highlight w:val="none"/>
              </w:rPr>
              <w:t>以上的，得12分；</w:t>
            </w:r>
          </w:p>
          <w:p w14:paraId="4105FE25">
            <w:pPr>
              <w:spacing w:line="320" w:lineRule="exact"/>
              <w:jc w:val="left"/>
              <w:rPr>
                <w:rFonts w:hint="eastAsia" w:ascii="宋体" w:hAnsi="宋体"/>
                <w:color w:val="auto"/>
                <w:szCs w:val="21"/>
                <w:highlight w:val="none"/>
              </w:rPr>
            </w:pPr>
            <w:r>
              <w:rPr>
                <w:rFonts w:hint="eastAsia" w:ascii="宋体" w:hAnsi="宋体"/>
                <w:color w:val="auto"/>
                <w:szCs w:val="21"/>
                <w:highlight w:val="none"/>
              </w:rPr>
              <w:t>（2）具有1</w:t>
            </w:r>
            <w:r>
              <w:rPr>
                <w:rFonts w:hint="eastAsia" w:ascii="宋体" w:hAnsi="宋体"/>
                <w:color w:val="auto"/>
                <w:szCs w:val="21"/>
                <w:highlight w:val="none"/>
                <w:lang w:val="en-US" w:eastAsia="zh-CN"/>
              </w:rPr>
              <w:t>1</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项的，得6分；</w:t>
            </w:r>
          </w:p>
          <w:p w14:paraId="5CE05695">
            <w:pPr>
              <w:spacing w:line="320" w:lineRule="exact"/>
              <w:jc w:val="left"/>
              <w:rPr>
                <w:rFonts w:hint="eastAsia" w:ascii="宋体" w:hAnsi="宋体"/>
                <w:color w:val="auto"/>
                <w:szCs w:val="21"/>
                <w:highlight w:val="none"/>
              </w:rPr>
            </w:pPr>
            <w:r>
              <w:rPr>
                <w:rFonts w:hint="eastAsia" w:ascii="宋体" w:hAnsi="宋体"/>
                <w:color w:val="auto"/>
                <w:szCs w:val="21"/>
                <w:highlight w:val="none"/>
              </w:rPr>
              <w:t>（3）具有</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10</w:t>
            </w:r>
            <w:r>
              <w:rPr>
                <w:rFonts w:hint="eastAsia" w:ascii="宋体" w:hAnsi="宋体"/>
                <w:color w:val="auto"/>
                <w:szCs w:val="21"/>
                <w:highlight w:val="none"/>
              </w:rPr>
              <w:t>项的，得3分；</w:t>
            </w:r>
          </w:p>
          <w:p w14:paraId="1F6BDECC">
            <w:pPr>
              <w:spacing w:line="320" w:lineRule="exact"/>
              <w:jc w:val="left"/>
              <w:rPr>
                <w:rFonts w:hint="eastAsia" w:ascii="宋体" w:hAnsi="宋体"/>
                <w:color w:val="auto"/>
                <w:szCs w:val="21"/>
                <w:highlight w:val="none"/>
              </w:rPr>
            </w:pPr>
            <w:r>
              <w:rPr>
                <w:rFonts w:hint="eastAsia" w:ascii="宋体" w:hAnsi="宋体"/>
                <w:color w:val="auto"/>
                <w:szCs w:val="21"/>
                <w:highlight w:val="none"/>
              </w:rPr>
              <w:t>（4）具有1～</w:t>
            </w:r>
            <w:r>
              <w:rPr>
                <w:rFonts w:hint="eastAsia" w:ascii="宋体" w:hAnsi="宋体"/>
                <w:color w:val="auto"/>
                <w:szCs w:val="21"/>
                <w:highlight w:val="none"/>
                <w:lang w:val="en-US" w:eastAsia="zh-CN"/>
              </w:rPr>
              <w:t>5</w:t>
            </w:r>
            <w:r>
              <w:rPr>
                <w:rFonts w:hint="eastAsia" w:ascii="宋体" w:hAnsi="宋体"/>
                <w:color w:val="auto"/>
                <w:szCs w:val="21"/>
                <w:highlight w:val="none"/>
              </w:rPr>
              <w:t>项的，得1.5分；</w:t>
            </w:r>
          </w:p>
          <w:p w14:paraId="11BD624F">
            <w:pPr>
              <w:spacing w:line="320" w:lineRule="exact"/>
              <w:jc w:val="left"/>
              <w:rPr>
                <w:rFonts w:hint="eastAsia" w:ascii="宋体" w:hAnsi="宋体"/>
                <w:color w:val="auto"/>
                <w:szCs w:val="21"/>
                <w:highlight w:val="none"/>
              </w:rPr>
            </w:pPr>
            <w:r>
              <w:rPr>
                <w:rFonts w:hint="eastAsia" w:ascii="宋体" w:hAnsi="宋体"/>
                <w:color w:val="auto"/>
                <w:szCs w:val="21"/>
                <w:highlight w:val="none"/>
              </w:rPr>
              <w:t>不符合上述条件的不得分，本项最高得12分。</w:t>
            </w:r>
          </w:p>
        </w:tc>
      </w:tr>
      <w:tr w14:paraId="58A4D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vMerge w:val="continue"/>
            <w:tcBorders>
              <w:right w:val="single" w:color="auto" w:sz="4" w:space="0"/>
            </w:tcBorders>
            <w:vAlign w:val="center"/>
          </w:tcPr>
          <w:p w14:paraId="3B543104">
            <w:pPr>
              <w:spacing w:line="440" w:lineRule="exact"/>
              <w:jc w:val="center"/>
              <w:rPr>
                <w:rFonts w:hint="eastAsia" w:ascii="宋体" w:hAnsi="宋体" w:cs="宋体"/>
                <w:color w:val="auto"/>
                <w:highlight w:val="none"/>
              </w:rPr>
            </w:pPr>
          </w:p>
        </w:tc>
        <w:tc>
          <w:tcPr>
            <w:tcW w:w="1014" w:type="dxa"/>
            <w:vMerge w:val="continue"/>
            <w:tcBorders>
              <w:right w:val="single" w:color="auto" w:sz="4" w:space="0"/>
            </w:tcBorders>
          </w:tcPr>
          <w:p w14:paraId="78171EFF">
            <w:pPr>
              <w:spacing w:line="440" w:lineRule="exact"/>
              <w:jc w:val="center"/>
              <w:rPr>
                <w:rFonts w:hint="eastAsia" w:ascii="宋体" w:hAnsi="宋体" w:cs="宋体"/>
                <w:color w:val="auto"/>
                <w:highlight w:val="none"/>
              </w:rPr>
            </w:pPr>
          </w:p>
        </w:tc>
        <w:tc>
          <w:tcPr>
            <w:tcW w:w="986" w:type="dxa"/>
            <w:vMerge w:val="continue"/>
            <w:tcBorders>
              <w:left w:val="single" w:color="auto" w:sz="4" w:space="0"/>
              <w:right w:val="single" w:color="auto" w:sz="4" w:space="0"/>
            </w:tcBorders>
            <w:vAlign w:val="center"/>
          </w:tcPr>
          <w:p w14:paraId="0C88F345">
            <w:pPr>
              <w:spacing w:line="440" w:lineRule="exact"/>
              <w:jc w:val="center"/>
              <w:rPr>
                <w:rFonts w:hint="eastAsia" w:ascii="宋体" w:hAnsi="宋体" w:cs="宋体"/>
                <w:color w:val="auto"/>
                <w:highlight w:val="none"/>
              </w:rPr>
            </w:pPr>
          </w:p>
        </w:tc>
        <w:tc>
          <w:tcPr>
            <w:tcW w:w="1206" w:type="dxa"/>
            <w:gridSpan w:val="2"/>
            <w:vMerge w:val="restart"/>
            <w:tcBorders>
              <w:top w:val="single" w:color="auto" w:sz="4" w:space="0"/>
              <w:left w:val="single" w:color="auto" w:sz="4" w:space="0"/>
              <w:right w:val="single" w:color="auto" w:sz="4" w:space="0"/>
            </w:tcBorders>
            <w:vAlign w:val="center"/>
          </w:tcPr>
          <w:p w14:paraId="5EB0E8A9">
            <w:pPr>
              <w:spacing w:line="440" w:lineRule="exact"/>
              <w:jc w:val="center"/>
              <w:rPr>
                <w:rFonts w:hint="eastAsia" w:ascii="宋体" w:hAnsi="宋体" w:cs="宋体"/>
                <w:color w:val="auto"/>
                <w:highlight w:val="none"/>
              </w:rPr>
            </w:pPr>
            <w:r>
              <w:rPr>
                <w:rFonts w:hint="eastAsia" w:ascii="宋体" w:hAnsi="宋体" w:cs="宋体"/>
                <w:color w:val="auto"/>
                <w:kern w:val="0"/>
                <w:highlight w:val="none"/>
              </w:rPr>
              <w:t>第三方评价（4分）</w:t>
            </w:r>
          </w:p>
        </w:tc>
        <w:tc>
          <w:tcPr>
            <w:tcW w:w="5157" w:type="dxa"/>
            <w:tcBorders>
              <w:top w:val="single" w:color="auto" w:sz="4" w:space="0"/>
              <w:left w:val="single" w:color="auto" w:sz="4" w:space="0"/>
              <w:bottom w:val="single" w:color="auto" w:sz="4" w:space="0"/>
              <w:right w:val="single" w:color="auto" w:sz="4" w:space="0"/>
            </w:tcBorders>
            <w:vAlign w:val="center"/>
          </w:tcPr>
          <w:p w14:paraId="79EAE9EB">
            <w:pPr>
              <w:spacing w:line="320" w:lineRule="exact"/>
              <w:jc w:val="left"/>
              <w:rPr>
                <w:rFonts w:hint="eastAsia" w:ascii="宋体" w:hAnsi="宋体" w:cstheme="minorBidi"/>
                <w:color w:val="auto"/>
                <w:szCs w:val="21"/>
                <w:highlight w:val="none"/>
              </w:rPr>
            </w:pPr>
            <w:r>
              <w:rPr>
                <w:rFonts w:hint="eastAsia" w:ascii="宋体" w:hAnsi="宋体"/>
                <w:color w:val="auto"/>
                <w:szCs w:val="21"/>
                <w:highlight w:val="none"/>
              </w:rPr>
              <w:t>投标人（主办方）纳税情况（</w:t>
            </w:r>
            <w:r>
              <w:rPr>
                <w:rFonts w:hint="eastAsia" w:ascii="宋体" w:hAnsi="宋体" w:cs="宋体"/>
                <w:color w:val="auto"/>
                <w:kern w:val="0"/>
                <w:szCs w:val="21"/>
                <w:highlight w:val="none"/>
              </w:rPr>
              <w:t>自2023年</w:t>
            </w:r>
            <w:r>
              <w:rPr>
                <w:rFonts w:hint="eastAsia" w:ascii="宋体" w:hAnsi="宋体" w:cs="宋体"/>
                <w:color w:val="auto"/>
                <w:kern w:val="0"/>
                <w:szCs w:val="21"/>
                <w:highlight w:val="none"/>
                <w:lang w:val="en-US" w:eastAsia="zh-CN"/>
              </w:rPr>
              <w:t>12月31日</w:t>
            </w:r>
            <w:r>
              <w:rPr>
                <w:rFonts w:hint="eastAsia" w:ascii="宋体" w:hAnsi="宋体" w:cs="宋体"/>
                <w:color w:val="auto"/>
                <w:kern w:val="0"/>
                <w:szCs w:val="21"/>
                <w:highlight w:val="none"/>
              </w:rPr>
              <w:t>往前算</w:t>
            </w:r>
            <w:r>
              <w:rPr>
                <w:rFonts w:hint="eastAsia" w:ascii="宋体" w:hAnsi="宋体"/>
                <w:color w:val="auto"/>
                <w:szCs w:val="21"/>
                <w:highlight w:val="none"/>
              </w:rPr>
              <w:t>）：</w:t>
            </w:r>
          </w:p>
          <w:p w14:paraId="2DB0EBA4">
            <w:pPr>
              <w:rPr>
                <w:rFonts w:hint="eastAsia" w:ascii="宋体" w:hAnsi="宋体"/>
                <w:color w:val="auto"/>
                <w:szCs w:val="21"/>
                <w:highlight w:val="none"/>
              </w:rPr>
            </w:pPr>
            <w:r>
              <w:rPr>
                <w:rFonts w:hint="eastAsia" w:ascii="宋体" w:hAnsi="宋体"/>
                <w:color w:val="auto"/>
                <w:szCs w:val="21"/>
                <w:highlight w:val="none"/>
              </w:rPr>
              <w:t>（1）连续5年（不含本数）以上获得“A级纳税人”称号的，得2.5分。</w:t>
            </w:r>
          </w:p>
          <w:p w14:paraId="1FAB4F35">
            <w:pPr>
              <w:rPr>
                <w:rFonts w:hint="eastAsia" w:ascii="宋体" w:hAnsi="宋体"/>
                <w:color w:val="auto"/>
                <w:szCs w:val="21"/>
                <w:highlight w:val="none"/>
              </w:rPr>
            </w:pPr>
            <w:r>
              <w:rPr>
                <w:rFonts w:hint="eastAsia" w:ascii="宋体" w:hAnsi="宋体"/>
                <w:color w:val="auto"/>
                <w:szCs w:val="21"/>
                <w:highlight w:val="none"/>
              </w:rPr>
              <w:t>（2）连续3-5年(含本数)获得“A级纳税人”称号的，得1.5分。</w:t>
            </w:r>
          </w:p>
          <w:p w14:paraId="5C0C75ED">
            <w:pPr>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s="宋体"/>
                <w:color w:val="auto"/>
                <w:kern w:val="0"/>
                <w:szCs w:val="21"/>
                <w:highlight w:val="none"/>
              </w:rPr>
              <w:t>连续1-2年</w:t>
            </w:r>
            <w:r>
              <w:rPr>
                <w:rFonts w:hint="eastAsia" w:ascii="宋体" w:hAnsi="宋体"/>
                <w:color w:val="auto"/>
                <w:szCs w:val="21"/>
                <w:highlight w:val="none"/>
              </w:rPr>
              <w:t>(含本数)获得“A级纳税人”称号的，得0.5分。</w:t>
            </w:r>
          </w:p>
          <w:p w14:paraId="61ED66EE">
            <w:pPr>
              <w:spacing w:line="320" w:lineRule="exact"/>
              <w:jc w:val="left"/>
              <w:rPr>
                <w:rFonts w:hint="eastAsia" w:ascii="宋体" w:hAnsi="宋体"/>
                <w:color w:val="auto"/>
                <w:szCs w:val="21"/>
                <w:highlight w:val="none"/>
              </w:rPr>
            </w:pPr>
            <w:r>
              <w:rPr>
                <w:rFonts w:hint="eastAsia" w:ascii="宋体" w:hAnsi="宋体"/>
                <w:color w:val="auto"/>
                <w:szCs w:val="21"/>
                <w:highlight w:val="none"/>
              </w:rPr>
              <w:t>（4）不满足上述情况的，不得分。</w:t>
            </w:r>
          </w:p>
        </w:tc>
      </w:tr>
      <w:tr w14:paraId="02BE6B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vMerge w:val="continue"/>
            <w:tcBorders>
              <w:right w:val="single" w:color="auto" w:sz="4" w:space="0"/>
            </w:tcBorders>
            <w:vAlign w:val="center"/>
          </w:tcPr>
          <w:p w14:paraId="7D82312B">
            <w:pPr>
              <w:spacing w:line="440" w:lineRule="exact"/>
              <w:jc w:val="center"/>
              <w:rPr>
                <w:rFonts w:hint="eastAsia" w:ascii="宋体" w:hAnsi="宋体" w:cs="宋体"/>
                <w:color w:val="auto"/>
                <w:highlight w:val="none"/>
              </w:rPr>
            </w:pPr>
          </w:p>
        </w:tc>
        <w:tc>
          <w:tcPr>
            <w:tcW w:w="1014" w:type="dxa"/>
            <w:vMerge w:val="continue"/>
            <w:tcBorders>
              <w:right w:val="single" w:color="auto" w:sz="4" w:space="0"/>
            </w:tcBorders>
          </w:tcPr>
          <w:p w14:paraId="455F956F">
            <w:pPr>
              <w:spacing w:line="440" w:lineRule="exact"/>
              <w:jc w:val="center"/>
              <w:rPr>
                <w:rFonts w:hint="eastAsia" w:ascii="宋体" w:hAnsi="宋体" w:cs="宋体"/>
                <w:color w:val="auto"/>
                <w:highlight w:val="none"/>
              </w:rPr>
            </w:pPr>
          </w:p>
        </w:tc>
        <w:tc>
          <w:tcPr>
            <w:tcW w:w="986" w:type="dxa"/>
            <w:vMerge w:val="continue"/>
            <w:tcBorders>
              <w:left w:val="single" w:color="auto" w:sz="4" w:space="0"/>
              <w:right w:val="single" w:color="auto" w:sz="4" w:space="0"/>
            </w:tcBorders>
            <w:vAlign w:val="center"/>
          </w:tcPr>
          <w:p w14:paraId="3257BD9A">
            <w:pPr>
              <w:spacing w:line="440" w:lineRule="exact"/>
              <w:jc w:val="center"/>
              <w:rPr>
                <w:rFonts w:hint="eastAsia" w:ascii="宋体" w:hAnsi="宋体" w:cs="宋体"/>
                <w:color w:val="auto"/>
                <w:highlight w:val="none"/>
              </w:rPr>
            </w:pPr>
          </w:p>
        </w:tc>
        <w:tc>
          <w:tcPr>
            <w:tcW w:w="1206" w:type="dxa"/>
            <w:gridSpan w:val="2"/>
            <w:vMerge w:val="continue"/>
            <w:tcBorders>
              <w:left w:val="single" w:color="auto" w:sz="4" w:space="0"/>
              <w:bottom w:val="single" w:color="auto" w:sz="4" w:space="0"/>
              <w:right w:val="single" w:color="auto" w:sz="4" w:space="0"/>
            </w:tcBorders>
            <w:vAlign w:val="center"/>
          </w:tcPr>
          <w:p w14:paraId="2DC3710F">
            <w:pPr>
              <w:spacing w:line="440" w:lineRule="exact"/>
              <w:jc w:val="center"/>
              <w:rPr>
                <w:rFonts w:hint="eastAsia" w:ascii="宋体" w:hAnsi="宋体" w:cs="宋体"/>
                <w:color w:val="auto"/>
                <w:highlight w:val="none"/>
              </w:rPr>
            </w:pPr>
          </w:p>
        </w:tc>
        <w:tc>
          <w:tcPr>
            <w:tcW w:w="5157" w:type="dxa"/>
            <w:tcBorders>
              <w:top w:val="single" w:color="auto" w:sz="4" w:space="0"/>
              <w:left w:val="single" w:color="auto" w:sz="4" w:space="0"/>
              <w:bottom w:val="single" w:color="auto" w:sz="4" w:space="0"/>
              <w:right w:val="single" w:color="auto" w:sz="4" w:space="0"/>
            </w:tcBorders>
            <w:vAlign w:val="center"/>
          </w:tcPr>
          <w:p w14:paraId="236FDD7E">
            <w:pPr>
              <w:spacing w:line="320" w:lineRule="exact"/>
              <w:jc w:val="left"/>
              <w:rPr>
                <w:rFonts w:hint="eastAsia" w:ascii="宋体" w:hAnsi="宋体"/>
                <w:color w:val="auto"/>
                <w:szCs w:val="21"/>
                <w:highlight w:val="none"/>
              </w:rPr>
            </w:pPr>
            <w:r>
              <w:rPr>
                <w:rFonts w:hint="eastAsia" w:ascii="宋体" w:hAnsi="宋体"/>
                <w:color w:val="auto"/>
                <w:szCs w:val="21"/>
                <w:highlight w:val="none"/>
              </w:rPr>
              <w:t>投标人（主办方）具有有效的质量管理体系认证、环境管理体系认证、</w:t>
            </w:r>
            <w:r>
              <w:rPr>
                <w:rFonts w:hint="eastAsia" w:ascii="宋体" w:hAnsi="宋体" w:eastAsia="宋体" w:cs="宋体"/>
                <w:color w:val="auto"/>
                <w:sz w:val="21"/>
                <w:szCs w:val="21"/>
                <w:highlight w:val="none"/>
                <w:lang w:val="zh-CN" w:eastAsia="zh-CN"/>
              </w:rPr>
              <w:t>职业健康安全管理体系认证</w:t>
            </w:r>
            <w:r>
              <w:rPr>
                <w:rFonts w:hint="eastAsia" w:ascii="宋体" w:hAnsi="宋体"/>
                <w:color w:val="auto"/>
                <w:szCs w:val="21"/>
                <w:highlight w:val="none"/>
              </w:rPr>
              <w:t>，每项得0.5分，最多得1.5分。</w:t>
            </w:r>
          </w:p>
        </w:tc>
      </w:tr>
      <w:tr w14:paraId="267382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vMerge w:val="continue"/>
            <w:tcBorders>
              <w:right w:val="single" w:color="auto" w:sz="4" w:space="0"/>
            </w:tcBorders>
            <w:vAlign w:val="center"/>
          </w:tcPr>
          <w:p w14:paraId="58900AE2">
            <w:pPr>
              <w:spacing w:line="440" w:lineRule="exact"/>
              <w:jc w:val="center"/>
              <w:rPr>
                <w:rFonts w:hint="eastAsia" w:ascii="宋体" w:hAnsi="宋体" w:cs="宋体"/>
                <w:color w:val="auto"/>
                <w:highlight w:val="none"/>
              </w:rPr>
            </w:pPr>
          </w:p>
        </w:tc>
        <w:tc>
          <w:tcPr>
            <w:tcW w:w="1014" w:type="dxa"/>
            <w:vMerge w:val="continue"/>
            <w:tcBorders>
              <w:right w:val="single" w:color="auto" w:sz="4" w:space="0"/>
            </w:tcBorders>
          </w:tcPr>
          <w:p w14:paraId="1415BAB0">
            <w:pPr>
              <w:spacing w:line="440" w:lineRule="exact"/>
              <w:jc w:val="center"/>
              <w:rPr>
                <w:rFonts w:hint="eastAsia" w:ascii="宋体" w:hAnsi="宋体" w:cs="宋体"/>
                <w:color w:val="auto"/>
                <w:highlight w:val="none"/>
              </w:rPr>
            </w:pPr>
          </w:p>
        </w:tc>
        <w:tc>
          <w:tcPr>
            <w:tcW w:w="986" w:type="dxa"/>
            <w:vMerge w:val="continue"/>
            <w:tcBorders>
              <w:left w:val="single" w:color="auto" w:sz="4" w:space="0"/>
              <w:right w:val="single" w:color="auto" w:sz="4" w:space="0"/>
            </w:tcBorders>
            <w:vAlign w:val="center"/>
          </w:tcPr>
          <w:p w14:paraId="03BBCF73">
            <w:pPr>
              <w:spacing w:line="440" w:lineRule="exact"/>
              <w:jc w:val="center"/>
              <w:rPr>
                <w:rFonts w:hint="eastAsia" w:ascii="宋体" w:hAnsi="宋体" w:cs="宋体"/>
                <w:color w:val="auto"/>
                <w:highlight w:val="none"/>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26293038">
            <w:pPr>
              <w:spacing w:line="440" w:lineRule="exact"/>
              <w:rPr>
                <w:rFonts w:hint="eastAsia" w:ascii="宋体" w:hAnsi="宋体" w:cs="宋体"/>
                <w:color w:val="auto"/>
                <w:highlight w:val="none"/>
              </w:rPr>
            </w:pPr>
            <w:r>
              <w:rPr>
                <w:rFonts w:hint="eastAsia" w:ascii="宋体" w:hAnsi="宋体" w:cs="宋体"/>
                <w:color w:val="auto"/>
                <w:kern w:val="0"/>
                <w:highlight w:val="none"/>
              </w:rPr>
              <w:t>工程研发能力（6分）</w:t>
            </w:r>
          </w:p>
        </w:tc>
        <w:tc>
          <w:tcPr>
            <w:tcW w:w="5157" w:type="dxa"/>
            <w:tcBorders>
              <w:top w:val="single" w:color="auto" w:sz="4" w:space="0"/>
              <w:left w:val="single" w:color="auto" w:sz="4" w:space="0"/>
              <w:bottom w:val="single" w:color="auto" w:sz="4" w:space="0"/>
              <w:right w:val="single" w:color="auto" w:sz="4" w:space="0"/>
            </w:tcBorders>
            <w:vAlign w:val="center"/>
          </w:tcPr>
          <w:p w14:paraId="5CFD1CBC">
            <w:pPr>
              <w:spacing w:line="320" w:lineRule="exact"/>
              <w:jc w:val="left"/>
              <w:rPr>
                <w:rFonts w:hint="eastAsia" w:ascii="宋体" w:hAnsi="宋体"/>
                <w:color w:val="auto"/>
                <w:szCs w:val="21"/>
                <w:highlight w:val="none"/>
              </w:rPr>
            </w:pPr>
            <w:r>
              <w:rPr>
                <w:rFonts w:hint="eastAsia" w:ascii="宋体" w:hAnsi="宋体"/>
                <w:color w:val="auto"/>
                <w:szCs w:val="21"/>
                <w:highlight w:val="none"/>
              </w:rPr>
              <w:t>投标人（主办方）2021年1月1日至投标截止时间止，获得过省级（或以上）“房建”类工法证书的每项得2分，本小项最高6分。</w:t>
            </w:r>
          </w:p>
        </w:tc>
      </w:tr>
      <w:tr w14:paraId="0ADCC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993" w:type="dxa"/>
            <w:gridSpan w:val="2"/>
            <w:vMerge w:val="continue"/>
            <w:tcBorders>
              <w:right w:val="single" w:color="auto" w:sz="4" w:space="0"/>
            </w:tcBorders>
            <w:vAlign w:val="center"/>
          </w:tcPr>
          <w:p w14:paraId="0232390D">
            <w:pPr>
              <w:spacing w:line="440" w:lineRule="exact"/>
              <w:jc w:val="center"/>
              <w:rPr>
                <w:rFonts w:hint="eastAsia" w:ascii="宋体" w:hAnsi="宋体" w:cs="宋体"/>
                <w:color w:val="auto"/>
                <w:highlight w:val="none"/>
              </w:rPr>
            </w:pPr>
          </w:p>
        </w:tc>
        <w:tc>
          <w:tcPr>
            <w:tcW w:w="1014" w:type="dxa"/>
            <w:vMerge w:val="continue"/>
            <w:tcBorders>
              <w:right w:val="single" w:color="auto" w:sz="4" w:space="0"/>
            </w:tcBorders>
          </w:tcPr>
          <w:p w14:paraId="1C9E7E82">
            <w:pPr>
              <w:spacing w:line="440" w:lineRule="exact"/>
              <w:jc w:val="center"/>
              <w:rPr>
                <w:rFonts w:hint="eastAsia" w:ascii="宋体" w:hAnsi="宋体" w:cs="宋体"/>
                <w:color w:val="auto"/>
                <w:highlight w:val="none"/>
              </w:rPr>
            </w:pPr>
          </w:p>
        </w:tc>
        <w:tc>
          <w:tcPr>
            <w:tcW w:w="986" w:type="dxa"/>
            <w:tcBorders>
              <w:top w:val="single" w:color="auto" w:sz="4" w:space="0"/>
              <w:left w:val="single" w:color="auto" w:sz="4" w:space="0"/>
              <w:right w:val="single" w:color="auto" w:sz="4" w:space="0"/>
            </w:tcBorders>
            <w:vAlign w:val="center"/>
          </w:tcPr>
          <w:p w14:paraId="1179DCC5">
            <w:pPr>
              <w:jc w:val="left"/>
              <w:rPr>
                <w:rFonts w:hint="eastAsia" w:ascii="宋体" w:hAnsi="宋体" w:cs="宋体"/>
                <w:color w:val="auto"/>
                <w:szCs w:val="21"/>
                <w:highlight w:val="none"/>
                <w:lang w:val="zh-TW" w:eastAsia="zh-TW" w:bidi="zh-TW"/>
              </w:rPr>
            </w:pPr>
            <w:r>
              <w:rPr>
                <w:rFonts w:hint="eastAsia" w:ascii="宋体" w:hAnsi="宋体" w:cs="宋体"/>
                <w:color w:val="auto"/>
                <w:szCs w:val="21"/>
                <w:highlight w:val="none"/>
                <w:lang w:val="zh-TW" w:bidi="zh-TW"/>
              </w:rPr>
              <w:t>工程实施方案（</w:t>
            </w:r>
            <w:r>
              <w:rPr>
                <w:rFonts w:hint="eastAsia" w:ascii="宋体" w:hAnsi="宋体" w:cs="宋体"/>
                <w:color w:val="auto"/>
                <w:szCs w:val="21"/>
                <w:highlight w:val="none"/>
                <w:lang w:bidi="zh-TW"/>
              </w:rPr>
              <w:t>70分）</w:t>
            </w: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2F94FE09">
            <w:pPr>
              <w:pStyle w:val="36"/>
              <w:ind w:left="0" w:leftChars="0" w:firstLine="0" w:firstLineChars="0"/>
              <w:rPr>
                <w:color w:val="auto"/>
                <w:highlight w:val="none"/>
              </w:rPr>
            </w:pPr>
            <w:r>
              <w:rPr>
                <w:rFonts w:hint="eastAsia" w:ascii="宋体" w:hAnsi="宋体" w:cs="宋体"/>
                <w:color w:val="auto"/>
                <w:szCs w:val="21"/>
                <w:highlight w:val="none"/>
                <w:lang w:val="zh-TW" w:bidi="zh-TW"/>
              </w:rPr>
              <w:t>设计和施工的融合措施</w:t>
            </w:r>
            <w:r>
              <w:rPr>
                <w:rFonts w:hint="eastAsia" w:ascii="宋体" w:hAnsi="宋体" w:cs="宋体"/>
                <w:color w:val="auto"/>
                <w:highlight w:val="none"/>
              </w:rPr>
              <w:t>（30分）</w:t>
            </w:r>
          </w:p>
        </w:tc>
        <w:tc>
          <w:tcPr>
            <w:tcW w:w="5157" w:type="dxa"/>
            <w:tcBorders>
              <w:top w:val="single" w:color="auto" w:sz="4" w:space="0"/>
              <w:left w:val="single" w:color="auto" w:sz="4" w:space="0"/>
              <w:bottom w:val="single" w:color="auto" w:sz="4" w:space="0"/>
              <w:right w:val="single" w:color="auto" w:sz="4" w:space="0"/>
            </w:tcBorders>
            <w:vAlign w:val="center"/>
          </w:tcPr>
          <w:p w14:paraId="10F99277">
            <w:pPr>
              <w:rPr>
                <w:rFonts w:hint="eastAsia" w:ascii="宋体" w:hAnsi="宋体"/>
                <w:color w:val="auto"/>
                <w:szCs w:val="21"/>
                <w:highlight w:val="none"/>
              </w:rPr>
            </w:pPr>
            <w:r>
              <w:rPr>
                <w:rFonts w:hint="eastAsia" w:ascii="宋体" w:hAnsi="宋体"/>
                <w:color w:val="auto"/>
                <w:szCs w:val="21"/>
                <w:highlight w:val="none"/>
              </w:rPr>
              <w:t>1、针对本项目特点，制定了相应的设计和施工的融合措施；并有承诺在项目的设计、施工及保修等过程中，设计方、施工方紧密协作以满足项目的各阶段需求(承诺函格式自拟)的，得</w:t>
            </w:r>
            <w:r>
              <w:rPr>
                <w:rFonts w:hint="eastAsia" w:ascii="宋体" w:hAnsi="宋体"/>
                <w:color w:val="auto"/>
                <w:szCs w:val="21"/>
                <w:highlight w:val="none"/>
                <w:lang w:val="en-US" w:eastAsia="zh-CN"/>
              </w:rPr>
              <w:t>3</w:t>
            </w:r>
            <w:r>
              <w:rPr>
                <w:rFonts w:hint="eastAsia" w:ascii="宋体" w:hAnsi="宋体"/>
                <w:color w:val="auto"/>
                <w:szCs w:val="21"/>
                <w:highlight w:val="none"/>
              </w:rPr>
              <w:t>分；</w:t>
            </w:r>
          </w:p>
          <w:p w14:paraId="62871B2B">
            <w:pPr>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投标人（主办方）项目管理机构人员配备满足《投标人投入主要人员基本要求表》的得基础分</w:t>
            </w:r>
            <w:r>
              <w:rPr>
                <w:rFonts w:hint="eastAsia" w:ascii="宋体" w:hAnsi="宋体"/>
                <w:color w:val="auto"/>
                <w:szCs w:val="21"/>
                <w:highlight w:val="none"/>
                <w:lang w:val="en-US" w:eastAsia="zh-CN"/>
              </w:rPr>
              <w:t>3</w:t>
            </w:r>
            <w:r>
              <w:rPr>
                <w:rFonts w:hint="eastAsia" w:ascii="宋体" w:hAnsi="宋体"/>
                <w:color w:val="auto"/>
                <w:szCs w:val="21"/>
                <w:highlight w:val="none"/>
              </w:rPr>
              <w:t>分，不满足《投标人投入主要人员基本要求表》要求的，得0分。在满足《投标人投入主要人员基本要求表》的基础上（投标人员须一一对应）：</w:t>
            </w:r>
          </w:p>
          <w:p w14:paraId="6B6DD203">
            <w:pPr>
              <w:rPr>
                <w:rFonts w:hint="eastAsia" w:ascii="宋体" w:hAnsi="宋体"/>
                <w:color w:val="auto"/>
                <w:szCs w:val="21"/>
                <w:highlight w:val="none"/>
              </w:rPr>
            </w:pPr>
            <w:r>
              <w:rPr>
                <w:rFonts w:hint="eastAsia" w:ascii="宋体" w:hAnsi="宋体"/>
                <w:color w:val="auto"/>
                <w:szCs w:val="21"/>
                <w:highlight w:val="none"/>
              </w:rPr>
              <w:t>（1）技术负责人：具有</w:t>
            </w:r>
            <w:r>
              <w:rPr>
                <w:rFonts w:hint="eastAsia" w:ascii="宋体" w:hAnsi="宋体"/>
                <w:color w:val="auto"/>
                <w:szCs w:val="21"/>
                <w:highlight w:val="none"/>
                <w:lang w:val="en-US" w:eastAsia="zh-CN"/>
              </w:rPr>
              <w:t>建筑工程或</w:t>
            </w:r>
            <w:r>
              <w:rPr>
                <w:rFonts w:hint="eastAsia" w:ascii="宋体" w:hAnsi="宋体"/>
                <w:color w:val="auto"/>
                <w:szCs w:val="21"/>
                <w:highlight w:val="none"/>
              </w:rPr>
              <w:t>建筑装饰施工</w:t>
            </w:r>
            <w:r>
              <w:rPr>
                <w:rFonts w:hint="eastAsia" w:ascii="宋体" w:hAnsi="宋体"/>
                <w:color w:val="auto"/>
                <w:szCs w:val="21"/>
                <w:highlight w:val="none"/>
                <w:lang w:eastAsia="zh-CN"/>
              </w:rPr>
              <w:t>相关</w:t>
            </w:r>
            <w:r>
              <w:rPr>
                <w:rFonts w:hint="eastAsia" w:ascii="宋体" w:hAnsi="宋体"/>
                <w:color w:val="auto"/>
                <w:szCs w:val="21"/>
                <w:highlight w:val="none"/>
              </w:rPr>
              <w:t>专业高级工程师（或以上）技术职称，加</w:t>
            </w:r>
            <w:r>
              <w:rPr>
                <w:rFonts w:hint="eastAsia" w:ascii="宋体" w:hAnsi="宋体"/>
                <w:color w:val="auto"/>
                <w:szCs w:val="21"/>
                <w:highlight w:val="none"/>
                <w:lang w:val="en-US" w:eastAsia="zh-CN"/>
              </w:rPr>
              <w:t>3</w:t>
            </w:r>
            <w:r>
              <w:rPr>
                <w:rFonts w:hint="eastAsia" w:ascii="宋体" w:hAnsi="宋体"/>
                <w:color w:val="auto"/>
                <w:szCs w:val="21"/>
                <w:highlight w:val="none"/>
              </w:rPr>
              <w:t>分。</w:t>
            </w:r>
          </w:p>
          <w:p w14:paraId="7756A1D3">
            <w:pPr>
              <w:rPr>
                <w:rFonts w:hint="eastAsia" w:ascii="宋体" w:hAnsi="宋体"/>
                <w:color w:val="auto"/>
                <w:szCs w:val="21"/>
                <w:highlight w:val="none"/>
              </w:rPr>
            </w:pPr>
            <w:r>
              <w:rPr>
                <w:rFonts w:hint="eastAsia" w:ascii="宋体" w:hAnsi="宋体"/>
                <w:color w:val="auto"/>
                <w:szCs w:val="21"/>
                <w:highlight w:val="none"/>
              </w:rPr>
              <w:t>（2）质量负责人：具有建筑装饰施工</w:t>
            </w:r>
            <w:r>
              <w:rPr>
                <w:rFonts w:hint="eastAsia" w:ascii="宋体" w:hAnsi="宋体"/>
                <w:color w:val="auto"/>
                <w:szCs w:val="21"/>
                <w:highlight w:val="none"/>
                <w:lang w:eastAsia="zh-CN"/>
              </w:rPr>
              <w:t>相关</w:t>
            </w:r>
            <w:r>
              <w:rPr>
                <w:rFonts w:hint="eastAsia" w:ascii="宋体" w:hAnsi="宋体"/>
                <w:color w:val="auto"/>
                <w:szCs w:val="21"/>
                <w:highlight w:val="none"/>
              </w:rPr>
              <w:t>专业高级工程师（或以上）技术职称，加2分。</w:t>
            </w:r>
          </w:p>
          <w:p w14:paraId="187D8297">
            <w:pPr>
              <w:rPr>
                <w:rFonts w:hint="eastAsia" w:ascii="宋体" w:hAnsi="宋体"/>
                <w:color w:val="auto"/>
                <w:szCs w:val="21"/>
                <w:highlight w:val="none"/>
              </w:rPr>
            </w:pPr>
            <w:r>
              <w:rPr>
                <w:rFonts w:hint="eastAsia" w:ascii="宋体" w:hAnsi="宋体"/>
                <w:color w:val="auto"/>
                <w:szCs w:val="21"/>
                <w:highlight w:val="none"/>
              </w:rPr>
              <w:t>（3）造价负责人：具有工程造价</w:t>
            </w:r>
            <w:r>
              <w:rPr>
                <w:rFonts w:hint="eastAsia" w:ascii="宋体" w:hAnsi="宋体"/>
                <w:color w:val="auto"/>
                <w:szCs w:val="21"/>
                <w:highlight w:val="none"/>
                <w:lang w:eastAsia="zh-CN"/>
              </w:rPr>
              <w:t>相关</w:t>
            </w:r>
            <w:r>
              <w:rPr>
                <w:rFonts w:hint="eastAsia" w:ascii="宋体" w:hAnsi="宋体"/>
                <w:color w:val="auto"/>
                <w:szCs w:val="21"/>
                <w:highlight w:val="none"/>
              </w:rPr>
              <w:t>专业高级工程师（或以上）技术职称，加2分</w:t>
            </w:r>
            <w:r>
              <w:rPr>
                <w:rFonts w:hint="eastAsia" w:ascii="宋体" w:hAnsi="宋体"/>
                <w:color w:val="auto"/>
                <w:szCs w:val="21"/>
                <w:highlight w:val="none"/>
                <w:lang w:eastAsia="zh-CN"/>
              </w:rPr>
              <w:t>；</w:t>
            </w:r>
            <w:r>
              <w:rPr>
                <w:rFonts w:hint="eastAsia" w:ascii="宋体" w:hAnsi="宋体"/>
                <w:color w:val="auto"/>
                <w:szCs w:val="21"/>
                <w:highlight w:val="none"/>
              </w:rPr>
              <w:t>具有工程造价</w:t>
            </w:r>
            <w:r>
              <w:rPr>
                <w:rFonts w:hint="eastAsia" w:ascii="宋体" w:hAnsi="宋体"/>
                <w:color w:val="auto"/>
                <w:szCs w:val="21"/>
                <w:highlight w:val="none"/>
                <w:lang w:eastAsia="zh-CN"/>
              </w:rPr>
              <w:t>相关</w:t>
            </w:r>
            <w:r>
              <w:rPr>
                <w:rFonts w:hint="eastAsia" w:ascii="宋体" w:hAnsi="宋体"/>
                <w:color w:val="auto"/>
                <w:szCs w:val="21"/>
                <w:highlight w:val="none"/>
              </w:rPr>
              <w:t>专业工程师技术职称，加</w:t>
            </w:r>
            <w:r>
              <w:rPr>
                <w:rFonts w:hint="eastAsia" w:ascii="宋体" w:hAnsi="宋体"/>
                <w:color w:val="auto"/>
                <w:szCs w:val="21"/>
                <w:highlight w:val="none"/>
                <w:lang w:val="en-US" w:eastAsia="zh-CN"/>
              </w:rPr>
              <w:t>1</w:t>
            </w:r>
            <w:r>
              <w:rPr>
                <w:rFonts w:hint="eastAsia" w:ascii="宋体" w:hAnsi="宋体"/>
                <w:color w:val="auto"/>
                <w:szCs w:val="21"/>
                <w:highlight w:val="none"/>
              </w:rPr>
              <w:t>分</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本小项最高得2分</w:t>
            </w:r>
            <w:r>
              <w:rPr>
                <w:rFonts w:hint="eastAsia" w:ascii="宋体" w:hAnsi="宋体"/>
                <w:color w:val="auto"/>
                <w:szCs w:val="21"/>
                <w:highlight w:val="none"/>
              </w:rPr>
              <w:t>。</w:t>
            </w:r>
          </w:p>
          <w:p w14:paraId="514D9BFE">
            <w:pPr>
              <w:rPr>
                <w:rFonts w:hint="default" w:ascii="宋体" w:hAnsi="宋体" w:eastAsia="宋体"/>
                <w:color w:val="auto"/>
                <w:szCs w:val="21"/>
                <w:highlight w:val="none"/>
                <w:lang w:val="en-US" w:eastAsia="zh-CN"/>
              </w:rPr>
            </w:pPr>
            <w:r>
              <w:rPr>
                <w:rFonts w:hint="eastAsia" w:ascii="宋体" w:hAnsi="宋体"/>
                <w:color w:val="auto"/>
                <w:szCs w:val="21"/>
                <w:highlight w:val="none"/>
              </w:rPr>
              <w:t>（4）安全负责人：具有建筑装饰施工</w:t>
            </w:r>
            <w:r>
              <w:rPr>
                <w:rFonts w:hint="eastAsia" w:ascii="宋体" w:hAnsi="宋体"/>
                <w:color w:val="auto"/>
                <w:szCs w:val="21"/>
                <w:highlight w:val="none"/>
                <w:lang w:eastAsia="zh-CN"/>
              </w:rPr>
              <w:t>相关</w:t>
            </w:r>
            <w:r>
              <w:rPr>
                <w:rFonts w:hint="eastAsia" w:ascii="宋体" w:hAnsi="宋体"/>
                <w:color w:val="auto"/>
                <w:szCs w:val="21"/>
                <w:highlight w:val="none"/>
              </w:rPr>
              <w:t>专业高级工程师（或以上）技术职称，加</w:t>
            </w:r>
            <w:r>
              <w:rPr>
                <w:rFonts w:hint="eastAsia" w:ascii="宋体" w:hAnsi="宋体"/>
                <w:color w:val="auto"/>
                <w:szCs w:val="21"/>
                <w:highlight w:val="none"/>
                <w:lang w:val="en-US" w:eastAsia="zh-CN"/>
              </w:rPr>
              <w:t>3</w:t>
            </w:r>
            <w:r>
              <w:rPr>
                <w:rFonts w:hint="eastAsia" w:ascii="宋体" w:hAnsi="宋体"/>
                <w:color w:val="auto"/>
                <w:szCs w:val="21"/>
                <w:highlight w:val="none"/>
              </w:rPr>
              <w:t>分</w:t>
            </w:r>
            <w:r>
              <w:rPr>
                <w:rFonts w:hint="eastAsia" w:ascii="宋体" w:hAnsi="宋体"/>
                <w:color w:val="auto"/>
                <w:szCs w:val="21"/>
                <w:highlight w:val="none"/>
                <w:lang w:eastAsia="zh-CN"/>
              </w:rPr>
              <w:t>；</w:t>
            </w:r>
            <w:r>
              <w:rPr>
                <w:rFonts w:hint="eastAsia" w:ascii="宋体" w:hAnsi="宋体"/>
                <w:color w:val="auto"/>
                <w:szCs w:val="21"/>
                <w:highlight w:val="none"/>
              </w:rPr>
              <w:t>具有建筑装饰施工</w:t>
            </w:r>
            <w:r>
              <w:rPr>
                <w:rFonts w:hint="eastAsia" w:ascii="宋体" w:hAnsi="宋体"/>
                <w:color w:val="auto"/>
                <w:szCs w:val="21"/>
                <w:highlight w:val="none"/>
                <w:lang w:eastAsia="zh-CN"/>
              </w:rPr>
              <w:t>相关</w:t>
            </w:r>
            <w:r>
              <w:rPr>
                <w:rFonts w:hint="eastAsia" w:ascii="宋体" w:hAnsi="宋体"/>
                <w:color w:val="auto"/>
                <w:szCs w:val="21"/>
                <w:highlight w:val="none"/>
              </w:rPr>
              <w:t>专业工程师技术职称，加</w:t>
            </w:r>
            <w:r>
              <w:rPr>
                <w:rFonts w:hint="eastAsia" w:ascii="宋体" w:hAnsi="宋体"/>
                <w:color w:val="auto"/>
                <w:szCs w:val="21"/>
                <w:highlight w:val="none"/>
                <w:lang w:val="en-US" w:eastAsia="zh-CN"/>
              </w:rPr>
              <w:t>1</w:t>
            </w:r>
            <w:r>
              <w:rPr>
                <w:rFonts w:hint="eastAsia" w:ascii="宋体" w:hAnsi="宋体"/>
                <w:color w:val="auto"/>
                <w:szCs w:val="21"/>
                <w:highlight w:val="none"/>
              </w:rPr>
              <w:t>分</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本小项最高得3分</w:t>
            </w:r>
            <w:r>
              <w:rPr>
                <w:rFonts w:hint="eastAsia" w:ascii="宋体" w:hAnsi="宋体"/>
                <w:color w:val="auto"/>
                <w:szCs w:val="21"/>
                <w:highlight w:val="none"/>
              </w:rPr>
              <w:t>。</w:t>
            </w:r>
          </w:p>
          <w:p w14:paraId="7A9F0741">
            <w:pPr>
              <w:rPr>
                <w:rFonts w:hint="eastAsia" w:ascii="宋体" w:hAnsi="宋体"/>
                <w:color w:val="auto"/>
                <w:szCs w:val="21"/>
                <w:highlight w:val="none"/>
              </w:rPr>
            </w:pPr>
            <w:r>
              <w:rPr>
                <w:rFonts w:hint="eastAsia" w:ascii="宋体" w:hAnsi="宋体"/>
                <w:color w:val="auto"/>
                <w:szCs w:val="21"/>
                <w:highlight w:val="none"/>
              </w:rPr>
              <w:t>（5）装修工程师：具有建筑装饰施工</w:t>
            </w:r>
            <w:r>
              <w:rPr>
                <w:rFonts w:hint="eastAsia" w:ascii="宋体" w:hAnsi="宋体"/>
                <w:color w:val="auto"/>
                <w:szCs w:val="21"/>
                <w:highlight w:val="none"/>
                <w:lang w:eastAsia="zh-CN"/>
              </w:rPr>
              <w:t>相关</w:t>
            </w:r>
            <w:r>
              <w:rPr>
                <w:rFonts w:hint="eastAsia" w:ascii="宋体" w:hAnsi="宋体"/>
                <w:color w:val="auto"/>
                <w:szCs w:val="21"/>
                <w:highlight w:val="none"/>
              </w:rPr>
              <w:t>专业高级工程师（或以上）技术职称，每人加2分，最高加</w:t>
            </w:r>
            <w:r>
              <w:rPr>
                <w:rFonts w:ascii="宋体" w:hAnsi="宋体"/>
                <w:color w:val="auto"/>
                <w:szCs w:val="21"/>
                <w:highlight w:val="none"/>
              </w:rPr>
              <w:t>6</w:t>
            </w:r>
            <w:r>
              <w:rPr>
                <w:rFonts w:hint="eastAsia" w:ascii="宋体" w:hAnsi="宋体"/>
                <w:color w:val="auto"/>
                <w:szCs w:val="21"/>
                <w:highlight w:val="none"/>
              </w:rPr>
              <w:t>分。</w:t>
            </w:r>
          </w:p>
          <w:p w14:paraId="33B9F6BD">
            <w:pPr>
              <w:rPr>
                <w:rFonts w:hint="eastAsia" w:ascii="宋体" w:hAnsi="宋体"/>
                <w:color w:val="auto"/>
                <w:szCs w:val="21"/>
                <w:highlight w:val="none"/>
              </w:rPr>
            </w:pPr>
            <w:r>
              <w:rPr>
                <w:rFonts w:hint="eastAsia" w:ascii="宋体" w:hAnsi="宋体"/>
                <w:color w:val="auto"/>
                <w:szCs w:val="21"/>
                <w:highlight w:val="none"/>
              </w:rPr>
              <w:t>（6）机电工程师：取得建筑机电设备安装</w:t>
            </w:r>
            <w:r>
              <w:rPr>
                <w:rFonts w:hint="eastAsia" w:ascii="宋体" w:hAnsi="宋体"/>
                <w:color w:val="auto"/>
                <w:szCs w:val="21"/>
                <w:highlight w:val="none"/>
                <w:lang w:eastAsia="zh-CN"/>
              </w:rPr>
              <w:t>相关</w:t>
            </w:r>
            <w:r>
              <w:rPr>
                <w:rFonts w:hint="eastAsia" w:ascii="宋体" w:hAnsi="宋体"/>
                <w:color w:val="auto"/>
                <w:szCs w:val="21"/>
                <w:highlight w:val="none"/>
              </w:rPr>
              <w:t>专业高级工程师（或以上）技术职称，加2分。</w:t>
            </w:r>
          </w:p>
          <w:p w14:paraId="197B615B">
            <w:pPr>
              <w:rPr>
                <w:rFonts w:hint="eastAsia" w:ascii="宋体" w:hAnsi="宋体"/>
                <w:color w:val="auto"/>
                <w:szCs w:val="21"/>
                <w:highlight w:val="none"/>
              </w:rPr>
            </w:pPr>
            <w:r>
              <w:rPr>
                <w:rFonts w:hint="eastAsia" w:ascii="宋体" w:hAnsi="宋体"/>
                <w:color w:val="auto"/>
                <w:szCs w:val="21"/>
                <w:highlight w:val="none"/>
              </w:rPr>
              <w:t>（7）暖通工程师：取得暖通</w:t>
            </w:r>
            <w:r>
              <w:rPr>
                <w:rFonts w:hint="eastAsia" w:ascii="宋体" w:hAnsi="宋体"/>
                <w:color w:val="auto"/>
                <w:szCs w:val="21"/>
                <w:highlight w:val="none"/>
                <w:lang w:val="en-US" w:eastAsia="zh-CN"/>
              </w:rPr>
              <w:t>相关</w:t>
            </w:r>
            <w:r>
              <w:rPr>
                <w:rFonts w:hint="eastAsia" w:ascii="宋体" w:hAnsi="宋体"/>
                <w:color w:val="auto"/>
                <w:szCs w:val="21"/>
                <w:highlight w:val="none"/>
              </w:rPr>
              <w:t>专业高级工程师（或以上）技术职称，加2分。</w:t>
            </w:r>
          </w:p>
          <w:p w14:paraId="3535B930">
            <w:pPr>
              <w:rPr>
                <w:rFonts w:hint="eastAsia" w:ascii="宋体" w:hAnsi="宋体"/>
                <w:color w:val="auto"/>
                <w:kern w:val="0"/>
                <w:szCs w:val="21"/>
                <w:highlight w:val="none"/>
              </w:rPr>
            </w:pPr>
            <w:r>
              <w:rPr>
                <w:rFonts w:hint="eastAsia" w:ascii="宋体" w:hAnsi="宋体"/>
                <w:color w:val="auto"/>
                <w:kern w:val="0"/>
                <w:szCs w:val="21"/>
                <w:highlight w:val="none"/>
              </w:rPr>
              <w:t>（8）给排水工程师：取得给排水</w:t>
            </w:r>
            <w:r>
              <w:rPr>
                <w:rFonts w:hint="eastAsia" w:ascii="宋体" w:hAnsi="宋体"/>
                <w:color w:val="auto"/>
                <w:szCs w:val="21"/>
                <w:highlight w:val="none"/>
                <w:lang w:eastAsia="zh-CN"/>
              </w:rPr>
              <w:t>相关</w:t>
            </w:r>
            <w:r>
              <w:rPr>
                <w:rFonts w:hint="eastAsia" w:ascii="宋体" w:hAnsi="宋体"/>
                <w:color w:val="auto"/>
                <w:szCs w:val="21"/>
                <w:highlight w:val="none"/>
              </w:rPr>
              <w:t>专业</w:t>
            </w:r>
            <w:r>
              <w:rPr>
                <w:rFonts w:hint="eastAsia" w:ascii="宋体" w:hAnsi="宋体"/>
                <w:color w:val="auto"/>
                <w:kern w:val="0"/>
                <w:szCs w:val="21"/>
                <w:highlight w:val="none"/>
              </w:rPr>
              <w:t>高级工程师（或以上）技术职称，加2分。</w:t>
            </w:r>
          </w:p>
          <w:p w14:paraId="3044E4AE">
            <w:pPr>
              <w:pStyle w:val="19"/>
              <w:rPr>
                <w:rFonts w:hint="eastAsia" w:ascii="宋体" w:hAnsi="宋体"/>
                <w:color w:val="auto"/>
                <w:szCs w:val="21"/>
                <w:highlight w:val="none"/>
              </w:rPr>
            </w:pPr>
            <w:r>
              <w:rPr>
                <w:rFonts w:hint="eastAsia" w:ascii="宋体" w:hAnsi="宋体" w:eastAsia="宋体"/>
                <w:color w:val="auto"/>
                <w:szCs w:val="21"/>
                <w:highlight w:val="none"/>
              </w:rPr>
              <w:t>（9）材料工程师：取得建筑材料相关专业高级工程师（或以上）技术职称，加2分。</w:t>
            </w:r>
          </w:p>
        </w:tc>
      </w:tr>
      <w:tr w14:paraId="26AD8B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tcBorders>
              <w:right w:val="single" w:color="auto" w:sz="4" w:space="0"/>
            </w:tcBorders>
            <w:vAlign w:val="center"/>
          </w:tcPr>
          <w:p w14:paraId="2D43D4E7">
            <w:pPr>
              <w:spacing w:line="440" w:lineRule="exact"/>
              <w:jc w:val="center"/>
              <w:rPr>
                <w:rFonts w:hint="eastAsia" w:ascii="宋体" w:hAnsi="宋体" w:cs="宋体"/>
                <w:color w:val="auto"/>
                <w:highlight w:val="none"/>
              </w:rPr>
            </w:pPr>
          </w:p>
        </w:tc>
        <w:tc>
          <w:tcPr>
            <w:tcW w:w="1014" w:type="dxa"/>
            <w:tcBorders>
              <w:right w:val="single" w:color="auto" w:sz="4" w:space="0"/>
            </w:tcBorders>
          </w:tcPr>
          <w:p w14:paraId="106F5A6E">
            <w:pPr>
              <w:spacing w:line="440" w:lineRule="exact"/>
              <w:jc w:val="center"/>
              <w:rPr>
                <w:rFonts w:hint="eastAsia" w:ascii="宋体" w:hAnsi="宋体" w:cs="宋体"/>
                <w:color w:val="auto"/>
                <w:highlight w:val="none"/>
              </w:rPr>
            </w:pPr>
          </w:p>
        </w:tc>
        <w:tc>
          <w:tcPr>
            <w:tcW w:w="986" w:type="dxa"/>
            <w:tcBorders>
              <w:left w:val="single" w:color="auto" w:sz="4" w:space="0"/>
              <w:right w:val="single" w:color="auto" w:sz="4" w:space="0"/>
            </w:tcBorders>
            <w:vAlign w:val="center"/>
          </w:tcPr>
          <w:p w14:paraId="4CA42FBD">
            <w:pPr>
              <w:spacing w:line="440" w:lineRule="exact"/>
              <w:jc w:val="center"/>
              <w:rPr>
                <w:rFonts w:hint="eastAsia" w:ascii="宋体" w:hAnsi="宋体" w:cs="宋体"/>
                <w:color w:val="auto"/>
                <w:highlight w:val="none"/>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6EFC4147">
            <w:pPr>
              <w:jc w:val="center"/>
              <w:rPr>
                <w:rFonts w:hint="eastAsia" w:ascii="宋体" w:hAnsi="宋体"/>
                <w:color w:val="auto"/>
                <w:kern w:val="0"/>
                <w:szCs w:val="21"/>
                <w:highlight w:val="none"/>
              </w:rPr>
            </w:pPr>
            <w:r>
              <w:rPr>
                <w:rFonts w:hint="eastAsia" w:ascii="宋体" w:hAnsi="宋体"/>
                <w:color w:val="auto"/>
                <w:kern w:val="0"/>
                <w:szCs w:val="21"/>
                <w:highlight w:val="none"/>
              </w:rPr>
              <w:t>质量目标和保证措施</w:t>
            </w:r>
          </w:p>
          <w:p w14:paraId="776F9A5C">
            <w:pPr>
              <w:jc w:val="center"/>
              <w:rPr>
                <w:rFonts w:hint="eastAsia" w:ascii="宋体" w:hAnsi="宋体"/>
                <w:color w:val="auto"/>
                <w:kern w:val="0"/>
                <w:szCs w:val="21"/>
                <w:highlight w:val="none"/>
              </w:rPr>
            </w:pPr>
            <w:r>
              <w:rPr>
                <w:rFonts w:hint="eastAsia" w:ascii="宋体" w:hAnsi="宋体"/>
                <w:color w:val="auto"/>
                <w:kern w:val="0"/>
                <w:szCs w:val="21"/>
                <w:highlight w:val="none"/>
              </w:rPr>
              <w:t>（10分）</w:t>
            </w:r>
          </w:p>
        </w:tc>
        <w:tc>
          <w:tcPr>
            <w:tcW w:w="5157" w:type="dxa"/>
            <w:tcBorders>
              <w:top w:val="single" w:color="auto" w:sz="4" w:space="0"/>
              <w:left w:val="single" w:color="auto" w:sz="4" w:space="0"/>
              <w:bottom w:val="single" w:color="auto" w:sz="4" w:space="0"/>
              <w:right w:val="single" w:color="auto" w:sz="4" w:space="0"/>
            </w:tcBorders>
            <w:vAlign w:val="center"/>
          </w:tcPr>
          <w:p w14:paraId="3E7A1AA8">
            <w:pPr>
              <w:rPr>
                <w:rFonts w:hint="eastAsia" w:ascii="宋体" w:hAnsi="宋体"/>
                <w:color w:val="auto"/>
                <w:kern w:val="0"/>
                <w:szCs w:val="21"/>
                <w:highlight w:val="none"/>
              </w:rPr>
            </w:pPr>
            <w:r>
              <w:rPr>
                <w:rFonts w:hint="eastAsia" w:ascii="宋体" w:hAnsi="宋体"/>
                <w:color w:val="auto"/>
                <w:kern w:val="0"/>
                <w:szCs w:val="21"/>
                <w:highlight w:val="none"/>
              </w:rPr>
              <w:t>（1）根据本工程的特点，制定了相应的质量目标和质量保证措施的，得6分</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不提供的不得分</w:t>
            </w:r>
            <w:r>
              <w:rPr>
                <w:rFonts w:hint="eastAsia" w:ascii="宋体" w:hAnsi="宋体"/>
                <w:color w:val="auto"/>
                <w:kern w:val="0"/>
                <w:szCs w:val="21"/>
                <w:highlight w:val="none"/>
              </w:rPr>
              <w:t>；</w:t>
            </w:r>
          </w:p>
          <w:p w14:paraId="0EA26095">
            <w:pP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rPr>
              <w:t>（2）</w:t>
            </w:r>
            <w:r>
              <w:rPr>
                <w:rFonts w:hint="eastAsia" w:ascii="宋体" w:hAnsi="宋体"/>
                <w:color w:val="auto"/>
                <w:kern w:val="0"/>
                <w:szCs w:val="21"/>
                <w:highlight w:val="none"/>
                <w:lang w:val="en-US" w:eastAsia="zh-CN"/>
              </w:rPr>
              <w:t>根据</w:t>
            </w:r>
            <w:r>
              <w:rPr>
                <w:rFonts w:hint="eastAsia" w:ascii="宋体" w:hAnsi="宋体"/>
                <w:color w:val="auto"/>
                <w:kern w:val="0"/>
                <w:szCs w:val="21"/>
                <w:highlight w:val="none"/>
              </w:rPr>
              <w:t>投标人</w:t>
            </w:r>
            <w:r>
              <w:rPr>
                <w:rFonts w:hint="eastAsia" w:ascii="宋体" w:hAnsi="宋体"/>
                <w:color w:val="auto"/>
                <w:kern w:val="0"/>
                <w:szCs w:val="21"/>
                <w:highlight w:val="none"/>
                <w:lang w:val="en-US" w:eastAsia="zh-CN"/>
              </w:rPr>
              <w:t>提供（1）的措施</w:t>
            </w:r>
            <w:r>
              <w:rPr>
                <w:rFonts w:hint="eastAsia" w:ascii="宋体" w:hAnsi="宋体"/>
                <w:color w:val="auto"/>
                <w:kern w:val="0"/>
                <w:szCs w:val="21"/>
                <w:highlight w:val="none"/>
              </w:rPr>
              <w:t>之间横向比较，根据措施的合理性、可行性进行加分：[优]</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4分，[良]</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3分，[中]</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2分，[差]</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1分。</w:t>
            </w:r>
          </w:p>
        </w:tc>
      </w:tr>
      <w:tr w14:paraId="3878CD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tcBorders>
              <w:right w:val="single" w:color="auto" w:sz="4" w:space="0"/>
            </w:tcBorders>
            <w:vAlign w:val="center"/>
          </w:tcPr>
          <w:p w14:paraId="062E2572">
            <w:pPr>
              <w:spacing w:line="440" w:lineRule="exact"/>
              <w:jc w:val="center"/>
              <w:rPr>
                <w:rFonts w:hint="eastAsia" w:ascii="宋体" w:hAnsi="宋体" w:cs="宋体"/>
                <w:color w:val="auto"/>
                <w:highlight w:val="none"/>
              </w:rPr>
            </w:pPr>
          </w:p>
        </w:tc>
        <w:tc>
          <w:tcPr>
            <w:tcW w:w="1014" w:type="dxa"/>
            <w:tcBorders>
              <w:right w:val="single" w:color="auto" w:sz="4" w:space="0"/>
            </w:tcBorders>
          </w:tcPr>
          <w:p w14:paraId="7CFBA967">
            <w:pPr>
              <w:spacing w:line="440" w:lineRule="exact"/>
              <w:jc w:val="center"/>
              <w:rPr>
                <w:rFonts w:hint="eastAsia" w:ascii="宋体" w:hAnsi="宋体" w:cs="宋体"/>
                <w:color w:val="auto"/>
                <w:highlight w:val="none"/>
              </w:rPr>
            </w:pPr>
          </w:p>
        </w:tc>
        <w:tc>
          <w:tcPr>
            <w:tcW w:w="986" w:type="dxa"/>
            <w:tcBorders>
              <w:left w:val="single" w:color="auto" w:sz="4" w:space="0"/>
              <w:right w:val="single" w:color="auto" w:sz="4" w:space="0"/>
            </w:tcBorders>
            <w:vAlign w:val="center"/>
          </w:tcPr>
          <w:p w14:paraId="5F9916F9">
            <w:pPr>
              <w:spacing w:line="440" w:lineRule="exact"/>
              <w:jc w:val="center"/>
              <w:rPr>
                <w:rFonts w:hint="eastAsia" w:ascii="宋体" w:hAnsi="宋体" w:cs="宋体"/>
                <w:color w:val="auto"/>
                <w:highlight w:val="none"/>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4300DE50">
            <w:pPr>
              <w:jc w:val="center"/>
              <w:rPr>
                <w:rFonts w:hint="eastAsia" w:ascii="宋体" w:hAnsi="宋体"/>
                <w:color w:val="auto"/>
                <w:kern w:val="0"/>
                <w:szCs w:val="21"/>
                <w:highlight w:val="none"/>
              </w:rPr>
            </w:pPr>
            <w:r>
              <w:rPr>
                <w:rFonts w:hint="eastAsia" w:ascii="宋体" w:hAnsi="宋体"/>
                <w:color w:val="auto"/>
                <w:kern w:val="0"/>
                <w:szCs w:val="21"/>
                <w:highlight w:val="none"/>
              </w:rPr>
              <w:t>进度计划及工期保证措施</w:t>
            </w:r>
          </w:p>
          <w:p w14:paraId="4BCBFAD7">
            <w:pPr>
              <w:jc w:val="center"/>
              <w:rPr>
                <w:rFonts w:hint="eastAsia" w:ascii="宋体" w:hAnsi="宋体"/>
                <w:color w:val="auto"/>
                <w:kern w:val="0"/>
                <w:szCs w:val="21"/>
                <w:highlight w:val="none"/>
              </w:rPr>
            </w:pPr>
            <w:r>
              <w:rPr>
                <w:rFonts w:hint="eastAsia" w:ascii="宋体" w:hAnsi="宋体"/>
                <w:color w:val="auto"/>
                <w:kern w:val="0"/>
                <w:szCs w:val="21"/>
                <w:highlight w:val="none"/>
              </w:rPr>
              <w:t>（10分）</w:t>
            </w:r>
          </w:p>
        </w:tc>
        <w:tc>
          <w:tcPr>
            <w:tcW w:w="5157" w:type="dxa"/>
            <w:tcBorders>
              <w:top w:val="single" w:color="auto" w:sz="4" w:space="0"/>
              <w:left w:val="single" w:color="auto" w:sz="4" w:space="0"/>
              <w:bottom w:val="single" w:color="auto" w:sz="4" w:space="0"/>
              <w:right w:val="single" w:color="auto" w:sz="4" w:space="0"/>
            </w:tcBorders>
          </w:tcPr>
          <w:p w14:paraId="04DA0DFE">
            <w:pPr>
              <w:rPr>
                <w:rFonts w:hint="eastAsia" w:ascii="宋体" w:hAnsi="宋体"/>
                <w:color w:val="auto"/>
                <w:kern w:val="0"/>
                <w:szCs w:val="21"/>
                <w:highlight w:val="none"/>
              </w:rPr>
            </w:pPr>
            <w:r>
              <w:rPr>
                <w:rFonts w:hint="eastAsia" w:ascii="宋体" w:hAnsi="宋体"/>
                <w:color w:val="auto"/>
                <w:kern w:val="0"/>
                <w:szCs w:val="21"/>
                <w:highlight w:val="none"/>
              </w:rPr>
              <w:t>（1）根据本工程的特点，制定了相应的施工总进度计划、工期保证措施的，得6分</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不提供的不得分</w:t>
            </w:r>
            <w:r>
              <w:rPr>
                <w:rFonts w:hint="eastAsia" w:ascii="宋体" w:hAnsi="宋体"/>
                <w:color w:val="auto"/>
                <w:kern w:val="0"/>
                <w:szCs w:val="21"/>
                <w:highlight w:val="none"/>
              </w:rPr>
              <w:t>；</w:t>
            </w:r>
          </w:p>
          <w:p w14:paraId="5D8888DF">
            <w:pPr>
              <w:rPr>
                <w:rFonts w:hint="eastAsia" w:ascii="宋体" w:hAnsi="宋体"/>
                <w:color w:val="auto"/>
                <w:kern w:val="0"/>
                <w:szCs w:val="21"/>
                <w:highlight w:val="none"/>
              </w:rPr>
            </w:pPr>
            <w:r>
              <w:rPr>
                <w:rFonts w:hint="eastAsia" w:ascii="宋体" w:hAnsi="宋体"/>
                <w:color w:val="auto"/>
                <w:kern w:val="0"/>
                <w:szCs w:val="21"/>
                <w:highlight w:val="none"/>
              </w:rPr>
              <w:t>（2）</w:t>
            </w:r>
            <w:r>
              <w:rPr>
                <w:rFonts w:hint="eastAsia" w:ascii="宋体" w:hAnsi="宋体"/>
                <w:color w:val="auto"/>
                <w:kern w:val="0"/>
                <w:szCs w:val="21"/>
                <w:highlight w:val="none"/>
                <w:lang w:val="en-US" w:eastAsia="zh-CN"/>
              </w:rPr>
              <w:t>根据</w:t>
            </w:r>
            <w:r>
              <w:rPr>
                <w:rFonts w:hint="eastAsia" w:ascii="宋体" w:hAnsi="宋体"/>
                <w:color w:val="auto"/>
                <w:kern w:val="0"/>
                <w:szCs w:val="21"/>
                <w:highlight w:val="none"/>
              </w:rPr>
              <w:t>投标人</w:t>
            </w:r>
            <w:r>
              <w:rPr>
                <w:rFonts w:hint="eastAsia" w:ascii="宋体" w:hAnsi="宋体"/>
                <w:color w:val="auto"/>
                <w:kern w:val="0"/>
                <w:szCs w:val="21"/>
                <w:highlight w:val="none"/>
                <w:lang w:val="en-US" w:eastAsia="zh-CN"/>
              </w:rPr>
              <w:t>提供（1）的措施</w:t>
            </w:r>
            <w:r>
              <w:rPr>
                <w:rFonts w:hint="eastAsia" w:ascii="宋体" w:hAnsi="宋体"/>
                <w:color w:val="auto"/>
                <w:kern w:val="0"/>
                <w:szCs w:val="21"/>
                <w:highlight w:val="none"/>
              </w:rPr>
              <w:t>之间横向比较，根据措施的合理性、可行性进行加分：[优]</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4分，[良]</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3分，[中]</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2分，[差]</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1分。</w:t>
            </w:r>
          </w:p>
        </w:tc>
      </w:tr>
      <w:tr w14:paraId="4089B6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tcBorders>
              <w:right w:val="single" w:color="auto" w:sz="4" w:space="0"/>
            </w:tcBorders>
            <w:vAlign w:val="center"/>
          </w:tcPr>
          <w:p w14:paraId="5F47D62D">
            <w:pPr>
              <w:spacing w:line="440" w:lineRule="exact"/>
              <w:jc w:val="center"/>
              <w:rPr>
                <w:rFonts w:hint="eastAsia" w:ascii="宋体" w:hAnsi="宋体" w:cs="宋体"/>
                <w:color w:val="auto"/>
                <w:highlight w:val="none"/>
              </w:rPr>
            </w:pPr>
          </w:p>
        </w:tc>
        <w:tc>
          <w:tcPr>
            <w:tcW w:w="1014" w:type="dxa"/>
            <w:tcBorders>
              <w:right w:val="single" w:color="auto" w:sz="4" w:space="0"/>
            </w:tcBorders>
          </w:tcPr>
          <w:p w14:paraId="429152C7">
            <w:pPr>
              <w:spacing w:line="440" w:lineRule="exact"/>
              <w:jc w:val="center"/>
              <w:rPr>
                <w:rFonts w:hint="eastAsia" w:ascii="宋体" w:hAnsi="宋体" w:cs="宋体"/>
                <w:color w:val="auto"/>
                <w:highlight w:val="none"/>
              </w:rPr>
            </w:pPr>
          </w:p>
        </w:tc>
        <w:tc>
          <w:tcPr>
            <w:tcW w:w="986" w:type="dxa"/>
            <w:tcBorders>
              <w:left w:val="single" w:color="auto" w:sz="4" w:space="0"/>
              <w:right w:val="single" w:color="auto" w:sz="4" w:space="0"/>
            </w:tcBorders>
            <w:vAlign w:val="center"/>
          </w:tcPr>
          <w:p w14:paraId="06F40837">
            <w:pPr>
              <w:spacing w:line="440" w:lineRule="exact"/>
              <w:jc w:val="center"/>
              <w:rPr>
                <w:rFonts w:hint="eastAsia" w:ascii="宋体" w:hAnsi="宋体" w:cs="宋体"/>
                <w:color w:val="auto"/>
                <w:highlight w:val="none"/>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3E2B2C60">
            <w:pPr>
              <w:jc w:val="center"/>
              <w:rPr>
                <w:rFonts w:hint="eastAsia" w:ascii="宋体" w:hAnsi="宋体"/>
                <w:color w:val="auto"/>
                <w:kern w:val="0"/>
                <w:szCs w:val="21"/>
                <w:highlight w:val="none"/>
              </w:rPr>
            </w:pPr>
            <w:r>
              <w:rPr>
                <w:rFonts w:hint="eastAsia" w:ascii="宋体" w:hAnsi="宋体"/>
                <w:color w:val="auto"/>
                <w:kern w:val="0"/>
                <w:szCs w:val="21"/>
                <w:highlight w:val="none"/>
              </w:rPr>
              <w:t>资源投入计划及保证措施</w:t>
            </w:r>
          </w:p>
          <w:p w14:paraId="500B16D8">
            <w:pPr>
              <w:jc w:val="center"/>
              <w:rPr>
                <w:rFonts w:hint="eastAsia" w:ascii="宋体" w:hAnsi="宋体"/>
                <w:color w:val="auto"/>
                <w:kern w:val="0"/>
                <w:szCs w:val="21"/>
                <w:highlight w:val="none"/>
              </w:rPr>
            </w:pPr>
            <w:r>
              <w:rPr>
                <w:rFonts w:hint="eastAsia" w:ascii="宋体" w:hAnsi="宋体"/>
                <w:color w:val="auto"/>
                <w:kern w:val="0"/>
                <w:szCs w:val="21"/>
                <w:highlight w:val="none"/>
              </w:rPr>
              <w:t>（10分）</w:t>
            </w:r>
          </w:p>
        </w:tc>
        <w:tc>
          <w:tcPr>
            <w:tcW w:w="5157" w:type="dxa"/>
            <w:tcBorders>
              <w:top w:val="single" w:color="auto" w:sz="4" w:space="0"/>
              <w:left w:val="single" w:color="auto" w:sz="4" w:space="0"/>
              <w:bottom w:val="single" w:color="auto" w:sz="4" w:space="0"/>
              <w:right w:val="single" w:color="auto" w:sz="4" w:space="0"/>
            </w:tcBorders>
            <w:vAlign w:val="center"/>
          </w:tcPr>
          <w:p w14:paraId="5F513C56">
            <w:pPr>
              <w:rPr>
                <w:rFonts w:hint="eastAsia" w:ascii="宋体" w:hAnsi="宋体"/>
                <w:color w:val="auto"/>
                <w:kern w:val="0"/>
                <w:szCs w:val="21"/>
                <w:highlight w:val="none"/>
              </w:rPr>
            </w:pPr>
            <w:r>
              <w:rPr>
                <w:rFonts w:hint="eastAsia" w:ascii="宋体" w:hAnsi="宋体"/>
                <w:color w:val="auto"/>
                <w:kern w:val="0"/>
                <w:szCs w:val="21"/>
                <w:highlight w:val="none"/>
              </w:rPr>
              <w:t>（1）根据本工程的特点，制定了相应的劳动力、机械设备投入计划和保证措施的，得6分</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不提供的不得分</w:t>
            </w:r>
            <w:r>
              <w:rPr>
                <w:rFonts w:hint="eastAsia" w:ascii="宋体" w:hAnsi="宋体"/>
                <w:color w:val="auto"/>
                <w:kern w:val="0"/>
                <w:szCs w:val="21"/>
                <w:highlight w:val="none"/>
              </w:rPr>
              <w:t>；</w:t>
            </w:r>
          </w:p>
          <w:p w14:paraId="313B873A">
            <w:pPr>
              <w:rPr>
                <w:rFonts w:hint="eastAsia" w:ascii="宋体" w:hAnsi="宋体"/>
                <w:color w:val="auto"/>
                <w:kern w:val="0"/>
                <w:szCs w:val="21"/>
                <w:highlight w:val="none"/>
              </w:rPr>
            </w:pPr>
            <w:r>
              <w:rPr>
                <w:rFonts w:hint="eastAsia" w:ascii="宋体" w:hAnsi="宋体"/>
                <w:color w:val="auto"/>
                <w:kern w:val="0"/>
                <w:szCs w:val="21"/>
                <w:highlight w:val="none"/>
              </w:rPr>
              <w:t>（2）</w:t>
            </w:r>
            <w:r>
              <w:rPr>
                <w:rFonts w:hint="eastAsia" w:ascii="宋体" w:hAnsi="宋体"/>
                <w:color w:val="auto"/>
                <w:kern w:val="0"/>
                <w:szCs w:val="21"/>
                <w:highlight w:val="none"/>
                <w:lang w:val="en-US" w:eastAsia="zh-CN"/>
              </w:rPr>
              <w:t>根据</w:t>
            </w:r>
            <w:r>
              <w:rPr>
                <w:rFonts w:hint="eastAsia" w:ascii="宋体" w:hAnsi="宋体"/>
                <w:color w:val="auto"/>
                <w:kern w:val="0"/>
                <w:szCs w:val="21"/>
                <w:highlight w:val="none"/>
              </w:rPr>
              <w:t>投标人</w:t>
            </w:r>
            <w:r>
              <w:rPr>
                <w:rFonts w:hint="eastAsia" w:ascii="宋体" w:hAnsi="宋体"/>
                <w:color w:val="auto"/>
                <w:kern w:val="0"/>
                <w:szCs w:val="21"/>
                <w:highlight w:val="none"/>
                <w:lang w:val="en-US" w:eastAsia="zh-CN"/>
              </w:rPr>
              <w:t>提供（1）的措施</w:t>
            </w:r>
            <w:r>
              <w:rPr>
                <w:rFonts w:hint="eastAsia" w:ascii="宋体" w:hAnsi="宋体"/>
                <w:color w:val="auto"/>
                <w:kern w:val="0"/>
                <w:szCs w:val="21"/>
                <w:highlight w:val="none"/>
              </w:rPr>
              <w:t>之间横向比较，根据措施的合理性、可行性进行加分：[优]</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4分，[良]</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3分，[中]</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2分，[差]</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1分。</w:t>
            </w:r>
          </w:p>
        </w:tc>
      </w:tr>
      <w:tr w14:paraId="0955AC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993" w:type="dxa"/>
            <w:gridSpan w:val="2"/>
            <w:tcBorders>
              <w:right w:val="single" w:color="auto" w:sz="4" w:space="0"/>
            </w:tcBorders>
            <w:vAlign w:val="center"/>
          </w:tcPr>
          <w:p w14:paraId="34032A90">
            <w:pPr>
              <w:spacing w:line="440" w:lineRule="exact"/>
              <w:jc w:val="center"/>
              <w:rPr>
                <w:rFonts w:hint="eastAsia" w:ascii="宋体" w:hAnsi="宋体" w:cs="宋体"/>
                <w:color w:val="auto"/>
                <w:highlight w:val="none"/>
              </w:rPr>
            </w:pPr>
          </w:p>
        </w:tc>
        <w:tc>
          <w:tcPr>
            <w:tcW w:w="1014" w:type="dxa"/>
            <w:tcBorders>
              <w:right w:val="single" w:color="auto" w:sz="4" w:space="0"/>
            </w:tcBorders>
          </w:tcPr>
          <w:p w14:paraId="41791657">
            <w:pPr>
              <w:spacing w:line="440" w:lineRule="exact"/>
              <w:jc w:val="center"/>
              <w:rPr>
                <w:rFonts w:hint="eastAsia" w:ascii="宋体" w:hAnsi="宋体" w:cs="宋体"/>
                <w:color w:val="auto"/>
                <w:highlight w:val="none"/>
              </w:rPr>
            </w:pPr>
          </w:p>
        </w:tc>
        <w:tc>
          <w:tcPr>
            <w:tcW w:w="986" w:type="dxa"/>
            <w:tcBorders>
              <w:left w:val="single" w:color="auto" w:sz="4" w:space="0"/>
              <w:right w:val="single" w:color="auto" w:sz="4" w:space="0"/>
            </w:tcBorders>
            <w:vAlign w:val="center"/>
          </w:tcPr>
          <w:p w14:paraId="1261A697">
            <w:pPr>
              <w:spacing w:line="440" w:lineRule="exact"/>
              <w:jc w:val="center"/>
              <w:rPr>
                <w:rFonts w:hint="eastAsia" w:ascii="宋体" w:hAnsi="宋体" w:cs="宋体"/>
                <w:color w:val="auto"/>
                <w:highlight w:val="none"/>
              </w:rPr>
            </w:pPr>
          </w:p>
        </w:tc>
        <w:tc>
          <w:tcPr>
            <w:tcW w:w="1206" w:type="dxa"/>
            <w:gridSpan w:val="2"/>
            <w:tcBorders>
              <w:top w:val="single" w:color="auto" w:sz="4" w:space="0"/>
              <w:left w:val="single" w:color="auto" w:sz="4" w:space="0"/>
              <w:bottom w:val="single" w:color="auto" w:sz="4" w:space="0"/>
              <w:right w:val="single" w:color="auto" w:sz="4" w:space="0"/>
            </w:tcBorders>
            <w:vAlign w:val="center"/>
          </w:tcPr>
          <w:p w14:paraId="56A66D99">
            <w:pPr>
              <w:jc w:val="center"/>
              <w:rPr>
                <w:rFonts w:hint="eastAsia" w:ascii="宋体" w:hAnsi="宋体"/>
                <w:color w:val="auto"/>
                <w:kern w:val="0"/>
                <w:szCs w:val="21"/>
                <w:highlight w:val="none"/>
              </w:rPr>
            </w:pPr>
            <w:r>
              <w:rPr>
                <w:rFonts w:hint="eastAsia" w:ascii="宋体" w:hAnsi="宋体"/>
                <w:color w:val="auto"/>
                <w:kern w:val="0"/>
                <w:szCs w:val="21"/>
                <w:highlight w:val="none"/>
              </w:rPr>
              <w:t>安全及绿色文明施工措施（10分）</w:t>
            </w:r>
          </w:p>
        </w:tc>
        <w:tc>
          <w:tcPr>
            <w:tcW w:w="5157" w:type="dxa"/>
            <w:tcBorders>
              <w:top w:val="single" w:color="auto" w:sz="4" w:space="0"/>
              <w:left w:val="single" w:color="auto" w:sz="4" w:space="0"/>
              <w:bottom w:val="single" w:color="auto" w:sz="4" w:space="0"/>
              <w:right w:val="single" w:color="auto" w:sz="4" w:space="0"/>
            </w:tcBorders>
            <w:vAlign w:val="center"/>
          </w:tcPr>
          <w:p w14:paraId="3AD47AD2">
            <w:pPr>
              <w:rPr>
                <w:rFonts w:hint="eastAsia" w:ascii="宋体" w:hAnsi="宋体"/>
                <w:color w:val="auto"/>
                <w:kern w:val="0"/>
                <w:szCs w:val="21"/>
                <w:highlight w:val="none"/>
              </w:rPr>
            </w:pPr>
            <w:r>
              <w:rPr>
                <w:rFonts w:hint="eastAsia" w:ascii="宋体" w:hAnsi="宋体"/>
                <w:color w:val="auto"/>
                <w:kern w:val="0"/>
                <w:szCs w:val="21"/>
                <w:highlight w:val="none"/>
              </w:rPr>
              <w:t>（1）根据本工程的特点，制定了相应的安全及绿色文明施工措施的，得6分</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不提供的不得分</w:t>
            </w:r>
            <w:r>
              <w:rPr>
                <w:rFonts w:hint="eastAsia" w:ascii="宋体" w:hAnsi="宋体"/>
                <w:color w:val="auto"/>
                <w:kern w:val="0"/>
                <w:szCs w:val="21"/>
                <w:highlight w:val="none"/>
              </w:rPr>
              <w:t>；</w:t>
            </w:r>
          </w:p>
          <w:p w14:paraId="72B738E3">
            <w:pPr>
              <w:rPr>
                <w:rFonts w:hint="eastAsia" w:ascii="宋体" w:hAnsi="宋体"/>
                <w:color w:val="auto"/>
                <w:kern w:val="0"/>
                <w:szCs w:val="21"/>
                <w:highlight w:val="none"/>
              </w:rPr>
            </w:pPr>
            <w:r>
              <w:rPr>
                <w:rFonts w:hint="eastAsia" w:ascii="宋体" w:hAnsi="宋体"/>
                <w:color w:val="auto"/>
                <w:kern w:val="0"/>
                <w:szCs w:val="21"/>
                <w:highlight w:val="none"/>
              </w:rPr>
              <w:t>（2）</w:t>
            </w:r>
            <w:r>
              <w:rPr>
                <w:rFonts w:hint="eastAsia" w:ascii="宋体" w:hAnsi="宋体"/>
                <w:color w:val="auto"/>
                <w:kern w:val="0"/>
                <w:szCs w:val="21"/>
                <w:highlight w:val="none"/>
                <w:lang w:val="en-US" w:eastAsia="zh-CN"/>
              </w:rPr>
              <w:t>根据</w:t>
            </w:r>
            <w:r>
              <w:rPr>
                <w:rFonts w:hint="eastAsia" w:ascii="宋体" w:hAnsi="宋体"/>
                <w:color w:val="auto"/>
                <w:kern w:val="0"/>
                <w:szCs w:val="21"/>
                <w:highlight w:val="none"/>
              </w:rPr>
              <w:t>投标人</w:t>
            </w:r>
            <w:r>
              <w:rPr>
                <w:rFonts w:hint="eastAsia" w:ascii="宋体" w:hAnsi="宋体"/>
                <w:color w:val="auto"/>
                <w:kern w:val="0"/>
                <w:szCs w:val="21"/>
                <w:highlight w:val="none"/>
                <w:lang w:val="en-US" w:eastAsia="zh-CN"/>
              </w:rPr>
              <w:t>提供（1）的措施</w:t>
            </w:r>
            <w:r>
              <w:rPr>
                <w:rFonts w:hint="eastAsia" w:ascii="宋体" w:hAnsi="宋体"/>
                <w:color w:val="auto"/>
                <w:kern w:val="0"/>
                <w:szCs w:val="21"/>
                <w:highlight w:val="none"/>
              </w:rPr>
              <w:t>之间横向比较，根据措施的合理性、可行性进行加分：[优]</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4分，[良]</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3分，[中]</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2分，[差]</w:t>
            </w:r>
            <w:r>
              <w:rPr>
                <w:rFonts w:hint="eastAsia" w:ascii="宋体" w:hAnsi="宋体"/>
                <w:color w:val="auto"/>
                <w:kern w:val="0"/>
                <w:szCs w:val="21"/>
                <w:highlight w:val="none"/>
                <w:lang w:val="en-US" w:eastAsia="zh-CN"/>
              </w:rPr>
              <w:t>加</w:t>
            </w:r>
            <w:r>
              <w:rPr>
                <w:rFonts w:hint="eastAsia" w:ascii="宋体" w:hAnsi="宋体"/>
                <w:color w:val="auto"/>
                <w:kern w:val="0"/>
                <w:szCs w:val="21"/>
                <w:highlight w:val="none"/>
              </w:rPr>
              <w:t>1分。</w:t>
            </w:r>
          </w:p>
        </w:tc>
      </w:tr>
      <w:tr w14:paraId="56C27A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30" w:hRule="atLeast"/>
        </w:trPr>
        <w:tc>
          <w:tcPr>
            <w:tcW w:w="993" w:type="dxa"/>
            <w:gridSpan w:val="2"/>
            <w:tcBorders>
              <w:top w:val="single" w:color="auto" w:sz="4" w:space="0"/>
              <w:left w:val="single" w:color="auto" w:sz="4" w:space="0"/>
              <w:bottom w:val="single" w:color="auto" w:sz="4" w:space="0"/>
              <w:right w:val="single" w:color="auto" w:sz="4" w:space="0"/>
            </w:tcBorders>
            <w:vAlign w:val="center"/>
          </w:tcPr>
          <w:p w14:paraId="0F0B3C2D">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2.2.4（3）</w:t>
            </w:r>
          </w:p>
        </w:tc>
        <w:tc>
          <w:tcPr>
            <w:tcW w:w="1014" w:type="dxa"/>
            <w:tcBorders>
              <w:top w:val="single" w:color="auto" w:sz="4" w:space="0"/>
              <w:left w:val="single" w:color="auto" w:sz="4" w:space="0"/>
              <w:bottom w:val="single" w:color="auto" w:sz="4" w:space="0"/>
              <w:right w:val="single" w:color="auto" w:sz="4" w:space="0"/>
            </w:tcBorders>
            <w:vAlign w:val="center"/>
          </w:tcPr>
          <w:p w14:paraId="51CA189A">
            <w:pPr>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投标报价评分标准</w:t>
            </w:r>
          </w:p>
        </w:tc>
        <w:tc>
          <w:tcPr>
            <w:tcW w:w="2192" w:type="dxa"/>
            <w:gridSpan w:val="3"/>
            <w:tcBorders>
              <w:top w:val="single" w:color="auto" w:sz="4" w:space="0"/>
              <w:left w:val="single" w:color="auto" w:sz="4" w:space="0"/>
              <w:bottom w:val="single" w:color="auto" w:sz="4" w:space="0"/>
              <w:right w:val="single" w:color="auto" w:sz="4" w:space="0"/>
            </w:tcBorders>
            <w:vAlign w:val="center"/>
          </w:tcPr>
          <w:p w14:paraId="1143549D">
            <w:pPr>
              <w:jc w:val="center"/>
              <w:rPr>
                <w:rFonts w:hint="eastAsia" w:ascii="宋体" w:hAnsi="宋体" w:cs="宋体"/>
                <w:color w:val="auto"/>
                <w:szCs w:val="21"/>
                <w:highlight w:val="none"/>
              </w:rPr>
            </w:pPr>
            <w:r>
              <w:rPr>
                <w:rFonts w:hint="eastAsia" w:ascii="宋体" w:hAnsi="宋体" w:cs="宋体"/>
                <w:color w:val="auto"/>
                <w:szCs w:val="21"/>
                <w:highlight w:val="none"/>
              </w:rPr>
              <w:t>报价得分</w:t>
            </w:r>
          </w:p>
          <w:p w14:paraId="79887A96">
            <w:pPr>
              <w:widowControl/>
              <w:jc w:val="center"/>
              <w:rPr>
                <w:rFonts w:hint="eastAsia" w:ascii="宋体" w:hAnsi="宋体"/>
                <w:color w:val="auto"/>
                <w:highlight w:val="none"/>
              </w:rPr>
            </w:pPr>
            <w:r>
              <w:rPr>
                <w:rFonts w:hint="eastAsia" w:ascii="宋体" w:hAnsi="宋体"/>
                <w:color w:val="auto"/>
                <w:highlight w:val="none"/>
              </w:rPr>
              <w:t>（</w:t>
            </w:r>
            <w:r>
              <w:rPr>
                <w:rFonts w:ascii="宋体" w:hAnsi="宋体"/>
                <w:color w:val="auto"/>
                <w:highlight w:val="none"/>
              </w:rPr>
              <w:t>100</w:t>
            </w:r>
            <w:r>
              <w:rPr>
                <w:rFonts w:hint="eastAsia" w:ascii="宋体" w:hAnsi="宋体"/>
                <w:color w:val="auto"/>
                <w:highlight w:val="none"/>
              </w:rPr>
              <w:t>分）</w:t>
            </w:r>
          </w:p>
        </w:tc>
        <w:tc>
          <w:tcPr>
            <w:tcW w:w="5157" w:type="dxa"/>
            <w:tcBorders>
              <w:top w:val="single" w:color="auto" w:sz="4" w:space="0"/>
              <w:left w:val="single" w:color="auto" w:sz="4" w:space="0"/>
              <w:bottom w:val="single" w:color="auto" w:sz="4" w:space="0"/>
              <w:right w:val="single" w:color="auto" w:sz="4" w:space="0"/>
            </w:tcBorders>
            <w:vAlign w:val="center"/>
          </w:tcPr>
          <w:p w14:paraId="3D7B4D07">
            <w:pPr>
              <w:jc w:val="left"/>
              <w:rPr>
                <w:rFonts w:hint="eastAsia" w:ascii="宋体" w:hAnsi="宋体" w:cs="宋体"/>
                <w:color w:val="auto"/>
                <w:szCs w:val="21"/>
                <w:highlight w:val="none"/>
              </w:rPr>
            </w:pPr>
            <w:r>
              <w:rPr>
                <w:rFonts w:hint="eastAsia" w:ascii="宋体" w:hAnsi="宋体" w:cs="宋体"/>
                <w:color w:val="auto"/>
                <w:highlight w:val="none"/>
                <w:lang w:bidi="zh-TW"/>
              </w:rPr>
              <w:t>当经算术校核的投标总报价等于评标参考价时得100分，报价每高于评标参考价1%，扣1</w:t>
            </w:r>
            <w:r>
              <w:rPr>
                <w:rFonts w:hint="eastAsia" w:ascii="宋体" w:hAnsi="宋体" w:cs="宋体"/>
                <w:color w:val="auto"/>
                <w:highlight w:val="none"/>
                <w:lang w:val="en-US" w:eastAsia="zh-CN" w:bidi="zh-TW"/>
              </w:rPr>
              <w:t>.5</w:t>
            </w:r>
            <w:r>
              <w:rPr>
                <w:rFonts w:hint="eastAsia" w:ascii="宋体" w:hAnsi="宋体" w:cs="宋体"/>
                <w:color w:val="auto"/>
                <w:highlight w:val="none"/>
                <w:lang w:bidi="zh-TW"/>
              </w:rPr>
              <w:t>分，每低于评标参考价1%，扣</w:t>
            </w:r>
            <w:r>
              <w:rPr>
                <w:rFonts w:hint="eastAsia" w:ascii="宋体" w:hAnsi="宋体" w:cs="宋体"/>
                <w:color w:val="auto"/>
                <w:highlight w:val="none"/>
                <w:lang w:val="en-US" w:eastAsia="zh-CN" w:bidi="zh-TW"/>
              </w:rPr>
              <w:t>1</w:t>
            </w:r>
            <w:r>
              <w:rPr>
                <w:rFonts w:hint="eastAsia" w:ascii="宋体" w:hAnsi="宋体" w:cs="宋体"/>
                <w:color w:val="auto"/>
                <w:highlight w:val="none"/>
                <w:lang w:bidi="zh-TW"/>
              </w:rPr>
              <w:t>分，扣至0分为止，得出投标报价得分，精确到小数点后两位。</w:t>
            </w:r>
          </w:p>
        </w:tc>
      </w:tr>
    </w:tbl>
    <w:p w14:paraId="68E57F28">
      <w:pPr>
        <w:spacing w:line="320" w:lineRule="exact"/>
        <w:rPr>
          <w:rFonts w:hint="eastAsia" w:ascii="宋体" w:hAnsi="宋体"/>
          <w:color w:val="auto"/>
        </w:rPr>
      </w:pPr>
      <w:r>
        <w:rPr>
          <w:rFonts w:hint="eastAsia" w:ascii="宋体" w:hAnsi="宋体"/>
          <w:color w:val="auto"/>
        </w:rPr>
        <w:t>注：1.【项目管理机构】：《投标人投入主要人员基本要求表》要求提供相关证明资料及本投标人（不含投标人的子公司或母公司人员，含分公司）2024年11月由社保行政主管部门出具的社保证明资料并加盖投标人电子印章；未提供相应的证明资料或所提供的证明资料不符合要求的，该人员不予计算得分；</w:t>
      </w:r>
    </w:p>
    <w:p w14:paraId="0B0D206B">
      <w:pPr>
        <w:spacing w:line="320" w:lineRule="exact"/>
        <w:rPr>
          <w:rFonts w:hint="eastAsia" w:ascii="宋体" w:hAnsi="宋体"/>
          <w:color w:val="auto"/>
        </w:rPr>
      </w:pPr>
      <w:r>
        <w:rPr>
          <w:rFonts w:hint="eastAsia" w:ascii="宋体" w:hAnsi="宋体"/>
          <w:color w:val="auto"/>
        </w:rPr>
        <w:t>2.【企业业绩】：业绩取自广州市住建行业信用管理平台。投标人须提供工程业绩的项目名称及业绩在广州市住建行业信用管理平台中项目编号、相应业绩在广州市住建行业信用管理平台的网页信息截图（截图应至少显示有“住建行业信用管理平台”的“项目基本信息”、“验收材料”等信息）。不提供项目名称及项目编号、网页信息截图的业绩不予评审。若投标人提供的项目名称与项目编号不一致：①项目名称和项目编号在平台内分别对应不同业绩的，以项目名称对应的业绩为准；②项目名称存在对应业绩的，项目编号在平台内不存在对应业绩，以项目名称对应的业绩为准；③项目名称在平台内不存在对应业绩，项目编号存在对应业绩的，以项目编号对应的业绩为准。评标委员会对业绩的评审以投标截止时间在平台内业绩上传件为依据（投标文件中不需重复提交相关业绩上传件）。</w:t>
      </w:r>
    </w:p>
    <w:p w14:paraId="63AA74FC">
      <w:pPr>
        <w:spacing w:line="320" w:lineRule="exact"/>
        <w:rPr>
          <w:rFonts w:hint="eastAsia" w:ascii="宋体" w:hAnsi="宋体"/>
          <w:color w:val="auto"/>
        </w:rPr>
      </w:pPr>
      <w:r>
        <w:rPr>
          <w:rFonts w:hint="eastAsia" w:ascii="宋体" w:hAnsi="宋体"/>
          <w:color w:val="auto"/>
        </w:rPr>
        <w:t>（1）建筑装修装饰工程金额以广州市住建行业信用管理平台中项目业绩页面的“工程规模”栏中所记录“建筑装修装饰工程”的工程造价（须大于或等于600万元）为准。用于本项目投标的类似业绩，在平台中“工程对应的企业资质”栏中须登记有与本项目要求相对应的资质（具体资质要求：建筑装修装饰工程专业承包资质或建筑装饰装修工程设计与施工资质）。（2）技术指标需在广州市住建行业信用管理平台内业绩上传件中反映。（3）完成时间以子分部工程质量验收记录时间为准。未提供子分部工程质量验收记录的，完成时间以验收文件记录时间为准。验收记录或验收文件至少具有建设单位、设计、施工和监理单位盖章。（4）平台内业绩上传件不符合上述要求的或登记的工程资质内容与施工合同等业绩证明资料不相符的，该项业绩不予认定。</w:t>
      </w:r>
    </w:p>
    <w:p w14:paraId="2BAD9248">
      <w:pPr>
        <w:spacing w:line="320" w:lineRule="exact"/>
        <w:rPr>
          <w:rFonts w:hint="eastAsia" w:ascii="宋体" w:hAnsi="宋体"/>
          <w:color w:val="auto"/>
        </w:rPr>
      </w:pPr>
      <w:r>
        <w:rPr>
          <w:rFonts w:hint="eastAsia" w:ascii="宋体" w:hAnsi="宋体"/>
          <w:color w:val="auto"/>
        </w:rPr>
        <w:t>3.【企业获奖】：（1）获奖信息可取自广州市住建行业信用管理平台或以投标人所提供的获奖证书原件扫描件为准。①取自平台的，投标人须提供在广州市住建行业信用管理平台的网页信息截图（网页信息截图须能清晰显示带有“住建行业信用管理平台”名称，并至少包含“项目基本信息”、“奖项信息”等信息），不提供网页信息截图的业绩不予评审。评标委员会的评审以投标截止时间在平台内业绩上传件为依据（投标文件中不需重复提交上传件）。用于本项目投标的获奖业绩，在平台中“工程对应的企业资质”栏中须登记有与本项目要求相对应的资质（具体资质要求：建筑装修装饰工程专业承包资质或建筑装饰装修工程设计与施工资质）。</w:t>
      </w:r>
    </w:p>
    <w:p w14:paraId="55139A70">
      <w:pPr>
        <w:spacing w:line="320" w:lineRule="exact"/>
        <w:rPr>
          <w:rFonts w:hint="eastAsia" w:ascii="宋体" w:hAnsi="宋体"/>
          <w:color w:val="auto"/>
        </w:rPr>
      </w:pPr>
      <w:r>
        <w:rPr>
          <w:rFonts w:hint="eastAsia" w:ascii="宋体" w:hAnsi="宋体"/>
          <w:color w:val="auto"/>
        </w:rPr>
        <w:t>②取自获奖证书原件扫描件的，投标人须提供获奖证书原件彩色扫描件，并同时提供获奖业绩的中标通知书(或免招标证明文件)、施工合同(不含补充合同)、竣工验收文件(验收文件至少具有建设单位、设计、施工和监理单位盖章)、竣工验收备案证明文件(备案证明须具有建设行政主管部门盖章确认)原件彩色扫描件及该获奖工程在“全国建筑市场监管公共服务平台”的网页信息截图（网页信息截图须显示工程信息并具备施工许可证、施工合同及竣工验收备案环节登记单位信息）并加盖投标人企业电子印章。不符合上述条件或上述资料相关信息不一致或提供的资料不齐全的获奖业绩不予评审。评标委员会对获奖业绩的评审以投标人提供的完整的证明资料为依据。</w:t>
      </w:r>
    </w:p>
    <w:p w14:paraId="022C0AF2">
      <w:pPr>
        <w:spacing w:line="320" w:lineRule="exact"/>
        <w:rPr>
          <w:rFonts w:hint="eastAsia" w:ascii="宋体" w:hAnsi="宋体"/>
          <w:color w:val="auto"/>
        </w:rPr>
      </w:pPr>
      <w:r>
        <w:rPr>
          <w:rFonts w:hint="eastAsia" w:ascii="宋体" w:hAnsi="宋体"/>
          <w:color w:val="auto"/>
        </w:rPr>
        <w:t>（2）获奖时间以发证时间为准。</w:t>
      </w:r>
    </w:p>
    <w:p w14:paraId="79CD6AD8">
      <w:pPr>
        <w:spacing w:line="320" w:lineRule="exact"/>
        <w:rPr>
          <w:rFonts w:hint="eastAsia" w:ascii="宋体" w:hAnsi="宋体"/>
          <w:color w:val="auto"/>
        </w:rPr>
      </w:pPr>
      <w:r>
        <w:rPr>
          <w:rFonts w:hint="eastAsia" w:ascii="宋体" w:hAnsi="宋体"/>
          <w:color w:val="auto"/>
        </w:rPr>
        <w:t>（3）国家级质量奖项包括：中国建设工程鲁班奖、中国土木工程詹天佑奖、国家优质工程金质奖、国家优质工程奖、中国（全国）建筑工程装饰奖（不含设计、幕墙获奖）；省市级质量奖项指省、市级行政主管部门或行业协会颁发的工程质量方面的奖项（行业协会须在民政部门备案）。投标人须为该获奖项目的建筑装饰装修专业承包单位，不符合上述条件或上述资料相关信息不一致或提供的资料不齐全的获奖业绩不予评审。评标委员会对获奖业绩的评审以投标人提供的完整的证明资料为依据。</w:t>
      </w:r>
    </w:p>
    <w:p w14:paraId="28D40E44">
      <w:pPr>
        <w:spacing w:line="320" w:lineRule="exact"/>
        <w:rPr>
          <w:rFonts w:hint="eastAsia" w:ascii="宋体" w:hAnsi="宋体"/>
          <w:color w:val="auto"/>
        </w:rPr>
      </w:pPr>
      <w:r>
        <w:rPr>
          <w:rFonts w:hint="eastAsia" w:ascii="宋体" w:hAnsi="宋体"/>
          <w:color w:val="auto"/>
        </w:rPr>
        <w:t>（4）同一工程项目同时获得多个奖项的，只计算一次最高级别的奖项得分。</w:t>
      </w:r>
    </w:p>
    <w:p w14:paraId="442506B5">
      <w:pPr>
        <w:spacing w:line="320" w:lineRule="exact"/>
        <w:rPr>
          <w:rFonts w:hint="eastAsia" w:ascii="宋体" w:hAnsi="宋体"/>
          <w:color w:val="auto"/>
        </w:rPr>
      </w:pPr>
      <w:r>
        <w:rPr>
          <w:rFonts w:hint="eastAsia" w:ascii="宋体" w:hAnsi="宋体"/>
          <w:color w:val="auto"/>
        </w:rPr>
        <w:t>4.【第三方评价】：（1）“纳税情况”以省级（含直辖市）或以上税务局官网的“纳税信用A级纳税人名单公布栏”查询结果为准，须同时提交“纳税信用A级纳税人名单公布栏”查询结果(查询结果不包括子公司、分公司及分支机构)的网页截图和税务机关颁发的证书扫描件并加盖投标人电子印章。须含最新评审年度（2023年度）。不符合条件或无提供查询结果网页截图或无提供证书彩色扫描件或无加盖投标人企业电子印章的不计分。</w:t>
      </w:r>
    </w:p>
    <w:p w14:paraId="31A128A9">
      <w:pPr>
        <w:spacing w:line="320" w:lineRule="exact"/>
        <w:rPr>
          <w:rFonts w:hint="eastAsia" w:ascii="宋体" w:hAnsi="宋体"/>
          <w:color w:val="auto"/>
        </w:rPr>
      </w:pPr>
      <w:r>
        <w:rPr>
          <w:rFonts w:hint="eastAsia" w:ascii="宋体" w:hAnsi="宋体"/>
          <w:color w:val="auto"/>
        </w:rPr>
        <w:t>（2）提供有效的体系认证证书扫描件并加盖投标人电子印章，否则不得分。</w:t>
      </w:r>
    </w:p>
    <w:p w14:paraId="1E6C0E12">
      <w:pPr>
        <w:spacing w:line="320" w:lineRule="exact"/>
        <w:rPr>
          <w:rFonts w:hint="eastAsia" w:ascii="宋体" w:hAnsi="宋体"/>
          <w:color w:val="auto"/>
        </w:rPr>
      </w:pPr>
      <w:r>
        <w:rPr>
          <w:rFonts w:hint="eastAsia" w:ascii="宋体" w:hAnsi="宋体"/>
          <w:color w:val="auto"/>
        </w:rPr>
        <w:t>5、【工程研发能力】投标人须提供由建设行政主管部门或行业协会（行业协会须在民政管理部门登记备案）或其他工法主管部门颁发的工法证书原件扫描件，如证书上不能体现“房建”类工法，则需提供工法公示名单或其他能体现工法类别（“房屋建筑工程”类）的证明资料加盖投标单位电子印章，时间以获奖证书上的时间为准。不提供上述证明文件该工法不能计算有效工法。同一工法按最高级别奖项只计一次得分，未提供不计分。</w:t>
      </w:r>
    </w:p>
    <w:p w14:paraId="3C24CEF1">
      <w:pPr>
        <w:spacing w:line="320" w:lineRule="exact"/>
        <w:rPr>
          <w:rFonts w:hint="eastAsia" w:ascii="宋体" w:hAnsi="宋体"/>
          <w:color w:val="auto"/>
        </w:rPr>
      </w:pPr>
      <w:r>
        <w:rPr>
          <w:rFonts w:hint="eastAsia" w:ascii="宋体" w:hAnsi="宋体"/>
          <w:color w:val="auto"/>
        </w:rPr>
        <w:t>6.如联合体投标的，【企业资信部分】、【项目管理机构配置情况】的评审均以联合体主办人的资料为准。</w:t>
      </w:r>
    </w:p>
    <w:p w14:paraId="32AD0083">
      <w:pPr>
        <w:spacing w:line="320" w:lineRule="exact"/>
        <w:rPr>
          <w:color w:val="auto"/>
        </w:rPr>
      </w:pPr>
      <w:r>
        <w:rPr>
          <w:rFonts w:hint="eastAsia" w:ascii="宋体" w:hAnsi="宋体"/>
          <w:color w:val="auto"/>
        </w:rPr>
        <w:t>7.本表按百分制评分，所有评委总分汇总后的算术平均值为投标人的最终得分。分数出现小数点，保留小数点后二位小数，三位小数四舍五入。</w:t>
      </w:r>
      <w:r>
        <w:rPr>
          <w:rFonts w:hint="eastAsia"/>
          <w:color w:val="auto"/>
        </w:rPr>
        <w:br w:type="page"/>
      </w:r>
    </w:p>
    <w:p w14:paraId="38B3EC4B">
      <w:pPr>
        <w:jc w:val="center"/>
        <w:rPr>
          <w:rFonts w:hint="eastAsia" w:ascii="宋体" w:hAnsi="宋体"/>
          <w:b/>
          <w:color w:val="auto"/>
          <w:sz w:val="30"/>
          <w:szCs w:val="30"/>
        </w:rPr>
      </w:pPr>
      <w:r>
        <w:rPr>
          <w:rFonts w:hint="eastAsia" w:ascii="宋体" w:hAnsi="宋体"/>
          <w:b/>
          <w:color w:val="auto"/>
          <w:sz w:val="30"/>
          <w:szCs w:val="30"/>
        </w:rPr>
        <w:t>《投标人投入主要人员基本要求表》</w:t>
      </w:r>
    </w:p>
    <w:tbl>
      <w:tblPr>
        <w:tblStyle w:val="37"/>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723"/>
        <w:gridCol w:w="4427"/>
        <w:gridCol w:w="2447"/>
      </w:tblGrid>
      <w:tr w14:paraId="0DF0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133FEB9D">
            <w:pPr>
              <w:widowControl/>
              <w:spacing w:line="256" w:lineRule="exact"/>
              <w:jc w:val="center"/>
              <w:rPr>
                <w:rFonts w:hint="eastAsia" w:ascii="宋体" w:hAnsi="宋体" w:cs="宋体"/>
                <w:b/>
                <w:color w:val="auto"/>
                <w:kern w:val="0"/>
                <w:szCs w:val="21"/>
              </w:rPr>
            </w:pPr>
            <w:r>
              <w:rPr>
                <w:rFonts w:hint="eastAsia" w:ascii="宋体" w:hAnsi="宋体" w:cs="宋体"/>
                <w:b/>
                <w:color w:val="auto"/>
                <w:kern w:val="0"/>
                <w:szCs w:val="21"/>
              </w:rPr>
              <w:t>项目管理团队</w:t>
            </w:r>
          </w:p>
        </w:tc>
        <w:tc>
          <w:tcPr>
            <w:tcW w:w="723" w:type="dxa"/>
            <w:tcBorders>
              <w:top w:val="single" w:color="auto" w:sz="4" w:space="0"/>
              <w:left w:val="single" w:color="auto" w:sz="4" w:space="0"/>
              <w:bottom w:val="single" w:color="auto" w:sz="4" w:space="0"/>
              <w:right w:val="single" w:color="auto" w:sz="4" w:space="0"/>
            </w:tcBorders>
            <w:vAlign w:val="center"/>
          </w:tcPr>
          <w:p w14:paraId="0AEAA6E2">
            <w:pPr>
              <w:widowControl/>
              <w:spacing w:line="256" w:lineRule="exact"/>
              <w:jc w:val="center"/>
              <w:rPr>
                <w:rFonts w:hint="eastAsia" w:ascii="宋体" w:hAnsi="宋体" w:cs="宋体"/>
                <w:b/>
                <w:color w:val="auto"/>
                <w:kern w:val="0"/>
                <w:szCs w:val="21"/>
              </w:rPr>
            </w:pPr>
            <w:r>
              <w:rPr>
                <w:rFonts w:hint="eastAsia" w:ascii="宋体" w:hAnsi="宋体" w:cs="宋体"/>
                <w:b/>
                <w:color w:val="auto"/>
                <w:kern w:val="0"/>
                <w:szCs w:val="21"/>
              </w:rPr>
              <w:t>数量</w:t>
            </w:r>
          </w:p>
        </w:tc>
        <w:tc>
          <w:tcPr>
            <w:tcW w:w="4427" w:type="dxa"/>
            <w:tcBorders>
              <w:top w:val="single" w:color="auto" w:sz="4" w:space="0"/>
              <w:left w:val="single" w:color="auto" w:sz="4" w:space="0"/>
              <w:bottom w:val="single" w:color="auto" w:sz="4" w:space="0"/>
              <w:right w:val="single" w:color="auto" w:sz="4" w:space="0"/>
            </w:tcBorders>
            <w:vAlign w:val="center"/>
          </w:tcPr>
          <w:p w14:paraId="21C774CD">
            <w:pPr>
              <w:widowControl/>
              <w:spacing w:line="256" w:lineRule="exact"/>
              <w:jc w:val="center"/>
              <w:rPr>
                <w:rFonts w:hint="eastAsia" w:ascii="宋体" w:hAnsi="宋体" w:cs="宋体"/>
                <w:b/>
                <w:color w:val="auto"/>
                <w:kern w:val="0"/>
                <w:szCs w:val="21"/>
              </w:rPr>
            </w:pPr>
            <w:r>
              <w:rPr>
                <w:rFonts w:hint="eastAsia" w:ascii="宋体" w:hAnsi="宋体" w:cs="宋体"/>
                <w:b/>
                <w:color w:val="auto"/>
                <w:kern w:val="0"/>
                <w:szCs w:val="21"/>
              </w:rPr>
              <w:t>基本要求</w:t>
            </w:r>
          </w:p>
        </w:tc>
        <w:tc>
          <w:tcPr>
            <w:tcW w:w="2447" w:type="dxa"/>
            <w:tcBorders>
              <w:top w:val="single" w:color="auto" w:sz="4" w:space="0"/>
              <w:left w:val="single" w:color="auto" w:sz="4" w:space="0"/>
              <w:bottom w:val="single" w:color="auto" w:sz="4" w:space="0"/>
              <w:right w:val="single" w:color="auto" w:sz="4" w:space="0"/>
            </w:tcBorders>
            <w:vAlign w:val="center"/>
          </w:tcPr>
          <w:p w14:paraId="6518EED2">
            <w:pPr>
              <w:widowControl/>
              <w:spacing w:line="256" w:lineRule="exact"/>
              <w:jc w:val="center"/>
              <w:rPr>
                <w:rFonts w:hint="eastAsia" w:ascii="宋体" w:hAnsi="宋体" w:cs="宋体"/>
                <w:b/>
                <w:color w:val="auto"/>
                <w:kern w:val="0"/>
                <w:szCs w:val="21"/>
              </w:rPr>
            </w:pPr>
            <w:r>
              <w:rPr>
                <w:rFonts w:hint="eastAsia" w:ascii="宋体" w:hAnsi="宋体" w:cs="宋体"/>
                <w:b/>
                <w:color w:val="auto"/>
                <w:kern w:val="0"/>
                <w:szCs w:val="21"/>
              </w:rPr>
              <w:t>备注</w:t>
            </w:r>
          </w:p>
        </w:tc>
      </w:tr>
      <w:tr w14:paraId="5A37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64E5F171">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项目负责人</w:t>
            </w:r>
          </w:p>
        </w:tc>
        <w:tc>
          <w:tcPr>
            <w:tcW w:w="723" w:type="dxa"/>
            <w:tcBorders>
              <w:top w:val="single" w:color="auto" w:sz="4" w:space="0"/>
              <w:left w:val="single" w:color="auto" w:sz="4" w:space="0"/>
              <w:bottom w:val="single" w:color="auto" w:sz="4" w:space="0"/>
              <w:right w:val="single" w:color="auto" w:sz="4" w:space="0"/>
            </w:tcBorders>
            <w:vAlign w:val="center"/>
          </w:tcPr>
          <w:p w14:paraId="3D4A53B3">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rPr>
              <w:t>1</w:t>
            </w:r>
          </w:p>
        </w:tc>
        <w:tc>
          <w:tcPr>
            <w:tcW w:w="4427" w:type="dxa"/>
            <w:tcBorders>
              <w:top w:val="single" w:color="auto" w:sz="4" w:space="0"/>
              <w:left w:val="single" w:color="auto" w:sz="4" w:space="0"/>
              <w:bottom w:val="single" w:color="auto" w:sz="4" w:space="0"/>
              <w:right w:val="single" w:color="auto" w:sz="4" w:space="0"/>
            </w:tcBorders>
            <w:vAlign w:val="center"/>
          </w:tcPr>
          <w:p w14:paraId="3BCF91D6">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按招标公告要求</w:t>
            </w:r>
          </w:p>
        </w:tc>
        <w:tc>
          <w:tcPr>
            <w:tcW w:w="2447" w:type="dxa"/>
            <w:tcBorders>
              <w:top w:val="single" w:color="auto" w:sz="4" w:space="0"/>
              <w:left w:val="single" w:color="auto" w:sz="4" w:space="0"/>
              <w:bottom w:val="single" w:color="auto" w:sz="4" w:space="0"/>
              <w:right w:val="single" w:color="auto" w:sz="4" w:space="0"/>
            </w:tcBorders>
            <w:vAlign w:val="center"/>
          </w:tcPr>
          <w:p w14:paraId="5226757E">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须按招标公告要求提供资料</w:t>
            </w:r>
          </w:p>
        </w:tc>
      </w:tr>
      <w:tr w14:paraId="0CA9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76487157">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技术负责人</w:t>
            </w:r>
          </w:p>
        </w:tc>
        <w:tc>
          <w:tcPr>
            <w:tcW w:w="723" w:type="dxa"/>
            <w:tcBorders>
              <w:top w:val="single" w:color="auto" w:sz="4" w:space="0"/>
              <w:left w:val="single" w:color="auto" w:sz="4" w:space="0"/>
              <w:bottom w:val="single" w:color="auto" w:sz="4" w:space="0"/>
              <w:right w:val="single" w:color="auto" w:sz="4" w:space="0"/>
            </w:tcBorders>
            <w:vAlign w:val="center"/>
          </w:tcPr>
          <w:p w14:paraId="7077260C">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rPr>
              <w:t>1</w:t>
            </w:r>
          </w:p>
        </w:tc>
        <w:tc>
          <w:tcPr>
            <w:tcW w:w="4427" w:type="dxa"/>
            <w:tcBorders>
              <w:top w:val="single" w:color="auto" w:sz="4" w:space="0"/>
              <w:left w:val="single" w:color="auto" w:sz="4" w:space="0"/>
              <w:bottom w:val="single" w:color="auto" w:sz="4" w:space="0"/>
              <w:right w:val="single" w:color="auto" w:sz="4" w:space="0"/>
            </w:tcBorders>
            <w:vAlign w:val="center"/>
          </w:tcPr>
          <w:p w14:paraId="6A7EC1FF">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按招标公告要求</w:t>
            </w:r>
          </w:p>
        </w:tc>
        <w:tc>
          <w:tcPr>
            <w:tcW w:w="2447" w:type="dxa"/>
            <w:tcBorders>
              <w:top w:val="single" w:color="auto" w:sz="4" w:space="0"/>
              <w:left w:val="single" w:color="auto" w:sz="4" w:space="0"/>
              <w:bottom w:val="single" w:color="auto" w:sz="4" w:space="0"/>
              <w:right w:val="single" w:color="auto" w:sz="4" w:space="0"/>
            </w:tcBorders>
            <w:vAlign w:val="center"/>
          </w:tcPr>
          <w:p w14:paraId="4877E6EE">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须按招标公告要求提供资料</w:t>
            </w:r>
          </w:p>
        </w:tc>
      </w:tr>
      <w:tr w14:paraId="23B3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442D32CF">
            <w:pPr>
              <w:widowControl/>
              <w:spacing w:line="256" w:lineRule="exact"/>
              <w:ind w:left="-48" w:leftChars="-23"/>
              <w:jc w:val="center"/>
              <w:rPr>
                <w:rFonts w:hint="eastAsia" w:ascii="宋体" w:hAnsi="宋体" w:cs="宋体"/>
                <w:color w:val="auto"/>
                <w:kern w:val="0"/>
                <w:szCs w:val="21"/>
              </w:rPr>
            </w:pPr>
            <w:r>
              <w:rPr>
                <w:rFonts w:hint="eastAsia" w:ascii="宋体" w:hAnsi="宋体"/>
                <w:bCs/>
                <w:color w:val="auto"/>
                <w:szCs w:val="21"/>
              </w:rPr>
              <w:t>质量负责人</w:t>
            </w:r>
          </w:p>
        </w:tc>
        <w:tc>
          <w:tcPr>
            <w:tcW w:w="723" w:type="dxa"/>
            <w:tcBorders>
              <w:top w:val="single" w:color="auto" w:sz="4" w:space="0"/>
              <w:left w:val="single" w:color="auto" w:sz="4" w:space="0"/>
              <w:bottom w:val="single" w:color="auto" w:sz="4" w:space="0"/>
              <w:right w:val="single" w:color="auto" w:sz="4" w:space="0"/>
            </w:tcBorders>
            <w:vAlign w:val="center"/>
          </w:tcPr>
          <w:p w14:paraId="4D681111">
            <w:pPr>
              <w:widowControl/>
              <w:spacing w:line="256" w:lineRule="exact"/>
              <w:ind w:left="-44" w:leftChars="-21"/>
              <w:jc w:val="center"/>
              <w:rPr>
                <w:rFonts w:hint="eastAsia" w:ascii="宋体" w:hAnsi="宋体" w:cs="宋体"/>
                <w:color w:val="auto"/>
                <w:kern w:val="0"/>
                <w:szCs w:val="21"/>
              </w:rPr>
            </w:pPr>
            <w:r>
              <w:rPr>
                <w:rFonts w:hint="eastAsia" w:ascii="宋体" w:hAnsi="宋体"/>
                <w:color w:val="auto"/>
                <w:szCs w:val="21"/>
              </w:rPr>
              <w:t>1</w:t>
            </w:r>
          </w:p>
        </w:tc>
        <w:tc>
          <w:tcPr>
            <w:tcW w:w="4427" w:type="dxa"/>
            <w:tcBorders>
              <w:top w:val="single" w:color="auto" w:sz="4" w:space="0"/>
              <w:left w:val="single" w:color="auto" w:sz="4" w:space="0"/>
              <w:bottom w:val="single" w:color="auto" w:sz="4" w:space="0"/>
              <w:right w:val="single" w:color="auto" w:sz="4" w:space="0"/>
            </w:tcBorders>
            <w:vAlign w:val="center"/>
          </w:tcPr>
          <w:p w14:paraId="29A1CEED">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同时具有</w:t>
            </w:r>
            <w:r>
              <w:rPr>
                <w:rFonts w:hint="eastAsia" w:ascii="宋体" w:hAnsi="宋体" w:cs="宋体"/>
                <w:color w:val="auto"/>
                <w:kern w:val="0"/>
                <w:szCs w:val="21"/>
              </w:rPr>
              <w:t>质量员上岗证或培训合格证</w:t>
            </w:r>
            <w:r>
              <w:rPr>
                <w:rFonts w:hint="eastAsia" w:ascii="宋体" w:hAnsi="宋体" w:cs="宋体"/>
                <w:color w:val="auto"/>
                <w:kern w:val="0"/>
                <w:szCs w:val="21"/>
                <w:lang w:val="en-US" w:eastAsia="zh-CN"/>
              </w:rPr>
              <w:t>及</w:t>
            </w:r>
            <w:r>
              <w:rPr>
                <w:rFonts w:hint="eastAsia" w:ascii="宋体" w:hAnsi="宋体" w:cs="宋体"/>
                <w:color w:val="auto"/>
                <w:kern w:val="0"/>
                <w:szCs w:val="21"/>
              </w:rPr>
              <w:t>建筑装饰施工类</w:t>
            </w:r>
            <w:r>
              <w:rPr>
                <w:rFonts w:hint="eastAsia" w:ascii="宋体" w:hAnsi="宋体"/>
                <w:color w:val="auto"/>
                <w:szCs w:val="21"/>
              </w:rPr>
              <w:t>专业工程师</w:t>
            </w:r>
            <w:r>
              <w:rPr>
                <w:rFonts w:hint="eastAsia" w:ascii="宋体" w:hAnsi="宋体" w:cs="宋体"/>
                <w:color w:val="auto"/>
                <w:kern w:val="0"/>
                <w:szCs w:val="21"/>
              </w:rPr>
              <w:t>（或以上）技术职称</w:t>
            </w:r>
          </w:p>
        </w:tc>
        <w:tc>
          <w:tcPr>
            <w:tcW w:w="2447" w:type="dxa"/>
            <w:tcBorders>
              <w:top w:val="single" w:color="auto" w:sz="4" w:space="0"/>
              <w:left w:val="single" w:color="auto" w:sz="4" w:space="0"/>
              <w:bottom w:val="single" w:color="auto" w:sz="4" w:space="0"/>
              <w:right w:val="single" w:color="auto" w:sz="4" w:space="0"/>
            </w:tcBorders>
            <w:vAlign w:val="center"/>
          </w:tcPr>
          <w:p w14:paraId="1339A5FA">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须提供岗位证或培训证、职称证书</w:t>
            </w:r>
          </w:p>
        </w:tc>
      </w:tr>
      <w:tr w14:paraId="7353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823" w:type="dxa"/>
            <w:tcBorders>
              <w:top w:val="single" w:color="auto" w:sz="4" w:space="0"/>
              <w:left w:val="single" w:color="auto" w:sz="4" w:space="0"/>
              <w:right w:val="single" w:color="auto" w:sz="4" w:space="0"/>
            </w:tcBorders>
            <w:vAlign w:val="center"/>
          </w:tcPr>
          <w:p w14:paraId="1005E4F4">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造价负责人</w:t>
            </w:r>
          </w:p>
        </w:tc>
        <w:tc>
          <w:tcPr>
            <w:tcW w:w="723" w:type="dxa"/>
            <w:tcBorders>
              <w:top w:val="single" w:color="auto" w:sz="4" w:space="0"/>
              <w:left w:val="single" w:color="auto" w:sz="4" w:space="0"/>
              <w:right w:val="single" w:color="auto" w:sz="4" w:space="0"/>
            </w:tcBorders>
            <w:vAlign w:val="center"/>
          </w:tcPr>
          <w:p w14:paraId="0BADAAD4">
            <w:pPr>
              <w:widowControl/>
              <w:spacing w:line="256" w:lineRule="exact"/>
              <w:ind w:left="-44" w:leftChars="-21"/>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1</w:t>
            </w:r>
          </w:p>
        </w:tc>
        <w:tc>
          <w:tcPr>
            <w:tcW w:w="4427" w:type="dxa"/>
            <w:tcBorders>
              <w:top w:val="single" w:color="auto" w:sz="4" w:space="0"/>
              <w:left w:val="single" w:color="auto" w:sz="4" w:space="0"/>
              <w:bottom w:val="single" w:color="auto" w:sz="4" w:space="0"/>
              <w:right w:val="single" w:color="auto" w:sz="4" w:space="0"/>
            </w:tcBorders>
            <w:vAlign w:val="center"/>
          </w:tcPr>
          <w:p w14:paraId="6FE3D6CE">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具有有效期内的一级造价工程师注册证书</w:t>
            </w:r>
          </w:p>
        </w:tc>
        <w:tc>
          <w:tcPr>
            <w:tcW w:w="2447" w:type="dxa"/>
            <w:tcBorders>
              <w:top w:val="single" w:color="auto" w:sz="4" w:space="0"/>
              <w:left w:val="single" w:color="auto" w:sz="4" w:space="0"/>
              <w:right w:val="single" w:color="auto" w:sz="4" w:space="0"/>
            </w:tcBorders>
            <w:vAlign w:val="center"/>
          </w:tcPr>
          <w:p w14:paraId="65077BF2">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须提供注册造价工程师证书</w:t>
            </w:r>
          </w:p>
        </w:tc>
      </w:tr>
      <w:tr w14:paraId="739E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32303FDB">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安全负责人</w:t>
            </w:r>
          </w:p>
        </w:tc>
        <w:tc>
          <w:tcPr>
            <w:tcW w:w="723" w:type="dxa"/>
            <w:tcBorders>
              <w:top w:val="single" w:color="auto" w:sz="4" w:space="0"/>
              <w:left w:val="single" w:color="auto" w:sz="4" w:space="0"/>
              <w:bottom w:val="single" w:color="auto" w:sz="4" w:space="0"/>
              <w:right w:val="single" w:color="auto" w:sz="4" w:space="0"/>
            </w:tcBorders>
            <w:vAlign w:val="center"/>
          </w:tcPr>
          <w:p w14:paraId="42AFDBFC">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rPr>
              <w:t>1</w:t>
            </w:r>
          </w:p>
        </w:tc>
        <w:tc>
          <w:tcPr>
            <w:tcW w:w="4427" w:type="dxa"/>
            <w:tcBorders>
              <w:top w:val="single" w:color="auto" w:sz="4" w:space="0"/>
              <w:left w:val="single" w:color="auto" w:sz="4" w:space="0"/>
              <w:bottom w:val="single" w:color="auto" w:sz="4" w:space="0"/>
              <w:right w:val="single" w:color="auto" w:sz="4" w:space="0"/>
            </w:tcBorders>
            <w:vAlign w:val="center"/>
          </w:tcPr>
          <w:p w14:paraId="3C3E2227">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具有建筑施工安全专业注册安全工程师执业资格（须在有效期内）</w:t>
            </w:r>
          </w:p>
        </w:tc>
        <w:tc>
          <w:tcPr>
            <w:tcW w:w="2447" w:type="dxa"/>
            <w:tcBorders>
              <w:top w:val="single" w:color="auto" w:sz="4" w:space="0"/>
              <w:left w:val="single" w:color="auto" w:sz="4" w:space="0"/>
              <w:bottom w:val="single" w:color="auto" w:sz="4" w:space="0"/>
              <w:right w:val="single" w:color="auto" w:sz="4" w:space="0"/>
            </w:tcBorders>
            <w:vAlign w:val="center"/>
          </w:tcPr>
          <w:p w14:paraId="6F1E2D77">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须提供安全工程师执业资格证书、“中华人民共和国应急管理部”（https://zwfw.mem.gov.cn/zwthlw/pages/hlwmh/yyfw/zcaqgcscx/index.html）查询结果截图</w:t>
            </w:r>
          </w:p>
        </w:tc>
      </w:tr>
      <w:tr w14:paraId="5EB5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6BBE6632">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装修工程师</w:t>
            </w:r>
          </w:p>
        </w:tc>
        <w:tc>
          <w:tcPr>
            <w:tcW w:w="723" w:type="dxa"/>
            <w:tcBorders>
              <w:top w:val="single" w:color="auto" w:sz="4" w:space="0"/>
              <w:left w:val="single" w:color="auto" w:sz="4" w:space="0"/>
              <w:bottom w:val="single" w:color="auto" w:sz="4" w:space="0"/>
              <w:right w:val="single" w:color="auto" w:sz="4" w:space="0"/>
            </w:tcBorders>
            <w:vAlign w:val="center"/>
          </w:tcPr>
          <w:p w14:paraId="3F7B75ED">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rPr>
              <w:t>3</w:t>
            </w:r>
          </w:p>
        </w:tc>
        <w:tc>
          <w:tcPr>
            <w:tcW w:w="4427" w:type="dxa"/>
            <w:tcBorders>
              <w:top w:val="single" w:color="auto" w:sz="4" w:space="0"/>
              <w:left w:val="single" w:color="auto" w:sz="4" w:space="0"/>
              <w:bottom w:val="single" w:color="auto" w:sz="4" w:space="0"/>
              <w:right w:val="single" w:color="auto" w:sz="4" w:space="0"/>
            </w:tcBorders>
            <w:vAlign w:val="center"/>
          </w:tcPr>
          <w:p w14:paraId="7A8E88C9">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具有建筑装饰施工</w:t>
            </w:r>
            <w:r>
              <w:rPr>
                <w:rFonts w:hint="eastAsia" w:ascii="宋体" w:hAnsi="宋体"/>
                <w:color w:val="auto"/>
                <w:szCs w:val="21"/>
                <w:lang w:val="en-US" w:eastAsia="zh-CN"/>
              </w:rPr>
              <w:t>相关</w:t>
            </w:r>
            <w:r>
              <w:rPr>
                <w:rFonts w:hint="eastAsia" w:ascii="宋体" w:hAnsi="宋体" w:cs="宋体"/>
                <w:color w:val="auto"/>
                <w:kern w:val="0"/>
                <w:szCs w:val="21"/>
              </w:rPr>
              <w:t>专业工程师(或以上) 技术职称。</w:t>
            </w:r>
          </w:p>
        </w:tc>
        <w:tc>
          <w:tcPr>
            <w:tcW w:w="2447" w:type="dxa"/>
            <w:tcBorders>
              <w:top w:val="single" w:color="auto" w:sz="4" w:space="0"/>
              <w:left w:val="single" w:color="auto" w:sz="4" w:space="0"/>
              <w:bottom w:val="single" w:color="auto" w:sz="4" w:space="0"/>
              <w:right w:val="single" w:color="auto" w:sz="4" w:space="0"/>
            </w:tcBorders>
            <w:vAlign w:val="center"/>
          </w:tcPr>
          <w:p w14:paraId="43725A8D">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须提供职称证书</w:t>
            </w:r>
          </w:p>
        </w:tc>
      </w:tr>
      <w:tr w14:paraId="4926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342178B9">
            <w:pPr>
              <w:widowControl/>
              <w:spacing w:line="256" w:lineRule="exact"/>
              <w:ind w:left="-48" w:leftChars="-23"/>
              <w:jc w:val="center"/>
              <w:rPr>
                <w:rFonts w:hint="eastAsia" w:ascii="宋体" w:hAnsi="宋体" w:cs="宋体"/>
                <w:color w:val="auto"/>
                <w:kern w:val="0"/>
                <w:szCs w:val="21"/>
              </w:rPr>
            </w:pPr>
            <w:r>
              <w:rPr>
                <w:rStyle w:val="92"/>
                <w:rFonts w:hint="default"/>
                <w:color w:val="auto"/>
                <w:lang w:bidi="ar"/>
              </w:rPr>
              <w:t>机电工程师</w:t>
            </w:r>
          </w:p>
        </w:tc>
        <w:tc>
          <w:tcPr>
            <w:tcW w:w="723" w:type="dxa"/>
            <w:tcBorders>
              <w:top w:val="single" w:color="auto" w:sz="4" w:space="0"/>
              <w:left w:val="single" w:color="auto" w:sz="4" w:space="0"/>
              <w:bottom w:val="single" w:color="auto" w:sz="4" w:space="0"/>
              <w:right w:val="single" w:color="auto" w:sz="4" w:space="0"/>
            </w:tcBorders>
            <w:vAlign w:val="center"/>
          </w:tcPr>
          <w:p w14:paraId="6181B904">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lang w:bidi="ar"/>
              </w:rPr>
              <w:t>1</w:t>
            </w:r>
          </w:p>
        </w:tc>
        <w:tc>
          <w:tcPr>
            <w:tcW w:w="4427" w:type="dxa"/>
            <w:tcBorders>
              <w:top w:val="single" w:color="auto" w:sz="4" w:space="0"/>
              <w:left w:val="single" w:color="auto" w:sz="4" w:space="0"/>
              <w:bottom w:val="single" w:color="auto" w:sz="4" w:space="0"/>
              <w:right w:val="single" w:color="auto" w:sz="4" w:space="0"/>
            </w:tcBorders>
          </w:tcPr>
          <w:p w14:paraId="4D61C425">
            <w:pPr>
              <w:widowControl/>
              <w:spacing w:before="79" w:beforeLines="25" w:after="79" w:afterLines="25" w:line="256" w:lineRule="exact"/>
              <w:rPr>
                <w:rFonts w:hint="eastAsia" w:ascii="宋体" w:hAnsi="宋体" w:cs="宋体"/>
                <w:color w:val="auto"/>
                <w:kern w:val="0"/>
                <w:szCs w:val="21"/>
              </w:rPr>
            </w:pPr>
            <w:r>
              <w:rPr>
                <w:rFonts w:ascii="宋体" w:hAnsi="宋体" w:cs="宋体"/>
                <w:color w:val="auto"/>
                <w:kern w:val="0"/>
                <w:szCs w:val="21"/>
              </w:rPr>
              <w:t>具有建筑机电设备安装</w:t>
            </w:r>
            <w:r>
              <w:rPr>
                <w:rFonts w:hint="eastAsia" w:ascii="宋体" w:hAnsi="宋体"/>
                <w:color w:val="auto"/>
                <w:szCs w:val="21"/>
                <w:lang w:val="en-US" w:eastAsia="zh-CN"/>
              </w:rPr>
              <w:t>相关</w:t>
            </w:r>
            <w:r>
              <w:rPr>
                <w:rFonts w:ascii="宋体" w:hAnsi="宋体" w:cs="宋体"/>
                <w:color w:val="auto"/>
                <w:kern w:val="0"/>
                <w:szCs w:val="21"/>
              </w:rPr>
              <w:t>专业工程师</w:t>
            </w:r>
            <w:r>
              <w:rPr>
                <w:rFonts w:hint="eastAsia" w:ascii="宋体" w:hAnsi="宋体" w:cs="宋体"/>
                <w:color w:val="auto"/>
                <w:kern w:val="0"/>
                <w:szCs w:val="21"/>
              </w:rPr>
              <w:t>(或以上) 技术</w:t>
            </w:r>
            <w:r>
              <w:rPr>
                <w:rFonts w:ascii="宋体" w:hAnsi="宋体" w:cs="宋体"/>
                <w:color w:val="auto"/>
                <w:kern w:val="0"/>
                <w:szCs w:val="21"/>
              </w:rPr>
              <w:t>职称。</w:t>
            </w:r>
          </w:p>
        </w:tc>
        <w:tc>
          <w:tcPr>
            <w:tcW w:w="2447" w:type="dxa"/>
            <w:tcBorders>
              <w:top w:val="single" w:color="auto" w:sz="4" w:space="0"/>
              <w:left w:val="single" w:color="auto" w:sz="4" w:space="0"/>
              <w:bottom w:val="single" w:color="auto" w:sz="4" w:space="0"/>
              <w:right w:val="single" w:color="auto" w:sz="4" w:space="0"/>
            </w:tcBorders>
            <w:vAlign w:val="center"/>
          </w:tcPr>
          <w:p w14:paraId="783D6733">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须提供职称证书</w:t>
            </w:r>
          </w:p>
        </w:tc>
      </w:tr>
      <w:tr w14:paraId="0DB9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2D6085A7">
            <w:pPr>
              <w:widowControl/>
              <w:spacing w:line="256" w:lineRule="exact"/>
              <w:ind w:left="-48" w:leftChars="-23"/>
              <w:jc w:val="center"/>
              <w:rPr>
                <w:rStyle w:val="92"/>
                <w:rFonts w:hint="default"/>
                <w:color w:val="auto"/>
                <w:lang w:bidi="ar"/>
              </w:rPr>
            </w:pPr>
            <w:r>
              <w:rPr>
                <w:rStyle w:val="92"/>
                <w:rFonts w:hint="default"/>
                <w:color w:val="auto"/>
                <w:lang w:bidi="ar"/>
              </w:rPr>
              <w:t>暖通工程师</w:t>
            </w:r>
          </w:p>
        </w:tc>
        <w:tc>
          <w:tcPr>
            <w:tcW w:w="723" w:type="dxa"/>
            <w:tcBorders>
              <w:top w:val="single" w:color="auto" w:sz="4" w:space="0"/>
              <w:left w:val="single" w:color="auto" w:sz="4" w:space="0"/>
              <w:bottom w:val="single" w:color="auto" w:sz="4" w:space="0"/>
              <w:right w:val="single" w:color="auto" w:sz="4" w:space="0"/>
            </w:tcBorders>
            <w:vAlign w:val="center"/>
          </w:tcPr>
          <w:p w14:paraId="132F8FDC">
            <w:pPr>
              <w:widowControl/>
              <w:spacing w:line="256" w:lineRule="exact"/>
              <w:ind w:left="-44" w:leftChars="-21"/>
              <w:jc w:val="center"/>
              <w:rPr>
                <w:rFonts w:hint="eastAsia" w:ascii="宋体" w:hAnsi="宋体" w:cs="宋体" w:eastAsiaTheme="minorEastAsia"/>
                <w:color w:val="auto"/>
                <w:kern w:val="0"/>
                <w:szCs w:val="21"/>
                <w:lang w:bidi="ar"/>
              </w:rPr>
            </w:pPr>
            <w:r>
              <w:rPr>
                <w:rFonts w:hint="eastAsia" w:ascii="宋体" w:hAnsi="宋体" w:cs="宋体"/>
                <w:color w:val="auto"/>
                <w:kern w:val="0"/>
                <w:szCs w:val="21"/>
                <w:lang w:bidi="ar"/>
              </w:rPr>
              <w:t>1</w:t>
            </w:r>
          </w:p>
        </w:tc>
        <w:tc>
          <w:tcPr>
            <w:tcW w:w="4427" w:type="dxa"/>
            <w:tcBorders>
              <w:top w:val="single" w:color="auto" w:sz="4" w:space="0"/>
              <w:left w:val="single" w:color="auto" w:sz="4" w:space="0"/>
              <w:bottom w:val="single" w:color="auto" w:sz="4" w:space="0"/>
              <w:right w:val="single" w:color="auto" w:sz="4" w:space="0"/>
            </w:tcBorders>
            <w:vAlign w:val="center"/>
          </w:tcPr>
          <w:p w14:paraId="3FA6537A">
            <w:pPr>
              <w:widowControl/>
              <w:spacing w:before="79" w:beforeLines="25" w:after="79" w:afterLines="25" w:line="256" w:lineRule="exact"/>
              <w:rPr>
                <w:rFonts w:hint="eastAsia" w:ascii="宋体" w:hAnsi="宋体" w:cs="宋体"/>
                <w:color w:val="auto"/>
                <w:kern w:val="0"/>
                <w:szCs w:val="21"/>
              </w:rPr>
            </w:pPr>
            <w:r>
              <w:rPr>
                <w:rFonts w:ascii="宋体" w:hAnsi="宋体" w:cs="宋体"/>
                <w:color w:val="auto"/>
                <w:kern w:val="0"/>
                <w:szCs w:val="21"/>
              </w:rPr>
              <w:t>具有暖通</w:t>
            </w:r>
            <w:r>
              <w:rPr>
                <w:rFonts w:hint="eastAsia" w:ascii="宋体" w:hAnsi="宋体"/>
                <w:color w:val="auto"/>
                <w:szCs w:val="21"/>
                <w:lang w:val="en-US" w:eastAsia="zh-CN"/>
              </w:rPr>
              <w:t>相关</w:t>
            </w:r>
            <w:r>
              <w:rPr>
                <w:rFonts w:ascii="宋体" w:hAnsi="宋体" w:cs="宋体"/>
                <w:color w:val="auto"/>
                <w:kern w:val="0"/>
                <w:szCs w:val="21"/>
              </w:rPr>
              <w:t>专业工程师</w:t>
            </w:r>
            <w:r>
              <w:rPr>
                <w:rFonts w:hint="eastAsia" w:ascii="宋体" w:hAnsi="宋体" w:cs="宋体"/>
                <w:color w:val="auto"/>
                <w:kern w:val="0"/>
                <w:szCs w:val="21"/>
              </w:rPr>
              <w:t>(或以上)技术</w:t>
            </w:r>
            <w:r>
              <w:rPr>
                <w:rFonts w:ascii="宋体" w:hAnsi="宋体" w:cs="宋体"/>
                <w:color w:val="auto"/>
                <w:kern w:val="0"/>
                <w:szCs w:val="21"/>
              </w:rPr>
              <w:t>职称。</w:t>
            </w:r>
          </w:p>
        </w:tc>
        <w:tc>
          <w:tcPr>
            <w:tcW w:w="2447" w:type="dxa"/>
            <w:tcBorders>
              <w:top w:val="single" w:color="auto" w:sz="4" w:space="0"/>
              <w:left w:val="single" w:color="auto" w:sz="4" w:space="0"/>
              <w:bottom w:val="single" w:color="auto" w:sz="4" w:space="0"/>
              <w:right w:val="single" w:color="auto" w:sz="4" w:space="0"/>
            </w:tcBorders>
            <w:vAlign w:val="center"/>
          </w:tcPr>
          <w:p w14:paraId="184AFC7C">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须提供职称证书</w:t>
            </w:r>
          </w:p>
        </w:tc>
      </w:tr>
      <w:tr w14:paraId="2723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0C106949">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给排水工程师</w:t>
            </w:r>
          </w:p>
        </w:tc>
        <w:tc>
          <w:tcPr>
            <w:tcW w:w="723" w:type="dxa"/>
            <w:tcBorders>
              <w:top w:val="single" w:color="auto" w:sz="4" w:space="0"/>
              <w:left w:val="single" w:color="auto" w:sz="4" w:space="0"/>
              <w:bottom w:val="single" w:color="auto" w:sz="4" w:space="0"/>
              <w:right w:val="single" w:color="auto" w:sz="4" w:space="0"/>
            </w:tcBorders>
            <w:vAlign w:val="center"/>
          </w:tcPr>
          <w:p w14:paraId="37CC5068">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rPr>
              <w:t>1</w:t>
            </w:r>
          </w:p>
        </w:tc>
        <w:tc>
          <w:tcPr>
            <w:tcW w:w="4427" w:type="dxa"/>
            <w:tcBorders>
              <w:top w:val="single" w:color="auto" w:sz="4" w:space="0"/>
              <w:left w:val="single" w:color="auto" w:sz="4" w:space="0"/>
              <w:bottom w:val="single" w:color="auto" w:sz="4" w:space="0"/>
              <w:right w:val="single" w:color="auto" w:sz="4" w:space="0"/>
            </w:tcBorders>
            <w:vAlign w:val="center"/>
          </w:tcPr>
          <w:p w14:paraId="1DDD1478">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具有给排水</w:t>
            </w:r>
            <w:r>
              <w:rPr>
                <w:rFonts w:hint="eastAsia" w:ascii="宋体" w:hAnsi="宋体"/>
                <w:color w:val="auto"/>
                <w:szCs w:val="21"/>
                <w:lang w:val="en-US" w:eastAsia="zh-CN"/>
              </w:rPr>
              <w:t>相关</w:t>
            </w:r>
            <w:r>
              <w:rPr>
                <w:rFonts w:hint="eastAsia" w:ascii="宋体" w:hAnsi="宋体"/>
                <w:color w:val="auto"/>
                <w:szCs w:val="21"/>
              </w:rPr>
              <w:t>专业</w:t>
            </w:r>
            <w:r>
              <w:rPr>
                <w:rFonts w:hint="eastAsia" w:ascii="宋体" w:hAnsi="宋体" w:cs="宋体"/>
                <w:color w:val="auto"/>
                <w:kern w:val="0"/>
                <w:szCs w:val="21"/>
              </w:rPr>
              <w:t>工程师(或以上)技术职称。</w:t>
            </w:r>
          </w:p>
        </w:tc>
        <w:tc>
          <w:tcPr>
            <w:tcW w:w="2447" w:type="dxa"/>
            <w:tcBorders>
              <w:top w:val="single" w:color="auto" w:sz="4" w:space="0"/>
              <w:left w:val="single" w:color="auto" w:sz="4" w:space="0"/>
              <w:bottom w:val="single" w:color="auto" w:sz="4" w:space="0"/>
              <w:right w:val="single" w:color="auto" w:sz="4" w:space="0"/>
            </w:tcBorders>
            <w:vAlign w:val="center"/>
          </w:tcPr>
          <w:p w14:paraId="349A75F0">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须提供职称证书</w:t>
            </w:r>
          </w:p>
        </w:tc>
      </w:tr>
      <w:tr w14:paraId="064F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5914AA93">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材料工程师</w:t>
            </w:r>
          </w:p>
        </w:tc>
        <w:tc>
          <w:tcPr>
            <w:tcW w:w="723" w:type="dxa"/>
            <w:tcBorders>
              <w:top w:val="single" w:color="auto" w:sz="4" w:space="0"/>
              <w:left w:val="single" w:color="auto" w:sz="4" w:space="0"/>
              <w:bottom w:val="single" w:color="auto" w:sz="4" w:space="0"/>
              <w:right w:val="single" w:color="auto" w:sz="4" w:space="0"/>
            </w:tcBorders>
            <w:vAlign w:val="center"/>
          </w:tcPr>
          <w:p w14:paraId="5DF31464">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rPr>
              <w:t>1</w:t>
            </w:r>
          </w:p>
        </w:tc>
        <w:tc>
          <w:tcPr>
            <w:tcW w:w="4427" w:type="dxa"/>
            <w:tcBorders>
              <w:top w:val="single" w:color="auto" w:sz="4" w:space="0"/>
              <w:left w:val="single" w:color="auto" w:sz="4" w:space="0"/>
              <w:bottom w:val="single" w:color="auto" w:sz="4" w:space="0"/>
              <w:right w:val="single" w:color="auto" w:sz="4" w:space="0"/>
            </w:tcBorders>
            <w:vAlign w:val="center"/>
          </w:tcPr>
          <w:p w14:paraId="3DC427DA">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具有建筑材料</w:t>
            </w:r>
            <w:r>
              <w:rPr>
                <w:rFonts w:hint="eastAsia" w:ascii="宋体" w:hAnsi="宋体"/>
                <w:color w:val="auto"/>
                <w:szCs w:val="21"/>
                <w:lang w:val="en-US" w:eastAsia="zh-CN"/>
              </w:rPr>
              <w:t>相关</w:t>
            </w:r>
            <w:r>
              <w:rPr>
                <w:rFonts w:hint="eastAsia" w:ascii="宋体" w:hAnsi="宋体"/>
                <w:color w:val="auto"/>
                <w:szCs w:val="21"/>
              </w:rPr>
              <w:t>专业</w:t>
            </w:r>
            <w:r>
              <w:rPr>
                <w:rFonts w:hint="eastAsia" w:ascii="宋体" w:hAnsi="宋体" w:cs="宋体"/>
                <w:color w:val="auto"/>
                <w:kern w:val="0"/>
                <w:szCs w:val="21"/>
              </w:rPr>
              <w:t>工程师(或以上)技术职称。</w:t>
            </w:r>
          </w:p>
        </w:tc>
        <w:tc>
          <w:tcPr>
            <w:tcW w:w="2447" w:type="dxa"/>
            <w:tcBorders>
              <w:top w:val="single" w:color="auto" w:sz="4" w:space="0"/>
              <w:left w:val="single" w:color="auto" w:sz="4" w:space="0"/>
              <w:bottom w:val="single" w:color="auto" w:sz="4" w:space="0"/>
              <w:right w:val="single" w:color="auto" w:sz="4" w:space="0"/>
            </w:tcBorders>
            <w:vAlign w:val="center"/>
          </w:tcPr>
          <w:p w14:paraId="707A1F46">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须提供职称证书</w:t>
            </w:r>
          </w:p>
        </w:tc>
      </w:tr>
      <w:tr w14:paraId="5C52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23" w:type="dxa"/>
            <w:tcBorders>
              <w:top w:val="single" w:color="auto" w:sz="4" w:space="0"/>
              <w:left w:val="single" w:color="auto" w:sz="4" w:space="0"/>
              <w:bottom w:val="single" w:color="auto" w:sz="4" w:space="0"/>
              <w:right w:val="single" w:color="auto" w:sz="4" w:space="0"/>
            </w:tcBorders>
            <w:vAlign w:val="center"/>
          </w:tcPr>
          <w:p w14:paraId="67F0C03F">
            <w:pPr>
              <w:widowControl/>
              <w:spacing w:line="256" w:lineRule="exact"/>
              <w:ind w:left="-48" w:leftChars="-23"/>
              <w:jc w:val="center"/>
              <w:rPr>
                <w:rFonts w:hint="eastAsia" w:ascii="宋体" w:hAnsi="宋体" w:cs="宋体"/>
                <w:color w:val="auto"/>
                <w:kern w:val="0"/>
                <w:szCs w:val="21"/>
              </w:rPr>
            </w:pPr>
            <w:r>
              <w:rPr>
                <w:rFonts w:hint="eastAsia" w:ascii="宋体" w:hAnsi="宋体" w:cs="宋体"/>
                <w:color w:val="auto"/>
                <w:kern w:val="0"/>
                <w:szCs w:val="21"/>
              </w:rPr>
              <w:t>专职安全员</w:t>
            </w:r>
          </w:p>
        </w:tc>
        <w:tc>
          <w:tcPr>
            <w:tcW w:w="723" w:type="dxa"/>
            <w:tcBorders>
              <w:top w:val="single" w:color="auto" w:sz="4" w:space="0"/>
              <w:left w:val="single" w:color="auto" w:sz="4" w:space="0"/>
              <w:bottom w:val="single" w:color="auto" w:sz="4" w:space="0"/>
              <w:right w:val="single" w:color="auto" w:sz="4" w:space="0"/>
            </w:tcBorders>
            <w:vAlign w:val="center"/>
          </w:tcPr>
          <w:p w14:paraId="355AD626">
            <w:pPr>
              <w:widowControl/>
              <w:spacing w:line="256" w:lineRule="exact"/>
              <w:ind w:left="-44" w:leftChars="-21"/>
              <w:jc w:val="center"/>
              <w:rPr>
                <w:rFonts w:hint="eastAsia" w:ascii="宋体" w:hAnsi="宋体" w:cs="宋体"/>
                <w:color w:val="auto"/>
                <w:kern w:val="0"/>
                <w:szCs w:val="21"/>
              </w:rPr>
            </w:pPr>
            <w:r>
              <w:rPr>
                <w:rFonts w:hint="eastAsia" w:ascii="宋体" w:hAnsi="宋体" w:cs="宋体"/>
                <w:color w:val="auto"/>
                <w:kern w:val="0"/>
                <w:szCs w:val="21"/>
              </w:rPr>
              <w:t>1</w:t>
            </w:r>
          </w:p>
        </w:tc>
        <w:tc>
          <w:tcPr>
            <w:tcW w:w="4427" w:type="dxa"/>
            <w:tcBorders>
              <w:top w:val="single" w:color="auto" w:sz="4" w:space="0"/>
              <w:left w:val="single" w:color="auto" w:sz="4" w:space="0"/>
              <w:bottom w:val="single" w:color="auto" w:sz="4" w:space="0"/>
              <w:right w:val="single" w:color="auto" w:sz="4" w:space="0"/>
            </w:tcBorders>
            <w:vAlign w:val="center"/>
          </w:tcPr>
          <w:p w14:paraId="5FA09C2D">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按招标公告要求</w:t>
            </w:r>
          </w:p>
        </w:tc>
        <w:tc>
          <w:tcPr>
            <w:tcW w:w="2447" w:type="dxa"/>
            <w:tcBorders>
              <w:top w:val="single" w:color="auto" w:sz="4" w:space="0"/>
              <w:left w:val="single" w:color="auto" w:sz="4" w:space="0"/>
              <w:bottom w:val="single" w:color="auto" w:sz="4" w:space="0"/>
              <w:right w:val="single" w:color="auto" w:sz="4" w:space="0"/>
            </w:tcBorders>
            <w:vAlign w:val="center"/>
          </w:tcPr>
          <w:p w14:paraId="776B0A82">
            <w:pPr>
              <w:widowControl/>
              <w:spacing w:before="79" w:beforeLines="25" w:after="79" w:afterLines="25" w:line="256" w:lineRule="exact"/>
              <w:rPr>
                <w:rFonts w:hint="eastAsia" w:ascii="宋体" w:hAnsi="宋体" w:cs="宋体"/>
                <w:color w:val="auto"/>
                <w:kern w:val="0"/>
                <w:szCs w:val="21"/>
              </w:rPr>
            </w:pPr>
            <w:r>
              <w:rPr>
                <w:rFonts w:hint="eastAsia" w:ascii="宋体" w:hAnsi="宋体" w:cs="宋体"/>
                <w:color w:val="auto"/>
                <w:kern w:val="0"/>
                <w:szCs w:val="21"/>
              </w:rPr>
              <w:t>须按招标公告要求提供资料</w:t>
            </w:r>
          </w:p>
        </w:tc>
      </w:tr>
    </w:tbl>
    <w:p w14:paraId="45FA9B62">
      <w:pPr>
        <w:snapToGrid w:val="0"/>
        <w:spacing w:line="360" w:lineRule="auto"/>
        <w:rPr>
          <w:rFonts w:hint="eastAsia" w:ascii="宋体" w:hAnsi="宋体" w:cs="宋体"/>
          <w:color w:val="auto"/>
          <w:kern w:val="0"/>
          <w:szCs w:val="21"/>
        </w:rPr>
      </w:pPr>
    </w:p>
    <w:p w14:paraId="5C071E09">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注：1、所有人员必须按要求提供相应证明材料和在本投标人（不含投标人的子公司或母公司人员，含分公司）2024年1</w:t>
      </w:r>
      <w:r>
        <w:rPr>
          <w:rFonts w:ascii="宋体" w:hAnsi="宋体" w:cs="宋体"/>
          <w:color w:val="auto"/>
          <w:kern w:val="0"/>
          <w:szCs w:val="21"/>
        </w:rPr>
        <w:t>1</w:t>
      </w:r>
      <w:r>
        <w:rPr>
          <w:rFonts w:hint="eastAsia" w:ascii="宋体" w:hAnsi="宋体" w:cs="宋体"/>
          <w:color w:val="auto"/>
          <w:kern w:val="0"/>
          <w:szCs w:val="21"/>
        </w:rPr>
        <w:t>月由社保行政主管部门出具的社保证明资料。</w:t>
      </w:r>
    </w:p>
    <w:p w14:paraId="2B340721">
      <w:pPr>
        <w:snapToGrid w:val="0"/>
        <w:spacing w:line="360" w:lineRule="auto"/>
        <w:rPr>
          <w:rFonts w:hint="eastAsia" w:ascii="宋体" w:hAnsi="宋体" w:cs="宋体"/>
          <w:color w:val="auto"/>
          <w:kern w:val="0"/>
          <w:szCs w:val="21"/>
        </w:rPr>
      </w:pPr>
      <w:r>
        <w:rPr>
          <w:rFonts w:hint="eastAsia" w:ascii="宋体" w:hAnsi="宋体" w:cs="宋体"/>
          <w:color w:val="auto"/>
          <w:kern w:val="0"/>
          <w:szCs w:val="21"/>
        </w:rPr>
        <w:t>2、上表中有少一人或有任一人员不满足对应“基本要求”或未按对应备注要求提供的齐全且有效的材料的，均视为不满足《投标人投入主要人员基本要求表》。</w:t>
      </w:r>
    </w:p>
    <w:p w14:paraId="6CA2B12B">
      <w:pPr>
        <w:spacing w:line="320" w:lineRule="exact"/>
        <w:rPr>
          <w:rFonts w:hint="eastAsia" w:ascii="宋体" w:hAnsi="宋体"/>
          <w:color w:val="auto"/>
        </w:rPr>
        <w:sectPr>
          <w:footerReference r:id="rId5" w:type="default"/>
          <w:pgSz w:w="11906" w:h="16838"/>
          <w:pgMar w:top="1440" w:right="1417" w:bottom="1440" w:left="1417" w:header="851" w:footer="992" w:gutter="0"/>
          <w:cols w:space="720" w:num="1"/>
          <w:docGrid w:type="lines" w:linePitch="317" w:charSpace="0"/>
        </w:sectPr>
      </w:pPr>
    </w:p>
    <w:p w14:paraId="28E02188">
      <w:pPr>
        <w:spacing w:line="360" w:lineRule="auto"/>
        <w:outlineLvl w:val="1"/>
        <w:rPr>
          <w:rFonts w:hint="eastAsia" w:ascii="宋体" w:hAnsi="宋体" w:cs="宋体"/>
          <w:color w:val="auto"/>
        </w:rPr>
      </w:pPr>
      <w:bookmarkStart w:id="442" w:name="_Toc152042377"/>
      <w:bookmarkStart w:id="443" w:name="_Toc25110"/>
      <w:bookmarkStart w:id="444" w:name="_Toc247527625"/>
      <w:bookmarkStart w:id="445" w:name="_Toc152045600"/>
      <w:bookmarkStart w:id="446" w:name="_Toc144974567"/>
      <w:bookmarkStart w:id="447" w:name="_Toc28120"/>
      <w:bookmarkStart w:id="448" w:name="_Toc247514024"/>
      <w:r>
        <w:rPr>
          <w:rFonts w:hint="eastAsia" w:ascii="宋体" w:hAnsi="宋体" w:cs="宋体"/>
          <w:b/>
          <w:bCs/>
          <w:color w:val="auto"/>
          <w:sz w:val="32"/>
          <w:szCs w:val="32"/>
        </w:rPr>
        <w:t>1. 评标方法</w:t>
      </w:r>
      <w:bookmarkEnd w:id="442"/>
      <w:bookmarkEnd w:id="443"/>
      <w:bookmarkEnd w:id="444"/>
      <w:bookmarkEnd w:id="445"/>
      <w:bookmarkEnd w:id="446"/>
      <w:bookmarkEnd w:id="447"/>
      <w:bookmarkEnd w:id="448"/>
    </w:p>
    <w:p w14:paraId="4C1D4CBE">
      <w:pPr>
        <w:spacing w:line="360" w:lineRule="auto"/>
        <w:ind w:firstLine="420" w:firstLineChars="200"/>
        <w:rPr>
          <w:rFonts w:hint="eastAsia" w:ascii="宋体" w:hAnsi="宋体" w:cs="宋体"/>
          <w:color w:val="auto"/>
          <w:u w:val="single"/>
        </w:rPr>
      </w:pPr>
      <w:bookmarkStart w:id="449" w:name="_Toc247514025"/>
      <w:bookmarkStart w:id="450" w:name="_Toc29422"/>
      <w:bookmarkStart w:id="451" w:name="_Toc152042378"/>
      <w:bookmarkStart w:id="452" w:name="_Toc152045601"/>
      <w:bookmarkStart w:id="453" w:name="_Toc247527626"/>
      <w:bookmarkStart w:id="454" w:name="_Toc144974568"/>
      <w:r>
        <w:rPr>
          <w:rFonts w:hint="eastAsia" w:ascii="宋体" w:hAnsi="宋体" w:cs="宋体"/>
          <w:color w:val="auto"/>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w:t>
      </w:r>
      <w:r>
        <w:rPr>
          <w:rFonts w:hint="eastAsia" w:ascii="宋体" w:hAnsi="宋体" w:cs="宋体"/>
          <w:color w:val="auto"/>
          <w:u w:val="single"/>
        </w:rPr>
        <w:t>总分相同的，以工程承包实施方案评审得分较高的排前；总分与工程承包实施方案评审得分均相同的投标文件，以投标报价得分高的排前；如仍存在相同情况，则对具有相同情况的投标人，按中标候选人数量规定，则由评标委员会采用记名投票以得票多优先，确定中标候选人的排序。评标委员会应按排序先后，向招标人推荐前3名投标人依次为第一中标候选人至第三中标候选人，并编写评标报告</w:t>
      </w:r>
      <w:r>
        <w:rPr>
          <w:rFonts w:hint="eastAsia" w:ascii="宋体" w:hAnsi="宋体" w:cs="宋体"/>
          <w:color w:val="auto"/>
        </w:rPr>
        <w:t>。</w:t>
      </w:r>
    </w:p>
    <w:p w14:paraId="533B9923">
      <w:pPr>
        <w:pStyle w:val="3"/>
        <w:spacing w:line="360" w:lineRule="auto"/>
        <w:rPr>
          <w:rFonts w:hint="eastAsia" w:ascii="宋体" w:hAnsi="宋体" w:eastAsia="宋体" w:cs="宋体"/>
          <w:color w:val="auto"/>
        </w:rPr>
      </w:pPr>
      <w:bookmarkStart w:id="455" w:name="_Toc27267"/>
      <w:bookmarkStart w:id="456" w:name="_Toc27247"/>
      <w:r>
        <w:rPr>
          <w:rFonts w:hint="eastAsia" w:ascii="宋体" w:hAnsi="宋体" w:eastAsia="宋体" w:cs="宋体"/>
          <w:color w:val="auto"/>
        </w:rPr>
        <w:t>2. 评审标准</w:t>
      </w:r>
      <w:bookmarkEnd w:id="449"/>
      <w:bookmarkEnd w:id="450"/>
      <w:bookmarkEnd w:id="451"/>
      <w:bookmarkEnd w:id="452"/>
      <w:bookmarkEnd w:id="453"/>
      <w:bookmarkEnd w:id="454"/>
      <w:bookmarkEnd w:id="455"/>
      <w:bookmarkEnd w:id="456"/>
    </w:p>
    <w:p w14:paraId="56E3AF50">
      <w:pPr>
        <w:pStyle w:val="4"/>
        <w:spacing w:line="360" w:lineRule="auto"/>
        <w:rPr>
          <w:rFonts w:hint="eastAsia" w:ascii="宋体" w:eastAsia="宋体" w:cs="宋体"/>
          <w:color w:val="auto"/>
        </w:rPr>
      </w:pPr>
      <w:bookmarkStart w:id="457" w:name="_Toc20319"/>
      <w:bookmarkStart w:id="458" w:name="_Toc247514026"/>
      <w:bookmarkStart w:id="459" w:name="_Toc152045602"/>
      <w:bookmarkStart w:id="460" w:name="_Toc247527627"/>
      <w:bookmarkStart w:id="461" w:name="_Toc144974569"/>
      <w:bookmarkStart w:id="462" w:name="_Toc152042379"/>
      <w:bookmarkStart w:id="463" w:name="_Toc3043"/>
      <w:bookmarkStart w:id="464" w:name="_Toc20272"/>
      <w:bookmarkStart w:id="465" w:name="_Toc20046"/>
      <w:r>
        <w:rPr>
          <w:rFonts w:hint="eastAsia" w:ascii="宋体" w:eastAsia="宋体" w:cs="宋体"/>
          <w:color w:val="auto"/>
        </w:rPr>
        <w:t>2.1 初步评审标准</w:t>
      </w:r>
      <w:bookmarkEnd w:id="457"/>
      <w:bookmarkEnd w:id="458"/>
      <w:bookmarkEnd w:id="459"/>
      <w:bookmarkEnd w:id="460"/>
      <w:bookmarkEnd w:id="461"/>
      <w:bookmarkEnd w:id="462"/>
      <w:bookmarkEnd w:id="463"/>
      <w:bookmarkEnd w:id="464"/>
      <w:bookmarkEnd w:id="465"/>
    </w:p>
    <w:p w14:paraId="64C8D941">
      <w:pPr>
        <w:spacing w:line="360" w:lineRule="auto"/>
        <w:ind w:firstLine="420" w:firstLineChars="200"/>
        <w:rPr>
          <w:rFonts w:hint="eastAsia" w:ascii="宋体" w:hAnsi="宋体" w:cs="宋体"/>
          <w:color w:val="auto"/>
        </w:rPr>
      </w:pPr>
      <w:r>
        <w:rPr>
          <w:rFonts w:hint="eastAsia" w:ascii="宋体" w:hAnsi="宋体" w:cs="宋体"/>
          <w:color w:val="auto"/>
        </w:rPr>
        <w:t>2.1.1 形式评审标准：见评标办法前附表。</w:t>
      </w:r>
    </w:p>
    <w:p w14:paraId="29638358">
      <w:pPr>
        <w:spacing w:line="360" w:lineRule="auto"/>
        <w:ind w:firstLine="420" w:firstLineChars="200"/>
        <w:rPr>
          <w:rFonts w:hint="eastAsia" w:ascii="宋体" w:hAnsi="宋体" w:cs="宋体"/>
          <w:color w:val="auto"/>
        </w:rPr>
      </w:pPr>
      <w:r>
        <w:rPr>
          <w:rFonts w:hint="eastAsia" w:ascii="宋体" w:hAnsi="宋体" w:cs="宋体"/>
          <w:color w:val="auto"/>
        </w:rPr>
        <w:t>2.1.2 资格评审标准：见评标办法前附表。</w:t>
      </w:r>
    </w:p>
    <w:p w14:paraId="00A3D992">
      <w:pPr>
        <w:spacing w:line="360" w:lineRule="auto"/>
        <w:ind w:firstLine="420" w:firstLineChars="200"/>
        <w:rPr>
          <w:rFonts w:hint="eastAsia" w:ascii="新宋体" w:hAnsi="新宋体" w:eastAsia="新宋体" w:cs="新宋体"/>
          <w:color w:val="auto"/>
        </w:rPr>
      </w:pPr>
      <w:bookmarkStart w:id="466" w:name="_Toc152042380"/>
      <w:bookmarkStart w:id="467" w:name="_Toc144974570"/>
      <w:bookmarkStart w:id="468" w:name="_Toc247527628"/>
      <w:bookmarkStart w:id="469" w:name="_Toc247514027"/>
      <w:bookmarkStart w:id="470" w:name="_Toc10133"/>
      <w:bookmarkStart w:id="471" w:name="_Toc152045603"/>
      <w:bookmarkStart w:id="472" w:name="_Toc12471"/>
      <w:bookmarkStart w:id="473" w:name="_Toc15561"/>
      <w:r>
        <w:rPr>
          <w:rFonts w:hint="eastAsia" w:ascii="新宋体" w:hAnsi="新宋体" w:eastAsia="新宋体" w:cs="新宋体"/>
          <w:color w:val="auto"/>
        </w:rPr>
        <w:t>2.1.3</w:t>
      </w:r>
      <w:r>
        <w:rPr>
          <w:rFonts w:hint="eastAsia" w:ascii="新宋体" w:hAnsi="新宋体" w:eastAsia="新宋体" w:cs="新宋体"/>
          <w:color w:val="auto"/>
          <w:u w:val="single"/>
        </w:rPr>
        <w:t>设计方案文件响应性评审标准：见评标办法前附表。</w:t>
      </w:r>
    </w:p>
    <w:p w14:paraId="650AE59B">
      <w:pPr>
        <w:spacing w:line="360" w:lineRule="auto"/>
        <w:ind w:firstLine="420" w:firstLineChars="200"/>
        <w:rPr>
          <w:rFonts w:hint="eastAsia" w:ascii="新宋体" w:hAnsi="新宋体" w:eastAsia="新宋体" w:cs="新宋体"/>
          <w:color w:val="auto"/>
        </w:rPr>
      </w:pPr>
      <w:r>
        <w:rPr>
          <w:rFonts w:hint="eastAsia" w:ascii="新宋体" w:hAnsi="新宋体" w:eastAsia="新宋体" w:cs="新宋体"/>
          <w:color w:val="auto"/>
        </w:rPr>
        <w:t>2.1.4</w:t>
      </w:r>
      <w:r>
        <w:rPr>
          <w:rFonts w:hint="eastAsia" w:ascii="宋体" w:hAnsi="宋体" w:cs="宋体"/>
          <w:color w:val="auto"/>
          <w:szCs w:val="21"/>
          <w:u w:val="single"/>
        </w:rPr>
        <w:t>工程承包实施方案</w:t>
      </w:r>
      <w:r>
        <w:rPr>
          <w:rFonts w:hint="eastAsia" w:ascii="新宋体" w:hAnsi="新宋体" w:eastAsia="新宋体" w:cs="新宋体"/>
          <w:color w:val="auto"/>
          <w:u w:val="single"/>
        </w:rPr>
        <w:t>响应性评审标标准：见评标办法前附表</w:t>
      </w:r>
      <w:r>
        <w:rPr>
          <w:rFonts w:hint="eastAsia" w:ascii="新宋体" w:hAnsi="新宋体" w:eastAsia="新宋体" w:cs="新宋体"/>
          <w:color w:val="auto"/>
        </w:rPr>
        <w:t>。</w:t>
      </w:r>
    </w:p>
    <w:p w14:paraId="53B468A6">
      <w:pPr>
        <w:pStyle w:val="4"/>
        <w:spacing w:line="360" w:lineRule="auto"/>
        <w:rPr>
          <w:rFonts w:hint="eastAsia" w:ascii="宋体" w:eastAsia="宋体" w:cs="宋体"/>
          <w:color w:val="auto"/>
        </w:rPr>
      </w:pPr>
      <w:bookmarkStart w:id="474" w:name="_Toc2431"/>
      <w:r>
        <w:rPr>
          <w:rFonts w:hint="eastAsia" w:ascii="宋体" w:eastAsia="宋体" w:cs="宋体"/>
          <w:color w:val="auto"/>
        </w:rPr>
        <w:t>2.2 分值构成与评分标准</w:t>
      </w:r>
      <w:bookmarkEnd w:id="466"/>
      <w:bookmarkEnd w:id="467"/>
      <w:bookmarkEnd w:id="468"/>
      <w:bookmarkEnd w:id="469"/>
      <w:bookmarkEnd w:id="470"/>
      <w:bookmarkEnd w:id="471"/>
      <w:bookmarkEnd w:id="472"/>
      <w:bookmarkEnd w:id="473"/>
      <w:bookmarkEnd w:id="474"/>
    </w:p>
    <w:p w14:paraId="2C31E80E">
      <w:pPr>
        <w:spacing w:line="360" w:lineRule="auto"/>
        <w:ind w:firstLine="420" w:firstLineChars="200"/>
        <w:rPr>
          <w:rFonts w:hint="eastAsia" w:ascii="宋体" w:hAnsi="宋体" w:cs="宋体"/>
          <w:color w:val="auto"/>
        </w:rPr>
      </w:pPr>
      <w:r>
        <w:rPr>
          <w:rFonts w:hint="eastAsia" w:ascii="宋体" w:hAnsi="宋体" w:cs="宋体"/>
          <w:color w:val="auto"/>
        </w:rPr>
        <w:t>2.2.1 分值构成</w:t>
      </w:r>
    </w:p>
    <w:p w14:paraId="166C4C2F">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（1）设计方案：见评标办法前附表；</w:t>
      </w:r>
    </w:p>
    <w:p w14:paraId="6B3FF87A">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（2）工程承包实施方案：见评标办法前附表；</w:t>
      </w:r>
    </w:p>
    <w:p w14:paraId="3CEE4830">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（3）投标报价：见评标办法前附表；</w:t>
      </w:r>
    </w:p>
    <w:p w14:paraId="70A1DE76">
      <w:pPr>
        <w:spacing w:line="360" w:lineRule="auto"/>
        <w:ind w:firstLine="420" w:firstLineChars="200"/>
        <w:rPr>
          <w:rFonts w:hint="eastAsia" w:ascii="宋体" w:hAnsi="宋体" w:cs="宋体"/>
          <w:color w:val="auto"/>
        </w:rPr>
      </w:pPr>
      <w:r>
        <w:rPr>
          <w:rFonts w:hint="eastAsia" w:ascii="宋体" w:hAnsi="宋体" w:cs="宋体"/>
          <w:color w:val="auto"/>
        </w:rPr>
        <w:t>2.2.2 评标基准价计算</w:t>
      </w:r>
    </w:p>
    <w:p w14:paraId="556F47C6">
      <w:pPr>
        <w:spacing w:line="360" w:lineRule="auto"/>
        <w:ind w:firstLine="420" w:firstLineChars="200"/>
        <w:rPr>
          <w:rFonts w:hint="eastAsia" w:ascii="宋体" w:hAnsi="宋体" w:cs="宋体"/>
          <w:color w:val="auto"/>
        </w:rPr>
      </w:pPr>
      <w:r>
        <w:rPr>
          <w:rFonts w:hint="eastAsia" w:ascii="宋体" w:hAnsi="宋体" w:cs="宋体"/>
          <w:color w:val="auto"/>
        </w:rPr>
        <w:t>评标基准价计算方法：见评标办法前附表。</w:t>
      </w:r>
    </w:p>
    <w:p w14:paraId="5985851E">
      <w:pPr>
        <w:spacing w:line="360" w:lineRule="auto"/>
        <w:ind w:firstLine="420" w:firstLineChars="200"/>
        <w:rPr>
          <w:rFonts w:hint="eastAsia" w:ascii="宋体" w:hAnsi="宋体" w:cs="宋体"/>
          <w:color w:val="auto"/>
        </w:rPr>
      </w:pPr>
      <w:r>
        <w:rPr>
          <w:rFonts w:hint="eastAsia" w:ascii="宋体" w:hAnsi="宋体" w:cs="宋体"/>
          <w:color w:val="auto"/>
        </w:rPr>
        <w:t>2.2.3 投标报价的偏差率计算</w:t>
      </w:r>
    </w:p>
    <w:p w14:paraId="05DA60FA">
      <w:pPr>
        <w:spacing w:line="360" w:lineRule="auto"/>
        <w:ind w:firstLine="420" w:firstLineChars="200"/>
        <w:rPr>
          <w:rFonts w:hint="eastAsia" w:ascii="宋体" w:hAnsi="宋体" w:cs="宋体"/>
          <w:color w:val="auto"/>
        </w:rPr>
      </w:pPr>
      <w:r>
        <w:rPr>
          <w:rFonts w:hint="eastAsia" w:ascii="宋体" w:hAnsi="宋体" w:cs="宋体"/>
          <w:color w:val="auto"/>
        </w:rPr>
        <w:t>投标报价的偏差率计算公式：见评标办法前附表。</w:t>
      </w:r>
    </w:p>
    <w:p w14:paraId="2991978F">
      <w:pPr>
        <w:spacing w:line="360" w:lineRule="auto"/>
        <w:ind w:firstLine="420" w:firstLineChars="200"/>
        <w:rPr>
          <w:rFonts w:hint="eastAsia" w:ascii="宋体" w:hAnsi="宋体" w:cs="宋体"/>
          <w:color w:val="auto"/>
        </w:rPr>
      </w:pPr>
      <w:r>
        <w:rPr>
          <w:rFonts w:hint="eastAsia" w:ascii="宋体" w:hAnsi="宋体" w:cs="宋体"/>
          <w:color w:val="auto"/>
        </w:rPr>
        <w:t>2.2.4 评分标准</w:t>
      </w:r>
    </w:p>
    <w:p w14:paraId="2FDB182D">
      <w:pPr>
        <w:spacing w:line="360" w:lineRule="auto"/>
        <w:ind w:firstLine="420" w:firstLineChars="200"/>
        <w:rPr>
          <w:rFonts w:hint="eastAsia" w:ascii="宋体" w:hAnsi="宋体" w:cs="宋体"/>
          <w:color w:val="auto"/>
          <w:u w:val="single"/>
        </w:rPr>
      </w:pPr>
      <w:bookmarkStart w:id="475" w:name="_Toc20112"/>
      <w:bookmarkStart w:id="476" w:name="_Toc144974571"/>
      <w:bookmarkStart w:id="477" w:name="_Toc247514028"/>
      <w:bookmarkStart w:id="478" w:name="_Toc247527629"/>
      <w:bookmarkStart w:id="479" w:name="_Toc152042381"/>
      <w:bookmarkStart w:id="480" w:name="_Toc152045604"/>
      <w:bookmarkStart w:id="481" w:name="_Toc18562"/>
      <w:r>
        <w:rPr>
          <w:rFonts w:hint="eastAsia" w:ascii="宋体" w:hAnsi="宋体" w:cs="宋体"/>
          <w:color w:val="auto"/>
          <w:u w:val="single"/>
        </w:rPr>
        <w:t>（1）设计方案评分标准：见评标办法前附表；</w:t>
      </w:r>
    </w:p>
    <w:p w14:paraId="6DBD236D">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（2）工程承包实施方案评分标准：见评标办法前附表；</w:t>
      </w:r>
    </w:p>
    <w:p w14:paraId="7AD6E662">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（3）投标报价评分标准：见评标办法前附表；</w:t>
      </w:r>
    </w:p>
    <w:p w14:paraId="5720E772">
      <w:pPr>
        <w:pStyle w:val="3"/>
        <w:rPr>
          <w:rFonts w:hint="eastAsia" w:ascii="宋体" w:hAnsi="宋体" w:eastAsia="宋体" w:cs="宋体"/>
          <w:color w:val="auto"/>
        </w:rPr>
      </w:pPr>
      <w:bookmarkStart w:id="482" w:name="_Toc15100"/>
      <w:r>
        <w:rPr>
          <w:rFonts w:hint="eastAsia" w:ascii="宋体" w:hAnsi="宋体" w:eastAsia="宋体" w:cs="宋体"/>
          <w:color w:val="auto"/>
        </w:rPr>
        <w:t>3. 评标程序</w:t>
      </w:r>
      <w:bookmarkEnd w:id="475"/>
      <w:bookmarkEnd w:id="476"/>
      <w:bookmarkEnd w:id="477"/>
      <w:bookmarkEnd w:id="478"/>
      <w:bookmarkEnd w:id="479"/>
      <w:bookmarkEnd w:id="480"/>
      <w:bookmarkEnd w:id="481"/>
      <w:bookmarkEnd w:id="482"/>
    </w:p>
    <w:p w14:paraId="0FA785A1">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本项目采取电子评标。投标文件设计方案、形式审查、资格审查（适用于资格后审项目）、工程承包实施方案和投标报价的评审及评审汇总由综合组评标委员会负责。</w:t>
      </w:r>
    </w:p>
    <w:p w14:paraId="795208D7">
      <w:pPr>
        <w:pStyle w:val="4"/>
        <w:spacing w:before="120" w:after="0" w:line="360" w:lineRule="auto"/>
        <w:rPr>
          <w:rFonts w:hint="eastAsia" w:ascii="宋体" w:eastAsia="宋体" w:cs="宋体"/>
          <w:color w:val="auto"/>
          <w:u w:val="single"/>
        </w:rPr>
      </w:pPr>
      <w:bookmarkStart w:id="483" w:name="_Toc28552"/>
      <w:bookmarkStart w:id="484" w:name="_Toc31270"/>
      <w:bookmarkStart w:id="485" w:name="_Toc33695049"/>
      <w:bookmarkStart w:id="486" w:name="_Toc29241"/>
      <w:bookmarkStart w:id="487" w:name="_Toc30970"/>
      <w:bookmarkStart w:id="488" w:name="_Toc25126"/>
      <w:r>
        <w:rPr>
          <w:rFonts w:hint="eastAsia" w:ascii="宋体" w:eastAsia="宋体" w:cs="宋体"/>
          <w:color w:val="auto"/>
          <w:u w:val="single"/>
        </w:rPr>
        <w:t>3.1设计方案评审</w:t>
      </w:r>
      <w:bookmarkEnd w:id="483"/>
      <w:bookmarkEnd w:id="484"/>
      <w:bookmarkEnd w:id="485"/>
      <w:bookmarkEnd w:id="486"/>
      <w:bookmarkEnd w:id="487"/>
      <w:bookmarkEnd w:id="488"/>
    </w:p>
    <w:p w14:paraId="4A1415F1">
      <w:pPr>
        <w:spacing w:line="360" w:lineRule="auto"/>
        <w:ind w:firstLine="457" w:firstLineChars="218"/>
        <w:rPr>
          <w:rFonts w:hint="eastAsia" w:ascii="宋体" w:hAnsi="宋体" w:cs="宋体"/>
          <w:color w:val="auto"/>
          <w:szCs w:val="21"/>
          <w:u w:val="single"/>
        </w:rPr>
      </w:pPr>
      <w:r>
        <w:rPr>
          <w:rFonts w:hint="eastAsia" w:ascii="宋体" w:hAnsi="宋体" w:cs="宋体"/>
          <w:color w:val="auto"/>
          <w:szCs w:val="21"/>
          <w:u w:val="single"/>
        </w:rPr>
        <w:t>3.1.1</w:t>
      </w:r>
      <w:r>
        <w:rPr>
          <w:rFonts w:hint="eastAsia" w:ascii="宋体" w:cs="宋体"/>
          <w:color w:val="auto"/>
          <w:u w:val="single"/>
        </w:rPr>
        <w:t>评标委员会</w:t>
      </w:r>
      <w:r>
        <w:rPr>
          <w:rFonts w:hint="eastAsia" w:ascii="宋体" w:hAnsi="宋体" w:cs="宋体"/>
          <w:color w:val="auto"/>
          <w:szCs w:val="21"/>
          <w:u w:val="single"/>
        </w:rPr>
        <w:t>评委按</w:t>
      </w:r>
      <w:r>
        <w:rPr>
          <w:rFonts w:hint="eastAsia" w:ascii="宋体" w:hAnsi="宋体" w:cs="宋体"/>
          <w:color w:val="auto"/>
          <w:u w:val="single"/>
        </w:rPr>
        <w:t>设计方案文件响应性审查标准（详见前</w:t>
      </w:r>
      <w:r>
        <w:rPr>
          <w:rFonts w:hint="eastAsia" w:ascii="宋体" w:hAnsi="宋体" w:cs="宋体"/>
          <w:color w:val="auto"/>
          <w:szCs w:val="21"/>
          <w:u w:val="single"/>
        </w:rPr>
        <w:t>附表</w:t>
      </w:r>
      <w:r>
        <w:rPr>
          <w:rFonts w:hint="eastAsia" w:ascii="宋体" w:hAnsi="宋体" w:cs="宋体"/>
          <w:color w:val="auto"/>
          <w:u w:val="single"/>
        </w:rPr>
        <w:t>）</w:t>
      </w:r>
      <w:r>
        <w:rPr>
          <w:rFonts w:hint="eastAsia" w:ascii="宋体" w:hAnsi="宋体" w:cs="宋体"/>
          <w:color w:val="auto"/>
          <w:szCs w:val="21"/>
          <w:u w:val="single"/>
        </w:rPr>
        <w:t>对所有成功解密的设计标投标文件进行评审，只有通过响应性审查的设计标投标文件方可进入下一阶段的评审。如果有否决投标提议，则</w:t>
      </w:r>
      <w:r>
        <w:rPr>
          <w:rFonts w:hint="eastAsia" w:ascii="宋体" w:cs="宋体"/>
          <w:color w:val="auto"/>
          <w:u w:val="single"/>
        </w:rPr>
        <w:t>评标委员会</w:t>
      </w:r>
      <w:r>
        <w:rPr>
          <w:rFonts w:hint="eastAsia" w:ascii="宋体" w:hAnsi="宋体" w:cs="宋体"/>
          <w:color w:val="auto"/>
          <w:szCs w:val="21"/>
          <w:u w:val="single"/>
        </w:rPr>
        <w:t>成员共同表决，按照少数服从多数的原则决定是否否决其投标。</w:t>
      </w:r>
    </w:p>
    <w:p w14:paraId="537FADB2">
      <w:pPr>
        <w:spacing w:line="360" w:lineRule="auto"/>
        <w:ind w:firstLine="457" w:firstLineChars="218"/>
        <w:rPr>
          <w:rFonts w:hint="eastAsia" w:ascii="宋体" w:hAnsi="宋体" w:cs="宋体"/>
          <w:color w:val="auto"/>
          <w:szCs w:val="21"/>
          <w:u w:val="single"/>
        </w:rPr>
      </w:pPr>
      <w:r>
        <w:rPr>
          <w:rFonts w:hint="eastAsia" w:ascii="宋体" w:hAnsi="宋体" w:cs="宋体"/>
          <w:color w:val="auto"/>
          <w:szCs w:val="21"/>
          <w:u w:val="single"/>
        </w:rPr>
        <w:t>3.1.2</w:t>
      </w:r>
      <w:r>
        <w:rPr>
          <w:rFonts w:hint="eastAsia" w:ascii="宋体" w:cs="宋体"/>
          <w:color w:val="auto"/>
          <w:u w:val="single"/>
        </w:rPr>
        <w:t>评标委员会</w:t>
      </w:r>
      <w:r>
        <w:rPr>
          <w:rFonts w:hint="eastAsia" w:ascii="宋体" w:hAnsi="宋体" w:cs="宋体"/>
          <w:color w:val="auto"/>
          <w:szCs w:val="21"/>
          <w:u w:val="single"/>
        </w:rPr>
        <w:t>评委按设计方案评分标准（详见前附表）对各设计标投标文件进行评分。</w:t>
      </w:r>
    </w:p>
    <w:p w14:paraId="6836F669">
      <w:pPr>
        <w:spacing w:line="360" w:lineRule="auto"/>
        <w:ind w:firstLine="457" w:firstLineChars="218"/>
        <w:rPr>
          <w:rFonts w:hint="eastAsia" w:ascii="宋体" w:hAnsi="宋体" w:cs="宋体"/>
          <w:color w:val="auto"/>
          <w:szCs w:val="21"/>
          <w:u w:val="single"/>
        </w:rPr>
      </w:pPr>
      <w:r>
        <w:rPr>
          <w:rFonts w:hint="eastAsia" w:ascii="宋体" w:hAnsi="宋体" w:cs="宋体"/>
          <w:color w:val="auto"/>
          <w:szCs w:val="21"/>
          <w:u w:val="single"/>
        </w:rPr>
        <w:t>3.1.3算术平均各</w:t>
      </w:r>
      <w:r>
        <w:rPr>
          <w:rFonts w:hint="eastAsia" w:ascii="宋体" w:cs="宋体"/>
          <w:color w:val="auto"/>
          <w:u w:val="single"/>
        </w:rPr>
        <w:t>评标委员会</w:t>
      </w:r>
      <w:r>
        <w:rPr>
          <w:rFonts w:hint="eastAsia" w:ascii="宋体" w:hAnsi="宋体" w:cs="宋体"/>
          <w:color w:val="auto"/>
          <w:szCs w:val="21"/>
          <w:u w:val="single"/>
        </w:rPr>
        <w:t>评委评分，得出每个投标人设计方案部分得分，分数出现小数点，保留小数点后二位，第三位小数四舍五入。</w:t>
      </w:r>
    </w:p>
    <w:p w14:paraId="172ADC4D">
      <w:pPr>
        <w:spacing w:line="360" w:lineRule="auto"/>
        <w:ind w:firstLine="457" w:firstLineChars="218"/>
        <w:rPr>
          <w:rFonts w:hint="eastAsia" w:ascii="宋体" w:hAnsi="宋体" w:cs="宋体"/>
          <w:color w:val="auto"/>
          <w:szCs w:val="21"/>
          <w:u w:val="single"/>
        </w:rPr>
      </w:pPr>
      <w:r>
        <w:rPr>
          <w:rFonts w:hint="eastAsia" w:ascii="宋体" w:hAnsi="宋体" w:cs="宋体"/>
          <w:color w:val="auto"/>
          <w:szCs w:val="21"/>
          <w:u w:val="single"/>
        </w:rPr>
        <w:t>3.1.4</w:t>
      </w:r>
      <w:r>
        <w:rPr>
          <w:rFonts w:hint="eastAsia" w:ascii="宋体" w:cs="宋体"/>
          <w:color w:val="auto"/>
          <w:u w:val="single"/>
        </w:rPr>
        <w:t>评标委员会</w:t>
      </w:r>
      <w:r>
        <w:rPr>
          <w:rFonts w:hint="eastAsia" w:ascii="宋体" w:hAnsi="宋体" w:cs="宋体"/>
          <w:color w:val="auto"/>
          <w:szCs w:val="21"/>
          <w:u w:val="single"/>
        </w:rPr>
        <w:t>评委揭晓投标人身份。</w:t>
      </w:r>
    </w:p>
    <w:p w14:paraId="28A9F066">
      <w:pPr>
        <w:spacing w:line="360" w:lineRule="auto"/>
        <w:ind w:firstLine="457" w:firstLineChars="218"/>
        <w:rPr>
          <w:rFonts w:hint="eastAsia" w:ascii="宋体" w:hAnsi="宋体" w:cs="宋体"/>
          <w:color w:val="auto"/>
          <w:szCs w:val="21"/>
          <w:u w:val="single"/>
        </w:rPr>
      </w:pPr>
      <w:r>
        <w:rPr>
          <w:rFonts w:hint="eastAsia" w:ascii="宋体" w:hAnsi="宋体" w:cs="宋体"/>
          <w:color w:val="auto"/>
          <w:szCs w:val="21"/>
          <w:u w:val="single"/>
        </w:rPr>
        <w:t>3.1.5</w:t>
      </w:r>
      <w:r>
        <w:rPr>
          <w:rFonts w:hint="eastAsia" w:ascii="宋体" w:cs="宋体"/>
          <w:color w:val="auto"/>
          <w:u w:val="single"/>
        </w:rPr>
        <w:t>评标委员会</w:t>
      </w:r>
      <w:r>
        <w:rPr>
          <w:rFonts w:hint="eastAsia" w:ascii="宋体" w:hAnsi="宋体" w:cs="宋体"/>
          <w:color w:val="auto"/>
          <w:szCs w:val="21"/>
          <w:u w:val="single"/>
        </w:rPr>
        <w:t>评委按只有通过响应性审查的投标人的投标文件方可进入下一阶段评审的评审原则，在揭晓投标人身份后，根据响应性审查结果，否决未通过响应性评审的投标人的投标，取消其得分，且不再进入得分汇总阶段。</w:t>
      </w:r>
      <w:r>
        <w:rPr>
          <w:rFonts w:hint="eastAsia" w:ascii="宋体" w:cs="宋体"/>
          <w:color w:val="auto"/>
          <w:u w:val="single"/>
        </w:rPr>
        <w:t>评标委员会</w:t>
      </w:r>
      <w:r>
        <w:rPr>
          <w:rFonts w:hint="eastAsia" w:ascii="宋体" w:hAnsi="宋体" w:cs="宋体"/>
          <w:color w:val="auto"/>
          <w:szCs w:val="21"/>
          <w:u w:val="single"/>
        </w:rPr>
        <w:t>评委汇总各投标人设计方案部分得分、编写、签署设计方案评标报告，评标报告由</w:t>
      </w:r>
      <w:r>
        <w:rPr>
          <w:rFonts w:hint="eastAsia" w:ascii="宋体" w:cs="宋体"/>
          <w:color w:val="auto"/>
          <w:u w:val="single"/>
        </w:rPr>
        <w:t>评标委员会</w:t>
      </w:r>
      <w:r>
        <w:rPr>
          <w:rFonts w:hint="eastAsia" w:ascii="宋体" w:hAnsi="宋体" w:cs="宋体"/>
          <w:color w:val="auto"/>
          <w:szCs w:val="21"/>
          <w:u w:val="single"/>
        </w:rPr>
        <w:t>评委全体成员签名，对评标结论持有异议的评标委员会成员可以书面方式阐述其不同意见和理由。</w:t>
      </w:r>
    </w:p>
    <w:p w14:paraId="4E9C0A36">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3.1.6</w:t>
      </w:r>
      <w:r>
        <w:rPr>
          <w:rFonts w:hint="eastAsia" w:ascii="宋体" w:cs="宋体"/>
          <w:color w:val="auto"/>
          <w:u w:val="single"/>
        </w:rPr>
        <w:t>评标委员会</w:t>
      </w:r>
      <w:r>
        <w:rPr>
          <w:rFonts w:hint="eastAsia" w:ascii="宋体" w:hAnsi="宋体" w:cs="宋体"/>
          <w:color w:val="auto"/>
          <w:szCs w:val="21"/>
          <w:u w:val="single"/>
        </w:rPr>
        <w:t>评委向招标人提交书面设计方案评标报告。</w:t>
      </w:r>
    </w:p>
    <w:p w14:paraId="11AC7ECC">
      <w:pPr>
        <w:pStyle w:val="4"/>
        <w:spacing w:before="120" w:after="0" w:line="360" w:lineRule="auto"/>
        <w:rPr>
          <w:rFonts w:hint="eastAsia" w:ascii="宋体" w:eastAsia="宋体" w:cs="宋体"/>
          <w:color w:val="auto"/>
          <w:u w:val="single"/>
        </w:rPr>
      </w:pPr>
      <w:bookmarkStart w:id="489" w:name="_Toc27541"/>
      <w:bookmarkStart w:id="490" w:name="_Toc5650"/>
      <w:bookmarkStart w:id="491" w:name="_Toc3343"/>
      <w:bookmarkStart w:id="492" w:name="_Toc4286"/>
      <w:bookmarkStart w:id="493" w:name="_Toc11410"/>
      <w:bookmarkStart w:id="494" w:name="_Toc33695048"/>
      <w:bookmarkStart w:id="495" w:name="_Toc439240660"/>
      <w:bookmarkStart w:id="496" w:name="_Toc439246059"/>
      <w:r>
        <w:rPr>
          <w:rFonts w:hint="eastAsia" w:ascii="宋体" w:eastAsia="宋体" w:cs="宋体"/>
          <w:color w:val="auto"/>
          <w:u w:val="single"/>
        </w:rPr>
        <w:t>3.2形式审查及资格审查</w:t>
      </w:r>
      <w:bookmarkEnd w:id="489"/>
      <w:bookmarkEnd w:id="490"/>
      <w:bookmarkEnd w:id="491"/>
      <w:bookmarkEnd w:id="492"/>
      <w:bookmarkEnd w:id="493"/>
      <w:bookmarkEnd w:id="494"/>
    </w:p>
    <w:p w14:paraId="3FD080DE">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3.2.1 形式审查中全部符合形式评审标准（详见前附表）中规定情形的，为形式审查合格。否则为形式审查不合格，经</w:t>
      </w:r>
      <w:r>
        <w:rPr>
          <w:rFonts w:hint="eastAsia" w:ascii="宋体" w:hAnsi="宋体" w:cs="宋体"/>
          <w:color w:val="auto"/>
          <w:u w:val="single"/>
        </w:rPr>
        <w:t>评标委员会评委共同</w:t>
      </w:r>
      <w:r>
        <w:rPr>
          <w:rFonts w:hint="eastAsia" w:ascii="宋体" w:hAnsi="宋体" w:cs="宋体"/>
          <w:color w:val="auto"/>
          <w:szCs w:val="21"/>
          <w:u w:val="single"/>
        </w:rPr>
        <w:t>认定后，其投标文件将被拒绝。如</w:t>
      </w:r>
      <w:r>
        <w:rPr>
          <w:rFonts w:hint="eastAsia" w:ascii="宋体" w:hAnsi="宋体" w:cs="宋体"/>
          <w:color w:val="auto"/>
          <w:u w:val="single"/>
        </w:rPr>
        <w:t>评标委员会</w:t>
      </w:r>
      <w:r>
        <w:rPr>
          <w:rFonts w:hint="eastAsia" w:ascii="宋体" w:hAnsi="宋体" w:cs="宋体"/>
          <w:color w:val="auto"/>
          <w:szCs w:val="21"/>
          <w:u w:val="single"/>
        </w:rPr>
        <w:t>评委的评审意见不一致时，以</w:t>
      </w:r>
      <w:r>
        <w:rPr>
          <w:rFonts w:hint="eastAsia" w:ascii="宋体" w:hAnsi="宋体" w:cs="宋体"/>
          <w:color w:val="auto"/>
          <w:u w:val="single"/>
        </w:rPr>
        <w:t>评标委员会</w:t>
      </w:r>
      <w:r>
        <w:rPr>
          <w:rFonts w:hint="eastAsia" w:ascii="宋体" w:hAnsi="宋体" w:cs="宋体"/>
          <w:color w:val="auto"/>
          <w:szCs w:val="21"/>
          <w:u w:val="single"/>
        </w:rPr>
        <w:t>过半数成员的意见作为</w:t>
      </w:r>
      <w:r>
        <w:rPr>
          <w:rFonts w:hint="eastAsia" w:ascii="宋体" w:hAnsi="宋体" w:cs="宋体"/>
          <w:color w:val="auto"/>
          <w:u w:val="single"/>
        </w:rPr>
        <w:t>评标委员会</w:t>
      </w:r>
      <w:r>
        <w:rPr>
          <w:rFonts w:hint="eastAsia" w:ascii="宋体" w:hAnsi="宋体" w:cs="宋体"/>
          <w:color w:val="auto"/>
          <w:szCs w:val="21"/>
          <w:u w:val="single"/>
        </w:rPr>
        <w:t>对该情形的认定结论。</w:t>
      </w:r>
    </w:p>
    <w:p w14:paraId="4455DA75">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3.2.2 投标人有以下情形之一的，评标委员会应当否决其投标：</w:t>
      </w:r>
    </w:p>
    <w:p w14:paraId="63C37188">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（1）第二章“投标人须知”第1.4.3项、第1.4.4项规定的任何一种情形的；</w:t>
      </w:r>
    </w:p>
    <w:p w14:paraId="7C1D3EA8">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（2）串通投标或弄虚作假或有其他违法行为的；</w:t>
      </w:r>
    </w:p>
    <w:p w14:paraId="22AA2B8A">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（3）不按评标委员会要求澄清、说明或补正的。</w:t>
      </w:r>
    </w:p>
    <w:p w14:paraId="2DAD4D11">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3.2.3汇总形式审查情况，只有通过形式审查的投标人方可进入下一阶段的评审。形式审查合格的投标人少于3名的，则本项目招标失败。</w:t>
      </w:r>
    </w:p>
    <w:p w14:paraId="0EE159A1">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3.2.4</w:t>
      </w:r>
      <w:r>
        <w:rPr>
          <w:rFonts w:hint="eastAsia" w:ascii="宋体" w:hAnsi="宋体" w:cs="宋体"/>
          <w:color w:val="auto"/>
          <w:u w:val="single"/>
        </w:rPr>
        <w:t>评标委员会评委</w:t>
      </w:r>
      <w:r>
        <w:rPr>
          <w:rFonts w:hint="eastAsia" w:ascii="宋体" w:hAnsi="宋体" w:cs="宋体"/>
          <w:color w:val="auto"/>
          <w:szCs w:val="21"/>
          <w:u w:val="single"/>
        </w:rPr>
        <w:t>对所有通过形式审查的投标人进行资格审查。资格审查文件中全部符合</w:t>
      </w:r>
      <w:r>
        <w:rPr>
          <w:rFonts w:hint="eastAsia" w:ascii="宋体" w:hAnsi="宋体" w:cs="宋体"/>
          <w:color w:val="auto"/>
          <w:u w:val="single"/>
        </w:rPr>
        <w:t>资格评审标准（详见前附表）</w:t>
      </w:r>
      <w:r>
        <w:rPr>
          <w:rFonts w:hint="eastAsia" w:ascii="宋体" w:hAnsi="宋体" w:cs="宋体"/>
          <w:color w:val="auto"/>
          <w:szCs w:val="21"/>
          <w:u w:val="single"/>
        </w:rPr>
        <w:t>中规定情形的，为资格审查合格。否则为资格审查不合格，经</w:t>
      </w:r>
      <w:r>
        <w:rPr>
          <w:rFonts w:hint="eastAsia" w:ascii="宋体" w:hAnsi="宋体" w:cs="宋体"/>
          <w:color w:val="auto"/>
          <w:u w:val="single"/>
        </w:rPr>
        <w:t>评标委员会评委共同</w:t>
      </w:r>
      <w:r>
        <w:rPr>
          <w:rFonts w:hint="eastAsia" w:ascii="宋体" w:hAnsi="宋体" w:cs="宋体"/>
          <w:color w:val="auto"/>
          <w:szCs w:val="21"/>
          <w:u w:val="single"/>
        </w:rPr>
        <w:t>认定后，其投标将被拒绝。如</w:t>
      </w:r>
      <w:r>
        <w:rPr>
          <w:rFonts w:hint="eastAsia" w:ascii="宋体" w:hAnsi="宋体" w:cs="宋体"/>
          <w:color w:val="auto"/>
          <w:u w:val="single"/>
        </w:rPr>
        <w:t>评标委员会</w:t>
      </w:r>
      <w:r>
        <w:rPr>
          <w:rFonts w:hint="eastAsia" w:ascii="宋体" w:hAnsi="宋体" w:cs="宋体"/>
          <w:color w:val="auto"/>
          <w:szCs w:val="21"/>
          <w:u w:val="single"/>
        </w:rPr>
        <w:t>评委的评审意见不一致时，以</w:t>
      </w:r>
      <w:r>
        <w:rPr>
          <w:rFonts w:hint="eastAsia" w:ascii="宋体" w:hAnsi="宋体" w:cs="宋体"/>
          <w:color w:val="auto"/>
          <w:u w:val="single"/>
        </w:rPr>
        <w:t>评标委员会</w:t>
      </w:r>
      <w:r>
        <w:rPr>
          <w:rFonts w:hint="eastAsia" w:ascii="宋体" w:hAnsi="宋体" w:cs="宋体"/>
          <w:color w:val="auto"/>
          <w:szCs w:val="21"/>
          <w:u w:val="single"/>
        </w:rPr>
        <w:t>过半数成员的意见作为评标委员会对该情形的认定结论。只有通过资格审查的投标人方可进入下一阶段的评审。</w:t>
      </w:r>
    </w:p>
    <w:p w14:paraId="4D4FCC6D">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3.2.5汇总资格审查情况，编写资格审查报告。资格审查合格的投标人少于3名的，则本项目招标失败。</w:t>
      </w:r>
    </w:p>
    <w:p w14:paraId="1F8CA3B6">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3.2.6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14:paraId="412620D7">
      <w:pPr>
        <w:spacing w:line="360" w:lineRule="auto"/>
        <w:ind w:firstLine="422" w:firstLineChars="200"/>
        <w:rPr>
          <w:rFonts w:hint="eastAsia" w:ascii="宋体" w:hAnsi="宋体" w:cs="宋体"/>
          <w:b/>
          <w:color w:val="auto"/>
          <w:szCs w:val="21"/>
          <w:u w:val="single"/>
        </w:rPr>
      </w:pPr>
      <w:r>
        <w:rPr>
          <w:rFonts w:hint="eastAsia" w:ascii="宋体" w:hAnsi="宋体" w:cs="宋体"/>
          <w:b/>
          <w:color w:val="auto"/>
          <w:szCs w:val="21"/>
          <w:u w:val="single"/>
        </w:rPr>
        <w:t>特别声明：资审合格后，投标人的资格发生变化而不满足投标人合格条件，在发出中标通知书前，资格问题仍未解决的，招标人将取消其中标资格。</w:t>
      </w:r>
      <w:bookmarkEnd w:id="495"/>
      <w:bookmarkEnd w:id="496"/>
    </w:p>
    <w:p w14:paraId="6AD15F70">
      <w:pPr>
        <w:pStyle w:val="4"/>
        <w:spacing w:before="120" w:after="0" w:line="360" w:lineRule="auto"/>
        <w:rPr>
          <w:rFonts w:hint="eastAsia" w:ascii="宋体" w:eastAsia="宋体" w:cs="宋体"/>
          <w:bCs w:val="0"/>
          <w:color w:val="auto"/>
          <w:sz w:val="21"/>
          <w:szCs w:val="21"/>
          <w:u w:val="single"/>
        </w:rPr>
      </w:pPr>
      <w:bookmarkStart w:id="497" w:name="_Toc439246060"/>
      <w:bookmarkStart w:id="498" w:name="_Toc439240661"/>
      <w:bookmarkStart w:id="499" w:name="_Toc23107"/>
      <w:bookmarkStart w:id="500" w:name="_Toc414"/>
      <w:bookmarkStart w:id="501" w:name="_Toc28052"/>
      <w:bookmarkStart w:id="502" w:name="_Toc29953"/>
      <w:bookmarkStart w:id="503" w:name="_Toc33695050"/>
      <w:bookmarkStart w:id="504" w:name="_Toc28376"/>
      <w:r>
        <w:rPr>
          <w:rFonts w:hint="eastAsia" w:ascii="宋体" w:eastAsia="宋体" w:cs="宋体"/>
          <w:color w:val="auto"/>
          <w:u w:val="single"/>
        </w:rPr>
        <w:t>3.3工程承包实施方案评审</w:t>
      </w:r>
      <w:bookmarkEnd w:id="497"/>
      <w:bookmarkEnd w:id="498"/>
      <w:bookmarkEnd w:id="499"/>
      <w:bookmarkEnd w:id="500"/>
      <w:bookmarkEnd w:id="501"/>
      <w:bookmarkEnd w:id="502"/>
      <w:bookmarkEnd w:id="503"/>
      <w:bookmarkEnd w:id="504"/>
    </w:p>
    <w:p w14:paraId="404B7F10">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3.3.1工程承包实施方案的响应性审查：通过资格审查的投标文件中没有任一种列于工程承包实施方案响应性评审标准（详见前附表）中情形的，为有效标书。否则为无效标书，经</w:t>
      </w:r>
      <w:r>
        <w:rPr>
          <w:rFonts w:hint="eastAsia" w:ascii="宋体" w:hAnsi="宋体" w:cs="宋体"/>
          <w:color w:val="auto"/>
          <w:u w:val="single"/>
        </w:rPr>
        <w:t>评标委员会</w:t>
      </w:r>
      <w:r>
        <w:rPr>
          <w:rFonts w:hint="eastAsia" w:ascii="宋体" w:hAnsi="宋体" w:cs="宋体"/>
          <w:color w:val="auto"/>
          <w:szCs w:val="21"/>
          <w:u w:val="single"/>
        </w:rPr>
        <w:t>评委共同认定后，其投标文件将被拒绝。如</w:t>
      </w:r>
      <w:r>
        <w:rPr>
          <w:rFonts w:hint="eastAsia" w:ascii="宋体" w:hAnsi="宋体" w:cs="宋体"/>
          <w:color w:val="auto"/>
          <w:u w:val="single"/>
        </w:rPr>
        <w:t>评标委员会</w:t>
      </w:r>
      <w:r>
        <w:rPr>
          <w:rFonts w:hint="eastAsia" w:ascii="宋体" w:hAnsi="宋体" w:cs="宋体"/>
          <w:color w:val="auto"/>
          <w:szCs w:val="21"/>
          <w:u w:val="single"/>
        </w:rPr>
        <w:t>评委的评审意见不一致时，以</w:t>
      </w:r>
      <w:r>
        <w:rPr>
          <w:rFonts w:hint="eastAsia" w:ascii="宋体" w:hAnsi="宋体" w:cs="宋体"/>
          <w:color w:val="auto"/>
          <w:u w:val="single"/>
        </w:rPr>
        <w:t>评标委员会</w:t>
      </w:r>
      <w:r>
        <w:rPr>
          <w:rFonts w:hint="eastAsia" w:ascii="宋体" w:hAnsi="宋体" w:cs="宋体"/>
          <w:color w:val="auto"/>
          <w:szCs w:val="21"/>
          <w:u w:val="single"/>
        </w:rPr>
        <w:t>评委过半数成员的意见作为评标委员会对该情形的认定结论。</w:t>
      </w:r>
    </w:p>
    <w:p w14:paraId="5A540033">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3.3.2工程承包实施方案详细审查：</w:t>
      </w:r>
      <w:r>
        <w:rPr>
          <w:rFonts w:hint="eastAsia" w:ascii="宋体" w:hAnsi="宋体" w:cs="宋体"/>
          <w:color w:val="auto"/>
          <w:u w:val="single"/>
        </w:rPr>
        <w:t>评标委员会</w:t>
      </w:r>
      <w:r>
        <w:rPr>
          <w:rFonts w:hint="eastAsia" w:ascii="宋体" w:hAnsi="宋体" w:cs="宋体"/>
          <w:color w:val="auto"/>
          <w:szCs w:val="21"/>
          <w:u w:val="single"/>
        </w:rPr>
        <w:t>评委按照工程承包实施方案评分标准（详见前附表），对通过响应性审查的投标文件进行详细审查，评分。</w:t>
      </w:r>
    </w:p>
    <w:p w14:paraId="73B55BEB">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3.3.3各投标人工程承包实施方案得分为各评委评分的算术平均值，</w:t>
      </w:r>
      <w:r>
        <w:rPr>
          <w:rFonts w:hint="eastAsia" w:ascii="宋体" w:hAnsi="宋体" w:cs="宋体"/>
          <w:color w:val="auto"/>
          <w:u w:val="single"/>
        </w:rPr>
        <w:t>评标委员会</w:t>
      </w:r>
      <w:r>
        <w:rPr>
          <w:rFonts w:hint="eastAsia" w:ascii="宋体" w:hAnsi="宋体" w:cs="宋体"/>
          <w:color w:val="auto"/>
          <w:szCs w:val="21"/>
          <w:u w:val="single"/>
        </w:rPr>
        <w:t>评委按此汇总每个投标人工程承包实施方案详细审查得分，分数出现小数点，保留小数点后二位，第三位小数四舍五入。</w:t>
      </w:r>
    </w:p>
    <w:p w14:paraId="40FD7F61">
      <w:pPr>
        <w:pStyle w:val="4"/>
        <w:spacing w:before="120" w:after="0" w:line="360" w:lineRule="auto"/>
        <w:rPr>
          <w:rFonts w:hint="eastAsia" w:ascii="宋体" w:eastAsia="宋体" w:cs="宋体"/>
          <w:color w:val="auto"/>
          <w:u w:val="single"/>
        </w:rPr>
      </w:pPr>
      <w:bookmarkStart w:id="505" w:name="_Toc1078"/>
      <w:bookmarkStart w:id="506" w:name="_Toc439240662"/>
      <w:bookmarkStart w:id="507" w:name="_Toc439246061"/>
      <w:bookmarkStart w:id="508" w:name="_Toc11574"/>
      <w:bookmarkStart w:id="509" w:name="_Toc8389"/>
      <w:bookmarkStart w:id="510" w:name="_Toc18805"/>
      <w:bookmarkStart w:id="511" w:name="_Toc14774"/>
      <w:bookmarkStart w:id="512" w:name="_Toc33695051"/>
      <w:r>
        <w:rPr>
          <w:rFonts w:hint="eastAsia" w:ascii="宋体" w:eastAsia="宋体" w:cs="宋体"/>
          <w:color w:val="auto"/>
          <w:u w:val="single"/>
        </w:rPr>
        <w:t>3.4投标报价得分</w:t>
      </w:r>
      <w:bookmarkEnd w:id="505"/>
      <w:bookmarkEnd w:id="506"/>
      <w:bookmarkEnd w:id="507"/>
      <w:bookmarkEnd w:id="508"/>
      <w:bookmarkEnd w:id="509"/>
      <w:bookmarkEnd w:id="510"/>
      <w:bookmarkEnd w:id="511"/>
      <w:bookmarkEnd w:id="512"/>
    </w:p>
    <w:p w14:paraId="2BC7A141">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3.4.1投标报价的算术校核。</w:t>
      </w:r>
      <w:r>
        <w:rPr>
          <w:rFonts w:hint="eastAsia" w:ascii="宋体" w:hAnsi="宋体" w:cs="宋体"/>
          <w:color w:val="auto"/>
          <w:u w:val="single"/>
        </w:rPr>
        <w:t>评标委员会</w:t>
      </w:r>
      <w:r>
        <w:rPr>
          <w:rFonts w:hint="eastAsia" w:ascii="宋体" w:hAnsi="宋体" w:cs="宋体"/>
          <w:color w:val="auto"/>
          <w:szCs w:val="21"/>
          <w:u w:val="single"/>
        </w:rPr>
        <w:t>评委对通过工程承包实施方案响应性审查的投标文件的投标报价进行算术校核，具体标准如下：</w:t>
      </w:r>
    </w:p>
    <w:p w14:paraId="605E2DCF">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w:t>
      </w:r>
      <w:r>
        <w:rPr>
          <w:rFonts w:hint="eastAsia" w:ascii="宋体" w:cs="宋体"/>
          <w:color w:val="auto"/>
          <w:szCs w:val="21"/>
          <w:u w:val="single"/>
        </w:rPr>
        <w:t>如果数字表示的金额和用文字表示的金额不一致时，应以文字表示的金额为准（有以下算术性错误需要修正的除外）；</w:t>
      </w:r>
    </w:p>
    <w:p w14:paraId="4FF61FF8">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（2）如果下浮率与最高投标限价乘积不等于投标报价时，以下浮率为准修正投标报价（下浮率有明显的数量级错误的除外，此时应修正下浮率），若修正后的投标报价超过最高投标限价的，作否决投标处理；</w:t>
      </w:r>
    </w:p>
    <w:p w14:paraId="59028EE2">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（3）如果分项报价累加不等总价的，以分项报价累加为准，修正总价；</w:t>
      </w:r>
    </w:p>
    <w:p w14:paraId="6D8EEBC9">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（4）投标文件存在其他计算性错误的，按就低不就高计算并修正；</w:t>
      </w:r>
    </w:p>
    <w:p w14:paraId="27685A93">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（5）按上述修正错误的原则及方法调整或修正投标文件的投标报价，调整后的投标报价对投标人起约束作用。如果投标人不接受修正后的报价，则取消其投标资格或中标资格。</w:t>
      </w:r>
    </w:p>
    <w:p w14:paraId="3991FE52">
      <w:pPr>
        <w:spacing w:line="360" w:lineRule="auto"/>
        <w:ind w:firstLine="420" w:firstLineChars="200"/>
        <w:rPr>
          <w:rFonts w:hint="eastAsia" w:ascii="宋体" w:hAnsi="宋体" w:cs="宋体"/>
          <w:color w:val="auto"/>
          <w:szCs w:val="21"/>
          <w:u w:val="single"/>
        </w:rPr>
      </w:pPr>
      <w:r>
        <w:rPr>
          <w:rFonts w:ascii="宋体" w:hAnsi="宋体" w:cs="宋体"/>
          <w:color w:val="auto"/>
          <w:szCs w:val="21"/>
          <w:u w:val="single"/>
        </w:rPr>
        <w:t>3.4.2投标报价评分</w:t>
      </w:r>
    </w:p>
    <w:p w14:paraId="7092C1C9">
      <w:pPr>
        <w:spacing w:line="360" w:lineRule="auto"/>
        <w:ind w:firstLine="420" w:firstLineChars="200"/>
        <w:rPr>
          <w:rFonts w:hint="eastAsia" w:ascii="宋体" w:hAnsi="宋体" w:cs="宋体"/>
          <w:color w:val="auto"/>
          <w:szCs w:val="21"/>
          <w:highlight w:val="green"/>
          <w:u w:val="single"/>
        </w:rPr>
      </w:pPr>
      <w:r>
        <w:rPr>
          <w:rFonts w:hint="eastAsia" w:ascii="宋体" w:hAnsi="宋体" w:cs="宋体"/>
          <w:color w:val="auto"/>
          <w:szCs w:val="21"/>
          <w:u w:val="single"/>
        </w:rPr>
        <w:t>（</w:t>
      </w:r>
      <w:r>
        <w:rPr>
          <w:rFonts w:ascii="宋体" w:hAnsi="宋体" w:cs="宋体"/>
          <w:color w:val="auto"/>
          <w:szCs w:val="21"/>
          <w:u w:val="single"/>
        </w:rPr>
        <w:t>1）通过工程承包实施方案响应性审查且经算术校核的投标总报价位于[投标总报价最高限价×</w:t>
      </w:r>
      <w:r>
        <w:rPr>
          <w:rFonts w:hint="eastAsia" w:ascii="宋体" w:hAnsi="宋体" w:cs="宋体"/>
          <w:color w:val="auto"/>
          <w:szCs w:val="21"/>
          <w:u w:val="single"/>
          <w:lang w:eastAsia="zh-CN"/>
        </w:rPr>
        <w:t>90</w:t>
      </w:r>
      <w:r>
        <w:rPr>
          <w:rFonts w:ascii="宋体" w:hAnsi="宋体" w:cs="宋体"/>
          <w:color w:val="auto"/>
          <w:szCs w:val="21"/>
          <w:u w:val="single"/>
        </w:rPr>
        <w:t>%，投标总报价最高限价]区间的投标人超过5家时，在经算术校核的位于[投标总报价最高限价×</w:t>
      </w:r>
      <w:r>
        <w:rPr>
          <w:rFonts w:hint="eastAsia" w:ascii="宋体" w:hAnsi="宋体" w:cs="宋体"/>
          <w:color w:val="auto"/>
          <w:szCs w:val="21"/>
          <w:u w:val="single"/>
          <w:lang w:eastAsia="zh-CN"/>
        </w:rPr>
        <w:t>90</w:t>
      </w:r>
      <w:r>
        <w:rPr>
          <w:rFonts w:ascii="宋体" w:hAnsi="宋体" w:cs="宋体"/>
          <w:color w:val="auto"/>
          <w:szCs w:val="21"/>
          <w:u w:val="single"/>
        </w:rPr>
        <w:t>%，投标总报价最高限价]区间的投标人的投标总报价中，去掉一个最高价和一个最低价后，取剩余报价的算术平均值为评标参考价；通过工程承包实施方案响应性审查且经算术校核的投标总报价位于[投标总报价最高限价×</w:t>
      </w:r>
      <w:r>
        <w:rPr>
          <w:rFonts w:hint="eastAsia" w:ascii="宋体" w:hAnsi="宋体" w:cs="宋体"/>
          <w:color w:val="auto"/>
          <w:szCs w:val="21"/>
          <w:u w:val="single"/>
          <w:lang w:eastAsia="zh-CN"/>
        </w:rPr>
        <w:t>90</w:t>
      </w:r>
      <w:r>
        <w:rPr>
          <w:rFonts w:ascii="宋体" w:hAnsi="宋体" w:cs="宋体"/>
          <w:color w:val="auto"/>
          <w:szCs w:val="21"/>
          <w:u w:val="single"/>
        </w:rPr>
        <w:t>%，投标总报价最高限价]区间的投标人少于5家（含5家）时，</w:t>
      </w:r>
      <w:r>
        <w:rPr>
          <w:rFonts w:hint="eastAsia" w:ascii="宋体" w:hAnsi="宋体" w:cs="宋体"/>
          <w:color w:val="auto"/>
          <w:szCs w:val="21"/>
          <w:u w:val="single"/>
        </w:rPr>
        <w:t>所有报价的算术平均值为评标参考价</w:t>
      </w:r>
      <w:r>
        <w:rPr>
          <w:rFonts w:ascii="宋体" w:hAnsi="宋体" w:cs="宋体"/>
          <w:color w:val="auto"/>
          <w:szCs w:val="21"/>
          <w:u w:val="single"/>
        </w:rPr>
        <w:t>。</w:t>
      </w:r>
    </w:p>
    <w:p w14:paraId="3C3FF21A">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（2）当经算术校核的投标总报价等于评标参考价时得100分，报价每高于评标参考价1%，扣1</w:t>
      </w:r>
      <w:r>
        <w:rPr>
          <w:rFonts w:hint="eastAsia" w:ascii="宋体" w:hAnsi="宋体" w:cs="宋体"/>
          <w:color w:val="auto"/>
          <w:szCs w:val="21"/>
          <w:u w:val="single"/>
          <w:lang w:val="en-US" w:eastAsia="zh-CN"/>
        </w:rPr>
        <w:t>.5</w:t>
      </w:r>
      <w:r>
        <w:rPr>
          <w:rFonts w:hint="eastAsia" w:ascii="宋体" w:hAnsi="宋体" w:cs="宋体"/>
          <w:color w:val="auto"/>
          <w:szCs w:val="21"/>
          <w:u w:val="single"/>
        </w:rPr>
        <w:t>分，每低于评标参考价1%，扣</w:t>
      </w:r>
      <w:r>
        <w:rPr>
          <w:rFonts w:hint="eastAsia" w:ascii="宋体" w:hAnsi="宋体" w:cs="宋体"/>
          <w:color w:val="auto"/>
          <w:szCs w:val="21"/>
          <w:u w:val="single"/>
          <w:lang w:val="en-US" w:eastAsia="zh-CN"/>
        </w:rPr>
        <w:t>1</w:t>
      </w:r>
      <w:r>
        <w:rPr>
          <w:rFonts w:hint="eastAsia" w:ascii="宋体" w:hAnsi="宋体" w:cs="宋体"/>
          <w:color w:val="auto"/>
          <w:szCs w:val="21"/>
          <w:u w:val="single"/>
        </w:rPr>
        <w:t>分，扣至0分为止，得出投标报价得分，精确到小数点后两位。</w:t>
      </w:r>
    </w:p>
    <w:p w14:paraId="287ACC7C">
      <w:pPr>
        <w:pStyle w:val="4"/>
        <w:spacing w:before="120" w:after="0" w:line="360" w:lineRule="auto"/>
        <w:rPr>
          <w:rFonts w:hint="eastAsia" w:ascii="宋体" w:eastAsia="宋体" w:cs="宋体"/>
          <w:color w:val="auto"/>
          <w:u w:val="single"/>
        </w:rPr>
      </w:pPr>
      <w:bookmarkStart w:id="513" w:name="_Toc2675447"/>
      <w:bookmarkStart w:id="514" w:name="_Toc33695052"/>
      <w:bookmarkStart w:id="515" w:name="_Toc26575"/>
      <w:bookmarkStart w:id="516" w:name="_Toc12088"/>
      <w:bookmarkStart w:id="517" w:name="_Toc31412"/>
      <w:bookmarkStart w:id="518" w:name="_Toc24469"/>
      <w:bookmarkStart w:id="519" w:name="_Toc8695"/>
      <w:r>
        <w:rPr>
          <w:rFonts w:hint="eastAsia" w:ascii="宋体" w:eastAsia="宋体" w:cs="宋体"/>
          <w:color w:val="auto"/>
          <w:u w:val="single"/>
        </w:rPr>
        <w:t>3.5</w:t>
      </w:r>
      <w:bookmarkEnd w:id="513"/>
      <w:bookmarkStart w:id="520" w:name="_Toc2675448"/>
      <w:r>
        <w:rPr>
          <w:rFonts w:hint="eastAsia" w:ascii="宋体" w:eastAsia="宋体" w:cs="宋体"/>
          <w:color w:val="auto"/>
          <w:u w:val="single"/>
        </w:rPr>
        <w:t>评审汇总</w:t>
      </w:r>
      <w:bookmarkEnd w:id="514"/>
      <w:bookmarkEnd w:id="515"/>
      <w:bookmarkEnd w:id="516"/>
      <w:bookmarkEnd w:id="517"/>
      <w:bookmarkEnd w:id="518"/>
      <w:bookmarkEnd w:id="519"/>
    </w:p>
    <w:p w14:paraId="1C3FAB47">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3.5.1投标人总得分满分为100分，各部分分值分配详见评标办法前附表。</w:t>
      </w:r>
    </w:p>
    <w:p w14:paraId="38D1FC55">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3.5.2</w:t>
      </w:r>
      <w:r>
        <w:rPr>
          <w:rFonts w:hint="eastAsia" w:ascii="宋体" w:hAnsi="宋体" w:cs="宋体"/>
          <w:color w:val="auto"/>
          <w:u w:val="single"/>
        </w:rPr>
        <w:t>评标委员会</w:t>
      </w:r>
      <w:r>
        <w:rPr>
          <w:rFonts w:hint="eastAsia" w:ascii="宋体" w:hAnsi="宋体" w:cs="宋体"/>
          <w:color w:val="auto"/>
          <w:szCs w:val="21"/>
          <w:u w:val="single"/>
        </w:rPr>
        <w:t>汇总各有效投标文件的总分，并按照总分从高到低排列先后次序，只有通过形式审查、资格审查、</w:t>
      </w:r>
      <w:r>
        <w:rPr>
          <w:rFonts w:hint="eastAsia" w:ascii="宋体" w:hAnsi="宋体" w:cs="宋体"/>
          <w:color w:val="auto"/>
          <w:u w:val="single"/>
        </w:rPr>
        <w:t>设计方案响应性审查和</w:t>
      </w:r>
      <w:r>
        <w:rPr>
          <w:rFonts w:hint="eastAsia" w:ascii="宋体" w:hAnsi="宋体" w:cs="宋体"/>
          <w:color w:val="auto"/>
          <w:szCs w:val="21"/>
          <w:u w:val="single"/>
        </w:rPr>
        <w:t>工程承包实施方案</w:t>
      </w:r>
      <w:r>
        <w:rPr>
          <w:rFonts w:hint="eastAsia" w:ascii="宋体" w:hAnsi="宋体" w:cs="宋体"/>
          <w:color w:val="auto"/>
          <w:u w:val="single"/>
        </w:rPr>
        <w:t>响应性审查</w:t>
      </w:r>
      <w:r>
        <w:rPr>
          <w:rFonts w:hint="eastAsia" w:ascii="宋体" w:hAnsi="宋体" w:cs="宋体"/>
          <w:color w:val="auto"/>
          <w:szCs w:val="21"/>
          <w:u w:val="single"/>
        </w:rPr>
        <w:t>的投标文件方可计算总分。</w:t>
      </w:r>
      <w:r>
        <w:rPr>
          <w:rFonts w:hint="eastAsia" w:ascii="宋体" w:hAnsi="宋体" w:cs="宋体"/>
          <w:color w:val="auto"/>
          <w:u w:val="single"/>
        </w:rPr>
        <w:t>总分相同的，以工程承包实施方案评审得分较高的排前；总分与工程承包实施方案评审得分均相同的投标文件，以投标报价得分高的排前；如仍存在相同情况，则对具有相同情况的投标人，按中标候选人数量规定，则由评标委员会采用记名投票以得票多优先，确定中标候选人的排序。评标委员会应按排序先后，向招标人推荐前3名投标人依次为第一中标候选人至第三中标候选人，并编写评标报告</w:t>
      </w:r>
      <w:r>
        <w:rPr>
          <w:rFonts w:hint="eastAsia" w:ascii="宋体" w:hAnsi="宋体" w:cs="宋体"/>
          <w:color w:val="auto"/>
          <w:szCs w:val="21"/>
          <w:u w:val="single"/>
        </w:rPr>
        <w:t>。</w:t>
      </w:r>
    </w:p>
    <w:p w14:paraId="2740E5D3">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3.5.3有效投标单位不足三家，应当依法重新组织招标。</w:t>
      </w:r>
    </w:p>
    <w:p w14:paraId="200C7492">
      <w:pPr>
        <w:pStyle w:val="4"/>
        <w:tabs>
          <w:tab w:val="left" w:pos="2356"/>
        </w:tabs>
        <w:spacing w:before="100" w:after="100" w:line="360" w:lineRule="auto"/>
        <w:rPr>
          <w:rFonts w:hint="eastAsia" w:ascii="宋体" w:eastAsia="宋体" w:cs="宋体"/>
          <w:color w:val="auto"/>
          <w:u w:val="single"/>
        </w:rPr>
      </w:pPr>
      <w:bookmarkStart w:id="521" w:name="_Toc28206"/>
      <w:bookmarkStart w:id="522" w:name="_Toc30498"/>
      <w:bookmarkStart w:id="523" w:name="_Toc28792"/>
      <w:bookmarkStart w:id="524" w:name="_Toc26291"/>
      <w:bookmarkStart w:id="525" w:name="_Toc31614"/>
      <w:bookmarkStart w:id="526" w:name="_Toc33695053"/>
      <w:r>
        <w:rPr>
          <w:rFonts w:hint="eastAsia" w:ascii="宋体" w:eastAsia="宋体" w:cs="宋体"/>
          <w:color w:val="auto"/>
          <w:u w:val="single"/>
        </w:rPr>
        <w:t>3.6投标文件的澄清和补正</w:t>
      </w:r>
      <w:bookmarkEnd w:id="520"/>
      <w:bookmarkEnd w:id="521"/>
      <w:bookmarkEnd w:id="522"/>
      <w:bookmarkEnd w:id="523"/>
      <w:bookmarkEnd w:id="524"/>
      <w:bookmarkEnd w:id="525"/>
      <w:bookmarkEnd w:id="526"/>
    </w:p>
    <w:p w14:paraId="5EAD547E">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3.6.1为有助于投标文件的审查、评价和比较，评标期间，经评标委员会中两人以上（含两人）的成员以书面形式提出动议，评标委员会应当书面发出澄清通知，要求投标人对投标文件含义不明确的内容作出澄清。</w:t>
      </w:r>
    </w:p>
    <w:p w14:paraId="076E4793">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3.6.2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14:paraId="72EFB2C4">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3.6.3 评标委员会成员均应当阅读投标人的澄清，但应独立参考澄清对投标文件进行评审。</w:t>
      </w:r>
    </w:p>
    <w:p w14:paraId="0E8E9A52">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3.6.4如果投标文件实质上不响应招标文件的各项要求，评标委员会相应评审将按照响应性审查标准予以拒绝，不接受投标人通过修改或撤销其不符合要求的差异或保留，使之成为具有响应性的投标。</w:t>
      </w:r>
    </w:p>
    <w:p w14:paraId="319D8A4D">
      <w:pPr>
        <w:pStyle w:val="4"/>
        <w:spacing w:before="100" w:after="100" w:line="360" w:lineRule="auto"/>
        <w:rPr>
          <w:rFonts w:hint="eastAsia" w:ascii="宋体" w:eastAsia="宋体" w:cs="宋体"/>
          <w:color w:val="auto"/>
          <w:u w:val="single"/>
        </w:rPr>
      </w:pPr>
      <w:bookmarkStart w:id="527" w:name="_Toc27953"/>
      <w:bookmarkStart w:id="528" w:name="_Toc13739"/>
      <w:bookmarkStart w:id="529" w:name="_Toc11290"/>
      <w:bookmarkStart w:id="530" w:name="_Toc2675449"/>
      <w:bookmarkStart w:id="531" w:name="_Toc33695054"/>
      <w:bookmarkStart w:id="532" w:name="_Toc19558"/>
      <w:bookmarkStart w:id="533" w:name="_Toc15798"/>
      <w:r>
        <w:rPr>
          <w:rFonts w:hint="eastAsia" w:ascii="宋体" w:eastAsia="宋体" w:cs="宋体"/>
          <w:color w:val="auto"/>
          <w:u w:val="single"/>
        </w:rPr>
        <w:t>3.7评标结果</w:t>
      </w:r>
      <w:bookmarkEnd w:id="527"/>
      <w:bookmarkEnd w:id="528"/>
      <w:bookmarkEnd w:id="529"/>
      <w:bookmarkEnd w:id="530"/>
      <w:bookmarkEnd w:id="531"/>
      <w:bookmarkEnd w:id="532"/>
      <w:bookmarkEnd w:id="533"/>
    </w:p>
    <w:p w14:paraId="3A43B0D1">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3.7.1 除第二章“投标人须知”前附表授权直接确定中标人外，评标委员会按照得分由高到低的顺序推荐中标候选人。</w:t>
      </w:r>
    </w:p>
    <w:p w14:paraId="2C931830">
      <w:pPr>
        <w:spacing w:line="360" w:lineRule="auto"/>
        <w:ind w:firstLine="420" w:firstLineChars="200"/>
        <w:rPr>
          <w:rFonts w:hint="eastAsia" w:ascii="宋体" w:hAnsi="宋体" w:cs="宋体"/>
          <w:color w:val="auto"/>
          <w:u w:val="single"/>
        </w:rPr>
      </w:pPr>
      <w:r>
        <w:rPr>
          <w:rFonts w:hint="eastAsia" w:ascii="宋体" w:hAnsi="宋体" w:cs="宋体"/>
          <w:color w:val="auto"/>
          <w:u w:val="single"/>
        </w:rPr>
        <w:t>3.7.2 评标委员会完成评标后，应当向招标人提交书面评标报告。</w:t>
      </w:r>
    </w:p>
    <w:p w14:paraId="2CCEF89E">
      <w:pPr>
        <w:pStyle w:val="36"/>
        <w:rPr>
          <w:color w:val="auto"/>
        </w:rPr>
      </w:pPr>
    </w:p>
    <w:p w14:paraId="6A668115">
      <w:pPr>
        <w:pStyle w:val="36"/>
        <w:rPr>
          <w:color w:val="auto"/>
        </w:rPr>
      </w:pPr>
    </w:p>
    <w:p w14:paraId="432C298E">
      <w:pPr>
        <w:pStyle w:val="36"/>
        <w:rPr>
          <w:color w:val="auto"/>
        </w:rPr>
      </w:pPr>
    </w:p>
    <w:p w14:paraId="6A4EE15C">
      <w:pPr>
        <w:pStyle w:val="36"/>
        <w:rPr>
          <w:color w:val="auto"/>
        </w:rPr>
      </w:pPr>
    </w:p>
    <w:p w14:paraId="663370A1">
      <w:pPr>
        <w:pStyle w:val="2"/>
        <w:jc w:val="center"/>
        <w:rPr>
          <w:rFonts w:hint="eastAsia" w:ascii="宋体" w:hAnsi="宋体" w:cs="宋体"/>
          <w:color w:val="auto"/>
        </w:rPr>
      </w:pPr>
    </w:p>
    <w:p w14:paraId="676E4207">
      <w:pPr>
        <w:pStyle w:val="2"/>
        <w:jc w:val="center"/>
        <w:rPr>
          <w:rFonts w:hint="eastAsia" w:ascii="宋体" w:hAnsi="宋体" w:cs="宋体"/>
          <w:color w:val="auto"/>
        </w:rPr>
      </w:pPr>
      <w:bookmarkStart w:id="534" w:name="_Toc22031"/>
      <w:r>
        <w:rPr>
          <w:rFonts w:hint="eastAsia" w:ascii="宋体" w:hAnsi="宋体" w:cs="宋体"/>
          <w:color w:val="auto"/>
        </w:rPr>
        <w:t>第四章 合同条款及格式</w:t>
      </w:r>
      <w:bookmarkEnd w:id="429"/>
      <w:bookmarkEnd w:id="430"/>
      <w:bookmarkEnd w:id="431"/>
      <w:bookmarkEnd w:id="432"/>
      <w:bookmarkEnd w:id="433"/>
      <w:bookmarkEnd w:id="434"/>
      <w:bookmarkEnd w:id="534"/>
      <w:bookmarkStart w:id="535" w:name="_Toc247527635"/>
      <w:bookmarkStart w:id="536" w:name="_Toc152042388"/>
      <w:bookmarkStart w:id="537" w:name="_Toc184635097"/>
      <w:bookmarkStart w:id="538" w:name="_Toc152045610"/>
      <w:bookmarkStart w:id="539" w:name="_Toc144974578"/>
      <w:bookmarkStart w:id="540" w:name="_Toc247514034"/>
    </w:p>
    <w:p w14:paraId="434614FF">
      <w:pPr>
        <w:rPr>
          <w:color w:val="auto"/>
        </w:rPr>
      </w:pPr>
      <w:r>
        <w:rPr>
          <w:rFonts w:hint="eastAsia"/>
          <w:color w:val="auto"/>
        </w:rPr>
        <w:t>　　　　　　　　　　　　　　　　　　　（另册）</w:t>
      </w:r>
    </w:p>
    <w:bookmarkEnd w:id="535"/>
    <w:bookmarkEnd w:id="536"/>
    <w:bookmarkEnd w:id="537"/>
    <w:bookmarkEnd w:id="538"/>
    <w:bookmarkEnd w:id="539"/>
    <w:bookmarkEnd w:id="540"/>
    <w:p w14:paraId="2448C7EA">
      <w:pPr>
        <w:pStyle w:val="2"/>
        <w:rPr>
          <w:rFonts w:hint="eastAsia" w:ascii="宋体" w:hAnsi="宋体" w:cs="宋体"/>
          <w:color w:val="auto"/>
        </w:rPr>
      </w:pPr>
      <w:r>
        <w:rPr>
          <w:rFonts w:hint="eastAsia" w:ascii="宋体" w:hAnsi="宋体" w:cs="宋体"/>
          <w:color w:val="auto"/>
        </w:rPr>
        <w:br w:type="page"/>
      </w:r>
    </w:p>
    <w:p w14:paraId="652AFA75">
      <w:pPr>
        <w:pStyle w:val="2"/>
        <w:jc w:val="center"/>
        <w:rPr>
          <w:rFonts w:hint="eastAsia" w:ascii="宋体" w:hAnsi="宋体" w:cs="宋体"/>
          <w:color w:val="auto"/>
        </w:rPr>
      </w:pPr>
      <w:bookmarkStart w:id="541" w:name="_Toc152042554"/>
      <w:bookmarkStart w:id="542" w:name="_Toc144974834"/>
      <w:bookmarkStart w:id="543" w:name="_Toc247514202"/>
      <w:bookmarkStart w:id="544" w:name="_Toc152045772"/>
      <w:bookmarkStart w:id="545" w:name="_Toc247527803"/>
      <w:r>
        <w:rPr>
          <w:rFonts w:hint="eastAsia" w:ascii="宋体" w:hAnsi="宋体" w:cs="宋体"/>
          <w:color w:val="auto"/>
        </w:rPr>
        <w:t xml:space="preserve"> </w:t>
      </w:r>
      <w:bookmarkEnd w:id="541"/>
      <w:bookmarkEnd w:id="542"/>
      <w:bookmarkEnd w:id="543"/>
      <w:bookmarkEnd w:id="544"/>
      <w:bookmarkEnd w:id="545"/>
    </w:p>
    <w:p w14:paraId="73D02C8B">
      <w:pPr>
        <w:spacing w:line="400" w:lineRule="exact"/>
        <w:rPr>
          <w:rFonts w:hint="eastAsia" w:ascii="宋体" w:hAnsi="宋体" w:cs="宋体"/>
          <w:color w:val="auto"/>
        </w:rPr>
      </w:pPr>
    </w:p>
    <w:p w14:paraId="7E6B508F">
      <w:pPr>
        <w:pStyle w:val="2"/>
        <w:jc w:val="center"/>
        <w:rPr>
          <w:rFonts w:hint="eastAsia" w:ascii="宋体" w:hAnsi="宋体" w:cs="宋体"/>
          <w:color w:val="auto"/>
          <w:sz w:val="20"/>
          <w:szCs w:val="20"/>
        </w:rPr>
      </w:pPr>
      <w:bookmarkStart w:id="546" w:name="_Toc247514232"/>
      <w:bookmarkStart w:id="547" w:name="_Toc247527819"/>
      <w:bookmarkStart w:id="548" w:name="_Toc26758"/>
      <w:bookmarkStart w:id="549" w:name="_Toc25556"/>
      <w:r>
        <w:rPr>
          <w:rFonts w:hint="eastAsia" w:ascii="宋体" w:hAnsi="宋体" w:cs="宋体"/>
          <w:color w:val="auto"/>
        </w:rPr>
        <w:t>第二卷</w:t>
      </w:r>
      <w:bookmarkEnd w:id="546"/>
      <w:bookmarkEnd w:id="547"/>
      <w:r>
        <w:rPr>
          <w:rFonts w:hint="eastAsia" w:ascii="宋体" w:hAnsi="宋体" w:cs="宋体"/>
          <w:color w:val="auto"/>
        </w:rPr>
        <w:br w:type="page"/>
      </w:r>
      <w:bookmarkEnd w:id="548"/>
      <w:bookmarkEnd w:id="549"/>
    </w:p>
    <w:p w14:paraId="7BE7EF5E">
      <w:pPr>
        <w:spacing w:line="440" w:lineRule="exact"/>
        <w:jc w:val="center"/>
        <w:rPr>
          <w:rFonts w:hint="eastAsia" w:ascii="宋体" w:hAnsi="宋体" w:cs="宋体"/>
          <w:color w:val="auto"/>
          <w:sz w:val="20"/>
          <w:szCs w:val="20"/>
        </w:rPr>
      </w:pPr>
    </w:p>
    <w:p w14:paraId="1C67F006">
      <w:pPr>
        <w:spacing w:line="440" w:lineRule="exact"/>
        <w:jc w:val="center"/>
        <w:rPr>
          <w:rFonts w:hint="eastAsia" w:ascii="宋体" w:hAnsi="宋体" w:cs="宋体"/>
          <w:color w:val="auto"/>
          <w:sz w:val="20"/>
          <w:szCs w:val="20"/>
        </w:rPr>
      </w:pPr>
    </w:p>
    <w:p w14:paraId="797972D4">
      <w:pPr>
        <w:pStyle w:val="2"/>
        <w:jc w:val="center"/>
        <w:rPr>
          <w:rFonts w:hint="eastAsia" w:ascii="宋体" w:hAnsi="宋体" w:cs="宋体"/>
          <w:color w:val="auto"/>
        </w:rPr>
      </w:pPr>
      <w:bookmarkStart w:id="550" w:name="_Toc152042571"/>
      <w:bookmarkStart w:id="551" w:name="_Toc152045782"/>
      <w:bookmarkStart w:id="552" w:name="_Toc247514233"/>
      <w:bookmarkStart w:id="553" w:name="_Toc247527820"/>
      <w:bookmarkStart w:id="554" w:name="_Toc144974851"/>
      <w:bookmarkStart w:id="555" w:name="_Toc32592"/>
      <w:bookmarkStart w:id="556" w:name="_Toc16616"/>
      <w:r>
        <w:rPr>
          <w:rFonts w:hint="eastAsia" w:ascii="宋体" w:hAnsi="宋体" w:cs="宋体"/>
          <w:color w:val="auto"/>
        </w:rPr>
        <w:t xml:space="preserve">第五章  </w:t>
      </w:r>
      <w:bookmarkEnd w:id="550"/>
      <w:bookmarkEnd w:id="551"/>
      <w:bookmarkEnd w:id="552"/>
      <w:bookmarkEnd w:id="553"/>
      <w:bookmarkEnd w:id="554"/>
      <w:r>
        <w:rPr>
          <w:rFonts w:hint="eastAsia" w:ascii="宋体" w:hAnsi="宋体" w:cs="宋体"/>
          <w:color w:val="auto"/>
        </w:rPr>
        <w:t>招标人要求</w:t>
      </w:r>
      <w:bookmarkEnd w:id="555"/>
      <w:bookmarkEnd w:id="556"/>
    </w:p>
    <w:p w14:paraId="1697C377">
      <w:pPr>
        <w:topLinePunct/>
        <w:spacing w:line="440" w:lineRule="exact"/>
        <w:jc w:val="center"/>
        <w:rPr>
          <w:rFonts w:hint="eastAsia" w:ascii="宋体" w:hAnsi="宋体" w:cs="宋体"/>
          <w:color w:val="auto"/>
        </w:rPr>
      </w:pPr>
    </w:p>
    <w:p w14:paraId="391B441D">
      <w:pPr>
        <w:pStyle w:val="19"/>
        <w:rPr>
          <w:rFonts w:hint="eastAsia" w:ascii="宋体" w:hAnsi="宋体" w:cs="宋体"/>
          <w:color w:val="auto"/>
        </w:rPr>
      </w:pPr>
    </w:p>
    <w:p w14:paraId="03F44D08">
      <w:pPr>
        <w:rPr>
          <w:rFonts w:hint="eastAsia" w:ascii="宋体" w:hAnsi="宋体" w:cs="宋体"/>
          <w:color w:val="auto"/>
        </w:rPr>
      </w:pPr>
    </w:p>
    <w:p w14:paraId="6C50A8DC">
      <w:pPr>
        <w:pStyle w:val="19"/>
        <w:rPr>
          <w:rFonts w:hint="eastAsia" w:ascii="宋体" w:hAnsi="宋体" w:cs="宋体"/>
          <w:color w:val="auto"/>
        </w:rPr>
      </w:pPr>
    </w:p>
    <w:p w14:paraId="7E29D4E0">
      <w:pPr>
        <w:rPr>
          <w:rFonts w:hint="eastAsia" w:ascii="宋体" w:hAnsi="宋体" w:cs="宋体"/>
          <w:color w:val="auto"/>
        </w:rPr>
      </w:pPr>
    </w:p>
    <w:p w14:paraId="5F1FAB8B">
      <w:pPr>
        <w:pStyle w:val="19"/>
        <w:rPr>
          <w:rFonts w:hint="eastAsia" w:ascii="宋体" w:hAnsi="宋体" w:cs="宋体"/>
          <w:color w:val="auto"/>
        </w:rPr>
      </w:pPr>
    </w:p>
    <w:p w14:paraId="13BAD885">
      <w:pPr>
        <w:rPr>
          <w:rFonts w:hint="eastAsia" w:ascii="宋体" w:hAnsi="宋体" w:cs="宋体"/>
          <w:color w:val="auto"/>
        </w:rPr>
      </w:pPr>
    </w:p>
    <w:p w14:paraId="78BD7CE5">
      <w:pPr>
        <w:pStyle w:val="19"/>
        <w:rPr>
          <w:rFonts w:hint="eastAsia" w:ascii="宋体" w:hAnsi="宋体" w:cs="宋体"/>
          <w:color w:val="auto"/>
        </w:rPr>
      </w:pPr>
    </w:p>
    <w:p w14:paraId="0021360F">
      <w:pPr>
        <w:rPr>
          <w:rFonts w:hint="eastAsia" w:ascii="宋体" w:hAnsi="宋体" w:cs="宋体"/>
          <w:color w:val="auto"/>
        </w:rPr>
      </w:pPr>
    </w:p>
    <w:p w14:paraId="102F6F5E">
      <w:pPr>
        <w:pStyle w:val="19"/>
        <w:rPr>
          <w:rFonts w:hint="eastAsia" w:ascii="宋体" w:hAnsi="宋体" w:cs="宋体"/>
          <w:color w:val="auto"/>
        </w:rPr>
      </w:pPr>
    </w:p>
    <w:p w14:paraId="4D6597E9">
      <w:pPr>
        <w:rPr>
          <w:rFonts w:hint="eastAsia" w:ascii="宋体" w:hAnsi="宋体" w:cs="宋体"/>
          <w:color w:val="auto"/>
        </w:rPr>
      </w:pPr>
    </w:p>
    <w:p w14:paraId="46439342">
      <w:pPr>
        <w:pStyle w:val="19"/>
        <w:rPr>
          <w:rFonts w:hint="eastAsia" w:ascii="宋体" w:hAnsi="宋体" w:cs="宋体"/>
          <w:color w:val="auto"/>
        </w:rPr>
      </w:pPr>
    </w:p>
    <w:p w14:paraId="089D7180">
      <w:pPr>
        <w:rPr>
          <w:rFonts w:hint="eastAsia" w:ascii="宋体" w:hAnsi="宋体" w:cs="宋体"/>
          <w:color w:val="auto"/>
        </w:rPr>
      </w:pPr>
    </w:p>
    <w:p w14:paraId="72029EFF">
      <w:pPr>
        <w:pStyle w:val="19"/>
        <w:rPr>
          <w:rFonts w:hint="eastAsia" w:ascii="宋体" w:hAnsi="宋体" w:cs="宋体"/>
          <w:color w:val="auto"/>
        </w:rPr>
      </w:pPr>
    </w:p>
    <w:p w14:paraId="4C5314FF">
      <w:pPr>
        <w:rPr>
          <w:rFonts w:hint="eastAsia" w:ascii="宋体" w:hAnsi="宋体" w:cs="宋体"/>
          <w:color w:val="auto"/>
        </w:rPr>
      </w:pPr>
    </w:p>
    <w:p w14:paraId="14F2B957">
      <w:pPr>
        <w:pStyle w:val="19"/>
        <w:rPr>
          <w:rFonts w:hint="eastAsia" w:ascii="宋体" w:hAnsi="宋体" w:cs="宋体"/>
          <w:color w:val="auto"/>
        </w:rPr>
      </w:pPr>
    </w:p>
    <w:p w14:paraId="0C40AB0D">
      <w:pPr>
        <w:rPr>
          <w:rFonts w:hint="eastAsia" w:ascii="宋体" w:hAnsi="宋体" w:cs="宋体"/>
          <w:color w:val="auto"/>
        </w:rPr>
      </w:pPr>
    </w:p>
    <w:p w14:paraId="761F012A">
      <w:pPr>
        <w:pStyle w:val="19"/>
        <w:rPr>
          <w:rFonts w:hint="eastAsia" w:ascii="宋体" w:hAnsi="宋体" w:cs="宋体"/>
          <w:color w:val="auto"/>
        </w:rPr>
      </w:pPr>
    </w:p>
    <w:p w14:paraId="40726D13">
      <w:pPr>
        <w:rPr>
          <w:rFonts w:hint="eastAsia" w:ascii="宋体" w:hAnsi="宋体" w:cs="宋体"/>
          <w:color w:val="auto"/>
        </w:rPr>
      </w:pPr>
    </w:p>
    <w:p w14:paraId="4C2283EB">
      <w:pPr>
        <w:pStyle w:val="19"/>
        <w:rPr>
          <w:rFonts w:hint="eastAsia" w:ascii="宋体" w:hAnsi="宋体" w:cs="宋体"/>
          <w:color w:val="auto"/>
        </w:rPr>
      </w:pPr>
    </w:p>
    <w:p w14:paraId="15CB7A0A">
      <w:pPr>
        <w:rPr>
          <w:rFonts w:hint="eastAsia" w:ascii="宋体" w:hAnsi="宋体" w:cs="宋体"/>
          <w:color w:val="auto"/>
        </w:rPr>
      </w:pPr>
    </w:p>
    <w:p w14:paraId="06C99297">
      <w:pPr>
        <w:pStyle w:val="19"/>
        <w:rPr>
          <w:rFonts w:hint="eastAsia" w:ascii="宋体" w:hAnsi="宋体" w:cs="宋体"/>
          <w:color w:val="auto"/>
        </w:rPr>
      </w:pPr>
    </w:p>
    <w:p w14:paraId="2EBB9801">
      <w:pPr>
        <w:rPr>
          <w:rFonts w:hint="eastAsia" w:ascii="宋体" w:hAnsi="宋体" w:cs="宋体"/>
          <w:color w:val="auto"/>
        </w:rPr>
      </w:pPr>
    </w:p>
    <w:p w14:paraId="421B2712">
      <w:pPr>
        <w:pStyle w:val="19"/>
        <w:rPr>
          <w:rFonts w:hint="eastAsia" w:ascii="宋体" w:hAnsi="宋体" w:cs="宋体"/>
          <w:color w:val="auto"/>
        </w:rPr>
      </w:pPr>
    </w:p>
    <w:p w14:paraId="76EE1575">
      <w:pPr>
        <w:rPr>
          <w:rFonts w:hint="eastAsia" w:ascii="宋体" w:hAnsi="宋体" w:cs="宋体"/>
          <w:color w:val="auto"/>
        </w:rPr>
      </w:pPr>
    </w:p>
    <w:p w14:paraId="2E84173E">
      <w:pPr>
        <w:pStyle w:val="19"/>
        <w:rPr>
          <w:rFonts w:hint="eastAsia" w:ascii="宋体" w:hAnsi="宋体" w:cs="宋体"/>
          <w:color w:val="auto"/>
        </w:rPr>
      </w:pPr>
    </w:p>
    <w:p w14:paraId="3CF3091E">
      <w:pPr>
        <w:rPr>
          <w:rFonts w:hint="eastAsia" w:ascii="宋体" w:hAnsi="宋体" w:cs="宋体"/>
          <w:color w:val="auto"/>
        </w:rPr>
      </w:pPr>
    </w:p>
    <w:p w14:paraId="24520228">
      <w:pPr>
        <w:pStyle w:val="19"/>
        <w:rPr>
          <w:rFonts w:hint="eastAsia" w:ascii="宋体" w:hAnsi="宋体" w:cs="宋体"/>
          <w:color w:val="auto"/>
        </w:rPr>
      </w:pPr>
    </w:p>
    <w:p w14:paraId="5E75B159">
      <w:pPr>
        <w:rPr>
          <w:rFonts w:hint="eastAsia" w:ascii="宋体" w:hAnsi="宋体" w:cs="宋体"/>
          <w:color w:val="auto"/>
        </w:rPr>
      </w:pPr>
    </w:p>
    <w:p w14:paraId="04DD443A">
      <w:pPr>
        <w:pStyle w:val="19"/>
        <w:rPr>
          <w:rFonts w:hint="eastAsia" w:ascii="宋体" w:hAnsi="宋体" w:cs="宋体"/>
          <w:color w:val="auto"/>
        </w:rPr>
      </w:pPr>
    </w:p>
    <w:p w14:paraId="3F6A83A8">
      <w:pPr>
        <w:rPr>
          <w:rFonts w:hint="eastAsia" w:ascii="宋体" w:hAnsi="宋体" w:cs="宋体"/>
          <w:color w:val="auto"/>
        </w:rPr>
      </w:pPr>
    </w:p>
    <w:p w14:paraId="2835514B">
      <w:pPr>
        <w:pStyle w:val="19"/>
        <w:rPr>
          <w:rFonts w:hint="eastAsia" w:ascii="宋体" w:hAnsi="宋体" w:cs="宋体"/>
          <w:color w:val="auto"/>
        </w:rPr>
      </w:pPr>
    </w:p>
    <w:p w14:paraId="14941A0B">
      <w:pPr>
        <w:rPr>
          <w:rFonts w:hint="eastAsia" w:ascii="宋体" w:hAnsi="宋体" w:cs="宋体"/>
          <w:color w:val="auto"/>
        </w:rPr>
      </w:pPr>
    </w:p>
    <w:p w14:paraId="62474BB1">
      <w:pPr>
        <w:pStyle w:val="19"/>
        <w:rPr>
          <w:rFonts w:hint="eastAsia" w:ascii="宋体" w:hAnsi="宋体" w:cs="宋体"/>
          <w:color w:val="auto"/>
        </w:rPr>
      </w:pPr>
    </w:p>
    <w:p w14:paraId="7CD62896">
      <w:pPr>
        <w:rPr>
          <w:rFonts w:hint="eastAsia" w:ascii="宋体" w:hAnsi="宋体" w:cs="宋体"/>
          <w:color w:val="auto"/>
        </w:rPr>
      </w:pPr>
    </w:p>
    <w:p w14:paraId="77F4D296">
      <w:pPr>
        <w:pStyle w:val="19"/>
        <w:rPr>
          <w:rFonts w:hint="eastAsia" w:ascii="宋体" w:hAnsi="宋体" w:cs="宋体"/>
          <w:color w:val="auto"/>
        </w:rPr>
      </w:pPr>
    </w:p>
    <w:p w14:paraId="2304E4B4">
      <w:pPr>
        <w:rPr>
          <w:rFonts w:hint="eastAsia" w:ascii="宋体" w:hAnsi="宋体" w:cs="宋体"/>
          <w:color w:val="auto"/>
        </w:rPr>
      </w:pPr>
    </w:p>
    <w:p w14:paraId="45ED6175">
      <w:pPr>
        <w:pStyle w:val="19"/>
        <w:rPr>
          <w:rFonts w:hint="eastAsia" w:ascii="宋体" w:hAnsi="宋体" w:cs="宋体"/>
          <w:color w:val="auto"/>
        </w:rPr>
      </w:pPr>
    </w:p>
    <w:p w14:paraId="41020CC1">
      <w:pPr>
        <w:spacing w:line="560" w:lineRule="exact"/>
        <w:jc w:val="center"/>
        <w:outlineLvl w:val="9"/>
        <w:rPr>
          <w:rFonts w:ascii="Times New Roman" w:hAnsi="Times New Roman" w:eastAsia="黑体" w:cs="Times New Roman"/>
          <w:color w:val="auto"/>
          <w:sz w:val="44"/>
          <w:szCs w:val="44"/>
        </w:rPr>
      </w:pPr>
      <w:r>
        <w:rPr>
          <w:rFonts w:ascii="Times New Roman" w:hAnsi="Times New Roman" w:eastAsia="黑体" w:cs="Times New Roman"/>
          <w:color w:val="auto"/>
          <w:sz w:val="44"/>
          <w:szCs w:val="44"/>
        </w:rPr>
        <w:t>广州市越秀区西湖路54-58号第一福北京路旗舰店改造项目设计施工一体化</w:t>
      </w:r>
    </w:p>
    <w:p w14:paraId="2A837C07">
      <w:pPr>
        <w:spacing w:line="560" w:lineRule="exact"/>
        <w:jc w:val="center"/>
        <w:outlineLvl w:val="0"/>
        <w:rPr>
          <w:rFonts w:ascii="Times New Roman" w:hAnsi="Times New Roman" w:eastAsia="黑体" w:cs="Times New Roman"/>
          <w:color w:val="auto"/>
          <w:sz w:val="44"/>
          <w:szCs w:val="44"/>
        </w:rPr>
      </w:pPr>
      <w:bookmarkStart w:id="557" w:name="_Toc4824"/>
      <w:r>
        <w:rPr>
          <w:rFonts w:ascii="Times New Roman" w:hAnsi="Times New Roman" w:eastAsia="黑体" w:cs="Times New Roman"/>
          <w:color w:val="auto"/>
          <w:sz w:val="44"/>
          <w:szCs w:val="44"/>
        </w:rPr>
        <w:t>设计任务书</w:t>
      </w:r>
      <w:bookmarkEnd w:id="557"/>
    </w:p>
    <w:p w14:paraId="77330492">
      <w:pPr>
        <w:spacing w:line="560" w:lineRule="exact"/>
        <w:rPr>
          <w:rFonts w:ascii="Times New Roman" w:hAnsi="Times New Roman" w:eastAsia="黑体" w:cs="Times New Roman"/>
          <w:color w:val="auto"/>
          <w:sz w:val="44"/>
          <w:szCs w:val="44"/>
        </w:rPr>
      </w:pPr>
    </w:p>
    <w:p w14:paraId="464A4B30">
      <w:pPr>
        <w:spacing w:line="560" w:lineRule="exact"/>
        <w:ind w:firstLine="640" w:firstLineChars="200"/>
        <w:outlineLvl w:val="9"/>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一、项目概况</w:t>
      </w:r>
    </w:p>
    <w:p w14:paraId="044E5823">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（一）项目背景</w:t>
      </w:r>
    </w:p>
    <w:p w14:paraId="7E08FF52">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广州市大新文化创意发展有限公司（</w:t>
      </w:r>
      <w:r>
        <w:rPr>
          <w:rFonts w:hint="eastAsia" w:ascii="Times New Roman" w:hAnsi="Times New Roman" w:eastAsia="仿宋_GB2312" w:cs="Times New Roman"/>
          <w:color w:val="auto"/>
          <w:sz w:val="32"/>
          <w:szCs w:val="32"/>
        </w:rPr>
        <w:t>下</w:t>
      </w:r>
      <w:r>
        <w:rPr>
          <w:rFonts w:ascii="Times New Roman" w:hAnsi="Times New Roman" w:eastAsia="仿宋_GB2312" w:cs="Times New Roman"/>
          <w:color w:val="auto"/>
          <w:sz w:val="32"/>
          <w:szCs w:val="32"/>
        </w:rPr>
        <w:t>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大新公司</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）是广州轻工工贸集团有限公司（下称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广州轻工集团”）旗下企业</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是</w:t>
      </w:r>
      <w:r>
        <w:rPr>
          <w:rFonts w:ascii="Times New Roman" w:hAnsi="Times New Roman" w:eastAsia="仿宋_GB2312" w:cs="Times New Roman"/>
          <w:color w:val="auto"/>
          <w:sz w:val="32"/>
          <w:szCs w:val="32"/>
        </w:rPr>
        <w:t>广州轻工集团“十四五”规划发展时尚文体板块的重要组成部分</w:t>
      </w:r>
      <w:r>
        <w:rPr>
          <w:rFonts w:hint="eastAsia" w:ascii="Times New Roman" w:hAnsi="Times New Roman" w:eastAsia="仿宋_GB2312" w:cs="Times New Roman"/>
          <w:color w:val="auto"/>
          <w:sz w:val="32"/>
          <w:szCs w:val="32"/>
          <w:lang w:val="en-US" w:eastAsia="zh-CN"/>
        </w:rPr>
        <w:t>和</w:t>
      </w:r>
      <w:r>
        <w:rPr>
          <w:rFonts w:ascii="Times New Roman" w:hAnsi="Times New Roman" w:eastAsia="仿宋_GB2312" w:cs="Times New Roman"/>
          <w:color w:val="auto"/>
          <w:sz w:val="32"/>
          <w:szCs w:val="32"/>
        </w:rPr>
        <w:t>出新出彩的重要载体。</w:t>
      </w:r>
    </w:p>
    <w:p w14:paraId="00FCD76B">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大新公司属下第一福品牌</w:t>
      </w:r>
      <w:r>
        <w:rPr>
          <w:rFonts w:ascii="Times New Roman" w:hAnsi="Times New Roman" w:eastAsia="仿宋" w:cs="Times New Roman"/>
          <w:color w:val="auto"/>
          <w:sz w:val="32"/>
        </w:rPr>
        <w:t>是始创</w:t>
      </w:r>
      <w:r>
        <w:rPr>
          <w:rFonts w:ascii="Times New Roman" w:hAnsi="Times New Roman" w:eastAsia="仿宋_GB2312" w:cs="Times New Roman"/>
          <w:color w:val="auto"/>
          <w:sz w:val="32"/>
          <w:szCs w:val="32"/>
        </w:rPr>
        <w:t>于1952年的中华老字号珠宝品牌。大新公司</w:t>
      </w:r>
      <w:r>
        <w:rPr>
          <w:rFonts w:hint="eastAsia" w:ascii="Times New Roman" w:hAnsi="Times New Roman" w:eastAsia="仿宋_GB2312" w:cs="Times New Roman"/>
          <w:color w:val="auto"/>
          <w:sz w:val="32"/>
          <w:szCs w:val="32"/>
        </w:rPr>
        <w:t>秉承</w:t>
      </w:r>
      <w:r>
        <w:rPr>
          <w:rFonts w:ascii="Times New Roman" w:hAnsi="Times New Roman" w:eastAsia="仿宋_GB2312" w:cs="Times New Roman"/>
          <w:color w:val="auto"/>
          <w:sz w:val="32"/>
          <w:szCs w:val="32"/>
        </w:rPr>
        <w:t>保护传承</w:t>
      </w:r>
      <w:r>
        <w:rPr>
          <w:rFonts w:hint="eastAsia" w:ascii="Times New Roman" w:hAnsi="Times New Roman" w:eastAsia="仿宋_GB2312" w:cs="Times New Roman"/>
          <w:color w:val="auto"/>
          <w:sz w:val="32"/>
          <w:szCs w:val="32"/>
        </w:rPr>
        <w:t>和</w:t>
      </w:r>
      <w:r>
        <w:rPr>
          <w:rFonts w:ascii="Times New Roman" w:hAnsi="Times New Roman" w:eastAsia="仿宋_GB2312" w:cs="Times New Roman"/>
          <w:color w:val="auto"/>
          <w:sz w:val="32"/>
          <w:szCs w:val="32"/>
        </w:rPr>
        <w:t>创新发展以“三雕一彩一绣”为代表的岭南优秀传统文化理念，通过文化赋能</w:t>
      </w:r>
      <w:r>
        <w:rPr>
          <w:rFonts w:hint="eastAsia" w:ascii="Times New Roman" w:hAnsi="Times New Roman" w:eastAsia="仿宋_GB2312" w:cs="Times New Roman"/>
          <w:color w:val="auto"/>
          <w:sz w:val="32"/>
          <w:szCs w:val="32"/>
        </w:rPr>
        <w:t>和商业化运作</w:t>
      </w:r>
      <w:r>
        <w:rPr>
          <w:rFonts w:ascii="Times New Roman" w:hAnsi="Times New Roman" w:eastAsia="仿宋_GB2312" w:cs="Times New Roman"/>
          <w:color w:val="auto"/>
          <w:sz w:val="32"/>
          <w:szCs w:val="32"/>
        </w:rPr>
        <w:t>，积极推动中华老字号第一福全面焕新</w:t>
      </w:r>
      <w:r>
        <w:rPr>
          <w:rFonts w:hint="eastAsia" w:ascii="Times New Roman" w:hAnsi="Times New Roman" w:eastAsia="仿宋_GB2312" w:cs="Times New Roman"/>
          <w:color w:val="auto"/>
          <w:sz w:val="32"/>
          <w:szCs w:val="32"/>
        </w:rPr>
        <w:t>和出新出彩。</w:t>
      </w:r>
    </w:p>
    <w:p w14:paraId="4FDF79F1">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截至目前，</w:t>
      </w:r>
      <w:r>
        <w:rPr>
          <w:rFonts w:hint="eastAsia" w:ascii="Times New Roman" w:hAnsi="Times New Roman" w:eastAsia="仿宋_GB2312" w:cs="Times New Roman"/>
          <w:color w:val="auto"/>
          <w:sz w:val="32"/>
          <w:szCs w:val="32"/>
        </w:rPr>
        <w:t>大新公司已在粤港澳地区开设多家第一福珠宝</w:t>
      </w:r>
      <w:r>
        <w:rPr>
          <w:rFonts w:ascii="Times New Roman" w:hAnsi="Times New Roman" w:eastAsia="仿宋_GB2312" w:cs="Times New Roman"/>
          <w:color w:val="auto"/>
          <w:sz w:val="32"/>
          <w:szCs w:val="32"/>
        </w:rPr>
        <w:t>线下实体门店，产品力、品牌力、运营力、服务力、内驱力等具备一定基础</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为更好地上规模、出效益、扩影响，大新公司积极探索加快第一福品牌发展的新模式，力争走出一条综合效益好、标杆效应显著、更</w:t>
      </w:r>
      <w:r>
        <w:rPr>
          <w:rFonts w:hint="eastAsia" w:ascii="Times New Roman" w:hAnsi="Times New Roman" w:eastAsia="仿宋_GB2312" w:cs="Times New Roman"/>
          <w:color w:val="auto"/>
          <w:sz w:val="32"/>
          <w:szCs w:val="32"/>
        </w:rPr>
        <w:t>快</w:t>
      </w:r>
      <w:r>
        <w:rPr>
          <w:rFonts w:ascii="Times New Roman" w:hAnsi="Times New Roman" w:eastAsia="仿宋_GB2312" w:cs="Times New Roman"/>
          <w:color w:val="auto"/>
          <w:sz w:val="32"/>
          <w:szCs w:val="32"/>
        </w:rPr>
        <w:t>出新出彩的老品牌焕新之路。</w:t>
      </w:r>
    </w:p>
    <w:p w14:paraId="135629B9">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w:t>
      </w:r>
      <w:r>
        <w:rPr>
          <w:rFonts w:ascii="楷体_GB2312" w:hAnsi="楷体_GB2312" w:eastAsia="楷体_GB2312" w:cs="楷体_GB2312"/>
          <w:b/>
          <w:bCs/>
          <w:color w:val="auto"/>
          <w:sz w:val="32"/>
          <w:szCs w:val="32"/>
        </w:rPr>
        <w:t>项目名称</w:t>
      </w:r>
    </w:p>
    <w:p w14:paraId="7CEF0E43">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广州市越秀区西湖路54-58号第一福北京路旗舰店改造项目设计施工一体化。</w:t>
      </w:r>
    </w:p>
    <w:p w14:paraId="49FF9843">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（三）项目规模</w:t>
      </w:r>
    </w:p>
    <w:p w14:paraId="54A30248">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项目地点位于</w:t>
      </w:r>
      <w:r>
        <w:rPr>
          <w:rFonts w:ascii="Times New Roman" w:hAnsi="Times New Roman" w:eastAsia="仿宋_GB2312" w:cs="Times New Roman"/>
          <w:color w:val="auto"/>
          <w:sz w:val="32"/>
          <w:szCs w:val="32"/>
        </w:rPr>
        <w:t>广州市越秀区西湖路54-58号</w:t>
      </w:r>
      <w:r>
        <w:rPr>
          <w:rFonts w:hint="eastAsia" w:ascii="Times New Roman" w:hAnsi="Times New Roman" w:eastAsia="仿宋_GB2312" w:cs="Times New Roman"/>
          <w:color w:val="auto"/>
          <w:sz w:val="32"/>
          <w:szCs w:val="32"/>
        </w:rPr>
        <w:t>，其中，</w:t>
      </w:r>
      <w:r>
        <w:rPr>
          <w:rFonts w:ascii="Times New Roman" w:hAnsi="Times New Roman" w:eastAsia="仿宋_GB2312" w:cs="Times New Roman"/>
          <w:color w:val="auto"/>
          <w:sz w:val="32"/>
          <w:szCs w:val="32"/>
        </w:rPr>
        <w:t>建基面积814.00㎡，总建筑面积1125.31㎡。</w:t>
      </w:r>
    </w:p>
    <w:p w14:paraId="16774E99">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（四）项目投资金额</w:t>
      </w:r>
    </w:p>
    <w:p w14:paraId="21A2085D">
      <w:pPr>
        <w:spacing w:line="560" w:lineRule="exact"/>
        <w:ind w:firstLine="640" w:firstLineChars="200"/>
        <w:rPr>
          <w:rFonts w:ascii="Times New Roman" w:hAnsi="Times New Roman" w:eastAsia="仿宋_GB2312" w:cs="Times New Roman"/>
          <w:color w:val="auto"/>
          <w:sz w:val="32"/>
          <w:szCs w:val="32"/>
          <w:highlight w:val="none"/>
        </w:rPr>
      </w:pPr>
      <w:bookmarkStart w:id="558" w:name="_Toc30958"/>
      <w:bookmarkStart w:id="559" w:name="_Toc359950333"/>
      <w:bookmarkStart w:id="560" w:name="_Toc9517"/>
      <w:r>
        <w:rPr>
          <w:rFonts w:hint="eastAsia" w:ascii="Times New Roman" w:hAnsi="Times New Roman" w:eastAsia="仿宋_GB2312" w:cs="Times New Roman"/>
          <w:color w:val="auto"/>
          <w:sz w:val="32"/>
          <w:szCs w:val="32"/>
          <w:highlight w:val="none"/>
        </w:rPr>
        <w:t>项目改造总投资约</w:t>
      </w:r>
      <w:r>
        <w:rPr>
          <w:rFonts w:hint="eastAsia" w:ascii="Times New Roman" w:hAnsi="Times New Roman" w:eastAsia="仿宋_GB2312" w:cs="Times New Roman"/>
          <w:color w:val="auto"/>
          <w:sz w:val="32"/>
          <w:szCs w:val="32"/>
          <w:highlight w:val="none"/>
          <w:lang w:val="en-US" w:eastAsia="zh-CN"/>
        </w:rPr>
        <w:t>人民币</w:t>
      </w:r>
      <w:r>
        <w:rPr>
          <w:rFonts w:ascii="Times New Roman" w:hAnsi="Times New Roman" w:eastAsia="仿宋_GB2312" w:cs="Times New Roman"/>
          <w:color w:val="auto"/>
          <w:sz w:val="32"/>
          <w:szCs w:val="32"/>
          <w:highlight w:val="none"/>
        </w:rPr>
        <w:t>9,000,000</w:t>
      </w:r>
      <w:r>
        <w:rPr>
          <w:rFonts w:hint="eastAsia" w:ascii="Times New Roman" w:hAnsi="Times New Roman" w:eastAsia="仿宋_GB2312" w:cs="Times New Roman"/>
          <w:color w:val="auto"/>
          <w:sz w:val="32"/>
          <w:szCs w:val="32"/>
          <w:highlight w:val="none"/>
        </w:rPr>
        <w:t>元。本次招标最高投标限价为</w:t>
      </w:r>
      <w:r>
        <w:rPr>
          <w:rFonts w:hint="eastAsia" w:ascii="Times New Roman" w:hAnsi="Times New Roman" w:eastAsia="仿宋_GB2312" w:cs="Times New Roman"/>
          <w:color w:val="auto"/>
          <w:sz w:val="32"/>
          <w:szCs w:val="32"/>
          <w:highlight w:val="none"/>
          <w:lang w:val="en-US" w:eastAsia="zh-CN"/>
        </w:rPr>
        <w:t>人民币</w:t>
      </w:r>
      <w:r>
        <w:rPr>
          <w:rFonts w:hint="eastAsia" w:ascii="Times New Roman" w:hAnsi="Times New Roman" w:eastAsia="仿宋_GB2312" w:cs="Times New Roman"/>
          <w:color w:val="auto"/>
          <w:sz w:val="32"/>
          <w:szCs w:val="32"/>
          <w:highlight w:val="none"/>
        </w:rPr>
        <w:t>9,000,000元，其中：设计费最高投标限价为人民币340</w:t>
      </w:r>
      <w:r>
        <w:rPr>
          <w:rFonts w:hint="eastAsia"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rPr>
        <w:t>000元，建安工程费最高投标限价为人民币8,660,000元。无特殊原因且未经建设方同意，不得突破限额，否则建设方将要求对设计进行修正，直至满足限额要求为止。</w:t>
      </w:r>
    </w:p>
    <w:bookmarkEnd w:id="558"/>
    <w:bookmarkEnd w:id="559"/>
    <w:bookmarkEnd w:id="560"/>
    <w:p w14:paraId="389ACE2C">
      <w:pPr>
        <w:spacing w:line="560" w:lineRule="exact"/>
        <w:ind w:firstLine="640" w:firstLineChars="200"/>
        <w:outlineLvl w:val="9"/>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二、</w:t>
      </w:r>
      <w:r>
        <w:rPr>
          <w:rFonts w:ascii="Times New Roman" w:hAnsi="Times New Roman" w:eastAsia="黑体" w:cs="Times New Roman"/>
          <w:color w:val="auto"/>
          <w:sz w:val="32"/>
          <w:szCs w:val="32"/>
        </w:rPr>
        <w:t>项目设计需求</w:t>
      </w:r>
    </w:p>
    <w:p w14:paraId="317EF557">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（一）行业技术标准和规范</w:t>
      </w:r>
    </w:p>
    <w:p w14:paraId="0FE07B26">
      <w:pPr>
        <w:spacing w:line="560" w:lineRule="exact"/>
        <w:ind w:firstLine="640" w:firstLineChars="200"/>
        <w:rPr>
          <w:rFonts w:hint="eastAsia"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rPr>
        <w:t>设计必须满足国家</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省、市</w:t>
      </w:r>
      <w:r>
        <w:rPr>
          <w:rFonts w:hint="eastAsia" w:ascii="Times New Roman" w:hAnsi="Times New Roman" w:eastAsia="仿宋_GB2312" w:cs="Times New Roman"/>
          <w:color w:val="auto"/>
          <w:sz w:val="32"/>
          <w:szCs w:val="32"/>
          <w:highlight w:val="none"/>
        </w:rPr>
        <w:t>相关法律、法规、强制性条文</w:t>
      </w:r>
      <w:r>
        <w:rPr>
          <w:rFonts w:hint="eastAsia" w:ascii="Times New Roman" w:hAnsi="Times New Roman" w:eastAsia="仿宋_GB2312" w:cs="Times New Roman"/>
          <w:color w:val="auto"/>
          <w:sz w:val="32"/>
          <w:szCs w:val="32"/>
          <w:highlight w:val="none"/>
          <w:lang w:val="en-US" w:eastAsia="zh-CN"/>
        </w:rPr>
        <w:t>以及相关行业标准</w:t>
      </w:r>
      <w:r>
        <w:rPr>
          <w:rFonts w:hint="eastAsia" w:ascii="Times New Roman" w:hAnsi="Times New Roman" w:eastAsia="仿宋_GB2312" w:cs="Times New Roman"/>
          <w:color w:val="auto"/>
          <w:sz w:val="32"/>
          <w:szCs w:val="32"/>
          <w:highlight w:val="none"/>
        </w:rPr>
        <w:t>，国家及各行业设计规范、规程、行业条例及项目所在地方规定和标准，包括但不限于以下行业技术标准和规范。</w:t>
      </w:r>
    </w:p>
    <w:p w14:paraId="267B1777">
      <w:pPr>
        <w:pStyle w:val="86"/>
        <w:numPr>
          <w:ilvl w:val="0"/>
          <w:numId w:val="0"/>
        </w:numPr>
        <w:tabs>
          <w:tab w:val="left" w:pos="0"/>
        </w:tabs>
        <w:adjustRightInd w:val="0"/>
        <w:snapToGrid w:val="0"/>
        <w:spacing w:line="560" w:lineRule="exact"/>
        <w:ind w:left="570"/>
        <w:jc w:val="left"/>
        <w:rPr>
          <w:rFonts w:ascii="Times New Roman" w:hAnsi="Times New Roman" w:eastAsia="仿宋_GB2312" w:cs="Times New Roman"/>
          <w:b w:val="0"/>
          <w:color w:val="auto"/>
          <w:sz w:val="32"/>
          <w:szCs w:val="32"/>
        </w:rPr>
      </w:pPr>
      <w:r>
        <w:rPr>
          <w:rFonts w:hint="eastAsia" w:ascii="Times New Roman" w:hAnsi="Times New Roman" w:eastAsia="仿宋_GB2312" w:cs="Times New Roman"/>
          <w:b w:val="0"/>
          <w:color w:val="auto"/>
          <w:sz w:val="32"/>
          <w:szCs w:val="32"/>
        </w:rPr>
        <w:t>1、《建筑设计防火规范》、《建筑内部装修设计防火规范》、《</w:t>
      </w:r>
      <w:r>
        <w:rPr>
          <w:rFonts w:hint="eastAsia" w:ascii="Times New Roman" w:hAnsi="Times New Roman" w:eastAsia="仿宋_GB2312" w:cs="Times New Roman"/>
          <w:b w:val="0"/>
          <w:color w:val="auto"/>
          <w:sz w:val="32"/>
          <w:szCs w:val="32"/>
          <w:lang w:eastAsia="zh-Hans"/>
        </w:rPr>
        <w:t>广州</w:t>
      </w:r>
      <w:r>
        <w:rPr>
          <w:rFonts w:hint="eastAsia" w:ascii="Times New Roman" w:hAnsi="Times New Roman" w:eastAsia="仿宋_GB2312" w:cs="Times New Roman"/>
          <w:b w:val="0"/>
          <w:color w:val="auto"/>
          <w:sz w:val="32"/>
          <w:szCs w:val="32"/>
        </w:rPr>
        <w:t>市当地消防规定》</w:t>
      </w:r>
    </w:p>
    <w:p w14:paraId="52FFA7BA">
      <w:pPr>
        <w:pStyle w:val="86"/>
        <w:numPr>
          <w:ilvl w:val="0"/>
          <w:numId w:val="0"/>
        </w:numPr>
        <w:tabs>
          <w:tab w:val="left" w:pos="0"/>
        </w:tabs>
        <w:adjustRightInd w:val="0"/>
        <w:snapToGrid w:val="0"/>
        <w:spacing w:line="560" w:lineRule="exact"/>
        <w:ind w:left="855" w:hanging="285"/>
        <w:jc w:val="left"/>
        <w:rPr>
          <w:rFonts w:ascii="Times New Roman" w:hAnsi="Times New Roman" w:eastAsia="仿宋_GB2312" w:cs="Times New Roman"/>
          <w:b w:val="0"/>
          <w:color w:val="auto"/>
          <w:sz w:val="32"/>
          <w:szCs w:val="32"/>
        </w:rPr>
      </w:pPr>
      <w:r>
        <w:rPr>
          <w:rFonts w:hint="eastAsia" w:ascii="Times New Roman" w:hAnsi="Times New Roman" w:eastAsia="仿宋_GB2312" w:cs="Times New Roman"/>
          <w:b w:val="0"/>
          <w:color w:val="auto"/>
          <w:sz w:val="32"/>
          <w:szCs w:val="32"/>
        </w:rPr>
        <w:t>2、《建筑照明设计标准》</w:t>
      </w:r>
    </w:p>
    <w:p w14:paraId="61862AEE">
      <w:pPr>
        <w:pStyle w:val="86"/>
        <w:numPr>
          <w:ilvl w:val="0"/>
          <w:numId w:val="0"/>
        </w:numPr>
        <w:tabs>
          <w:tab w:val="left" w:pos="0"/>
        </w:tabs>
        <w:adjustRightInd w:val="0"/>
        <w:snapToGrid w:val="0"/>
        <w:spacing w:line="560" w:lineRule="exact"/>
        <w:ind w:left="855" w:hanging="285"/>
        <w:jc w:val="left"/>
        <w:rPr>
          <w:rFonts w:ascii="Times New Roman" w:hAnsi="Times New Roman" w:eastAsia="仿宋_GB2312" w:cs="Times New Roman"/>
          <w:b w:val="0"/>
          <w:color w:val="auto"/>
          <w:sz w:val="32"/>
          <w:szCs w:val="32"/>
        </w:rPr>
      </w:pPr>
      <w:r>
        <w:rPr>
          <w:rFonts w:hint="eastAsia" w:ascii="Times New Roman" w:hAnsi="Times New Roman" w:eastAsia="仿宋_GB2312" w:cs="Times New Roman"/>
          <w:b w:val="0"/>
          <w:color w:val="auto"/>
          <w:sz w:val="32"/>
          <w:szCs w:val="32"/>
        </w:rPr>
        <w:t>3、《建筑工程设计文件编制深度规定》</w:t>
      </w:r>
    </w:p>
    <w:p w14:paraId="1A01C324">
      <w:pPr>
        <w:pStyle w:val="86"/>
        <w:numPr>
          <w:ilvl w:val="0"/>
          <w:numId w:val="0"/>
        </w:numPr>
        <w:tabs>
          <w:tab w:val="left" w:pos="0"/>
        </w:tabs>
        <w:adjustRightInd w:val="0"/>
        <w:snapToGrid w:val="0"/>
        <w:spacing w:line="560" w:lineRule="exact"/>
        <w:ind w:left="855" w:hanging="285"/>
        <w:jc w:val="left"/>
        <w:rPr>
          <w:rFonts w:ascii="Times New Roman" w:hAnsi="Times New Roman" w:eastAsia="仿宋_GB2312" w:cs="Times New Roman"/>
          <w:b w:val="0"/>
          <w:color w:val="auto"/>
          <w:sz w:val="32"/>
          <w:szCs w:val="32"/>
        </w:rPr>
      </w:pPr>
      <w:r>
        <w:rPr>
          <w:rFonts w:hint="eastAsia" w:ascii="Times New Roman" w:hAnsi="Times New Roman" w:eastAsia="仿宋_GB2312" w:cs="Times New Roman"/>
          <w:b w:val="0"/>
          <w:color w:val="auto"/>
          <w:sz w:val="32"/>
          <w:szCs w:val="32"/>
        </w:rPr>
        <w:t>4、《火灾自动报警系统设计规范》</w:t>
      </w:r>
    </w:p>
    <w:p w14:paraId="5C5EA250">
      <w:pPr>
        <w:pStyle w:val="86"/>
        <w:numPr>
          <w:ilvl w:val="0"/>
          <w:numId w:val="0"/>
        </w:numPr>
        <w:tabs>
          <w:tab w:val="left" w:pos="0"/>
        </w:tabs>
        <w:adjustRightInd w:val="0"/>
        <w:snapToGrid w:val="0"/>
        <w:spacing w:line="560" w:lineRule="exact"/>
        <w:ind w:left="855" w:hanging="285"/>
        <w:jc w:val="left"/>
        <w:rPr>
          <w:rFonts w:ascii="Times New Roman" w:hAnsi="Times New Roman" w:eastAsia="仿宋_GB2312" w:cs="Times New Roman"/>
          <w:b w:val="0"/>
          <w:color w:val="auto"/>
          <w:sz w:val="32"/>
          <w:szCs w:val="32"/>
        </w:rPr>
      </w:pPr>
      <w:r>
        <w:rPr>
          <w:rFonts w:hint="eastAsia" w:ascii="Times New Roman" w:hAnsi="Times New Roman" w:eastAsia="仿宋_GB2312" w:cs="Times New Roman"/>
          <w:b w:val="0"/>
          <w:color w:val="auto"/>
          <w:sz w:val="32"/>
          <w:szCs w:val="32"/>
        </w:rPr>
        <w:t>5、《无障碍设计规范》GB50763-2012</w:t>
      </w:r>
    </w:p>
    <w:p w14:paraId="6A986588">
      <w:pPr>
        <w:pStyle w:val="86"/>
        <w:numPr>
          <w:ilvl w:val="0"/>
          <w:numId w:val="0"/>
        </w:numPr>
        <w:tabs>
          <w:tab w:val="left" w:pos="0"/>
        </w:tabs>
        <w:adjustRightInd w:val="0"/>
        <w:snapToGrid w:val="0"/>
        <w:spacing w:line="560" w:lineRule="exact"/>
        <w:ind w:left="855" w:hanging="285"/>
        <w:jc w:val="left"/>
        <w:rPr>
          <w:rFonts w:ascii="Times New Roman" w:hAnsi="Times New Roman" w:eastAsia="仿宋_GB2312" w:cs="Times New Roman"/>
          <w:b w:val="0"/>
          <w:color w:val="auto"/>
          <w:sz w:val="32"/>
          <w:szCs w:val="32"/>
          <w:lang w:eastAsia="zh-Hans"/>
        </w:rPr>
      </w:pPr>
      <w:r>
        <w:rPr>
          <w:rFonts w:hint="eastAsia" w:ascii="Times New Roman" w:hAnsi="Times New Roman" w:eastAsia="仿宋_GB2312" w:cs="Times New Roman"/>
          <w:b w:val="0"/>
          <w:color w:val="auto"/>
          <w:sz w:val="32"/>
          <w:szCs w:val="32"/>
        </w:rPr>
        <w:t>6、</w:t>
      </w:r>
      <w:r>
        <w:rPr>
          <w:rFonts w:hint="eastAsia" w:ascii="Times New Roman" w:hAnsi="Times New Roman" w:eastAsia="仿宋_GB2312" w:cs="Times New Roman"/>
          <w:b w:val="0"/>
          <w:color w:val="auto"/>
          <w:sz w:val="32"/>
          <w:szCs w:val="32"/>
          <w:lang w:eastAsia="zh-Hans"/>
        </w:rPr>
        <w:t>《房屋建筑制图统一标准》、《建筑制图标准》</w:t>
      </w:r>
    </w:p>
    <w:p w14:paraId="203C7032">
      <w:pPr>
        <w:pStyle w:val="86"/>
        <w:numPr>
          <w:ilvl w:val="0"/>
          <w:numId w:val="0"/>
        </w:numPr>
        <w:tabs>
          <w:tab w:val="left" w:pos="0"/>
        </w:tabs>
        <w:adjustRightInd w:val="0"/>
        <w:snapToGrid w:val="0"/>
        <w:spacing w:line="560" w:lineRule="exact"/>
        <w:ind w:left="855" w:hanging="285"/>
        <w:jc w:val="left"/>
        <w:rPr>
          <w:rFonts w:ascii="Times New Roman" w:hAnsi="Times New Roman" w:eastAsia="仿宋_GB2312" w:cs="Times New Roman"/>
          <w:b w:val="0"/>
          <w:color w:val="auto"/>
          <w:sz w:val="32"/>
          <w:szCs w:val="32"/>
          <w:lang w:eastAsia="zh-Hans"/>
        </w:rPr>
      </w:pPr>
      <w:r>
        <w:rPr>
          <w:rFonts w:hint="eastAsia" w:ascii="Times New Roman" w:hAnsi="Times New Roman" w:eastAsia="仿宋_GB2312" w:cs="Times New Roman"/>
          <w:b w:val="0"/>
          <w:color w:val="auto"/>
          <w:sz w:val="32"/>
          <w:szCs w:val="32"/>
        </w:rPr>
        <w:t>7、</w:t>
      </w:r>
      <w:r>
        <w:rPr>
          <w:rFonts w:hint="eastAsia" w:ascii="Times New Roman" w:hAnsi="Times New Roman" w:eastAsia="仿宋_GB2312" w:cs="Times New Roman"/>
          <w:b w:val="0"/>
          <w:color w:val="auto"/>
          <w:sz w:val="32"/>
          <w:szCs w:val="32"/>
          <w:lang w:eastAsia="zh-Hans"/>
        </w:rPr>
        <w:t>《民用建筑工程室内环境污染控制规范》</w:t>
      </w:r>
    </w:p>
    <w:p w14:paraId="23A2BCB4">
      <w:pPr>
        <w:pStyle w:val="86"/>
        <w:numPr>
          <w:ilvl w:val="0"/>
          <w:numId w:val="0"/>
        </w:numPr>
        <w:tabs>
          <w:tab w:val="left" w:pos="0"/>
        </w:tabs>
        <w:adjustRightInd w:val="0"/>
        <w:snapToGrid w:val="0"/>
        <w:spacing w:line="560" w:lineRule="exact"/>
        <w:ind w:left="855" w:hanging="285"/>
        <w:jc w:val="left"/>
        <w:rPr>
          <w:rFonts w:ascii="Times New Roman" w:hAnsi="Times New Roman" w:eastAsia="仿宋_GB2312" w:cs="Times New Roman"/>
          <w:b w:val="0"/>
          <w:color w:val="auto"/>
          <w:sz w:val="32"/>
          <w:szCs w:val="32"/>
          <w:lang w:eastAsia="zh-Hans"/>
        </w:rPr>
      </w:pPr>
      <w:r>
        <w:rPr>
          <w:rFonts w:hint="eastAsia" w:ascii="Times New Roman" w:hAnsi="Times New Roman" w:eastAsia="仿宋_GB2312" w:cs="Times New Roman"/>
          <w:b w:val="0"/>
          <w:color w:val="auto"/>
          <w:sz w:val="32"/>
          <w:szCs w:val="32"/>
        </w:rPr>
        <w:t>8、</w:t>
      </w:r>
      <w:r>
        <w:rPr>
          <w:rFonts w:hint="eastAsia" w:ascii="Times New Roman" w:hAnsi="Times New Roman" w:eastAsia="仿宋_GB2312" w:cs="Times New Roman"/>
          <w:b w:val="0"/>
          <w:color w:val="auto"/>
          <w:sz w:val="32"/>
          <w:szCs w:val="32"/>
          <w:lang w:eastAsia="zh-Hans"/>
        </w:rPr>
        <w:t>《建筑防烟排烟系统技术标准》GB51251-2017</w:t>
      </w:r>
    </w:p>
    <w:p w14:paraId="448FBFD7">
      <w:pPr>
        <w:pStyle w:val="86"/>
        <w:numPr>
          <w:ilvl w:val="0"/>
          <w:numId w:val="0"/>
        </w:numPr>
        <w:tabs>
          <w:tab w:val="left" w:pos="0"/>
        </w:tabs>
        <w:adjustRightInd w:val="0"/>
        <w:snapToGrid w:val="0"/>
        <w:spacing w:line="560" w:lineRule="exact"/>
        <w:ind w:left="855" w:hanging="285"/>
        <w:jc w:val="left"/>
        <w:rPr>
          <w:rFonts w:hint="eastAsia" w:ascii="Times New Roman" w:hAnsi="Times New Roman" w:eastAsia="仿宋_GB2312" w:cs="Times New Roman"/>
          <w:b w:val="0"/>
          <w:color w:val="auto"/>
          <w:sz w:val="32"/>
          <w:szCs w:val="32"/>
        </w:rPr>
      </w:pPr>
      <w:r>
        <w:rPr>
          <w:rFonts w:hint="eastAsia" w:ascii="Times New Roman" w:hAnsi="Times New Roman" w:eastAsia="仿宋_GB2312" w:cs="Times New Roman"/>
          <w:b w:val="0"/>
          <w:color w:val="auto"/>
          <w:sz w:val="32"/>
          <w:szCs w:val="32"/>
        </w:rPr>
        <w:t>9、</w:t>
      </w:r>
      <w:r>
        <w:rPr>
          <w:rFonts w:hint="eastAsia" w:ascii="Times New Roman" w:hAnsi="Times New Roman" w:eastAsia="仿宋_GB2312" w:cs="Times New Roman"/>
          <w:b w:val="0"/>
          <w:color w:val="auto"/>
          <w:sz w:val="32"/>
          <w:szCs w:val="32"/>
          <w:lang w:eastAsia="zh-Hans"/>
        </w:rPr>
        <w:t>相关政府主管部门对本项目的批复文件、给定的技术条件和意见要求</w:t>
      </w:r>
      <w:r>
        <w:rPr>
          <w:rFonts w:hint="eastAsia" w:ascii="Times New Roman" w:hAnsi="Times New Roman" w:eastAsia="仿宋_GB2312" w:cs="Times New Roman"/>
          <w:b w:val="0"/>
          <w:color w:val="auto"/>
          <w:sz w:val="32"/>
          <w:szCs w:val="32"/>
        </w:rPr>
        <w:t>等。</w:t>
      </w:r>
    </w:p>
    <w:p w14:paraId="162EB2E7">
      <w:pPr>
        <w:pStyle w:val="86"/>
        <w:numPr>
          <w:ilvl w:val="0"/>
          <w:numId w:val="0"/>
        </w:numPr>
        <w:tabs>
          <w:tab w:val="left" w:pos="0"/>
        </w:tabs>
        <w:adjustRightInd w:val="0"/>
        <w:snapToGrid w:val="0"/>
        <w:spacing w:line="560" w:lineRule="exact"/>
        <w:ind w:left="855" w:hanging="285"/>
        <w:jc w:val="left"/>
        <w:outlineLvl w:val="9"/>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二</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建设单位提示</w:t>
      </w:r>
    </w:p>
    <w:p w14:paraId="0F7BAB61">
      <w:pPr>
        <w:pStyle w:val="86"/>
        <w:numPr>
          <w:ilvl w:val="0"/>
          <w:numId w:val="0"/>
        </w:numPr>
        <w:tabs>
          <w:tab w:val="left" w:pos="0"/>
        </w:tabs>
        <w:adjustRightInd w:val="0"/>
        <w:snapToGrid w:val="0"/>
        <w:spacing w:line="560" w:lineRule="exact"/>
        <w:ind w:left="0" w:firstLine="640" w:firstLineChars="200"/>
        <w:jc w:val="left"/>
        <w:rPr>
          <w:rFonts w:hint="eastAsia" w:ascii="Times New Roman" w:hAnsi="Times New Roman" w:eastAsia="仿宋_GB2312" w:cs="Times New Roman"/>
          <w:b w:val="0"/>
          <w:color w:val="auto"/>
          <w:sz w:val="32"/>
          <w:szCs w:val="32"/>
          <w:lang w:val="en-US" w:eastAsia="zh-Hans"/>
        </w:rPr>
      </w:pPr>
      <w:r>
        <w:rPr>
          <w:rFonts w:hint="eastAsia" w:ascii="Times New Roman" w:hAnsi="Times New Roman" w:eastAsia="仿宋_GB2312" w:cs="Times New Roman"/>
          <w:b w:val="0"/>
          <w:bCs w:val="0"/>
          <w:color w:val="auto"/>
          <w:sz w:val="32"/>
          <w:szCs w:val="32"/>
          <w:lang w:val="en-US" w:eastAsia="zh-Hans"/>
        </w:rPr>
        <w:t>相关设计规划应考虑楼宇承重、</w:t>
      </w:r>
      <w:r>
        <w:rPr>
          <w:rFonts w:hint="eastAsia" w:ascii="Times New Roman" w:hAnsi="Times New Roman" w:eastAsia="仿宋_GB2312" w:cs="Times New Roman"/>
          <w:b w:val="0"/>
          <w:bCs w:val="0"/>
          <w:color w:val="auto"/>
          <w:sz w:val="32"/>
          <w:szCs w:val="32"/>
          <w:lang w:val="en-US" w:eastAsia="zh-CN"/>
        </w:rPr>
        <w:t>楼宇结构</w:t>
      </w:r>
      <w:r>
        <w:rPr>
          <w:rFonts w:hint="eastAsia" w:ascii="Times New Roman" w:hAnsi="Times New Roman" w:eastAsia="仿宋_GB2312" w:cs="Times New Roman"/>
          <w:b w:val="0"/>
          <w:bCs w:val="0"/>
          <w:color w:val="auto"/>
          <w:sz w:val="32"/>
          <w:szCs w:val="32"/>
          <w:lang w:val="en-US" w:eastAsia="zh-Hans"/>
        </w:rPr>
        <w:t>、防暴力抢劫、防水浸</w:t>
      </w:r>
      <w:r>
        <w:rPr>
          <w:rFonts w:hint="eastAsia" w:ascii="Times New Roman" w:hAnsi="Times New Roman" w:eastAsia="仿宋_GB2312" w:cs="Times New Roman"/>
          <w:b w:val="0"/>
          <w:bCs w:val="0"/>
          <w:color w:val="auto"/>
          <w:sz w:val="32"/>
          <w:szCs w:val="32"/>
          <w:lang w:val="en-US" w:eastAsia="zh-CN"/>
        </w:rPr>
        <w:t>、合理负荷用电</w:t>
      </w:r>
      <w:r>
        <w:rPr>
          <w:rFonts w:hint="eastAsia" w:ascii="Times New Roman" w:hAnsi="Times New Roman" w:eastAsia="仿宋_GB2312" w:cs="Times New Roman"/>
          <w:b w:val="0"/>
          <w:bCs w:val="0"/>
          <w:color w:val="auto"/>
          <w:sz w:val="32"/>
          <w:szCs w:val="32"/>
          <w:lang w:val="en-US" w:eastAsia="zh-Hans"/>
        </w:rPr>
        <w:t>等的安全方面的风险。</w:t>
      </w:r>
    </w:p>
    <w:p w14:paraId="1EAC7520">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三</w:t>
      </w:r>
      <w:r>
        <w:rPr>
          <w:rFonts w:hint="eastAsia" w:ascii="楷体_GB2312" w:hAnsi="楷体_GB2312" w:eastAsia="楷体_GB2312" w:cs="楷体_GB2312"/>
          <w:b/>
          <w:bCs/>
          <w:color w:val="auto"/>
          <w:sz w:val="32"/>
          <w:szCs w:val="32"/>
        </w:rPr>
        <w:t>）设计定位</w:t>
      </w:r>
    </w:p>
    <w:p w14:paraId="0E6219F6">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基于“岭南印象·国潮珠宝”的品牌定位，</w:t>
      </w:r>
      <w:r>
        <w:rPr>
          <w:rFonts w:ascii="Times New Roman" w:hAnsi="Times New Roman" w:eastAsia="仿宋_GB2312" w:cs="Times New Roman"/>
          <w:color w:val="auto"/>
          <w:sz w:val="32"/>
          <w:szCs w:val="32"/>
        </w:rPr>
        <w:t>充分运用“文化+场景+科技”手段，打造一家零售单店广州</w:t>
      </w:r>
      <w:r>
        <w:rPr>
          <w:rFonts w:hint="eastAsia" w:ascii="Times New Roman" w:hAnsi="Times New Roman" w:eastAsia="仿宋_GB2312" w:cs="Times New Roman"/>
          <w:color w:val="auto"/>
          <w:sz w:val="32"/>
          <w:szCs w:val="32"/>
        </w:rPr>
        <w:t>较</w:t>
      </w:r>
      <w:r>
        <w:rPr>
          <w:rFonts w:ascii="Times New Roman" w:hAnsi="Times New Roman" w:eastAsia="仿宋_GB2312" w:cs="Times New Roman"/>
          <w:color w:val="auto"/>
          <w:sz w:val="32"/>
          <w:szCs w:val="32"/>
        </w:rPr>
        <w:t>大、</w:t>
      </w:r>
      <w:r>
        <w:rPr>
          <w:rFonts w:hint="eastAsia" w:ascii="Times New Roman" w:hAnsi="Times New Roman" w:eastAsia="仿宋_GB2312" w:cs="Times New Roman"/>
          <w:color w:val="auto"/>
          <w:sz w:val="32"/>
          <w:szCs w:val="32"/>
        </w:rPr>
        <w:t>具有</w:t>
      </w:r>
      <w:r>
        <w:rPr>
          <w:rFonts w:ascii="Times New Roman" w:hAnsi="Times New Roman" w:eastAsia="仿宋_GB2312" w:cs="Times New Roman"/>
          <w:color w:val="auto"/>
          <w:sz w:val="32"/>
          <w:szCs w:val="32"/>
        </w:rPr>
        <w:t>地标性和岭南文化特色的珠宝零售新型旗舰店和新型消费场景，一体化提供黄金饰品、贵金属投资产品、贵金属文化产品和钻翠珠宝饰品等在内的全品类、多款式、各档次黄金珠宝商品，“三雕一彩一绣”等工艺美术精品，以及非遗手工打金定制、营销私享会和体验服务等，提供集博物馆式鉴赏、专业知识的普及、岭南文化传承传播、体验式购物、个性化订制于一体的沉浸式购物体验和市民打卡点，致力成为一张闪亮的</w:t>
      </w:r>
      <w:r>
        <w:rPr>
          <w:rFonts w:hint="eastAsia" w:ascii="Times New Roman" w:hAnsi="Times New Roman" w:eastAsia="仿宋_GB2312" w:cs="Times New Roman"/>
          <w:color w:val="auto"/>
          <w:sz w:val="32"/>
          <w:szCs w:val="32"/>
        </w:rPr>
        <w:t>广州</w:t>
      </w:r>
      <w:r>
        <w:rPr>
          <w:rFonts w:ascii="Times New Roman" w:hAnsi="Times New Roman" w:eastAsia="仿宋_GB2312" w:cs="Times New Roman"/>
          <w:color w:val="auto"/>
          <w:sz w:val="32"/>
          <w:szCs w:val="32"/>
        </w:rPr>
        <w:t>城市文化新名片，焕新“广东黄金第一家”70余年中华老字号</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打造具有一定影响力</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立足广州、深耕大湾区、布局华南、辐射全国的国有黄金珠宝品牌。</w:t>
      </w:r>
    </w:p>
    <w:p w14:paraId="7EBD5B31">
      <w:pPr>
        <w:spacing w:line="560" w:lineRule="exact"/>
        <w:ind w:firstLine="643" w:firstLineChars="200"/>
        <w:outlineLvl w:val="9"/>
        <w:rPr>
          <w:rFonts w:hint="eastAsia" w:ascii="楷体_GB2312" w:hAnsi="楷体_GB2312" w:eastAsia="楷体_GB2312" w:cs="楷体_GB2312"/>
          <w:b/>
          <w:bCs/>
          <w:color w:val="auto"/>
          <w:sz w:val="32"/>
          <w:szCs w:val="32"/>
        </w:rPr>
      </w:pPr>
      <w:r>
        <w:rPr>
          <w:rFonts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四</w:t>
      </w:r>
      <w:r>
        <w:rPr>
          <w:rFonts w:ascii="楷体_GB2312" w:hAnsi="楷体_GB2312" w:eastAsia="楷体_GB2312" w:cs="楷体_GB2312"/>
          <w:b/>
          <w:bCs/>
          <w:color w:val="auto"/>
          <w:sz w:val="32"/>
          <w:szCs w:val="32"/>
        </w:rPr>
        <w:t>）设计范围</w:t>
      </w:r>
    </w:p>
    <w:p w14:paraId="518C7C8B">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具体设计范围包括但不限于</w:t>
      </w:r>
      <w:r>
        <w:rPr>
          <w:rFonts w:ascii="Times New Roman" w:hAnsi="Times New Roman" w:eastAsia="仿宋_GB2312" w:cs="Times New Roman"/>
          <w:color w:val="auto"/>
          <w:sz w:val="32"/>
          <w:szCs w:val="32"/>
        </w:rPr>
        <w:t>广州市越秀区西湖路54-58号</w:t>
      </w:r>
      <w:r>
        <w:rPr>
          <w:rFonts w:hint="eastAsia" w:ascii="Times New Roman" w:hAnsi="Times New Roman" w:eastAsia="仿宋_GB2312" w:cs="Times New Roman"/>
          <w:color w:val="auto"/>
          <w:sz w:val="32"/>
          <w:szCs w:val="32"/>
          <w:lang w:eastAsia="zh-CN"/>
        </w:rPr>
        <w:t>一层</w:t>
      </w:r>
      <w:r>
        <w:rPr>
          <w:rFonts w:ascii="Times New Roman" w:hAnsi="Times New Roman" w:eastAsia="仿宋_GB2312" w:cs="Times New Roman"/>
          <w:color w:val="auto"/>
          <w:sz w:val="32"/>
          <w:szCs w:val="32"/>
        </w:rPr>
        <w:t>及</w:t>
      </w:r>
      <w:r>
        <w:rPr>
          <w:rFonts w:hint="eastAsia" w:ascii="Times New Roman" w:hAnsi="Times New Roman" w:eastAsia="仿宋_GB2312" w:cs="Times New Roman"/>
          <w:color w:val="auto"/>
          <w:sz w:val="32"/>
          <w:szCs w:val="32"/>
        </w:rPr>
        <w:t>二层的</w:t>
      </w:r>
      <w:r>
        <w:rPr>
          <w:rFonts w:ascii="Times New Roman" w:hAnsi="Times New Roman" w:eastAsia="仿宋_GB2312" w:cs="Times New Roman"/>
          <w:color w:val="auto"/>
          <w:sz w:val="32"/>
          <w:szCs w:val="32"/>
        </w:rPr>
        <w:t>南面、西面临街外墙</w:t>
      </w:r>
      <w:r>
        <w:rPr>
          <w:rFonts w:hint="eastAsia" w:ascii="Times New Roman" w:hAnsi="Times New Roman" w:eastAsia="仿宋_GB2312" w:cs="Times New Roman"/>
          <w:color w:val="auto"/>
          <w:sz w:val="32"/>
          <w:szCs w:val="32"/>
        </w:rPr>
        <w:t>，入口，以及室内</w:t>
      </w:r>
      <w:r>
        <w:rPr>
          <w:rFonts w:ascii="Times New Roman" w:hAnsi="Times New Roman" w:eastAsia="仿宋_GB2312" w:cs="Times New Roman"/>
          <w:color w:val="auto"/>
          <w:sz w:val="32"/>
          <w:szCs w:val="32"/>
        </w:rPr>
        <w:t>可使用面积范围</w:t>
      </w:r>
      <w:r>
        <w:rPr>
          <w:rFonts w:hint="eastAsia" w:ascii="Times New Roman" w:hAnsi="Times New Roman" w:eastAsia="仿宋_GB2312" w:cs="Times New Roman"/>
          <w:color w:val="auto"/>
          <w:sz w:val="32"/>
          <w:szCs w:val="32"/>
        </w:rPr>
        <w:t>，根据项目建设需要，为建设方提供建筑外立面及门头整饰，室内天花、墙体、功能空间、地面整饰，空调、消防改造，用电改造，给排水改造，金库建设，监控安防建设，展示柜台及柜台珠宝道具制作等装修设计及相关服务工作。</w:t>
      </w:r>
    </w:p>
    <w:p w14:paraId="790F8722">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五</w:t>
      </w:r>
      <w:r>
        <w:rPr>
          <w:rFonts w:hint="eastAsia" w:ascii="楷体_GB2312" w:hAnsi="楷体_GB2312" w:eastAsia="楷体_GB2312" w:cs="楷体_GB2312"/>
          <w:b/>
          <w:bCs/>
          <w:color w:val="auto"/>
          <w:sz w:val="32"/>
          <w:szCs w:val="32"/>
        </w:rPr>
        <w:t>）功能空间设计建议</w:t>
      </w:r>
    </w:p>
    <w:p w14:paraId="37AF767D">
      <w:pPr>
        <w:spacing w:line="56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1、引流打卡区。</w:t>
      </w:r>
      <w:r>
        <w:rPr>
          <w:rFonts w:hint="eastAsia" w:ascii="仿宋_GB2312" w:hAnsi="仿宋_GB2312" w:eastAsia="仿宋_GB2312" w:cs="仿宋_GB2312"/>
          <w:color w:val="auto"/>
          <w:sz w:val="32"/>
          <w:szCs w:val="32"/>
        </w:rPr>
        <w:t>通过超级符号或融合高科技等设计和布置，打造网红打卡地，达到吸引眼球、营销引流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便于营销截流和营销转化目的。</w:t>
      </w:r>
    </w:p>
    <w:p w14:paraId="6C582744">
      <w:pPr>
        <w:spacing w:line="560" w:lineRule="exact"/>
        <w:ind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2、综合服务区。</w:t>
      </w:r>
      <w:r>
        <w:rPr>
          <w:rFonts w:hint="eastAsia" w:ascii="仿宋_GB2312" w:hAnsi="仿宋_GB2312" w:eastAsia="仿宋_GB2312" w:cs="仿宋_GB2312"/>
          <w:color w:val="auto"/>
          <w:sz w:val="32"/>
          <w:szCs w:val="32"/>
        </w:rPr>
        <w:t>如增设轻餐饮驻留形式打造综合服务区或临时表演打卡区等</w:t>
      </w:r>
      <w:r>
        <w:rPr>
          <w:rFonts w:hint="eastAsia" w:ascii="仿宋_GB2312" w:hAnsi="仿宋_GB2312" w:eastAsia="仿宋_GB2312" w:cs="仿宋_GB2312"/>
          <w:color w:val="auto"/>
          <w:sz w:val="32"/>
          <w:szCs w:val="32"/>
          <w:lang w:eastAsia="zh-CN"/>
        </w:rPr>
        <w:t>。</w:t>
      </w:r>
    </w:p>
    <w:p w14:paraId="6E04DD00">
      <w:pPr>
        <w:spacing w:line="560" w:lineRule="exact"/>
        <w:ind w:left="568"/>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rPr>
        <w:t>手工打金区。</w:t>
      </w:r>
      <w:r>
        <w:rPr>
          <w:rFonts w:hint="eastAsia" w:ascii="仿宋_GB2312" w:hAnsi="仿宋_GB2312" w:eastAsia="仿宋_GB2312" w:cs="仿宋_GB2312"/>
          <w:b w:val="0"/>
          <w:bCs w:val="0"/>
          <w:color w:val="auto"/>
          <w:sz w:val="32"/>
          <w:szCs w:val="32"/>
          <w:lang w:val="en-US" w:eastAsia="zh-CN"/>
        </w:rPr>
        <w:t>提供手工打金定制业务。</w:t>
      </w:r>
    </w:p>
    <w:p w14:paraId="2011D462">
      <w:pPr>
        <w:spacing w:line="56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4、服务台。</w:t>
      </w:r>
      <w:r>
        <w:rPr>
          <w:rFonts w:hint="eastAsia" w:ascii="仿宋_GB2312" w:hAnsi="仿宋_GB2312" w:eastAsia="仿宋_GB2312" w:cs="仿宋_GB2312"/>
          <w:color w:val="auto"/>
          <w:sz w:val="32"/>
          <w:szCs w:val="32"/>
        </w:rPr>
        <w:t>提供珠宝购买、咨询、售后、会员服务等服务。</w:t>
      </w:r>
    </w:p>
    <w:p w14:paraId="19BFAFE2">
      <w:pPr>
        <w:spacing w:line="560" w:lineRule="exact"/>
        <w:ind w:left="568"/>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5、黄金珠宝首饰销售区。</w:t>
      </w:r>
      <w:r>
        <w:rPr>
          <w:rFonts w:hint="eastAsia" w:ascii="仿宋_GB2312" w:hAnsi="仿宋_GB2312" w:eastAsia="仿宋_GB2312" w:cs="仿宋_GB2312"/>
          <w:color w:val="auto"/>
          <w:sz w:val="32"/>
          <w:szCs w:val="32"/>
        </w:rPr>
        <w:t>销售黄金珠宝产品。</w:t>
      </w:r>
    </w:p>
    <w:p w14:paraId="33BEDB88">
      <w:pPr>
        <w:spacing w:line="560" w:lineRule="exact"/>
        <w:ind w:left="568"/>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6、品牌文化展示区。</w:t>
      </w:r>
      <w:r>
        <w:rPr>
          <w:rFonts w:hint="eastAsia" w:ascii="仿宋_GB2312" w:hAnsi="仿宋_GB2312" w:eastAsia="仿宋_GB2312" w:cs="仿宋_GB2312"/>
          <w:color w:val="auto"/>
          <w:sz w:val="32"/>
          <w:szCs w:val="32"/>
        </w:rPr>
        <w:t>展示品牌形象及品牌文化。</w:t>
      </w:r>
    </w:p>
    <w:p w14:paraId="0ADA9591">
      <w:pPr>
        <w:spacing w:line="56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7、“三雕一彩一绣”</w:t>
      </w:r>
      <w:r>
        <w:rPr>
          <w:rFonts w:hint="eastAsia" w:ascii="仿宋_GB2312" w:hAnsi="仿宋_GB2312" w:eastAsia="仿宋_GB2312" w:cs="仿宋_GB2312"/>
          <w:b/>
          <w:bCs/>
          <w:color w:val="auto"/>
          <w:sz w:val="32"/>
          <w:szCs w:val="32"/>
          <w:lang w:val="en-US" w:eastAsia="zh-CN"/>
        </w:rPr>
        <w:t>辅助</w:t>
      </w:r>
      <w:r>
        <w:rPr>
          <w:rFonts w:hint="eastAsia" w:ascii="仿宋_GB2312" w:hAnsi="仿宋_GB2312" w:eastAsia="仿宋_GB2312" w:cs="仿宋_GB2312"/>
          <w:b/>
          <w:bCs/>
          <w:color w:val="auto"/>
          <w:sz w:val="32"/>
          <w:szCs w:val="32"/>
        </w:rPr>
        <w:t>产品销售区。</w:t>
      </w:r>
      <w:r>
        <w:rPr>
          <w:rFonts w:hint="eastAsia" w:ascii="仿宋_GB2312" w:hAnsi="仿宋_GB2312" w:eastAsia="仿宋_GB2312" w:cs="仿宋_GB2312"/>
          <w:color w:val="auto"/>
          <w:sz w:val="32"/>
          <w:szCs w:val="32"/>
        </w:rPr>
        <w:t>销售具有岭南文化特色的代表性工艺品和文创精品。</w:t>
      </w:r>
    </w:p>
    <w:p w14:paraId="0B0AD9EA">
      <w:pPr>
        <w:spacing w:line="56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8、高端珠宝首饰定制区。</w:t>
      </w:r>
      <w:r>
        <w:rPr>
          <w:rFonts w:hint="eastAsia" w:ascii="仿宋_GB2312" w:hAnsi="仿宋_GB2312" w:eastAsia="仿宋_GB2312" w:cs="仿宋_GB2312"/>
          <w:color w:val="auto"/>
          <w:sz w:val="32"/>
          <w:szCs w:val="32"/>
        </w:rPr>
        <w:t>按珠宝品类属性设计各展示区和定制区。</w:t>
      </w:r>
    </w:p>
    <w:p w14:paraId="57BC56D0">
      <w:pPr>
        <w:spacing w:line="56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9、珠宝设计大师工作室。</w:t>
      </w:r>
      <w:r>
        <w:rPr>
          <w:rFonts w:hint="eastAsia" w:ascii="仿宋_GB2312" w:hAnsi="仿宋_GB2312" w:eastAsia="仿宋_GB2312" w:cs="仿宋_GB2312"/>
          <w:color w:val="auto"/>
          <w:sz w:val="32"/>
          <w:szCs w:val="32"/>
        </w:rPr>
        <w:t>具备工作、展示和销售功能。</w:t>
      </w:r>
    </w:p>
    <w:p w14:paraId="395AB2B7">
      <w:pPr>
        <w:spacing w:line="56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10、旧金回收和检测维修服务区。</w:t>
      </w:r>
      <w:r>
        <w:rPr>
          <w:rFonts w:hint="eastAsia" w:ascii="仿宋_GB2312" w:hAnsi="仿宋_GB2312" w:eastAsia="仿宋_GB2312" w:cs="仿宋_GB2312"/>
          <w:color w:val="auto"/>
          <w:sz w:val="32"/>
          <w:szCs w:val="32"/>
        </w:rPr>
        <w:t>专业检测和维修设备放置区域。</w:t>
      </w:r>
    </w:p>
    <w:p w14:paraId="3B34C91D">
      <w:pPr>
        <w:spacing w:line="560" w:lineRule="exact"/>
        <w:ind w:left="568"/>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11、商务洽谈服务区。</w:t>
      </w:r>
      <w:r>
        <w:rPr>
          <w:rFonts w:hint="eastAsia" w:ascii="仿宋_GB2312" w:hAnsi="仿宋_GB2312" w:eastAsia="仿宋_GB2312" w:cs="仿宋_GB2312"/>
          <w:color w:val="auto"/>
          <w:sz w:val="32"/>
          <w:szCs w:val="32"/>
        </w:rPr>
        <w:t>多功能房间或创意式区域</w:t>
      </w:r>
      <w:r>
        <w:rPr>
          <w:rFonts w:hint="eastAsia" w:ascii="仿宋_GB2312" w:hAnsi="仿宋_GB2312" w:eastAsia="仿宋_GB2312" w:cs="仿宋_GB2312"/>
          <w:color w:val="auto"/>
          <w:sz w:val="32"/>
          <w:szCs w:val="32"/>
          <w:lang w:eastAsia="zh-CN"/>
        </w:rPr>
        <w:t>。</w:t>
      </w:r>
    </w:p>
    <w:p w14:paraId="3A77916A">
      <w:pPr>
        <w:spacing w:line="560" w:lineRule="exact"/>
        <w:ind w:left="568"/>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bCs/>
          <w:color w:val="auto"/>
          <w:sz w:val="32"/>
          <w:szCs w:val="32"/>
        </w:rPr>
        <w:t>12、仓储库房。</w:t>
      </w:r>
      <w:r>
        <w:rPr>
          <w:rFonts w:hint="eastAsia" w:ascii="仿宋_GB2312" w:hAnsi="仿宋_GB2312" w:eastAsia="仿宋_GB2312" w:cs="仿宋_GB2312"/>
          <w:b w:val="0"/>
          <w:bCs w:val="0"/>
          <w:color w:val="auto"/>
          <w:sz w:val="32"/>
          <w:szCs w:val="32"/>
        </w:rPr>
        <w:t>含</w:t>
      </w:r>
      <w:r>
        <w:rPr>
          <w:rFonts w:hint="eastAsia" w:ascii="仿宋_GB2312" w:hAnsi="仿宋_GB2312" w:eastAsia="仿宋_GB2312" w:cs="仿宋_GB2312"/>
          <w:b w:val="0"/>
          <w:bCs w:val="0"/>
          <w:color w:val="auto"/>
          <w:sz w:val="32"/>
          <w:szCs w:val="32"/>
          <w:lang w:val="en-US" w:eastAsia="zh-CN"/>
        </w:rPr>
        <w:t>产品仓储</w:t>
      </w:r>
      <w:r>
        <w:rPr>
          <w:rFonts w:hint="eastAsia" w:ascii="仿宋_GB2312" w:hAnsi="仿宋_GB2312" w:eastAsia="仿宋_GB2312" w:cs="仿宋_GB2312"/>
          <w:b w:val="0"/>
          <w:bCs w:val="0"/>
          <w:color w:val="auto"/>
          <w:sz w:val="32"/>
          <w:szCs w:val="32"/>
        </w:rPr>
        <w:t>和普通储物功能</w:t>
      </w:r>
      <w:r>
        <w:rPr>
          <w:rFonts w:hint="eastAsia" w:ascii="仿宋_GB2312" w:hAnsi="仿宋_GB2312" w:eastAsia="仿宋_GB2312" w:cs="仿宋_GB2312"/>
          <w:b w:val="0"/>
          <w:bCs w:val="0"/>
          <w:color w:val="auto"/>
          <w:sz w:val="32"/>
          <w:szCs w:val="32"/>
          <w:lang w:eastAsia="zh-CN"/>
        </w:rPr>
        <w:t>。</w:t>
      </w:r>
    </w:p>
    <w:p w14:paraId="4F2E1374">
      <w:pPr>
        <w:spacing w:line="560" w:lineRule="exact"/>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13、独立洗手间、清洁工具房。</w:t>
      </w:r>
      <w:r>
        <w:rPr>
          <w:rFonts w:hint="eastAsia" w:ascii="仿宋_GB2312" w:hAnsi="仿宋_GB2312" w:eastAsia="仿宋_GB2312" w:cs="仿宋_GB2312"/>
          <w:color w:val="auto"/>
          <w:sz w:val="32"/>
          <w:szCs w:val="32"/>
        </w:rPr>
        <w:t>需设置男、女独立洗手间。</w:t>
      </w:r>
    </w:p>
    <w:p w14:paraId="58839C99">
      <w:pPr>
        <w:spacing w:line="560" w:lineRule="exact"/>
        <w:ind w:left="568"/>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14、升降电梯。</w:t>
      </w:r>
      <w:r>
        <w:rPr>
          <w:rFonts w:hint="eastAsia" w:ascii="仿宋_GB2312" w:hAnsi="仿宋_GB2312" w:eastAsia="仿宋_GB2312" w:cs="仿宋_GB2312"/>
          <w:color w:val="auto"/>
          <w:sz w:val="32"/>
          <w:szCs w:val="32"/>
        </w:rPr>
        <w:t>一层到二层区域。</w:t>
      </w:r>
    </w:p>
    <w:p w14:paraId="4D69AFD8">
      <w:pPr>
        <w:spacing w:line="560" w:lineRule="exact"/>
        <w:ind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15、品牌活动、沙龙多功能多变区域。</w:t>
      </w:r>
      <w:r>
        <w:rPr>
          <w:rFonts w:hint="eastAsia" w:ascii="仿宋_GB2312" w:hAnsi="仿宋_GB2312" w:eastAsia="仿宋_GB2312" w:cs="仿宋_GB2312"/>
          <w:color w:val="auto"/>
          <w:sz w:val="32"/>
          <w:szCs w:val="32"/>
        </w:rPr>
        <w:t>兼顾营销活动、沙龙、走秀等多功能</w:t>
      </w:r>
      <w:r>
        <w:rPr>
          <w:rFonts w:hint="eastAsia" w:ascii="仿宋_GB2312" w:hAnsi="仿宋_GB2312" w:eastAsia="仿宋_GB2312" w:cs="仿宋_GB2312"/>
          <w:color w:val="auto"/>
          <w:sz w:val="32"/>
          <w:szCs w:val="32"/>
          <w:lang w:eastAsia="zh-CN"/>
        </w:rPr>
        <w:t>。</w:t>
      </w:r>
    </w:p>
    <w:p w14:paraId="4D802385">
      <w:pPr>
        <w:spacing w:line="560" w:lineRule="exact"/>
        <w:ind w:firstLine="643" w:firstLineChars="200"/>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16、员工休息区。</w:t>
      </w:r>
      <w:r>
        <w:rPr>
          <w:rFonts w:hint="eastAsia" w:ascii="仿宋_GB2312" w:hAnsi="仿宋_GB2312" w:eastAsia="仿宋_GB2312" w:cs="仿宋_GB2312"/>
          <w:b w:val="0"/>
          <w:bCs w:val="0"/>
          <w:color w:val="auto"/>
          <w:sz w:val="32"/>
          <w:szCs w:val="32"/>
          <w:lang w:val="en-US" w:eastAsia="zh-CN"/>
        </w:rPr>
        <w:t>供员工休息、休闲的区域。</w:t>
      </w:r>
    </w:p>
    <w:p w14:paraId="74D30918">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备注：以上仅供参考，</w:t>
      </w:r>
      <w:r>
        <w:rPr>
          <w:rFonts w:hint="eastAsia" w:ascii="仿宋_GB2312" w:hAnsi="仿宋_GB2312" w:eastAsia="仿宋_GB2312" w:cs="仿宋_GB2312"/>
          <w:color w:val="auto"/>
          <w:sz w:val="32"/>
          <w:szCs w:val="32"/>
          <w:lang w:val="en-US" w:eastAsia="zh-CN"/>
        </w:rPr>
        <w:t>相关功能区可合并或独立设置，并</w:t>
      </w:r>
      <w:r>
        <w:rPr>
          <w:rFonts w:hint="eastAsia" w:ascii="仿宋_GB2312" w:hAnsi="仿宋_GB2312" w:eastAsia="仿宋_GB2312" w:cs="仿宋_GB2312"/>
          <w:color w:val="auto"/>
          <w:sz w:val="32"/>
          <w:szCs w:val="32"/>
        </w:rPr>
        <w:t>结合实际和规划理念，提供可行的功能区设置建议。</w:t>
      </w:r>
    </w:p>
    <w:p w14:paraId="6496952D">
      <w:pPr>
        <w:pStyle w:val="69"/>
        <w:spacing w:line="560" w:lineRule="exact"/>
        <w:ind w:left="1648" w:hanging="1080" w:firstLineChars="0"/>
        <w:outlineLvl w:val="9"/>
        <w:rPr>
          <w:rFonts w:ascii="Times New Roman" w:hAnsi="Times New Roman" w:eastAsia="楷体_GB2312" w:cs="Times New Roman"/>
          <w:b/>
          <w:bCs/>
          <w:color w:val="auto"/>
          <w:sz w:val="32"/>
          <w:szCs w:val="32"/>
        </w:rPr>
      </w:pPr>
      <w:r>
        <w:rPr>
          <w:rFonts w:hint="eastAsia" w:ascii="Times New Roman" w:hAnsi="Times New Roman" w:eastAsia="楷体_GB2312" w:cs="Times New Roman"/>
          <w:b/>
          <w:bCs/>
          <w:color w:val="auto"/>
          <w:sz w:val="32"/>
          <w:szCs w:val="32"/>
        </w:rPr>
        <w:t>（</w:t>
      </w:r>
      <w:r>
        <w:rPr>
          <w:rFonts w:hint="eastAsia" w:ascii="Times New Roman" w:hAnsi="Times New Roman" w:eastAsia="楷体_GB2312" w:cs="Times New Roman"/>
          <w:b/>
          <w:bCs/>
          <w:color w:val="auto"/>
          <w:sz w:val="32"/>
          <w:szCs w:val="32"/>
          <w:lang w:val="en-US" w:eastAsia="zh-CN"/>
        </w:rPr>
        <w:t>六</w:t>
      </w:r>
      <w:r>
        <w:rPr>
          <w:rFonts w:hint="eastAsia" w:ascii="Times New Roman" w:hAnsi="Times New Roman" w:eastAsia="楷体_GB2312" w:cs="Times New Roman"/>
          <w:b/>
          <w:bCs/>
          <w:color w:val="auto"/>
          <w:sz w:val="32"/>
          <w:szCs w:val="32"/>
        </w:rPr>
        <w:t>）设计文件要求</w:t>
      </w:r>
    </w:p>
    <w:p w14:paraId="14DC4406">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1、设计成果应达到建设部颁发的《建筑工程设计文件编制深度规定》（2016年版）。</w:t>
      </w:r>
    </w:p>
    <w:p w14:paraId="0ABF7D95">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设计文件应满足广州市、越秀区及北京路商业步行街区的各职能部门的要求，如规划、国土、消防、民防、环保、卫生、交委、交警、街道等部门的报建报审报批要求。在项目报建阶段应满足建设单位报批各种手续的要求，分阶段提供所需的设计文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配合建设单位办理各种报建报批手续</w:t>
      </w:r>
      <w:r>
        <w:rPr>
          <w:rFonts w:hint="eastAsia" w:ascii="仿宋_GB2312" w:hAnsi="仿宋_GB2312" w:eastAsia="仿宋_GB2312" w:cs="仿宋_GB2312"/>
          <w:color w:val="auto"/>
          <w:sz w:val="32"/>
          <w:szCs w:val="32"/>
        </w:rPr>
        <w:t>。3、各专业图纸必须符合国家现行的技术规范及标准要求，达到有关审批和审查部门的报送要求施工图深度和质量必须满足其编制规范及要求，并满足预算编制，确保不出现图纸漏项漏量，并具有施工实施的可行性。</w:t>
      </w:r>
    </w:p>
    <w:p w14:paraId="1D98596C">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4、设计成果要求：室内装修图纸及其他相关图纸等。</w:t>
      </w:r>
    </w:p>
    <w:p w14:paraId="364C1FF2">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5、所有技术方案：包括但不限于设计方案、智能化及其他变更的技术专家论证，全部费用和技术支持由设计单位负责。</w:t>
      </w:r>
    </w:p>
    <w:p w14:paraId="5EAFAE51">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6、施工图设计涉及专业设计不得标示后期由施工单位深化设计，确有必要的须经建设单位和建设管理单位同意。</w:t>
      </w:r>
    </w:p>
    <w:p w14:paraId="14BF4DF1">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7、设计文件需满足相关主管部门和相关单位的概算审核要求。</w:t>
      </w:r>
    </w:p>
    <w:p w14:paraId="3E32F8D6">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8、设计成果文件包括装修设计方案文件、概算文件、施工图设计图纸，提交时间以合同约定为准。内容要求和份数如下：</w:t>
      </w:r>
    </w:p>
    <w:p w14:paraId="36744257">
      <w:pPr>
        <w:spacing w:line="560" w:lineRule="exact"/>
        <w:ind w:firstLine="482" w:firstLineChars="200"/>
        <w:rPr>
          <w:rFonts w:hint="eastAsia" w:eastAsia="宋体" w:cs="宋体"/>
          <w:b/>
          <w:bCs/>
          <w:color w:val="auto"/>
          <w:sz w:val="24"/>
          <w:szCs w:val="32"/>
        </w:rPr>
      </w:pPr>
      <w:r>
        <w:rPr>
          <w:rFonts w:hint="eastAsia" w:eastAsia="宋体" w:cs="宋体"/>
          <w:b/>
          <w:bCs/>
          <w:color w:val="auto"/>
          <w:sz w:val="24"/>
          <w:szCs w:val="32"/>
        </w:rPr>
        <w:t>设计成果文件要求</w:t>
      </w:r>
    </w:p>
    <w:p w14:paraId="2521E41D">
      <w:pPr>
        <w:spacing w:line="95" w:lineRule="exact"/>
        <w:rPr>
          <w:rFonts w:hint="eastAsia"/>
          <w:color w:val="auto"/>
        </w:rPr>
      </w:pPr>
    </w:p>
    <w:tbl>
      <w:tblPr>
        <w:tblStyle w:val="93"/>
        <w:tblW w:w="91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8"/>
        <w:gridCol w:w="1118"/>
        <w:gridCol w:w="1718"/>
        <w:gridCol w:w="5169"/>
      </w:tblGrid>
      <w:tr w14:paraId="0C638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1118" w:type="dxa"/>
            <w:vAlign w:val="center"/>
          </w:tcPr>
          <w:p w14:paraId="2CA1B55B">
            <w:pPr>
              <w:jc w:val="center"/>
              <w:rPr>
                <w:rFonts w:hint="eastAsia" w:ascii="宋体" w:hAnsi="宋体" w:eastAsia="宋体" w:cs="宋体"/>
                <w:b/>
                <w:bCs/>
                <w:color w:val="auto"/>
              </w:rPr>
            </w:pPr>
            <w:r>
              <w:rPr>
                <w:rFonts w:hint="eastAsia" w:ascii="宋体" w:hAnsi="宋体" w:eastAsia="宋体" w:cs="宋体"/>
                <w:b/>
                <w:bCs/>
                <w:color w:val="auto"/>
              </w:rPr>
              <w:t>序号</w:t>
            </w:r>
          </w:p>
        </w:tc>
        <w:tc>
          <w:tcPr>
            <w:tcW w:w="1118" w:type="dxa"/>
            <w:vAlign w:val="center"/>
          </w:tcPr>
          <w:p w14:paraId="467165A7">
            <w:pPr>
              <w:jc w:val="center"/>
              <w:rPr>
                <w:rFonts w:hint="eastAsia" w:ascii="宋体" w:hAnsi="宋体" w:eastAsia="宋体" w:cs="宋体"/>
                <w:b/>
                <w:bCs/>
                <w:color w:val="auto"/>
              </w:rPr>
            </w:pPr>
            <w:r>
              <w:rPr>
                <w:rFonts w:hint="eastAsia" w:ascii="宋体" w:hAnsi="宋体" w:eastAsia="宋体" w:cs="宋体"/>
                <w:b/>
                <w:bCs/>
                <w:color w:val="auto"/>
              </w:rPr>
              <w:t>资料及文</w:t>
            </w:r>
          </w:p>
          <w:p w14:paraId="075580E0">
            <w:pPr>
              <w:jc w:val="center"/>
              <w:rPr>
                <w:rFonts w:hint="eastAsia" w:ascii="宋体" w:hAnsi="宋体" w:eastAsia="宋体" w:cs="宋体"/>
                <w:b/>
                <w:bCs/>
                <w:color w:val="auto"/>
              </w:rPr>
            </w:pPr>
            <w:r>
              <w:rPr>
                <w:rFonts w:hint="eastAsia" w:ascii="宋体" w:hAnsi="宋体" w:eastAsia="宋体" w:cs="宋体"/>
                <w:b/>
                <w:bCs/>
                <w:color w:val="auto"/>
              </w:rPr>
              <w:t>件名称</w:t>
            </w:r>
          </w:p>
        </w:tc>
        <w:tc>
          <w:tcPr>
            <w:tcW w:w="1718" w:type="dxa"/>
            <w:vAlign w:val="center"/>
          </w:tcPr>
          <w:p w14:paraId="3D5EF238">
            <w:pPr>
              <w:jc w:val="center"/>
              <w:rPr>
                <w:rFonts w:hint="eastAsia" w:ascii="宋体" w:hAnsi="宋体" w:eastAsia="宋体" w:cs="宋体"/>
                <w:b/>
                <w:bCs/>
                <w:color w:val="auto"/>
              </w:rPr>
            </w:pPr>
            <w:r>
              <w:rPr>
                <w:rFonts w:hint="eastAsia" w:ascii="宋体" w:hAnsi="宋体" w:eastAsia="宋体" w:cs="宋体"/>
                <w:b/>
                <w:bCs/>
                <w:color w:val="auto"/>
              </w:rPr>
              <w:t>份数</w:t>
            </w:r>
          </w:p>
        </w:tc>
        <w:tc>
          <w:tcPr>
            <w:tcW w:w="5169" w:type="dxa"/>
            <w:vAlign w:val="center"/>
          </w:tcPr>
          <w:p w14:paraId="6C8383C8">
            <w:pPr>
              <w:jc w:val="center"/>
              <w:rPr>
                <w:rFonts w:hint="eastAsia" w:ascii="宋体" w:hAnsi="宋体" w:eastAsia="宋体" w:cs="宋体"/>
                <w:b/>
                <w:bCs/>
                <w:color w:val="auto"/>
              </w:rPr>
            </w:pPr>
            <w:r>
              <w:rPr>
                <w:rFonts w:hint="eastAsia" w:ascii="宋体" w:hAnsi="宋体" w:eastAsia="宋体" w:cs="宋体"/>
                <w:b/>
                <w:bCs/>
                <w:color w:val="auto"/>
              </w:rPr>
              <w:t>内容要求</w:t>
            </w:r>
          </w:p>
        </w:tc>
      </w:tr>
      <w:tr w14:paraId="405E7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1118" w:type="dxa"/>
            <w:vAlign w:val="center"/>
          </w:tcPr>
          <w:p w14:paraId="008E5DC4">
            <w:pPr>
              <w:jc w:val="center"/>
              <w:rPr>
                <w:rFonts w:hint="eastAsia" w:ascii="宋体" w:hAnsi="宋体" w:eastAsia="宋体" w:cs="宋体"/>
                <w:color w:val="auto"/>
              </w:rPr>
            </w:pPr>
            <w:r>
              <w:rPr>
                <w:rFonts w:hint="eastAsia" w:ascii="宋体" w:hAnsi="宋体" w:eastAsia="宋体" w:cs="宋体"/>
                <w:color w:val="auto"/>
              </w:rPr>
              <w:t>1</w:t>
            </w:r>
          </w:p>
        </w:tc>
        <w:tc>
          <w:tcPr>
            <w:tcW w:w="1118" w:type="dxa"/>
            <w:vAlign w:val="center"/>
          </w:tcPr>
          <w:p w14:paraId="2E88FD45">
            <w:pPr>
              <w:jc w:val="center"/>
              <w:rPr>
                <w:rFonts w:hint="eastAsia" w:ascii="宋体" w:hAnsi="宋体" w:eastAsia="宋体" w:cs="宋体"/>
                <w:color w:val="auto"/>
              </w:rPr>
            </w:pPr>
            <w:r>
              <w:rPr>
                <w:rFonts w:hint="eastAsia" w:ascii="宋体" w:hAnsi="宋体" w:eastAsia="宋体" w:cs="宋体"/>
                <w:color w:val="auto"/>
              </w:rPr>
              <w:t>装修设计</w:t>
            </w:r>
          </w:p>
          <w:p w14:paraId="5868FEB5">
            <w:pPr>
              <w:jc w:val="center"/>
              <w:rPr>
                <w:rFonts w:hint="eastAsia" w:ascii="宋体" w:hAnsi="宋体" w:eastAsia="宋体" w:cs="宋体"/>
                <w:color w:val="auto"/>
              </w:rPr>
            </w:pPr>
            <w:r>
              <w:rPr>
                <w:rFonts w:hint="eastAsia" w:ascii="宋体" w:hAnsi="宋体" w:eastAsia="宋体" w:cs="宋体"/>
                <w:color w:val="auto"/>
              </w:rPr>
              <w:t>方案文件</w:t>
            </w:r>
          </w:p>
        </w:tc>
        <w:tc>
          <w:tcPr>
            <w:tcW w:w="1718" w:type="dxa"/>
            <w:vAlign w:val="center"/>
          </w:tcPr>
          <w:p w14:paraId="4F0039E6">
            <w:pPr>
              <w:jc w:val="center"/>
              <w:rPr>
                <w:rFonts w:hint="eastAsia" w:ascii="宋体" w:hAnsi="宋体" w:eastAsia="宋体" w:cs="宋体"/>
                <w:color w:val="auto"/>
              </w:rPr>
            </w:pPr>
            <w:r>
              <w:rPr>
                <w:rFonts w:hint="eastAsia" w:ascii="宋体" w:hAnsi="宋体" w:eastAsia="宋体" w:cs="宋体"/>
                <w:color w:val="auto"/>
              </w:rPr>
              <w:t>纸质文本2套，</w:t>
            </w:r>
          </w:p>
          <w:p w14:paraId="56BA05B8">
            <w:pPr>
              <w:jc w:val="center"/>
              <w:rPr>
                <w:rFonts w:hint="eastAsia" w:ascii="宋体" w:hAnsi="宋体" w:eastAsia="宋体" w:cs="宋体"/>
                <w:color w:val="auto"/>
              </w:rPr>
            </w:pPr>
            <w:r>
              <w:rPr>
                <w:rFonts w:hint="eastAsia" w:ascii="宋体" w:hAnsi="宋体" w:eastAsia="宋体" w:cs="宋体"/>
                <w:color w:val="auto"/>
              </w:rPr>
              <w:t>电子文件1份</w:t>
            </w:r>
          </w:p>
        </w:tc>
        <w:tc>
          <w:tcPr>
            <w:tcW w:w="5169" w:type="dxa"/>
            <w:vAlign w:val="center"/>
          </w:tcPr>
          <w:p w14:paraId="397A4387">
            <w:pPr>
              <w:jc w:val="center"/>
              <w:rPr>
                <w:rFonts w:hint="eastAsia" w:ascii="宋体" w:hAnsi="宋体" w:eastAsia="宋体" w:cs="宋体"/>
                <w:color w:val="auto"/>
              </w:rPr>
            </w:pPr>
            <w:r>
              <w:rPr>
                <w:rFonts w:hint="eastAsia" w:ascii="宋体" w:hAnsi="宋体" w:eastAsia="宋体" w:cs="宋体"/>
                <w:color w:val="auto"/>
              </w:rPr>
              <w:t>对装饰空间效果、标识标牌效果、灯光效果等出具效果</w:t>
            </w:r>
          </w:p>
          <w:p w14:paraId="227D6A29">
            <w:pPr>
              <w:jc w:val="center"/>
              <w:rPr>
                <w:rFonts w:hint="eastAsia" w:ascii="宋体" w:hAnsi="宋体" w:eastAsia="宋体" w:cs="宋体"/>
                <w:color w:val="auto"/>
              </w:rPr>
            </w:pPr>
            <w:r>
              <w:rPr>
                <w:rFonts w:hint="eastAsia" w:ascii="宋体" w:hAnsi="宋体" w:eastAsia="宋体" w:cs="宋体"/>
                <w:color w:val="auto"/>
              </w:rPr>
              <w:t>图。如有装饰装修设计变更，按需补出变更后的效果图</w:t>
            </w:r>
          </w:p>
        </w:tc>
      </w:tr>
      <w:tr w14:paraId="78B14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1118" w:type="dxa"/>
            <w:vAlign w:val="center"/>
          </w:tcPr>
          <w:p w14:paraId="35C9861D">
            <w:pPr>
              <w:jc w:val="center"/>
              <w:rPr>
                <w:rFonts w:hint="eastAsia" w:ascii="宋体" w:hAnsi="宋体" w:eastAsia="宋体" w:cs="宋体"/>
                <w:color w:val="auto"/>
              </w:rPr>
            </w:pPr>
            <w:r>
              <w:rPr>
                <w:rFonts w:hint="eastAsia" w:ascii="宋体" w:hAnsi="宋体" w:eastAsia="宋体" w:cs="宋体"/>
                <w:color w:val="auto"/>
              </w:rPr>
              <w:t>2</w:t>
            </w:r>
          </w:p>
        </w:tc>
        <w:tc>
          <w:tcPr>
            <w:tcW w:w="1118" w:type="dxa"/>
            <w:vAlign w:val="center"/>
          </w:tcPr>
          <w:p w14:paraId="1B1EE163">
            <w:pPr>
              <w:jc w:val="center"/>
              <w:rPr>
                <w:rFonts w:hint="eastAsia" w:ascii="宋体" w:hAnsi="宋体" w:eastAsia="宋体" w:cs="宋体"/>
                <w:color w:val="auto"/>
              </w:rPr>
            </w:pPr>
            <w:r>
              <w:rPr>
                <w:rFonts w:hint="eastAsia" w:ascii="宋体" w:hAnsi="宋体" w:eastAsia="宋体" w:cs="宋体"/>
                <w:color w:val="auto"/>
              </w:rPr>
              <w:t>概算文件</w:t>
            </w:r>
          </w:p>
        </w:tc>
        <w:tc>
          <w:tcPr>
            <w:tcW w:w="1718" w:type="dxa"/>
            <w:vAlign w:val="center"/>
          </w:tcPr>
          <w:p w14:paraId="0AB96610">
            <w:pPr>
              <w:jc w:val="center"/>
              <w:rPr>
                <w:rFonts w:hint="eastAsia" w:ascii="宋体" w:hAnsi="宋体" w:eastAsia="宋体" w:cs="宋体"/>
                <w:color w:val="auto"/>
              </w:rPr>
            </w:pPr>
            <w:r>
              <w:rPr>
                <w:rFonts w:hint="eastAsia" w:ascii="宋体" w:hAnsi="宋体" w:eastAsia="宋体" w:cs="宋体"/>
                <w:color w:val="auto"/>
              </w:rPr>
              <w:t>纸质文本3套，</w:t>
            </w:r>
          </w:p>
          <w:p w14:paraId="058D3827">
            <w:pPr>
              <w:jc w:val="center"/>
              <w:rPr>
                <w:rFonts w:hint="eastAsia" w:ascii="宋体" w:hAnsi="宋体" w:eastAsia="宋体" w:cs="宋体"/>
                <w:color w:val="auto"/>
              </w:rPr>
            </w:pPr>
            <w:r>
              <w:rPr>
                <w:rFonts w:hint="eastAsia" w:ascii="宋体" w:hAnsi="宋体" w:eastAsia="宋体" w:cs="宋体"/>
                <w:color w:val="auto"/>
              </w:rPr>
              <w:t>电子文件1份</w:t>
            </w:r>
          </w:p>
        </w:tc>
        <w:tc>
          <w:tcPr>
            <w:tcW w:w="5169" w:type="dxa"/>
            <w:vAlign w:val="center"/>
          </w:tcPr>
          <w:p w14:paraId="15AFD676">
            <w:pPr>
              <w:jc w:val="center"/>
              <w:rPr>
                <w:rFonts w:hint="eastAsia" w:ascii="宋体" w:hAnsi="宋体" w:eastAsia="宋体" w:cs="宋体"/>
                <w:color w:val="auto"/>
              </w:rPr>
            </w:pPr>
            <w:r>
              <w:rPr>
                <w:rFonts w:hint="eastAsia" w:ascii="宋体" w:hAnsi="宋体" w:eastAsia="宋体" w:cs="宋体"/>
                <w:color w:val="auto"/>
              </w:rPr>
              <w:t>按规范编制，电子文件包括工程量计算书、套价软件版</w:t>
            </w:r>
          </w:p>
          <w:p w14:paraId="15C31961">
            <w:pPr>
              <w:jc w:val="center"/>
              <w:rPr>
                <w:rFonts w:hint="eastAsia" w:ascii="宋体" w:hAnsi="宋体" w:eastAsia="宋体" w:cs="宋体"/>
                <w:color w:val="auto"/>
              </w:rPr>
            </w:pPr>
            <w:r>
              <w:rPr>
                <w:rFonts w:hint="eastAsia" w:ascii="宋体" w:hAnsi="宋体" w:eastAsia="宋体" w:cs="宋体"/>
                <w:color w:val="auto"/>
              </w:rPr>
              <w:t>文件</w:t>
            </w:r>
          </w:p>
        </w:tc>
      </w:tr>
      <w:tr w14:paraId="66989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jc w:val="center"/>
        </w:trPr>
        <w:tc>
          <w:tcPr>
            <w:tcW w:w="1118" w:type="dxa"/>
            <w:vAlign w:val="center"/>
          </w:tcPr>
          <w:p w14:paraId="04A91BD4">
            <w:pPr>
              <w:jc w:val="center"/>
              <w:rPr>
                <w:rFonts w:hint="eastAsia" w:ascii="宋体" w:hAnsi="宋体" w:eastAsia="宋体" w:cs="宋体"/>
                <w:color w:val="auto"/>
              </w:rPr>
            </w:pPr>
            <w:r>
              <w:rPr>
                <w:rFonts w:hint="eastAsia" w:ascii="宋体" w:hAnsi="宋体" w:eastAsia="宋体" w:cs="宋体"/>
                <w:color w:val="auto"/>
              </w:rPr>
              <w:t>3</w:t>
            </w:r>
          </w:p>
        </w:tc>
        <w:tc>
          <w:tcPr>
            <w:tcW w:w="1118" w:type="dxa"/>
            <w:vAlign w:val="center"/>
          </w:tcPr>
          <w:p w14:paraId="7536E139">
            <w:pPr>
              <w:jc w:val="center"/>
              <w:rPr>
                <w:rFonts w:hint="eastAsia" w:ascii="宋体" w:hAnsi="宋体" w:eastAsia="宋体" w:cs="宋体"/>
                <w:color w:val="auto"/>
              </w:rPr>
            </w:pPr>
            <w:r>
              <w:rPr>
                <w:rFonts w:hint="eastAsia" w:ascii="宋体" w:hAnsi="宋体" w:eastAsia="宋体" w:cs="宋体"/>
                <w:color w:val="auto"/>
              </w:rPr>
              <w:t>施工图设</w:t>
            </w:r>
          </w:p>
          <w:p w14:paraId="556B382C">
            <w:pPr>
              <w:jc w:val="center"/>
              <w:rPr>
                <w:rFonts w:hint="eastAsia" w:ascii="宋体" w:hAnsi="宋体" w:eastAsia="宋体" w:cs="宋体"/>
                <w:color w:val="auto"/>
              </w:rPr>
            </w:pPr>
            <w:r>
              <w:rPr>
                <w:rFonts w:hint="eastAsia" w:ascii="宋体" w:hAnsi="宋体" w:eastAsia="宋体" w:cs="宋体"/>
                <w:color w:val="auto"/>
              </w:rPr>
              <w:t>计图纸</w:t>
            </w:r>
          </w:p>
        </w:tc>
        <w:tc>
          <w:tcPr>
            <w:tcW w:w="1718" w:type="dxa"/>
            <w:vAlign w:val="center"/>
          </w:tcPr>
          <w:p w14:paraId="0D56E28E">
            <w:pPr>
              <w:jc w:val="center"/>
              <w:rPr>
                <w:rFonts w:hint="eastAsia" w:ascii="宋体" w:hAnsi="宋体" w:eastAsia="宋体" w:cs="宋体"/>
                <w:color w:val="auto"/>
              </w:rPr>
            </w:pPr>
            <w:r>
              <w:rPr>
                <w:rFonts w:hint="eastAsia" w:ascii="宋体" w:hAnsi="宋体" w:eastAsia="宋体" w:cs="宋体"/>
                <w:color w:val="auto"/>
              </w:rPr>
              <w:t>纸质文本3套，</w:t>
            </w:r>
          </w:p>
          <w:p w14:paraId="593E0AA5">
            <w:pPr>
              <w:jc w:val="center"/>
              <w:rPr>
                <w:rFonts w:hint="eastAsia" w:ascii="宋体" w:hAnsi="宋体" w:eastAsia="宋体" w:cs="宋体"/>
                <w:color w:val="auto"/>
              </w:rPr>
            </w:pPr>
            <w:r>
              <w:rPr>
                <w:rFonts w:hint="eastAsia" w:ascii="宋体" w:hAnsi="宋体" w:eastAsia="宋体" w:cs="宋体"/>
                <w:color w:val="auto"/>
              </w:rPr>
              <w:t>电子文件1份</w:t>
            </w:r>
          </w:p>
        </w:tc>
        <w:tc>
          <w:tcPr>
            <w:tcW w:w="5169" w:type="dxa"/>
            <w:vAlign w:val="center"/>
          </w:tcPr>
          <w:p w14:paraId="63D467A2">
            <w:pPr>
              <w:jc w:val="center"/>
              <w:rPr>
                <w:rFonts w:hint="eastAsia" w:ascii="宋体" w:hAnsi="宋体" w:eastAsia="宋体" w:cs="宋体"/>
                <w:color w:val="auto"/>
              </w:rPr>
            </w:pPr>
            <w:r>
              <w:rPr>
                <w:rFonts w:hint="eastAsia" w:ascii="宋体" w:hAnsi="宋体" w:eastAsia="宋体" w:cs="宋体"/>
                <w:color w:val="auto"/>
              </w:rPr>
              <w:t>按规范绘制</w:t>
            </w:r>
          </w:p>
        </w:tc>
      </w:tr>
    </w:tbl>
    <w:p w14:paraId="5AAD75FD">
      <w:pPr>
        <w:spacing w:line="560" w:lineRule="exact"/>
        <w:ind w:firstLine="640" w:firstLineChars="200"/>
        <w:outlineLvl w:val="9"/>
        <w:rPr>
          <w:rFonts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rPr>
        <w:t>三、物业现状</w:t>
      </w:r>
    </w:p>
    <w:p w14:paraId="6F31088D">
      <w:pPr>
        <w:spacing w:line="560" w:lineRule="exact"/>
        <w:ind w:firstLine="643" w:firstLineChars="200"/>
        <w:outlineLvl w:val="9"/>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rPr>
        <w:t>（一）物业</w:t>
      </w:r>
      <w:r>
        <w:rPr>
          <w:rFonts w:hint="eastAsia" w:ascii="楷体_GB2312" w:hAnsi="楷体_GB2312" w:eastAsia="楷体_GB2312" w:cs="楷体_GB2312"/>
          <w:b/>
          <w:bCs/>
          <w:color w:val="auto"/>
          <w:sz w:val="32"/>
          <w:szCs w:val="32"/>
          <w:lang w:val="en-US" w:eastAsia="zh-CN"/>
        </w:rPr>
        <w:t>一层</w:t>
      </w:r>
    </w:p>
    <w:p w14:paraId="26B83D5E">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一层</w:t>
      </w:r>
      <w:r>
        <w:rPr>
          <w:rFonts w:hint="eastAsia" w:ascii="仿宋_GB2312" w:hAnsi="仿宋_GB2312" w:eastAsia="仿宋_GB2312" w:cs="仿宋_GB2312"/>
          <w:color w:val="auto"/>
          <w:sz w:val="32"/>
          <w:szCs w:val="32"/>
        </w:rPr>
        <w:t>室内为简单装修，面积为539.6865平方米，层高约4米，地面为地砖，墙面为乳胶漆，天花为扣板吊顶，外装卷闸门。</w:t>
      </w:r>
    </w:p>
    <w:p w14:paraId="54D28B90">
      <w:pPr>
        <w:pStyle w:val="23"/>
        <w:spacing w:line="560" w:lineRule="exact"/>
        <w:rPr>
          <w:rFonts w:hint="eastAsia"/>
          <w:color w:val="auto"/>
        </w:rPr>
      </w:pPr>
      <w:r>
        <w:rPr>
          <w:rFonts w:hint="eastAsia"/>
          <w:color w:val="auto"/>
        </w:rPr>
        <w:drawing>
          <wp:anchor distT="0" distB="0" distL="114300" distR="114300" simplePos="0" relativeHeight="251660288" behindDoc="0" locked="0" layoutInCell="1" allowOverlap="1">
            <wp:simplePos x="0" y="0"/>
            <wp:positionH relativeFrom="column">
              <wp:posOffset>2752725</wp:posOffset>
            </wp:positionH>
            <wp:positionV relativeFrom="paragraph">
              <wp:posOffset>45720</wp:posOffset>
            </wp:positionV>
            <wp:extent cx="3048000" cy="3042285"/>
            <wp:effectExtent l="0" t="0" r="0" b="5715"/>
            <wp:wrapNone/>
            <wp:docPr id="5" name="图片 5" descr="第15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15页-4"/>
                    <pic:cNvPicPr>
                      <a:picLocks noChangeAspect="1"/>
                    </pic:cNvPicPr>
                  </pic:nvPicPr>
                  <pic:blipFill>
                    <a:blip r:embed="rId7"/>
                    <a:stretch>
                      <a:fillRect/>
                    </a:stretch>
                  </pic:blipFill>
                  <pic:spPr>
                    <a:xfrm>
                      <a:off x="0" y="0"/>
                      <a:ext cx="3048000" cy="3042285"/>
                    </a:xfrm>
                    <a:prstGeom prst="rect">
                      <a:avLst/>
                    </a:prstGeom>
                  </pic:spPr>
                </pic:pic>
              </a:graphicData>
            </a:graphic>
          </wp:anchor>
        </w:drawing>
      </w:r>
      <w:r>
        <w:rPr>
          <w:rFonts w:hint="eastAsia"/>
          <w:color w:val="auto"/>
        </w:rPr>
        <w:drawing>
          <wp:anchor distT="0" distB="0" distL="114300" distR="114300" simplePos="0" relativeHeight="251659264" behindDoc="1" locked="0" layoutInCell="1" allowOverlap="1">
            <wp:simplePos x="0" y="0"/>
            <wp:positionH relativeFrom="column">
              <wp:posOffset>-304165</wp:posOffset>
            </wp:positionH>
            <wp:positionV relativeFrom="paragraph">
              <wp:posOffset>37465</wp:posOffset>
            </wp:positionV>
            <wp:extent cx="3037840" cy="3037840"/>
            <wp:effectExtent l="0" t="0" r="10160" b="10160"/>
            <wp:wrapNone/>
            <wp:docPr id="4" name="图片 4" descr="第15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15页-5"/>
                    <pic:cNvPicPr>
                      <a:picLocks noChangeAspect="1"/>
                    </pic:cNvPicPr>
                  </pic:nvPicPr>
                  <pic:blipFill>
                    <a:blip r:embed="rId8"/>
                    <a:stretch>
                      <a:fillRect/>
                    </a:stretch>
                  </pic:blipFill>
                  <pic:spPr>
                    <a:xfrm>
                      <a:off x="0" y="0"/>
                      <a:ext cx="3037840" cy="3037840"/>
                    </a:xfrm>
                    <a:prstGeom prst="rect">
                      <a:avLst/>
                    </a:prstGeom>
                  </pic:spPr>
                </pic:pic>
              </a:graphicData>
            </a:graphic>
          </wp:anchor>
        </w:drawing>
      </w:r>
    </w:p>
    <w:p w14:paraId="4B351E49">
      <w:pPr>
        <w:pStyle w:val="23"/>
        <w:spacing w:line="560" w:lineRule="exact"/>
        <w:rPr>
          <w:rFonts w:hint="eastAsia"/>
          <w:color w:val="auto"/>
        </w:rPr>
      </w:pPr>
    </w:p>
    <w:p w14:paraId="5E554140">
      <w:pPr>
        <w:pStyle w:val="23"/>
        <w:spacing w:line="560" w:lineRule="exact"/>
        <w:rPr>
          <w:rFonts w:hint="eastAsia"/>
          <w:color w:val="auto"/>
        </w:rPr>
      </w:pPr>
    </w:p>
    <w:p w14:paraId="26EF7904">
      <w:pPr>
        <w:pStyle w:val="23"/>
        <w:spacing w:line="560" w:lineRule="exact"/>
        <w:rPr>
          <w:rFonts w:hint="eastAsia"/>
          <w:color w:val="auto"/>
        </w:rPr>
      </w:pPr>
    </w:p>
    <w:p w14:paraId="777E68A8">
      <w:pPr>
        <w:pStyle w:val="23"/>
        <w:spacing w:line="560" w:lineRule="exact"/>
        <w:rPr>
          <w:rFonts w:hint="eastAsia"/>
          <w:color w:val="auto"/>
        </w:rPr>
      </w:pPr>
    </w:p>
    <w:p w14:paraId="5C06054E">
      <w:pPr>
        <w:pStyle w:val="23"/>
        <w:spacing w:line="560" w:lineRule="exact"/>
        <w:rPr>
          <w:rFonts w:hint="eastAsia"/>
          <w:color w:val="auto"/>
        </w:rPr>
      </w:pPr>
    </w:p>
    <w:p w14:paraId="465C3725">
      <w:pPr>
        <w:pStyle w:val="23"/>
        <w:spacing w:line="560" w:lineRule="exact"/>
        <w:rPr>
          <w:rFonts w:hint="eastAsia"/>
          <w:color w:val="auto"/>
        </w:rPr>
      </w:pPr>
    </w:p>
    <w:p w14:paraId="4AB4B0CE">
      <w:pPr>
        <w:pStyle w:val="23"/>
        <w:spacing w:line="560" w:lineRule="exact"/>
        <w:rPr>
          <w:rFonts w:hint="eastAsia"/>
          <w:color w:val="auto"/>
        </w:rPr>
      </w:pPr>
    </w:p>
    <w:p w14:paraId="68A64A26">
      <w:pPr>
        <w:pStyle w:val="23"/>
        <w:spacing w:line="560" w:lineRule="exact"/>
        <w:rPr>
          <w:rFonts w:hint="eastAsia"/>
          <w:color w:val="auto"/>
        </w:rPr>
      </w:pPr>
    </w:p>
    <w:p w14:paraId="317AA4E8">
      <w:pPr>
        <w:spacing w:line="560" w:lineRule="exact"/>
        <w:ind w:firstLine="643" w:firstLineChars="200"/>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（二）物业二层</w:t>
      </w:r>
    </w:p>
    <w:p w14:paraId="4A5E4353">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二层面积为585.6243平方米，层高约2.8米，室内为简单装修，</w:t>
      </w:r>
      <w:r>
        <w:rPr>
          <w:rFonts w:ascii="仿宋_GB2312" w:hAnsi="仿宋_GB2312" w:eastAsia="仿宋_GB2312" w:cs="仿宋_GB2312"/>
          <w:color w:val="auto"/>
          <w:sz w:val="32"/>
          <w:szCs w:val="32"/>
        </w:rPr>
        <w:t>地面为地砖，墙面为乳胶漆，天花为乳胶漆，外装玻璃幕墙，带有卫生间、杂物房</w:t>
      </w:r>
      <w:r>
        <w:rPr>
          <w:rFonts w:hint="eastAsia" w:ascii="仿宋_GB2312" w:hAnsi="仿宋_GB2312" w:eastAsia="仿宋_GB2312" w:cs="仿宋_GB2312"/>
          <w:color w:val="auto"/>
          <w:sz w:val="32"/>
          <w:szCs w:val="32"/>
        </w:rPr>
        <w:t>。二层经楼梯上落，楼梯入口位于西湖路内街小马站街，无</w:t>
      </w:r>
      <w:r>
        <w:rPr>
          <w:rFonts w:ascii="仿宋_GB2312" w:hAnsi="仿宋_GB2312" w:eastAsia="仿宋_GB2312" w:cs="仿宋_GB2312"/>
          <w:color w:val="auto"/>
          <w:sz w:val="32"/>
          <w:szCs w:val="32"/>
        </w:rPr>
        <w:t>需经由</w:t>
      </w:r>
      <w:r>
        <w:rPr>
          <w:rFonts w:hint="eastAsia" w:ascii="仿宋_GB2312" w:hAnsi="仿宋_GB2312" w:eastAsia="仿宋_GB2312" w:cs="仿宋_GB2312"/>
          <w:color w:val="auto"/>
          <w:sz w:val="32"/>
          <w:szCs w:val="32"/>
          <w:lang w:eastAsia="zh-CN"/>
        </w:rPr>
        <w:t>一层</w:t>
      </w:r>
      <w:r>
        <w:rPr>
          <w:rFonts w:ascii="仿宋_GB2312" w:hAnsi="仿宋_GB2312" w:eastAsia="仿宋_GB2312" w:cs="仿宋_GB2312"/>
          <w:color w:val="auto"/>
          <w:sz w:val="32"/>
          <w:szCs w:val="32"/>
        </w:rPr>
        <w:t>进入</w:t>
      </w:r>
      <w:r>
        <w:rPr>
          <w:rFonts w:hint="eastAsia" w:ascii="仿宋_GB2312" w:hAnsi="仿宋_GB2312" w:eastAsia="仿宋_GB2312" w:cs="仿宋_GB2312"/>
          <w:color w:val="auto"/>
          <w:sz w:val="32"/>
          <w:szCs w:val="32"/>
        </w:rPr>
        <w:t>。二层</w:t>
      </w:r>
      <w:r>
        <w:rPr>
          <w:rFonts w:ascii="仿宋_GB2312" w:hAnsi="仿宋_GB2312" w:eastAsia="仿宋_GB2312" w:cs="仿宋_GB2312"/>
          <w:color w:val="auto"/>
          <w:sz w:val="32"/>
          <w:szCs w:val="32"/>
        </w:rPr>
        <w:t>室内有一条楼梯可通往</w:t>
      </w:r>
      <w:r>
        <w:rPr>
          <w:rFonts w:hint="eastAsia" w:ascii="仿宋_GB2312" w:hAnsi="仿宋_GB2312" w:eastAsia="仿宋_GB2312" w:cs="仿宋_GB2312"/>
          <w:color w:val="auto"/>
          <w:sz w:val="32"/>
          <w:szCs w:val="32"/>
          <w:lang w:eastAsia="zh-CN"/>
        </w:rPr>
        <w:t>一层</w:t>
      </w:r>
      <w:r>
        <w:rPr>
          <w:rFonts w:ascii="仿宋_GB2312" w:hAnsi="仿宋_GB2312" w:eastAsia="仿宋_GB2312" w:cs="仿宋_GB2312"/>
          <w:color w:val="auto"/>
          <w:sz w:val="32"/>
          <w:szCs w:val="32"/>
        </w:rPr>
        <w:t>室内。</w:t>
      </w:r>
    </w:p>
    <w:p w14:paraId="3924B820">
      <w:pPr>
        <w:pStyle w:val="23"/>
        <w:spacing w:line="560" w:lineRule="exact"/>
        <w:rPr>
          <w:rFonts w:hint="eastAsia"/>
          <w:color w:val="auto"/>
        </w:rPr>
      </w:pPr>
      <w:r>
        <w:rPr>
          <w:rFonts w:hint="eastAsia"/>
          <w:color w:val="auto"/>
        </w:rPr>
        <w:drawing>
          <wp:anchor distT="0" distB="0" distL="114300" distR="114300" simplePos="0" relativeHeight="251662336" behindDoc="0" locked="0" layoutInCell="1" allowOverlap="1">
            <wp:simplePos x="0" y="0"/>
            <wp:positionH relativeFrom="column">
              <wp:posOffset>2695575</wp:posOffset>
            </wp:positionH>
            <wp:positionV relativeFrom="paragraph">
              <wp:posOffset>247650</wp:posOffset>
            </wp:positionV>
            <wp:extent cx="3114675" cy="3114675"/>
            <wp:effectExtent l="0" t="0" r="9525" b="9525"/>
            <wp:wrapNone/>
            <wp:docPr id="7" name="图片 7" descr="第15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15页-3"/>
                    <pic:cNvPicPr>
                      <a:picLocks noChangeAspect="1"/>
                    </pic:cNvPicPr>
                  </pic:nvPicPr>
                  <pic:blipFill>
                    <a:blip r:embed="rId9"/>
                    <a:stretch>
                      <a:fillRect/>
                    </a:stretch>
                  </pic:blipFill>
                  <pic:spPr>
                    <a:xfrm>
                      <a:off x="0" y="0"/>
                      <a:ext cx="3114675" cy="3114675"/>
                    </a:xfrm>
                    <a:prstGeom prst="rect">
                      <a:avLst/>
                    </a:prstGeom>
                  </pic:spPr>
                </pic:pic>
              </a:graphicData>
            </a:graphic>
          </wp:anchor>
        </w:drawing>
      </w:r>
    </w:p>
    <w:p w14:paraId="0A02D7AE">
      <w:pPr>
        <w:pStyle w:val="23"/>
        <w:spacing w:line="560" w:lineRule="exact"/>
        <w:rPr>
          <w:rFonts w:hint="eastAsia"/>
          <w:color w:val="auto"/>
        </w:rPr>
      </w:pPr>
      <w:r>
        <w:rPr>
          <w:rFonts w:hint="eastAsia"/>
          <w:color w:val="auto"/>
        </w:rPr>
        <w:drawing>
          <wp:anchor distT="0" distB="0" distL="114300" distR="114300" simplePos="0" relativeHeight="251661312" behindDoc="0" locked="0" layoutInCell="1" allowOverlap="1">
            <wp:simplePos x="0" y="0"/>
            <wp:positionH relativeFrom="column">
              <wp:posOffset>-476250</wp:posOffset>
            </wp:positionH>
            <wp:positionV relativeFrom="paragraph">
              <wp:posOffset>-110490</wp:posOffset>
            </wp:positionV>
            <wp:extent cx="3114675" cy="3114675"/>
            <wp:effectExtent l="0" t="0" r="9525" b="9525"/>
            <wp:wrapNone/>
            <wp:docPr id="6" name="图片 6" descr="第15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15页-2"/>
                    <pic:cNvPicPr>
                      <a:picLocks noChangeAspect="1"/>
                    </pic:cNvPicPr>
                  </pic:nvPicPr>
                  <pic:blipFill>
                    <a:blip r:embed="rId10"/>
                    <a:stretch>
                      <a:fillRect/>
                    </a:stretch>
                  </pic:blipFill>
                  <pic:spPr>
                    <a:xfrm>
                      <a:off x="0" y="0"/>
                      <a:ext cx="3114675" cy="3114675"/>
                    </a:xfrm>
                    <a:prstGeom prst="rect">
                      <a:avLst/>
                    </a:prstGeom>
                  </pic:spPr>
                </pic:pic>
              </a:graphicData>
            </a:graphic>
          </wp:anchor>
        </w:drawing>
      </w:r>
    </w:p>
    <w:p w14:paraId="0244765A">
      <w:pPr>
        <w:pStyle w:val="23"/>
        <w:spacing w:line="560" w:lineRule="exact"/>
        <w:rPr>
          <w:rFonts w:hint="eastAsia"/>
          <w:color w:val="auto"/>
        </w:rPr>
      </w:pPr>
    </w:p>
    <w:p w14:paraId="3FF4529D">
      <w:pPr>
        <w:pStyle w:val="23"/>
        <w:spacing w:line="560" w:lineRule="exact"/>
        <w:rPr>
          <w:rFonts w:hint="eastAsia"/>
          <w:color w:val="auto"/>
        </w:rPr>
      </w:pPr>
    </w:p>
    <w:p w14:paraId="13CE7759">
      <w:pPr>
        <w:pStyle w:val="23"/>
        <w:spacing w:line="560" w:lineRule="exact"/>
        <w:rPr>
          <w:rFonts w:hint="eastAsia"/>
          <w:color w:val="auto"/>
        </w:rPr>
      </w:pPr>
    </w:p>
    <w:p w14:paraId="5E5C51FB">
      <w:pPr>
        <w:pStyle w:val="23"/>
        <w:spacing w:line="560" w:lineRule="exact"/>
        <w:rPr>
          <w:rFonts w:hint="eastAsia"/>
          <w:color w:val="auto"/>
        </w:rPr>
      </w:pPr>
    </w:p>
    <w:p w14:paraId="3756047E">
      <w:pPr>
        <w:pStyle w:val="23"/>
        <w:spacing w:line="560" w:lineRule="exact"/>
        <w:rPr>
          <w:rFonts w:hint="eastAsia"/>
          <w:color w:val="auto"/>
        </w:rPr>
      </w:pPr>
    </w:p>
    <w:p w14:paraId="26EC22B3">
      <w:pPr>
        <w:pStyle w:val="23"/>
        <w:spacing w:line="560" w:lineRule="exact"/>
        <w:rPr>
          <w:rFonts w:hint="eastAsia"/>
          <w:color w:val="auto"/>
        </w:rPr>
      </w:pPr>
    </w:p>
    <w:p w14:paraId="74B46581">
      <w:pPr>
        <w:pStyle w:val="23"/>
        <w:spacing w:line="560" w:lineRule="exact"/>
        <w:rPr>
          <w:rFonts w:hint="eastAsia"/>
          <w:color w:val="auto"/>
        </w:rPr>
      </w:pPr>
    </w:p>
    <w:p w14:paraId="5E0D54D3">
      <w:pPr>
        <w:pStyle w:val="23"/>
        <w:spacing w:line="560" w:lineRule="exact"/>
        <w:rPr>
          <w:rFonts w:hint="eastAsia"/>
          <w:color w:val="auto"/>
        </w:rPr>
      </w:pPr>
    </w:p>
    <w:p w14:paraId="182A67CF">
      <w:pPr>
        <w:spacing w:line="560" w:lineRule="exact"/>
        <w:ind w:firstLine="3200" w:firstLineChars="1000"/>
        <w:rPr>
          <w:rFonts w:ascii="Times New Roman" w:hAnsi="Times New Roman" w:eastAsia="仿宋_GB2312" w:cs="Times New Roman"/>
          <w:color w:val="auto"/>
          <w:sz w:val="32"/>
          <w:szCs w:val="32"/>
        </w:rPr>
      </w:pPr>
    </w:p>
    <w:p w14:paraId="61BA5A99">
      <w:pPr>
        <w:rPr>
          <w:rFonts w:hint="eastAsia" w:ascii="宋体" w:hAnsi="宋体" w:cs="宋体"/>
          <w:color w:val="auto"/>
        </w:rPr>
      </w:pPr>
    </w:p>
    <w:p w14:paraId="36657FD1">
      <w:pPr>
        <w:pStyle w:val="19"/>
        <w:rPr>
          <w:rFonts w:hint="eastAsia" w:ascii="宋体" w:hAnsi="宋体" w:cs="宋体"/>
          <w:color w:val="auto"/>
        </w:rPr>
      </w:pPr>
    </w:p>
    <w:p w14:paraId="293A64C7">
      <w:pPr>
        <w:rPr>
          <w:rFonts w:hint="eastAsia" w:ascii="宋体" w:hAnsi="宋体" w:cs="宋体"/>
          <w:color w:val="auto"/>
        </w:rPr>
      </w:pPr>
    </w:p>
    <w:p w14:paraId="32D3BAE8">
      <w:pPr>
        <w:pStyle w:val="19"/>
        <w:rPr>
          <w:rFonts w:hint="eastAsia" w:ascii="宋体" w:hAnsi="宋体" w:cs="宋体"/>
          <w:color w:val="auto"/>
        </w:rPr>
      </w:pPr>
    </w:p>
    <w:p w14:paraId="77B6C18C">
      <w:pPr>
        <w:rPr>
          <w:rFonts w:hint="eastAsia" w:ascii="宋体" w:hAnsi="宋体" w:cs="宋体"/>
          <w:color w:val="auto"/>
        </w:rPr>
      </w:pPr>
    </w:p>
    <w:p w14:paraId="031CB30F">
      <w:pPr>
        <w:pStyle w:val="19"/>
        <w:rPr>
          <w:rFonts w:hint="eastAsia" w:ascii="宋体" w:hAnsi="宋体" w:cs="宋体"/>
          <w:color w:val="auto"/>
        </w:rPr>
      </w:pPr>
    </w:p>
    <w:p w14:paraId="6604C0BC">
      <w:pPr>
        <w:rPr>
          <w:rFonts w:hint="eastAsia" w:ascii="宋体" w:hAnsi="宋体" w:cs="宋体"/>
          <w:color w:val="auto"/>
        </w:rPr>
      </w:pPr>
    </w:p>
    <w:p w14:paraId="64034BA3">
      <w:pPr>
        <w:pStyle w:val="19"/>
        <w:rPr>
          <w:rFonts w:hint="eastAsia" w:ascii="宋体" w:hAnsi="宋体" w:cs="宋体"/>
          <w:color w:val="auto"/>
        </w:rPr>
      </w:pPr>
    </w:p>
    <w:p w14:paraId="50931B5A">
      <w:pPr>
        <w:rPr>
          <w:rFonts w:hint="eastAsia"/>
          <w:color w:val="auto"/>
        </w:rPr>
      </w:pPr>
    </w:p>
    <w:p w14:paraId="4DF7F685">
      <w:pPr>
        <w:spacing w:line="400" w:lineRule="exact"/>
        <w:jc w:val="center"/>
        <w:rPr>
          <w:rFonts w:hint="eastAsia" w:ascii="宋体" w:hAnsi="宋体" w:cs="宋体"/>
          <w:color w:val="auto"/>
        </w:rPr>
      </w:pPr>
      <w:r>
        <w:rPr>
          <w:rFonts w:hint="eastAsia" w:ascii="宋体" w:hAnsi="宋体" w:cs="宋体"/>
          <w:color w:val="auto"/>
        </w:rPr>
        <w:br w:type="page"/>
      </w:r>
    </w:p>
    <w:p w14:paraId="48A4B95F">
      <w:pPr>
        <w:spacing w:line="800" w:lineRule="exact"/>
        <w:rPr>
          <w:rFonts w:ascii="仿宋_GB2312" w:eastAsia="仿宋_GB2312"/>
          <w:color w:val="auto"/>
          <w:sz w:val="32"/>
          <w:szCs w:val="32"/>
        </w:rPr>
      </w:pPr>
    </w:p>
    <w:p w14:paraId="3D2C7297">
      <w:pPr>
        <w:spacing w:line="800" w:lineRule="exact"/>
        <w:rPr>
          <w:rFonts w:ascii="仿宋_GB2312" w:eastAsia="仿宋_GB2312"/>
          <w:color w:val="auto"/>
          <w:sz w:val="32"/>
          <w:szCs w:val="32"/>
        </w:rPr>
      </w:pPr>
    </w:p>
    <w:p w14:paraId="75B35B73">
      <w:pPr>
        <w:spacing w:line="400" w:lineRule="exact"/>
        <w:jc w:val="center"/>
        <w:rPr>
          <w:rFonts w:hint="eastAsia" w:ascii="宋体" w:hAnsi="宋体" w:cs="宋体"/>
          <w:color w:val="auto"/>
          <w:szCs w:val="21"/>
        </w:rPr>
      </w:pPr>
    </w:p>
    <w:p w14:paraId="66442E40">
      <w:pPr>
        <w:spacing w:line="400" w:lineRule="exact"/>
        <w:rPr>
          <w:rFonts w:hint="eastAsia" w:ascii="宋体" w:hAnsi="宋体" w:cs="宋体"/>
          <w:color w:val="auto"/>
          <w:szCs w:val="21"/>
        </w:rPr>
      </w:pPr>
    </w:p>
    <w:p w14:paraId="1357A0A6">
      <w:pPr>
        <w:spacing w:line="360" w:lineRule="auto"/>
        <w:ind w:firstLine="420"/>
        <w:rPr>
          <w:rFonts w:hint="eastAsia" w:ascii="宋体" w:hAnsi="宋体" w:cs="宋体"/>
          <w:color w:val="auto"/>
          <w:szCs w:val="21"/>
        </w:rPr>
      </w:pPr>
    </w:p>
    <w:p w14:paraId="66700818">
      <w:pPr>
        <w:pStyle w:val="2"/>
        <w:jc w:val="center"/>
        <w:rPr>
          <w:rFonts w:hint="eastAsia" w:ascii="宋体" w:hAnsi="宋体" w:cs="宋体"/>
          <w:color w:val="auto"/>
        </w:rPr>
      </w:pPr>
      <w:bookmarkStart w:id="561" w:name="_Toc18748"/>
      <w:bookmarkStart w:id="562" w:name="_Toc23943"/>
      <w:r>
        <w:rPr>
          <w:rFonts w:hint="eastAsia" w:ascii="宋体" w:hAnsi="宋体" w:cs="宋体"/>
          <w:color w:val="auto"/>
        </w:rPr>
        <w:t>第六章  招标人提供的资料</w:t>
      </w:r>
      <w:bookmarkEnd w:id="561"/>
      <w:bookmarkEnd w:id="562"/>
    </w:p>
    <w:p w14:paraId="66159C9D">
      <w:pPr>
        <w:spacing w:line="360" w:lineRule="auto"/>
        <w:rPr>
          <w:rFonts w:hint="eastAsia" w:ascii="宋体" w:hAnsi="宋体" w:cs="宋体"/>
          <w:color w:val="auto"/>
        </w:rPr>
      </w:pPr>
      <w:r>
        <w:rPr>
          <w:rFonts w:hint="eastAsia" w:ascii="宋体" w:hAnsi="宋体" w:cs="宋体"/>
          <w:color w:val="auto"/>
        </w:rPr>
        <w:br w:type="page"/>
      </w:r>
    </w:p>
    <w:p w14:paraId="2ECB2D49">
      <w:pPr>
        <w:spacing w:line="400" w:lineRule="exact"/>
        <w:jc w:val="center"/>
        <w:rPr>
          <w:rFonts w:hint="eastAsia" w:ascii="宋体" w:hAnsi="宋体" w:cs="宋体"/>
          <w:b/>
          <w:color w:val="auto"/>
          <w:sz w:val="32"/>
          <w:szCs w:val="32"/>
        </w:rPr>
      </w:pPr>
      <w:r>
        <w:rPr>
          <w:rFonts w:hint="eastAsia" w:ascii="宋体" w:hAnsi="宋体" w:cs="宋体"/>
          <w:b/>
          <w:color w:val="auto"/>
          <w:sz w:val="32"/>
          <w:szCs w:val="32"/>
        </w:rPr>
        <w:t>招标人提供的资料</w:t>
      </w:r>
    </w:p>
    <w:p w14:paraId="2B7C4BA5">
      <w:pPr>
        <w:spacing w:line="400" w:lineRule="exact"/>
        <w:rPr>
          <w:rFonts w:hint="eastAsia" w:ascii="宋体" w:hAnsi="宋体" w:cs="宋体"/>
          <w:color w:val="auto"/>
        </w:rPr>
      </w:pPr>
      <w:r>
        <w:rPr>
          <w:rFonts w:hint="eastAsia" w:ascii="宋体" w:hAnsi="宋体" w:cs="宋体"/>
          <w:color w:val="auto"/>
        </w:rPr>
        <w:t>1、施工现场建筑垃圾源头减量的具体要求和建筑垃圾综合利用产品的使用要求：</w:t>
      </w:r>
    </w:p>
    <w:p w14:paraId="32E58135">
      <w:pPr>
        <w:spacing w:line="400" w:lineRule="exact"/>
        <w:rPr>
          <w:rFonts w:hint="eastAsia" w:ascii="宋体" w:hAnsi="宋体" w:cs="宋体"/>
          <w:color w:val="auto"/>
        </w:rPr>
      </w:pPr>
      <w:r>
        <w:rPr>
          <w:rFonts w:hint="eastAsia" w:ascii="宋体" w:hAnsi="宋体" w:cs="宋体"/>
          <w:color w:val="auto"/>
        </w:rPr>
        <w:t>1）工程施工单位应当编制建筑垃圾处理方案，采取污染防治措施，并在开工前报工程所在地县级人民政府建筑垃圾主管部门备案。建筑垃圾处理方案内容有调整的，应当及时报告接受备案的部门。建筑垃圾处理方案应当包括下列内容：（1）工程概况和施工单位基本信息；（2）建筑垃圾产生量与种类；（3）建筑垃圾源头减量、分类收集、综合利用、污染防治的措施和目标；（4）需要外运的建筑垃圾种类、数量与运输的时间、路线、方式和运输单位；（5）建筑垃圾回填、消纳、综合利用场所名称；（6）法律、法规规定的其他内容。</w:t>
      </w:r>
    </w:p>
    <w:p w14:paraId="4000FDB2">
      <w:pPr>
        <w:spacing w:line="400" w:lineRule="exact"/>
        <w:rPr>
          <w:rFonts w:hint="eastAsia" w:ascii="宋体" w:hAnsi="宋体" w:cs="宋体"/>
          <w:color w:val="auto"/>
        </w:rPr>
      </w:pPr>
      <w:r>
        <w:rPr>
          <w:rFonts w:hint="eastAsia" w:ascii="宋体" w:hAnsi="宋体" w:cs="宋体"/>
          <w:color w:val="auto"/>
        </w:rPr>
        <w:t>2）建筑垃圾应当按照国家有关规定进行分类，实行分类收集、分类贮存、分类运输、分类处置。</w:t>
      </w:r>
    </w:p>
    <w:p w14:paraId="3920853C">
      <w:pPr>
        <w:spacing w:line="400" w:lineRule="exact"/>
        <w:rPr>
          <w:rFonts w:hint="eastAsia" w:ascii="宋体" w:hAnsi="宋体" w:cs="宋体"/>
          <w:color w:val="auto"/>
        </w:rPr>
      </w:pPr>
      <w:r>
        <w:rPr>
          <w:rFonts w:hint="eastAsia" w:ascii="宋体" w:hAnsi="宋体" w:cs="宋体"/>
          <w:color w:val="auto"/>
        </w:rPr>
        <w:t>3）施工单位应开展建筑垃圾分类和合法装载，并及时向工程所在地县级人民政府建筑垃圾主管部门报送建筑垃圾处理方案。施工单位应当建立建筑垃圾管理台账，分类收集、贮存和及时清运施工过程中产生的建筑垃圾，采取有效措施防止混合已分类的建筑垃圾。工程施工单位应当将建筑垃圾的产生量与种类、清运时间、最终去向等信息在施工现场公示，接受社会监督。</w:t>
      </w:r>
    </w:p>
    <w:p w14:paraId="14704BEF">
      <w:pPr>
        <w:spacing w:line="400" w:lineRule="exact"/>
        <w:rPr>
          <w:rFonts w:hint="eastAsia" w:ascii="宋体" w:hAnsi="宋体" w:cs="宋体"/>
          <w:color w:val="auto"/>
        </w:rPr>
      </w:pPr>
      <w:r>
        <w:rPr>
          <w:rFonts w:hint="eastAsia" w:ascii="宋体" w:hAnsi="宋体" w:cs="宋体"/>
          <w:color w:val="auto"/>
        </w:rPr>
        <w:t>4）运输建筑垃圾应当遵守下列规定：（1）建立建筑垃圾运输管理台账；（2）不得将工程渣土、工程泥浆与其他建筑垃圾混合运输；（3）保持运输车辆、船舶等运输工具的行驶记录、卫星定位等电子装置正常使用；（4）运输过程中保持运输工具整洁，采取密闭或者其他有效措施防止遗撒建筑垃圾，不得擅自倾倒、抛撒建筑垃圾；（5）按照建筑垃圾处理方案确定的时间、路线、方式、场所进行运输。建筑垃圾运输车辆、船舶应当符合相应的载运技术条件。建筑垃圾处置场所为陆域的，不得采用开底式船舶运输建筑垃圾。</w:t>
      </w:r>
    </w:p>
    <w:p w14:paraId="3EAF099B">
      <w:pPr>
        <w:spacing w:line="400" w:lineRule="exact"/>
        <w:rPr>
          <w:rFonts w:hint="eastAsia" w:ascii="宋体" w:hAnsi="宋体" w:cs="宋体"/>
          <w:color w:val="auto"/>
        </w:rPr>
      </w:pPr>
      <w:r>
        <w:rPr>
          <w:rFonts w:hint="eastAsia" w:ascii="宋体" w:hAnsi="宋体" w:cs="宋体"/>
          <w:color w:val="auto"/>
        </w:rPr>
        <w:t>5）工程泥浆应当在施工现场进行脱水固化处理。施工现场不具备条件的，应当采用罐装器具密闭运输至依法设置的建筑垃圾处置场所进行处置。水上工程中依法无需经脱水处理的除外。</w:t>
      </w:r>
    </w:p>
    <w:p w14:paraId="6605A689">
      <w:pPr>
        <w:spacing w:line="400" w:lineRule="exact"/>
        <w:rPr>
          <w:rFonts w:hint="eastAsia" w:ascii="宋体" w:hAnsi="宋体" w:cs="宋体"/>
          <w:color w:val="auto"/>
        </w:rPr>
      </w:pPr>
      <w:r>
        <w:rPr>
          <w:rFonts w:hint="eastAsia" w:ascii="宋体" w:hAnsi="宋体" w:cs="宋体"/>
          <w:color w:val="auto"/>
        </w:rPr>
        <w:t>6）建筑垃圾应当按照下列方式，优先就地就近利用：（1）工程渣土及脱水后的工程泥浆优先用于土方平衡、矿坑修复、环境治理、烧结制品及回填等；（2）工程垃圾、拆除垃圾和装修垃圾优先用于生产再生骨料、再生砖、再生砌块、再生沥青混合料等建筑垃圾综合利用产品。具备现场综合利用条件的建设工程，应当进行建筑垃圾现场综合利用。</w:t>
      </w:r>
    </w:p>
    <w:p w14:paraId="59D8CD44">
      <w:pPr>
        <w:spacing w:line="400" w:lineRule="exact"/>
        <w:rPr>
          <w:rFonts w:hint="eastAsia" w:ascii="宋体" w:hAnsi="宋体" w:cs="宋体"/>
          <w:color w:val="auto"/>
        </w:rPr>
      </w:pPr>
      <w:r>
        <w:rPr>
          <w:rFonts w:hint="eastAsia" w:ascii="宋体" w:hAnsi="宋体" w:cs="宋体"/>
          <w:color w:val="auto"/>
        </w:rPr>
        <w:t>7）施工单位严格遵守并执行《广东省建筑垃圾管理条例》。</w:t>
      </w:r>
    </w:p>
    <w:p w14:paraId="7ECBE268">
      <w:pPr>
        <w:spacing w:line="400" w:lineRule="exact"/>
        <w:rPr>
          <w:rFonts w:hint="eastAsia" w:ascii="宋体" w:hAnsi="宋体" w:cs="宋体"/>
          <w:color w:val="auto"/>
        </w:rPr>
      </w:pPr>
    </w:p>
    <w:p w14:paraId="01E195DF">
      <w:pPr>
        <w:spacing w:line="400" w:lineRule="exact"/>
        <w:rPr>
          <w:rFonts w:hint="eastAsia" w:ascii="宋体" w:hAnsi="宋体" w:cs="宋体"/>
          <w:color w:val="auto"/>
        </w:rPr>
      </w:pPr>
    </w:p>
    <w:p w14:paraId="2E7B0272">
      <w:pPr>
        <w:spacing w:line="400" w:lineRule="exact"/>
        <w:rPr>
          <w:rFonts w:hint="eastAsia" w:ascii="宋体" w:hAnsi="宋体" w:cs="宋体"/>
          <w:color w:val="auto"/>
        </w:rPr>
      </w:pPr>
    </w:p>
    <w:p w14:paraId="6094F8E0">
      <w:pPr>
        <w:pStyle w:val="2"/>
        <w:jc w:val="center"/>
        <w:rPr>
          <w:rFonts w:hint="eastAsia" w:ascii="宋体" w:hAnsi="宋体" w:cs="宋体"/>
          <w:color w:val="auto"/>
        </w:rPr>
      </w:pPr>
      <w:bookmarkStart w:id="563" w:name="_Toc247527825"/>
      <w:bookmarkStart w:id="564" w:name="_Toc15557"/>
      <w:bookmarkStart w:id="565" w:name="_Toc247514244"/>
      <w:bookmarkStart w:id="566" w:name="_Toc152045786"/>
      <w:bookmarkStart w:id="567" w:name="_Toc144974855"/>
      <w:bookmarkStart w:id="568" w:name="_Toc152042575"/>
    </w:p>
    <w:p w14:paraId="77922AB4">
      <w:pPr>
        <w:pStyle w:val="2"/>
        <w:jc w:val="center"/>
        <w:rPr>
          <w:rFonts w:hint="eastAsia" w:ascii="宋体" w:hAnsi="宋体" w:cs="宋体"/>
          <w:color w:val="auto"/>
        </w:rPr>
      </w:pPr>
    </w:p>
    <w:p w14:paraId="3E5DCCBB">
      <w:pPr>
        <w:pStyle w:val="2"/>
        <w:jc w:val="center"/>
        <w:rPr>
          <w:rFonts w:hint="eastAsia" w:ascii="宋体" w:hAnsi="宋体" w:cs="宋体"/>
          <w:color w:val="auto"/>
        </w:rPr>
      </w:pPr>
      <w:bookmarkStart w:id="569" w:name="_Toc10506"/>
      <w:r>
        <w:rPr>
          <w:rFonts w:hint="eastAsia" w:ascii="宋体" w:hAnsi="宋体" w:cs="宋体"/>
          <w:color w:val="auto"/>
        </w:rPr>
        <w:t>第三卷</w:t>
      </w:r>
      <w:bookmarkEnd w:id="563"/>
      <w:bookmarkEnd w:id="564"/>
      <w:bookmarkEnd w:id="565"/>
      <w:bookmarkEnd w:id="569"/>
    </w:p>
    <w:p w14:paraId="19DD8516">
      <w:pPr>
        <w:spacing w:line="400" w:lineRule="exact"/>
        <w:jc w:val="center"/>
        <w:rPr>
          <w:rFonts w:hint="eastAsia" w:ascii="宋体" w:hAnsi="宋体" w:cs="宋体"/>
          <w:color w:val="auto"/>
        </w:rPr>
      </w:pPr>
      <w:r>
        <w:rPr>
          <w:rFonts w:hint="eastAsia" w:ascii="宋体" w:hAnsi="宋体" w:cs="宋体"/>
          <w:b/>
          <w:bCs/>
          <w:color w:val="auto"/>
          <w:sz w:val="32"/>
        </w:rPr>
        <w:br w:type="page"/>
      </w:r>
    </w:p>
    <w:p w14:paraId="08A0D0DE">
      <w:pPr>
        <w:pStyle w:val="2"/>
        <w:jc w:val="center"/>
        <w:rPr>
          <w:rFonts w:hint="eastAsia" w:ascii="宋体" w:hAnsi="宋体" w:cs="宋体"/>
          <w:color w:val="auto"/>
        </w:rPr>
      </w:pPr>
      <w:bookmarkStart w:id="570" w:name="_Toc247527826"/>
      <w:bookmarkStart w:id="571" w:name="_Toc19881"/>
      <w:bookmarkStart w:id="572" w:name="_Toc247514245"/>
      <w:bookmarkStart w:id="573" w:name="_Toc16099"/>
      <w:r>
        <w:rPr>
          <w:rFonts w:hint="eastAsia" w:ascii="宋体" w:hAnsi="宋体" w:cs="宋体"/>
          <w:color w:val="auto"/>
        </w:rPr>
        <w:t>第七章  投标文件格式</w:t>
      </w:r>
      <w:bookmarkEnd w:id="566"/>
      <w:bookmarkEnd w:id="567"/>
      <w:bookmarkEnd w:id="568"/>
      <w:bookmarkEnd w:id="570"/>
      <w:bookmarkEnd w:id="571"/>
      <w:bookmarkEnd w:id="572"/>
      <w:bookmarkEnd w:id="573"/>
    </w:p>
    <w:p w14:paraId="1E16248A">
      <w:pPr>
        <w:spacing w:line="400" w:lineRule="exact"/>
        <w:rPr>
          <w:rFonts w:hint="eastAsia" w:ascii="宋体" w:hAnsi="宋体" w:cs="宋体"/>
          <w:color w:val="auto"/>
        </w:rPr>
      </w:pPr>
    </w:p>
    <w:p w14:paraId="5DD7986F">
      <w:pPr>
        <w:jc w:val="center"/>
        <w:rPr>
          <w:rFonts w:hint="eastAsia" w:ascii="宋体" w:hAnsi="宋体" w:cs="宋体"/>
          <w:color w:val="auto"/>
        </w:rPr>
      </w:pPr>
      <w:r>
        <w:rPr>
          <w:rFonts w:hint="eastAsia" w:ascii="宋体" w:hAnsi="宋体" w:cs="宋体"/>
          <w:color w:val="auto"/>
        </w:rPr>
        <w:br w:type="page"/>
      </w:r>
    </w:p>
    <w:p w14:paraId="793BAE18">
      <w:pPr>
        <w:pStyle w:val="36"/>
        <w:rPr>
          <w:color w:val="auto"/>
        </w:rPr>
      </w:pPr>
    </w:p>
    <w:p w14:paraId="12B60BC1">
      <w:pPr>
        <w:pStyle w:val="36"/>
        <w:rPr>
          <w:color w:val="auto"/>
        </w:rPr>
      </w:pPr>
    </w:p>
    <w:p w14:paraId="7745F9C1">
      <w:pPr>
        <w:jc w:val="center"/>
        <w:rPr>
          <w:rFonts w:hint="eastAsia" w:ascii="宋体" w:hAnsi="宋体" w:cs="宋体"/>
          <w:color w:val="auto"/>
          <w:sz w:val="28"/>
          <w:szCs w:val="28"/>
        </w:rPr>
      </w:pPr>
      <w:r>
        <w:rPr>
          <w:rFonts w:hint="eastAsia" w:ascii="宋体" w:hAnsi="宋体" w:cs="宋体"/>
          <w:color w:val="auto"/>
          <w:sz w:val="40"/>
          <w:szCs w:val="40"/>
          <w:u w:val="single"/>
        </w:rPr>
        <w:t xml:space="preserve">            </w:t>
      </w:r>
      <w:r>
        <w:rPr>
          <w:rFonts w:hint="eastAsia" w:ascii="宋体" w:hAnsi="宋体" w:cs="宋体"/>
          <w:color w:val="auto"/>
          <w:sz w:val="40"/>
          <w:szCs w:val="40"/>
        </w:rPr>
        <w:t>（项目名称）设计与施工一体化</w:t>
      </w:r>
    </w:p>
    <w:p w14:paraId="7C7B2546">
      <w:pPr>
        <w:rPr>
          <w:rFonts w:hint="eastAsia" w:ascii="宋体" w:hAnsi="宋体" w:cs="宋体"/>
          <w:color w:val="auto"/>
          <w:sz w:val="20"/>
          <w:szCs w:val="20"/>
        </w:rPr>
      </w:pPr>
    </w:p>
    <w:p w14:paraId="0DD2DD21">
      <w:pPr>
        <w:rPr>
          <w:rFonts w:hint="eastAsia" w:ascii="宋体" w:hAnsi="宋体" w:cs="宋体"/>
          <w:color w:val="auto"/>
          <w:sz w:val="20"/>
          <w:szCs w:val="20"/>
        </w:rPr>
      </w:pPr>
    </w:p>
    <w:p w14:paraId="6665D2FD">
      <w:pPr>
        <w:jc w:val="center"/>
        <w:rPr>
          <w:rFonts w:hint="eastAsia" w:ascii="宋体" w:hAnsi="宋体" w:cs="宋体"/>
          <w:color w:val="auto"/>
          <w:sz w:val="44"/>
          <w:szCs w:val="44"/>
        </w:rPr>
      </w:pPr>
      <w:r>
        <w:rPr>
          <w:rFonts w:hint="eastAsia" w:ascii="宋体" w:hAnsi="宋体" w:cs="宋体"/>
          <w:color w:val="auto"/>
          <w:sz w:val="44"/>
          <w:szCs w:val="44"/>
        </w:rPr>
        <w:t>投  标  文  件</w:t>
      </w:r>
    </w:p>
    <w:p w14:paraId="3ED694D4">
      <w:pPr>
        <w:pStyle w:val="19"/>
        <w:rPr>
          <w:rFonts w:eastAsia="宋体"/>
          <w:color w:val="auto"/>
        </w:rPr>
      </w:pPr>
      <w:r>
        <w:rPr>
          <w:rFonts w:hint="eastAsia" w:ascii="宋体" w:hAnsi="宋体" w:eastAsia="宋体" w:cs="宋体"/>
          <w:color w:val="auto"/>
          <w:sz w:val="44"/>
          <w:szCs w:val="44"/>
        </w:rPr>
        <w:t xml:space="preserve">         （资格审查文件部分）</w:t>
      </w:r>
    </w:p>
    <w:p w14:paraId="06409817">
      <w:pPr>
        <w:rPr>
          <w:rFonts w:hint="eastAsia" w:ascii="宋体" w:hAnsi="宋体" w:cs="宋体"/>
          <w:color w:val="auto"/>
          <w:sz w:val="28"/>
          <w:szCs w:val="28"/>
        </w:rPr>
      </w:pPr>
    </w:p>
    <w:p w14:paraId="46445F62">
      <w:pPr>
        <w:rPr>
          <w:rFonts w:hint="eastAsia" w:ascii="宋体" w:hAnsi="宋体" w:cs="宋体"/>
          <w:color w:val="auto"/>
          <w:sz w:val="28"/>
          <w:szCs w:val="28"/>
        </w:rPr>
      </w:pPr>
    </w:p>
    <w:p w14:paraId="05FFA67C">
      <w:pPr>
        <w:rPr>
          <w:rFonts w:hint="eastAsia" w:ascii="宋体" w:hAnsi="宋体" w:cs="宋体"/>
          <w:color w:val="auto"/>
          <w:sz w:val="28"/>
          <w:szCs w:val="28"/>
        </w:rPr>
      </w:pPr>
    </w:p>
    <w:p w14:paraId="04226466">
      <w:pPr>
        <w:rPr>
          <w:rFonts w:hint="eastAsia" w:ascii="宋体" w:hAnsi="宋体" w:cs="宋体"/>
          <w:color w:val="auto"/>
          <w:sz w:val="28"/>
          <w:szCs w:val="28"/>
        </w:rPr>
      </w:pPr>
    </w:p>
    <w:p w14:paraId="5FBFC732">
      <w:pPr>
        <w:rPr>
          <w:rFonts w:hint="eastAsia" w:ascii="宋体" w:hAnsi="宋体" w:cs="宋体"/>
          <w:color w:val="auto"/>
          <w:sz w:val="28"/>
          <w:szCs w:val="28"/>
        </w:rPr>
      </w:pPr>
    </w:p>
    <w:p w14:paraId="00F84A56">
      <w:pPr>
        <w:rPr>
          <w:rFonts w:hint="eastAsia" w:ascii="宋体" w:hAnsi="宋体" w:cs="宋体"/>
          <w:color w:val="auto"/>
          <w:sz w:val="28"/>
          <w:szCs w:val="28"/>
        </w:rPr>
      </w:pPr>
    </w:p>
    <w:p w14:paraId="000618E3">
      <w:pPr>
        <w:rPr>
          <w:rFonts w:hint="eastAsia" w:ascii="宋体" w:hAnsi="宋体" w:cs="宋体"/>
          <w:color w:val="auto"/>
          <w:sz w:val="28"/>
          <w:szCs w:val="28"/>
        </w:rPr>
      </w:pPr>
    </w:p>
    <w:p w14:paraId="10993754">
      <w:pPr>
        <w:rPr>
          <w:rFonts w:hint="eastAsia" w:ascii="宋体" w:hAnsi="宋体" w:cs="宋体"/>
          <w:color w:val="auto"/>
          <w:sz w:val="28"/>
          <w:szCs w:val="28"/>
        </w:rPr>
      </w:pPr>
    </w:p>
    <w:p w14:paraId="56078160">
      <w:pPr>
        <w:rPr>
          <w:rFonts w:hint="eastAsia" w:ascii="宋体" w:hAnsi="宋体" w:cs="宋体"/>
          <w:color w:val="auto"/>
          <w:sz w:val="28"/>
          <w:szCs w:val="28"/>
        </w:rPr>
      </w:pPr>
    </w:p>
    <w:p w14:paraId="3D5A4C83">
      <w:pPr>
        <w:rPr>
          <w:rFonts w:hint="eastAsia" w:ascii="宋体" w:hAnsi="宋体" w:cs="宋体"/>
          <w:color w:val="auto"/>
          <w:sz w:val="28"/>
          <w:szCs w:val="28"/>
        </w:rPr>
      </w:pPr>
    </w:p>
    <w:p w14:paraId="58ED9CA8">
      <w:pPr>
        <w:rPr>
          <w:rFonts w:hint="eastAsia" w:ascii="宋体" w:hAnsi="宋体" w:cs="宋体"/>
          <w:color w:val="auto"/>
          <w:sz w:val="28"/>
          <w:szCs w:val="28"/>
        </w:rPr>
      </w:pPr>
    </w:p>
    <w:p w14:paraId="0C12D5C2">
      <w:pPr>
        <w:jc w:val="center"/>
        <w:rPr>
          <w:rFonts w:hint="eastAsia" w:ascii="宋体" w:hAnsi="宋体" w:cs="宋体"/>
          <w:color w:val="auto"/>
          <w:sz w:val="28"/>
          <w:szCs w:val="28"/>
          <w:u w:val="single"/>
        </w:rPr>
      </w:pPr>
      <w:r>
        <w:rPr>
          <w:rFonts w:hint="eastAsia" w:ascii="宋体" w:hAnsi="宋体" w:cs="宋体"/>
          <w:color w:val="auto"/>
          <w:sz w:val="28"/>
          <w:szCs w:val="28"/>
        </w:rPr>
        <w:t>投标人：</w:t>
      </w:r>
      <w:r>
        <w:rPr>
          <w:rFonts w:hint="eastAsia" w:ascii="宋体" w:hAnsi="宋体" w:cs="宋体"/>
          <w:color w:val="auto"/>
          <w:sz w:val="28"/>
          <w:szCs w:val="28"/>
          <w:u w:val="single"/>
        </w:rPr>
        <w:t xml:space="preserve">                              </w:t>
      </w:r>
      <w:r>
        <w:rPr>
          <w:rFonts w:hint="eastAsia" w:ascii="宋体" w:hAnsi="宋体" w:cs="宋体"/>
          <w:color w:val="auto"/>
          <w:sz w:val="28"/>
          <w:szCs w:val="28"/>
        </w:rPr>
        <w:t>（盖单位章）</w:t>
      </w:r>
    </w:p>
    <w:p w14:paraId="7C8B0721">
      <w:pPr>
        <w:jc w:val="center"/>
        <w:rPr>
          <w:rFonts w:hint="eastAsia" w:ascii="宋体" w:hAnsi="宋体" w:cs="宋体"/>
          <w:color w:val="auto"/>
          <w:sz w:val="28"/>
          <w:szCs w:val="28"/>
        </w:rPr>
      </w:pPr>
      <w:r>
        <w:rPr>
          <w:rFonts w:hint="eastAsia" w:ascii="宋体" w:hAnsi="宋体" w:cs="宋体"/>
          <w:color w:val="auto"/>
          <w:sz w:val="28"/>
          <w:szCs w:val="28"/>
        </w:rPr>
        <w:t>法定代表人或其委托代理人：</w:t>
      </w:r>
      <w:r>
        <w:rPr>
          <w:rFonts w:hint="eastAsia" w:ascii="宋体" w:hAnsi="宋体" w:cs="宋体"/>
          <w:color w:val="auto"/>
          <w:sz w:val="28"/>
          <w:szCs w:val="28"/>
          <w:u w:val="single"/>
        </w:rPr>
        <w:t xml:space="preserve">                </w:t>
      </w:r>
      <w:r>
        <w:rPr>
          <w:rFonts w:hint="eastAsia" w:ascii="宋体" w:hAnsi="宋体" w:cs="宋体"/>
          <w:color w:val="auto"/>
          <w:sz w:val="28"/>
          <w:szCs w:val="28"/>
        </w:rPr>
        <w:t>（签字）</w:t>
      </w:r>
    </w:p>
    <w:p w14:paraId="232E28B4">
      <w:pPr>
        <w:jc w:val="center"/>
        <w:rPr>
          <w:rFonts w:hint="eastAsia" w:ascii="宋体" w:hAnsi="宋体" w:cs="宋体"/>
          <w:color w:val="auto"/>
          <w:sz w:val="28"/>
          <w:szCs w:val="28"/>
        </w:rPr>
      </w:pPr>
      <w:r>
        <w:rPr>
          <w:rFonts w:hint="eastAsia" w:ascii="宋体" w:hAnsi="宋体" w:cs="宋体"/>
          <w:color w:val="auto"/>
          <w:sz w:val="28"/>
          <w:szCs w:val="28"/>
          <w:u w:val="single"/>
        </w:rPr>
        <w:t xml:space="preserve">        </w:t>
      </w:r>
      <w:r>
        <w:rPr>
          <w:rFonts w:hint="eastAsia" w:ascii="宋体" w:hAnsi="宋体" w:cs="宋体"/>
          <w:color w:val="auto"/>
          <w:sz w:val="28"/>
          <w:szCs w:val="28"/>
        </w:rPr>
        <w:t>年</w:t>
      </w:r>
      <w:r>
        <w:rPr>
          <w:rFonts w:hint="eastAsia" w:ascii="宋体" w:hAnsi="宋体" w:cs="宋体"/>
          <w:color w:val="auto"/>
          <w:sz w:val="28"/>
          <w:szCs w:val="28"/>
          <w:u w:val="single"/>
        </w:rPr>
        <w:t xml:space="preserve">        </w:t>
      </w:r>
      <w:r>
        <w:rPr>
          <w:rFonts w:hint="eastAsia" w:ascii="宋体" w:hAnsi="宋体" w:cs="宋体"/>
          <w:color w:val="auto"/>
          <w:sz w:val="28"/>
          <w:szCs w:val="28"/>
        </w:rPr>
        <w:t>月</w:t>
      </w:r>
      <w:r>
        <w:rPr>
          <w:rFonts w:hint="eastAsia" w:ascii="宋体" w:hAnsi="宋体" w:cs="宋体"/>
          <w:color w:val="auto"/>
          <w:sz w:val="28"/>
          <w:szCs w:val="28"/>
          <w:u w:val="single"/>
        </w:rPr>
        <w:t xml:space="preserve">         </w:t>
      </w:r>
      <w:r>
        <w:rPr>
          <w:rFonts w:hint="eastAsia" w:ascii="宋体" w:hAnsi="宋体" w:cs="宋体"/>
          <w:color w:val="auto"/>
          <w:sz w:val="28"/>
          <w:szCs w:val="28"/>
        </w:rPr>
        <w:t>日</w:t>
      </w:r>
    </w:p>
    <w:p w14:paraId="65D39D38">
      <w:pPr>
        <w:pStyle w:val="19"/>
        <w:rPr>
          <w:rFonts w:hint="eastAsia" w:ascii="宋体" w:hAnsi="宋体" w:eastAsia="宋体" w:cs="宋体"/>
          <w:color w:val="auto"/>
          <w:sz w:val="28"/>
          <w:szCs w:val="28"/>
        </w:rPr>
      </w:pPr>
    </w:p>
    <w:p w14:paraId="69F52EE8">
      <w:pPr>
        <w:rPr>
          <w:rFonts w:hint="eastAsia" w:ascii="宋体" w:hAnsi="宋体" w:cs="宋体"/>
          <w:b/>
          <w:color w:val="auto"/>
          <w:kern w:val="1"/>
          <w:sz w:val="24"/>
          <w:lang w:val="zh-CN"/>
        </w:rPr>
      </w:pPr>
      <w:r>
        <w:rPr>
          <w:rFonts w:ascii="宋体" w:hAnsi="宋体" w:cs="宋体"/>
          <w:b/>
          <w:color w:val="auto"/>
          <w:kern w:val="1"/>
          <w:sz w:val="24"/>
          <w:lang w:val="zh-CN"/>
        </w:rPr>
        <w:br w:type="page"/>
      </w:r>
      <w:r>
        <w:rPr>
          <w:rFonts w:hint="eastAsia" w:ascii="宋体" w:hAnsi="宋体" w:cs="宋体"/>
          <w:b/>
          <w:color w:val="auto"/>
          <w:kern w:val="1"/>
          <w:sz w:val="24"/>
          <w:lang w:val="zh-CN"/>
        </w:rPr>
        <w:t>格式</w:t>
      </w:r>
      <w:r>
        <w:rPr>
          <w:rFonts w:hint="eastAsia" w:ascii="宋体" w:hAnsi="宋体" w:cs="宋体"/>
          <w:b/>
          <w:color w:val="auto"/>
          <w:kern w:val="1"/>
          <w:sz w:val="24"/>
        </w:rPr>
        <w:t>1</w:t>
      </w:r>
      <w:r>
        <w:rPr>
          <w:rFonts w:hint="eastAsia" w:ascii="宋体" w:hAnsi="宋体" w:cs="宋体"/>
          <w:b/>
          <w:color w:val="auto"/>
          <w:kern w:val="1"/>
          <w:sz w:val="24"/>
          <w:lang w:val="zh-CN"/>
        </w:rPr>
        <w:t>：</w:t>
      </w:r>
    </w:p>
    <w:p w14:paraId="7908B7F2">
      <w:pPr>
        <w:autoSpaceDE w:val="0"/>
        <w:autoSpaceDN w:val="0"/>
        <w:adjustRightInd w:val="0"/>
        <w:spacing w:line="360" w:lineRule="auto"/>
        <w:jc w:val="center"/>
        <w:rPr>
          <w:rFonts w:hint="eastAsia" w:ascii="宋体" w:hAnsi="宋体" w:cs="宋体"/>
          <w:b/>
          <w:bCs/>
          <w:color w:val="auto"/>
          <w:sz w:val="32"/>
          <w:szCs w:val="32"/>
          <w:lang w:val="zh-CN"/>
        </w:rPr>
      </w:pPr>
      <w:r>
        <w:rPr>
          <w:rFonts w:hint="eastAsia" w:ascii="宋体" w:hAnsi="宋体" w:cs="宋体"/>
          <w:b/>
          <w:bCs/>
          <w:color w:val="auto"/>
          <w:sz w:val="32"/>
          <w:szCs w:val="32"/>
          <w:lang w:val="zh-CN"/>
        </w:rPr>
        <w:t>法人代表证明书、授权委托证明书</w:t>
      </w:r>
    </w:p>
    <w:p w14:paraId="30307B28">
      <w:pPr>
        <w:autoSpaceDE w:val="0"/>
        <w:autoSpaceDN w:val="0"/>
        <w:adjustRightInd w:val="0"/>
        <w:spacing w:line="360" w:lineRule="auto"/>
        <w:jc w:val="center"/>
        <w:rPr>
          <w:rFonts w:hint="eastAsia" w:ascii="宋体" w:hAnsi="宋体" w:cs="宋体"/>
          <w:b/>
          <w:bCs/>
          <w:color w:val="auto"/>
          <w:sz w:val="28"/>
          <w:szCs w:val="28"/>
          <w:lang w:val="zh-CN"/>
        </w:rPr>
      </w:pPr>
      <w:r>
        <w:rPr>
          <w:rFonts w:hint="eastAsia" w:ascii="宋体" w:hAnsi="宋体" w:cs="宋体"/>
          <w:b/>
          <w:bCs/>
          <w:color w:val="auto"/>
          <w:sz w:val="28"/>
          <w:szCs w:val="28"/>
          <w:lang w:val="zh-CN"/>
        </w:rPr>
        <w:t>法定代表人证明书</w:t>
      </w:r>
    </w:p>
    <w:p w14:paraId="482656C8">
      <w:pPr>
        <w:spacing w:line="360" w:lineRule="auto"/>
        <w:jc w:val="right"/>
        <w:rPr>
          <w:rFonts w:hint="eastAsia" w:ascii="宋体" w:hAnsi="宋体" w:cs="宋体"/>
          <w:color w:val="auto"/>
        </w:rPr>
      </w:pPr>
      <w:r>
        <w:rPr>
          <w:rFonts w:hint="eastAsia" w:ascii="宋体" w:hAnsi="宋体" w:cs="宋体"/>
          <w:color w:val="auto"/>
        </w:rPr>
        <w:t>（   ）第   号</w:t>
      </w:r>
    </w:p>
    <w:tbl>
      <w:tblPr>
        <w:tblStyle w:val="37"/>
        <w:tblW w:w="0" w:type="auto"/>
        <w:jc w:val="center"/>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9498"/>
      </w:tblGrid>
      <w:tr w14:paraId="2ACAFBA8">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jc w:val="center"/>
        </w:trPr>
        <w:tc>
          <w:tcPr>
            <w:tcW w:w="9498" w:type="dxa"/>
          </w:tcPr>
          <w:p w14:paraId="0C71DBB8">
            <w:pPr>
              <w:spacing w:line="360" w:lineRule="auto"/>
              <w:ind w:firstLine="420" w:firstLineChars="200"/>
              <w:rPr>
                <w:rFonts w:hint="eastAsia" w:ascii="宋体" w:hAnsi="宋体" w:cs="宋体"/>
                <w:color w:val="auto"/>
                <w:u w:val="single"/>
              </w:rPr>
            </w:pPr>
          </w:p>
          <w:p w14:paraId="03ADDD43">
            <w:pPr>
              <w:spacing w:line="360" w:lineRule="auto"/>
              <w:ind w:firstLine="420" w:firstLineChars="200"/>
              <w:rPr>
                <w:rFonts w:hint="eastAsia" w:ascii="宋体" w:hAnsi="宋体" w:cs="宋体"/>
                <w:color w:val="auto"/>
              </w:rPr>
            </w:pPr>
            <w:r>
              <w:rPr>
                <w:rFonts w:hint="eastAsia" w:ascii="宋体" w:hAnsi="宋体" w:cs="宋体"/>
                <w:color w:val="auto"/>
              </w:rPr>
              <w:t>现任我公司职务，为法定代表人（负责人），特此证明。</w:t>
            </w:r>
          </w:p>
          <w:p w14:paraId="2294AB80">
            <w:pPr>
              <w:spacing w:line="360" w:lineRule="auto"/>
              <w:ind w:firstLine="420" w:firstLineChars="200"/>
              <w:rPr>
                <w:rFonts w:hint="eastAsia" w:ascii="宋体" w:hAnsi="宋体" w:cs="宋体"/>
                <w:color w:val="auto"/>
                <w:u w:val="single"/>
              </w:rPr>
            </w:pPr>
            <w:r>
              <w:rPr>
                <w:rFonts w:hint="eastAsia" w:ascii="宋体" w:hAnsi="宋体" w:cs="宋体"/>
                <w:color w:val="auto"/>
              </w:rPr>
              <w:t>有效期限：</w:t>
            </w:r>
          </w:p>
          <w:p w14:paraId="71F1E90C">
            <w:pPr>
              <w:snapToGrid w:val="0"/>
              <w:spacing w:line="360" w:lineRule="auto"/>
              <w:rPr>
                <w:rFonts w:hint="eastAsia" w:ascii="宋体" w:hAnsi="宋体" w:cs="宋体"/>
                <w:color w:val="auto"/>
                <w:u w:val="single"/>
              </w:rPr>
            </w:pPr>
            <w:r>
              <w:rPr>
                <w:rFonts w:hint="eastAsia" w:ascii="宋体" w:hAnsi="宋体" w:cs="宋体"/>
                <w:color w:val="auto"/>
              </w:rPr>
              <w:t>附：法定代表人（负责人）性别：  年龄：  身份证号码：</w:t>
            </w:r>
          </w:p>
          <w:p w14:paraId="009243E2">
            <w:pPr>
              <w:snapToGrid w:val="0"/>
              <w:spacing w:line="360" w:lineRule="auto"/>
              <w:ind w:firstLine="570"/>
              <w:rPr>
                <w:rFonts w:hint="eastAsia" w:ascii="宋体" w:hAnsi="宋体" w:cs="宋体"/>
                <w:color w:val="auto"/>
                <w:u w:val="single"/>
              </w:rPr>
            </w:pPr>
            <w:r>
              <w:rPr>
                <w:rFonts w:hint="eastAsia" w:ascii="宋体" w:hAnsi="宋体" w:cs="宋体"/>
                <w:color w:val="auto"/>
              </w:rPr>
              <w:t>统一社会信用代码：  企业类型：</w:t>
            </w:r>
          </w:p>
          <w:p w14:paraId="23A0F961">
            <w:pPr>
              <w:snapToGrid w:val="0"/>
              <w:spacing w:line="360" w:lineRule="auto"/>
              <w:ind w:firstLine="570"/>
              <w:rPr>
                <w:rFonts w:hint="eastAsia" w:ascii="宋体" w:hAnsi="宋体" w:cs="宋体"/>
                <w:color w:val="auto"/>
                <w:u w:val="single"/>
              </w:rPr>
            </w:pPr>
            <w:r>
              <w:rPr>
                <w:rFonts w:hint="eastAsia" w:ascii="宋体" w:hAnsi="宋体" w:cs="宋体"/>
                <w:color w:val="auto"/>
              </w:rPr>
              <w:t>经营范围：</w:t>
            </w:r>
          </w:p>
          <w:p w14:paraId="233AE9F9">
            <w:pPr>
              <w:snapToGrid w:val="0"/>
              <w:spacing w:line="360" w:lineRule="auto"/>
              <w:ind w:firstLine="570"/>
              <w:rPr>
                <w:rFonts w:hint="eastAsia" w:ascii="宋体" w:hAnsi="宋体" w:cs="宋体"/>
                <w:color w:val="auto"/>
              </w:rPr>
            </w:pPr>
            <w:r>
              <w:rPr>
                <w:rFonts w:hint="eastAsia" w:ascii="宋体" w:hAnsi="宋体" w:cs="宋体"/>
                <w:color w:val="auto"/>
              </w:rPr>
              <w:t xml:space="preserve">                       单位：（盖章）</w:t>
            </w:r>
          </w:p>
          <w:p w14:paraId="4CE5348F">
            <w:pPr>
              <w:snapToGrid w:val="0"/>
              <w:spacing w:line="360" w:lineRule="auto"/>
              <w:ind w:firstLine="573"/>
              <w:rPr>
                <w:rFonts w:hint="eastAsia" w:ascii="宋体" w:hAnsi="宋体" w:cs="宋体"/>
                <w:color w:val="auto"/>
              </w:rPr>
            </w:pPr>
            <w:r>
              <w:rPr>
                <w:rFonts w:hint="eastAsia" w:ascii="宋体" w:hAnsi="宋体" w:cs="宋体"/>
                <w:color w:val="auto"/>
              </w:rPr>
              <w:t xml:space="preserve">                                       年  月  日</w:t>
            </w:r>
          </w:p>
        </w:tc>
      </w:tr>
    </w:tbl>
    <w:p w14:paraId="64C4286B">
      <w:pPr>
        <w:rPr>
          <w:rFonts w:hint="eastAsia" w:ascii="宋体" w:hAnsi="宋体" w:cs="宋体"/>
          <w:color w:val="auto"/>
          <w:szCs w:val="21"/>
        </w:rPr>
      </w:pPr>
      <w:r>
        <w:rPr>
          <w:rFonts w:hint="eastAsia" w:ascii="宋体" w:hAnsi="宋体" w:cs="宋体"/>
          <w:color w:val="auto"/>
          <w:szCs w:val="21"/>
        </w:rPr>
        <w:t>注：1、法定代表人证明书也可以采用工商行政管理局统一印制的格式。</w:t>
      </w:r>
    </w:p>
    <w:p w14:paraId="5540D62E">
      <w:pPr>
        <w:rPr>
          <w:rFonts w:hint="eastAsia" w:ascii="宋体" w:hAnsi="宋体" w:cs="宋体"/>
          <w:color w:val="auto"/>
          <w:szCs w:val="21"/>
        </w:rPr>
      </w:pPr>
      <w:r>
        <w:rPr>
          <w:rFonts w:hint="eastAsia" w:ascii="宋体" w:hAnsi="宋体" w:cs="宋体"/>
          <w:color w:val="auto"/>
          <w:szCs w:val="21"/>
        </w:rPr>
        <w:t xml:space="preserve">    2、联合体投标的，本证明书由主办方出具，仅填写主办方单位名称并由主办方盖章即可。</w:t>
      </w:r>
    </w:p>
    <w:p w14:paraId="573EAE74">
      <w:pPr>
        <w:autoSpaceDE w:val="0"/>
        <w:autoSpaceDN w:val="0"/>
        <w:adjustRightInd w:val="0"/>
        <w:spacing w:line="360" w:lineRule="auto"/>
        <w:jc w:val="center"/>
        <w:rPr>
          <w:rFonts w:hint="eastAsia" w:ascii="宋体" w:hAnsi="宋体" w:cs="宋体"/>
          <w:b/>
          <w:bCs/>
          <w:color w:val="auto"/>
          <w:sz w:val="28"/>
          <w:szCs w:val="28"/>
          <w:lang w:val="zh-CN"/>
        </w:rPr>
      </w:pPr>
      <w:r>
        <w:rPr>
          <w:rFonts w:hint="eastAsia" w:ascii="宋体" w:hAnsi="宋体" w:cs="宋体"/>
          <w:b/>
          <w:bCs/>
          <w:color w:val="auto"/>
          <w:sz w:val="28"/>
          <w:szCs w:val="28"/>
          <w:lang w:val="zh-CN"/>
        </w:rPr>
        <w:t>法定代表人授权委托书</w:t>
      </w:r>
    </w:p>
    <w:p w14:paraId="51D9E1CA">
      <w:pPr>
        <w:spacing w:line="360" w:lineRule="auto"/>
        <w:jc w:val="right"/>
        <w:rPr>
          <w:rFonts w:hint="eastAsia" w:ascii="宋体" w:hAnsi="宋体" w:cs="宋体"/>
          <w:color w:val="auto"/>
        </w:rPr>
      </w:pPr>
      <w:r>
        <w:rPr>
          <w:rFonts w:hint="eastAsia" w:ascii="宋体" w:hAnsi="宋体" w:cs="宋体"/>
          <w:color w:val="auto"/>
        </w:rPr>
        <w:t>（   ）第   号</w:t>
      </w:r>
    </w:p>
    <w:tbl>
      <w:tblPr>
        <w:tblStyle w:val="37"/>
        <w:tblW w:w="0" w:type="auto"/>
        <w:tblInd w:w="-381" w:type="dxa"/>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9540"/>
      </w:tblGrid>
      <w:tr w14:paraId="02E8A6C6">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trHeight w:val="4080" w:hRule="atLeast"/>
        </w:trPr>
        <w:tc>
          <w:tcPr>
            <w:tcW w:w="9540" w:type="dxa"/>
          </w:tcPr>
          <w:p w14:paraId="0543801B">
            <w:pPr>
              <w:spacing w:line="360" w:lineRule="auto"/>
              <w:ind w:firstLine="420" w:firstLineChars="200"/>
              <w:rPr>
                <w:rFonts w:hint="eastAsia" w:ascii="宋体" w:hAnsi="宋体" w:cs="宋体"/>
                <w:color w:val="auto"/>
              </w:rPr>
            </w:pPr>
          </w:p>
          <w:p w14:paraId="6C4B7A18">
            <w:pPr>
              <w:spacing w:line="360" w:lineRule="auto"/>
              <w:ind w:firstLine="420" w:firstLineChars="200"/>
              <w:rPr>
                <w:rFonts w:hint="eastAsia" w:ascii="宋体" w:hAnsi="宋体" w:cs="宋体"/>
                <w:color w:val="auto"/>
              </w:rPr>
            </w:pPr>
            <w:r>
              <w:rPr>
                <w:rFonts w:hint="eastAsia" w:ascii="宋体" w:hAnsi="宋体" w:cs="宋体"/>
                <w:color w:val="auto"/>
              </w:rPr>
              <w:t>兹授权为我方委托代理人，其权限是：</w:t>
            </w:r>
            <w:r>
              <w:rPr>
                <w:rFonts w:hint="eastAsia" w:ascii="宋体" w:hAnsi="宋体" w:cs="宋体"/>
                <w:color w:val="auto"/>
                <w:u w:val="single"/>
              </w:rPr>
              <w:t>负责办理         投标相关事宜</w:t>
            </w:r>
            <w:r>
              <w:rPr>
                <w:rFonts w:hint="eastAsia" w:ascii="宋体" w:hAnsi="宋体" w:cs="宋体"/>
                <w:color w:val="auto"/>
              </w:rPr>
              <w:t>。</w:t>
            </w:r>
          </w:p>
          <w:p w14:paraId="3BAD4D1A">
            <w:pPr>
              <w:spacing w:line="360" w:lineRule="auto"/>
              <w:ind w:firstLine="420" w:firstLineChars="200"/>
              <w:rPr>
                <w:rFonts w:hint="eastAsia" w:ascii="宋体" w:hAnsi="宋体" w:cs="宋体"/>
                <w:color w:val="auto"/>
                <w:u w:val="single"/>
              </w:rPr>
            </w:pPr>
            <w:r>
              <w:rPr>
                <w:rFonts w:hint="eastAsia" w:ascii="宋体" w:hAnsi="宋体" w:cs="宋体"/>
                <w:color w:val="auto"/>
              </w:rPr>
              <w:t>有效期限：</w:t>
            </w:r>
          </w:p>
          <w:p w14:paraId="7C6EFFBF">
            <w:pPr>
              <w:spacing w:line="360" w:lineRule="auto"/>
              <w:rPr>
                <w:rFonts w:hint="eastAsia" w:ascii="宋体" w:hAnsi="宋体" w:cs="宋体"/>
                <w:color w:val="auto"/>
                <w:u w:val="single"/>
              </w:rPr>
            </w:pPr>
            <w:r>
              <w:rPr>
                <w:rFonts w:hint="eastAsia" w:ascii="宋体" w:hAnsi="宋体" w:cs="宋体"/>
                <w:color w:val="auto"/>
              </w:rPr>
              <w:t>附：代理人性别： 年龄： 身份证号码：</w:t>
            </w:r>
          </w:p>
          <w:p w14:paraId="43686983">
            <w:pPr>
              <w:snapToGrid w:val="0"/>
              <w:spacing w:line="360" w:lineRule="auto"/>
              <w:ind w:firstLine="570"/>
              <w:rPr>
                <w:rFonts w:hint="eastAsia" w:ascii="宋体" w:hAnsi="宋体" w:cs="宋体"/>
                <w:color w:val="auto"/>
                <w:u w:val="single"/>
              </w:rPr>
            </w:pPr>
            <w:r>
              <w:rPr>
                <w:rFonts w:hint="eastAsia" w:ascii="宋体" w:hAnsi="宋体" w:cs="宋体"/>
                <w:color w:val="auto"/>
              </w:rPr>
              <w:t>统一社会信用代码：  企业类型：</w:t>
            </w:r>
          </w:p>
          <w:p w14:paraId="6284EB9D">
            <w:pPr>
              <w:snapToGrid w:val="0"/>
              <w:spacing w:line="360" w:lineRule="auto"/>
              <w:ind w:firstLine="570"/>
              <w:rPr>
                <w:rFonts w:hint="eastAsia" w:ascii="宋体" w:hAnsi="宋体" w:cs="宋体"/>
                <w:color w:val="auto"/>
                <w:u w:val="single"/>
              </w:rPr>
            </w:pPr>
            <w:r>
              <w:rPr>
                <w:rFonts w:hint="eastAsia" w:ascii="宋体" w:hAnsi="宋体" w:cs="宋体"/>
                <w:color w:val="auto"/>
              </w:rPr>
              <w:t>经营范围：</w:t>
            </w:r>
          </w:p>
          <w:p w14:paraId="19894122">
            <w:pPr>
              <w:snapToGrid w:val="0"/>
              <w:spacing w:line="360" w:lineRule="auto"/>
              <w:ind w:hanging="105"/>
              <w:rPr>
                <w:rFonts w:hint="eastAsia" w:ascii="宋体" w:hAnsi="宋体" w:cs="宋体"/>
                <w:color w:val="auto"/>
                <w:u w:val="single"/>
              </w:rPr>
            </w:pPr>
          </w:p>
          <w:p w14:paraId="38DA3A08">
            <w:pPr>
              <w:spacing w:line="360" w:lineRule="auto"/>
              <w:ind w:firstLine="420" w:firstLineChars="200"/>
              <w:rPr>
                <w:rFonts w:hint="eastAsia" w:ascii="宋体" w:hAnsi="宋体" w:cs="宋体"/>
                <w:color w:val="auto"/>
              </w:rPr>
            </w:pPr>
            <w:r>
              <w:rPr>
                <w:rFonts w:hint="eastAsia" w:ascii="宋体" w:hAnsi="宋体" w:cs="宋体"/>
                <w:color w:val="auto"/>
              </w:rPr>
              <w:t>法定代表人（负责人）：（签名或盖章）</w:t>
            </w:r>
          </w:p>
          <w:p w14:paraId="294CF0B1">
            <w:pPr>
              <w:spacing w:line="360" w:lineRule="auto"/>
              <w:ind w:firstLine="420" w:firstLineChars="200"/>
              <w:rPr>
                <w:rFonts w:hint="eastAsia" w:ascii="宋体" w:hAnsi="宋体" w:cs="宋体"/>
                <w:color w:val="auto"/>
              </w:rPr>
            </w:pPr>
            <w:r>
              <w:rPr>
                <w:rFonts w:hint="eastAsia" w:ascii="宋体" w:hAnsi="宋体" w:cs="宋体"/>
                <w:color w:val="auto"/>
              </w:rPr>
              <w:t>授权单位：（盖章）</w:t>
            </w:r>
          </w:p>
          <w:p w14:paraId="7E5CD6B0">
            <w:pPr>
              <w:snapToGrid w:val="0"/>
              <w:spacing w:line="360" w:lineRule="auto"/>
              <w:ind w:firstLine="570"/>
              <w:rPr>
                <w:rFonts w:hint="eastAsia" w:ascii="宋体" w:hAnsi="宋体" w:cs="宋体"/>
                <w:color w:val="auto"/>
              </w:rPr>
            </w:pPr>
            <w:r>
              <w:rPr>
                <w:rFonts w:hint="eastAsia" w:ascii="宋体" w:hAnsi="宋体" w:cs="宋体"/>
                <w:color w:val="auto"/>
              </w:rPr>
              <w:t xml:space="preserve">                      年  月  日</w:t>
            </w:r>
          </w:p>
        </w:tc>
      </w:tr>
    </w:tbl>
    <w:p w14:paraId="2D441AE4">
      <w:pPr>
        <w:rPr>
          <w:rFonts w:hint="eastAsia" w:ascii="宋体" w:hAnsi="宋体" w:cs="宋体"/>
          <w:color w:val="auto"/>
          <w:szCs w:val="21"/>
        </w:rPr>
      </w:pPr>
      <w:r>
        <w:rPr>
          <w:rFonts w:hint="eastAsia" w:ascii="宋体" w:hAnsi="宋体" w:cs="宋体"/>
          <w:color w:val="auto"/>
          <w:szCs w:val="21"/>
        </w:rPr>
        <w:t>注：1、法定代表人授权委托书也可以采用工商行政管理局统一印制的格式。</w:t>
      </w:r>
    </w:p>
    <w:p w14:paraId="551C65FA">
      <w:pPr>
        <w:ind w:firstLine="420"/>
        <w:rPr>
          <w:rFonts w:hint="eastAsia" w:ascii="宋体" w:hAnsi="宋体" w:cs="宋体"/>
          <w:color w:val="auto"/>
          <w:szCs w:val="21"/>
        </w:rPr>
      </w:pPr>
      <w:r>
        <w:rPr>
          <w:rFonts w:hint="eastAsia" w:ascii="宋体" w:hAnsi="宋体" w:cs="宋体"/>
          <w:color w:val="auto"/>
          <w:szCs w:val="21"/>
        </w:rPr>
        <w:t>2、联合体投标的，本授权书由主办方出具，仅填写主办方单位名称并由主办方签字或盖章即可。</w:t>
      </w:r>
    </w:p>
    <w:p w14:paraId="4F0E2E2D">
      <w:pPr>
        <w:spacing w:line="360" w:lineRule="auto"/>
        <w:ind w:firstLine="420"/>
        <w:rPr>
          <w:rFonts w:hint="eastAsia" w:ascii="宋体" w:hAnsi="宋体" w:cs="宋体"/>
          <w:color w:val="auto"/>
          <w:szCs w:val="21"/>
        </w:rPr>
      </w:pPr>
    </w:p>
    <w:p w14:paraId="7AEC1D86">
      <w:pPr>
        <w:pStyle w:val="36"/>
        <w:rPr>
          <w:color w:val="auto"/>
        </w:rPr>
      </w:pPr>
    </w:p>
    <w:p w14:paraId="7CED23FD">
      <w:pPr>
        <w:pStyle w:val="36"/>
        <w:rPr>
          <w:color w:val="auto"/>
        </w:rPr>
      </w:pPr>
    </w:p>
    <w:p w14:paraId="282035AA">
      <w:pPr>
        <w:jc w:val="center"/>
        <w:rPr>
          <w:rFonts w:hint="eastAsia" w:ascii="宋体" w:hAnsi="宋体" w:cs="宋体"/>
          <w:color w:val="auto"/>
          <w:sz w:val="40"/>
          <w:szCs w:val="40"/>
        </w:rPr>
      </w:pPr>
      <w:r>
        <w:rPr>
          <w:rFonts w:hint="eastAsia" w:ascii="宋体" w:hAnsi="宋体" w:cs="宋体"/>
          <w:color w:val="auto"/>
          <w:sz w:val="40"/>
          <w:szCs w:val="40"/>
          <w:u w:val="single"/>
        </w:rPr>
        <w:t xml:space="preserve">            </w:t>
      </w:r>
      <w:r>
        <w:rPr>
          <w:rFonts w:hint="eastAsia" w:ascii="宋体" w:hAnsi="宋体" w:cs="宋体"/>
          <w:color w:val="auto"/>
          <w:sz w:val="40"/>
          <w:szCs w:val="40"/>
        </w:rPr>
        <w:t>（项目名称）设计与施工一体化</w:t>
      </w:r>
    </w:p>
    <w:p w14:paraId="3B9284B5">
      <w:pPr>
        <w:rPr>
          <w:rFonts w:hint="eastAsia" w:ascii="宋体" w:hAnsi="宋体" w:cs="宋体"/>
          <w:color w:val="auto"/>
          <w:sz w:val="20"/>
          <w:szCs w:val="20"/>
        </w:rPr>
      </w:pPr>
    </w:p>
    <w:p w14:paraId="633FEEFD">
      <w:pPr>
        <w:rPr>
          <w:rFonts w:hint="eastAsia" w:ascii="宋体" w:hAnsi="宋体" w:cs="宋体"/>
          <w:color w:val="auto"/>
          <w:sz w:val="20"/>
          <w:szCs w:val="20"/>
        </w:rPr>
      </w:pPr>
    </w:p>
    <w:p w14:paraId="27C34451">
      <w:pPr>
        <w:jc w:val="center"/>
        <w:rPr>
          <w:rFonts w:hint="eastAsia" w:ascii="宋体" w:hAnsi="宋体" w:cs="宋体"/>
          <w:color w:val="auto"/>
          <w:sz w:val="44"/>
          <w:szCs w:val="44"/>
        </w:rPr>
      </w:pPr>
      <w:r>
        <w:rPr>
          <w:rFonts w:hint="eastAsia" w:ascii="宋体" w:hAnsi="宋体" w:cs="宋体"/>
          <w:color w:val="auto"/>
          <w:sz w:val="44"/>
          <w:szCs w:val="44"/>
        </w:rPr>
        <w:t>投  标  文  件</w:t>
      </w:r>
    </w:p>
    <w:p w14:paraId="0BEF8B2C">
      <w:pPr>
        <w:pStyle w:val="19"/>
        <w:jc w:val="center"/>
        <w:rPr>
          <w:rFonts w:eastAsia="宋体"/>
          <w:color w:val="auto"/>
        </w:rPr>
      </w:pPr>
      <w:r>
        <w:rPr>
          <w:rFonts w:hint="eastAsia" w:ascii="宋体" w:hAnsi="宋体" w:eastAsia="宋体" w:cs="宋体"/>
          <w:color w:val="auto"/>
          <w:sz w:val="44"/>
          <w:szCs w:val="44"/>
        </w:rPr>
        <w:t>（工程承包实施方案）</w:t>
      </w:r>
    </w:p>
    <w:p w14:paraId="27243BEB">
      <w:pPr>
        <w:rPr>
          <w:rFonts w:hint="eastAsia" w:ascii="宋体" w:hAnsi="宋体" w:cs="宋体"/>
          <w:color w:val="auto"/>
          <w:sz w:val="28"/>
          <w:szCs w:val="28"/>
        </w:rPr>
      </w:pPr>
    </w:p>
    <w:p w14:paraId="24F599E5">
      <w:pPr>
        <w:rPr>
          <w:rFonts w:hint="eastAsia" w:ascii="宋体" w:hAnsi="宋体" w:cs="宋体"/>
          <w:color w:val="auto"/>
          <w:sz w:val="28"/>
          <w:szCs w:val="28"/>
        </w:rPr>
      </w:pPr>
    </w:p>
    <w:p w14:paraId="50020C34">
      <w:pPr>
        <w:rPr>
          <w:rFonts w:hint="eastAsia" w:ascii="宋体" w:hAnsi="宋体" w:cs="宋体"/>
          <w:color w:val="auto"/>
          <w:sz w:val="28"/>
          <w:szCs w:val="28"/>
        </w:rPr>
      </w:pPr>
    </w:p>
    <w:p w14:paraId="6F5F4F61">
      <w:pPr>
        <w:rPr>
          <w:rFonts w:hint="eastAsia" w:ascii="宋体" w:hAnsi="宋体" w:cs="宋体"/>
          <w:color w:val="auto"/>
          <w:sz w:val="28"/>
          <w:szCs w:val="28"/>
        </w:rPr>
      </w:pPr>
    </w:p>
    <w:p w14:paraId="4F7EEEF9">
      <w:pPr>
        <w:rPr>
          <w:rFonts w:hint="eastAsia" w:ascii="宋体" w:hAnsi="宋体" w:cs="宋体"/>
          <w:color w:val="auto"/>
          <w:sz w:val="28"/>
          <w:szCs w:val="28"/>
        </w:rPr>
      </w:pPr>
    </w:p>
    <w:p w14:paraId="0F74AC6D">
      <w:pPr>
        <w:rPr>
          <w:rFonts w:hint="eastAsia" w:ascii="宋体" w:hAnsi="宋体" w:cs="宋体"/>
          <w:color w:val="auto"/>
          <w:sz w:val="28"/>
          <w:szCs w:val="28"/>
        </w:rPr>
      </w:pPr>
    </w:p>
    <w:p w14:paraId="0DF349F1">
      <w:pPr>
        <w:rPr>
          <w:rFonts w:hint="eastAsia" w:ascii="宋体" w:hAnsi="宋体" w:cs="宋体"/>
          <w:color w:val="auto"/>
          <w:sz w:val="28"/>
          <w:szCs w:val="28"/>
        </w:rPr>
      </w:pPr>
    </w:p>
    <w:p w14:paraId="0D29C4C6">
      <w:pPr>
        <w:rPr>
          <w:rFonts w:hint="eastAsia" w:ascii="宋体" w:hAnsi="宋体" w:cs="宋体"/>
          <w:color w:val="auto"/>
          <w:sz w:val="28"/>
          <w:szCs w:val="28"/>
        </w:rPr>
      </w:pPr>
    </w:p>
    <w:p w14:paraId="2BA23B10">
      <w:pPr>
        <w:rPr>
          <w:rFonts w:hint="eastAsia" w:ascii="宋体" w:hAnsi="宋体" w:cs="宋体"/>
          <w:color w:val="auto"/>
          <w:sz w:val="28"/>
          <w:szCs w:val="28"/>
        </w:rPr>
      </w:pPr>
    </w:p>
    <w:p w14:paraId="0E6BFBD5">
      <w:pPr>
        <w:rPr>
          <w:rFonts w:hint="eastAsia" w:ascii="宋体" w:hAnsi="宋体" w:cs="宋体"/>
          <w:color w:val="auto"/>
          <w:sz w:val="28"/>
          <w:szCs w:val="28"/>
        </w:rPr>
      </w:pPr>
    </w:p>
    <w:p w14:paraId="5057FE5D">
      <w:pPr>
        <w:rPr>
          <w:rFonts w:hint="eastAsia" w:ascii="宋体" w:hAnsi="宋体" w:cs="宋体"/>
          <w:color w:val="auto"/>
          <w:sz w:val="28"/>
          <w:szCs w:val="28"/>
        </w:rPr>
      </w:pPr>
    </w:p>
    <w:p w14:paraId="017E1F7E">
      <w:pPr>
        <w:jc w:val="center"/>
        <w:rPr>
          <w:rFonts w:hint="eastAsia" w:ascii="宋体" w:hAnsi="宋体" w:cs="宋体"/>
          <w:color w:val="auto"/>
          <w:sz w:val="28"/>
          <w:szCs w:val="28"/>
          <w:u w:val="single"/>
        </w:rPr>
      </w:pPr>
      <w:r>
        <w:rPr>
          <w:rFonts w:hint="eastAsia" w:ascii="宋体" w:hAnsi="宋体" w:cs="宋体"/>
          <w:color w:val="auto"/>
          <w:sz w:val="28"/>
          <w:szCs w:val="28"/>
        </w:rPr>
        <w:t>投标人：</w:t>
      </w:r>
      <w:r>
        <w:rPr>
          <w:rFonts w:hint="eastAsia" w:ascii="宋体" w:hAnsi="宋体" w:cs="宋体"/>
          <w:color w:val="auto"/>
          <w:sz w:val="28"/>
          <w:szCs w:val="28"/>
          <w:u w:val="single"/>
        </w:rPr>
        <w:t xml:space="preserve">                              </w:t>
      </w:r>
      <w:r>
        <w:rPr>
          <w:rFonts w:hint="eastAsia" w:ascii="宋体" w:hAnsi="宋体" w:cs="宋体"/>
          <w:color w:val="auto"/>
          <w:sz w:val="28"/>
          <w:szCs w:val="28"/>
        </w:rPr>
        <w:t>（盖单位章）</w:t>
      </w:r>
    </w:p>
    <w:p w14:paraId="59B4A361">
      <w:pPr>
        <w:jc w:val="center"/>
        <w:rPr>
          <w:rFonts w:hint="eastAsia" w:ascii="宋体" w:hAnsi="宋体" w:cs="宋体"/>
          <w:color w:val="auto"/>
          <w:sz w:val="28"/>
          <w:szCs w:val="28"/>
        </w:rPr>
      </w:pPr>
      <w:r>
        <w:rPr>
          <w:rFonts w:hint="eastAsia" w:ascii="宋体" w:hAnsi="宋体" w:cs="宋体"/>
          <w:color w:val="auto"/>
          <w:sz w:val="28"/>
          <w:szCs w:val="28"/>
        </w:rPr>
        <w:t>法定代表人或其委托代理人：</w:t>
      </w:r>
      <w:r>
        <w:rPr>
          <w:rFonts w:hint="eastAsia" w:ascii="宋体" w:hAnsi="宋体" w:cs="宋体"/>
          <w:color w:val="auto"/>
          <w:sz w:val="28"/>
          <w:szCs w:val="28"/>
          <w:u w:val="single"/>
        </w:rPr>
        <w:t xml:space="preserve">                </w:t>
      </w:r>
      <w:r>
        <w:rPr>
          <w:rFonts w:hint="eastAsia" w:ascii="宋体" w:hAnsi="宋体" w:cs="宋体"/>
          <w:color w:val="auto"/>
          <w:sz w:val="28"/>
          <w:szCs w:val="28"/>
        </w:rPr>
        <w:t>（签字）</w:t>
      </w:r>
    </w:p>
    <w:p w14:paraId="075DFDBE">
      <w:pPr>
        <w:jc w:val="center"/>
        <w:rPr>
          <w:rFonts w:hint="eastAsia" w:ascii="宋体" w:hAnsi="宋体" w:cs="宋体"/>
          <w:color w:val="auto"/>
          <w:sz w:val="28"/>
          <w:szCs w:val="28"/>
        </w:rPr>
      </w:pPr>
      <w:r>
        <w:rPr>
          <w:rFonts w:hint="eastAsia" w:ascii="宋体" w:hAnsi="宋体" w:cs="宋体"/>
          <w:color w:val="auto"/>
          <w:sz w:val="28"/>
          <w:szCs w:val="28"/>
          <w:u w:val="single"/>
        </w:rPr>
        <w:t xml:space="preserve">        </w:t>
      </w:r>
      <w:r>
        <w:rPr>
          <w:rFonts w:hint="eastAsia" w:ascii="宋体" w:hAnsi="宋体" w:cs="宋体"/>
          <w:color w:val="auto"/>
          <w:sz w:val="28"/>
          <w:szCs w:val="28"/>
        </w:rPr>
        <w:t>年</w:t>
      </w:r>
      <w:r>
        <w:rPr>
          <w:rFonts w:hint="eastAsia" w:ascii="宋体" w:hAnsi="宋体" w:cs="宋体"/>
          <w:color w:val="auto"/>
          <w:sz w:val="28"/>
          <w:szCs w:val="28"/>
          <w:u w:val="single"/>
        </w:rPr>
        <w:t xml:space="preserve">        </w:t>
      </w:r>
      <w:r>
        <w:rPr>
          <w:rFonts w:hint="eastAsia" w:ascii="宋体" w:hAnsi="宋体" w:cs="宋体"/>
          <w:color w:val="auto"/>
          <w:sz w:val="28"/>
          <w:szCs w:val="28"/>
        </w:rPr>
        <w:t>月</w:t>
      </w:r>
      <w:r>
        <w:rPr>
          <w:rFonts w:hint="eastAsia" w:ascii="宋体" w:hAnsi="宋体" w:cs="宋体"/>
          <w:color w:val="auto"/>
          <w:sz w:val="28"/>
          <w:szCs w:val="28"/>
          <w:u w:val="single"/>
        </w:rPr>
        <w:t xml:space="preserve">         </w:t>
      </w:r>
      <w:r>
        <w:rPr>
          <w:rFonts w:hint="eastAsia" w:ascii="宋体" w:hAnsi="宋体" w:cs="宋体"/>
          <w:color w:val="auto"/>
          <w:sz w:val="28"/>
          <w:szCs w:val="28"/>
        </w:rPr>
        <w:t>日</w:t>
      </w:r>
    </w:p>
    <w:p w14:paraId="0F3DAFCF">
      <w:pPr>
        <w:pStyle w:val="19"/>
        <w:rPr>
          <w:rFonts w:hint="eastAsia" w:ascii="宋体" w:hAnsi="宋体" w:eastAsia="宋体" w:cs="宋体"/>
          <w:color w:val="auto"/>
          <w:sz w:val="28"/>
          <w:szCs w:val="28"/>
        </w:rPr>
      </w:pPr>
    </w:p>
    <w:p w14:paraId="2C65926A">
      <w:pPr>
        <w:spacing w:line="360" w:lineRule="auto"/>
        <w:jc w:val="left"/>
        <w:rPr>
          <w:rFonts w:hint="eastAsia" w:ascii="宋体" w:hAnsi="宋体" w:cs="宋体"/>
          <w:b/>
          <w:color w:val="auto"/>
          <w:kern w:val="1"/>
          <w:sz w:val="24"/>
          <w:lang w:val="zh-CN"/>
        </w:rPr>
      </w:pPr>
    </w:p>
    <w:p w14:paraId="20CF1C24">
      <w:pPr>
        <w:pStyle w:val="36"/>
        <w:rPr>
          <w:color w:val="auto"/>
          <w:lang w:val="zh-CN"/>
        </w:rPr>
      </w:pPr>
    </w:p>
    <w:p w14:paraId="47DCABBE">
      <w:pPr>
        <w:pStyle w:val="36"/>
        <w:rPr>
          <w:color w:val="auto"/>
          <w:lang w:val="zh-CN"/>
        </w:rPr>
      </w:pPr>
    </w:p>
    <w:p w14:paraId="2E0DE2C9">
      <w:pPr>
        <w:spacing w:line="540" w:lineRule="exact"/>
        <w:rPr>
          <w:rFonts w:hint="eastAsia" w:ascii="宋体" w:hAnsi="宋体" w:cs="宋体"/>
          <w:b/>
          <w:color w:val="auto"/>
          <w:kern w:val="1"/>
          <w:sz w:val="24"/>
        </w:rPr>
      </w:pPr>
      <w:r>
        <w:rPr>
          <w:rFonts w:hint="eastAsia" w:ascii="宋体" w:hAnsi="宋体" w:cs="宋体"/>
          <w:b/>
          <w:color w:val="auto"/>
          <w:kern w:val="1"/>
          <w:sz w:val="24"/>
          <w:lang w:val="zh-CN"/>
        </w:rPr>
        <w:t>格式</w:t>
      </w:r>
      <w:r>
        <w:rPr>
          <w:rFonts w:hint="eastAsia" w:ascii="宋体" w:hAnsi="宋体" w:cs="宋体"/>
          <w:b/>
          <w:color w:val="auto"/>
          <w:kern w:val="1"/>
          <w:sz w:val="24"/>
        </w:rPr>
        <w:t>2：</w:t>
      </w:r>
    </w:p>
    <w:p w14:paraId="2D8B8955">
      <w:pPr>
        <w:autoSpaceDE w:val="0"/>
        <w:autoSpaceDN w:val="0"/>
        <w:adjustRightInd w:val="0"/>
        <w:spacing w:line="360" w:lineRule="auto"/>
        <w:jc w:val="center"/>
        <w:rPr>
          <w:rFonts w:hint="eastAsia" w:ascii="宋体" w:hAnsi="宋体" w:cs="宋体"/>
          <w:b/>
          <w:bCs/>
          <w:color w:val="auto"/>
          <w:sz w:val="36"/>
          <w:szCs w:val="36"/>
          <w:lang w:val="zh-CN"/>
        </w:rPr>
      </w:pPr>
      <w:r>
        <w:rPr>
          <w:rFonts w:hint="eastAsia" w:ascii="宋体" w:hAnsi="宋体" w:cs="宋体"/>
          <w:b/>
          <w:bCs/>
          <w:color w:val="auto"/>
          <w:sz w:val="36"/>
          <w:szCs w:val="36"/>
          <w:lang w:val="zh-CN"/>
        </w:rPr>
        <w:t>投标书</w:t>
      </w:r>
    </w:p>
    <w:p w14:paraId="122F182D">
      <w:pPr>
        <w:spacing w:line="360" w:lineRule="auto"/>
        <w:rPr>
          <w:rFonts w:hint="eastAsia" w:ascii="宋体" w:hAnsi="宋体" w:cs="宋体"/>
          <w:color w:val="auto"/>
        </w:rPr>
      </w:pPr>
    </w:p>
    <w:tbl>
      <w:tblPr>
        <w:tblStyle w:val="37"/>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2163"/>
        <w:gridCol w:w="4376"/>
      </w:tblGrid>
      <w:tr w14:paraId="6F54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309E6477">
            <w:pPr>
              <w:spacing w:line="360" w:lineRule="auto"/>
              <w:jc w:val="center"/>
              <w:rPr>
                <w:rFonts w:hint="eastAsia" w:ascii="宋体" w:hAnsi="宋体" w:cs="宋体"/>
                <w:b/>
                <w:color w:val="auto"/>
                <w:szCs w:val="21"/>
              </w:rPr>
            </w:pPr>
            <w:r>
              <w:rPr>
                <w:rFonts w:hint="eastAsia" w:ascii="宋体" w:hAnsi="宋体" w:cs="宋体"/>
                <w:b/>
                <w:color w:val="auto"/>
                <w:szCs w:val="21"/>
                <w:lang w:val="zh-CN"/>
              </w:rPr>
              <w:t>项目名称</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5D9F6753">
            <w:pPr>
              <w:spacing w:line="360" w:lineRule="auto"/>
              <w:jc w:val="center"/>
              <w:rPr>
                <w:rFonts w:hint="eastAsia" w:ascii="宋体" w:hAnsi="宋体" w:cs="宋体"/>
                <w:b/>
                <w:color w:val="auto"/>
                <w:sz w:val="28"/>
                <w:szCs w:val="28"/>
                <w:lang w:val="zh-CN"/>
              </w:rPr>
            </w:pPr>
          </w:p>
        </w:tc>
      </w:tr>
      <w:tr w14:paraId="43B4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762578EA">
            <w:pPr>
              <w:spacing w:line="360" w:lineRule="auto"/>
              <w:jc w:val="center"/>
              <w:rPr>
                <w:rFonts w:hint="eastAsia" w:ascii="宋体" w:hAnsi="宋体" w:cs="宋体"/>
                <w:b/>
                <w:color w:val="auto"/>
                <w:szCs w:val="21"/>
              </w:rPr>
            </w:pPr>
            <w:r>
              <w:rPr>
                <w:rFonts w:hint="eastAsia" w:ascii="宋体" w:hAnsi="宋体" w:cs="宋体"/>
                <w:b/>
                <w:color w:val="auto"/>
                <w:szCs w:val="21"/>
                <w:lang w:val="zh-CN"/>
              </w:rPr>
              <w:t>投标总报价（元）</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523964CF">
            <w:pPr>
              <w:snapToGrid w:val="0"/>
              <w:spacing w:line="360" w:lineRule="auto"/>
              <w:jc w:val="left"/>
              <w:rPr>
                <w:rFonts w:hint="eastAsia" w:ascii="宋体" w:hAnsi="宋体" w:cs="宋体"/>
                <w:b/>
                <w:color w:val="auto"/>
                <w:szCs w:val="21"/>
              </w:rPr>
            </w:pPr>
            <w:r>
              <w:rPr>
                <w:rFonts w:hint="eastAsia" w:ascii="宋体" w:hAnsi="宋体" w:cs="宋体"/>
                <w:b/>
                <w:color w:val="auto"/>
                <w:szCs w:val="21"/>
              </w:rPr>
              <w:t>大写：</w:t>
            </w:r>
          </w:p>
          <w:p w14:paraId="0095F9A1">
            <w:pPr>
              <w:spacing w:line="360" w:lineRule="auto"/>
              <w:jc w:val="left"/>
              <w:rPr>
                <w:rFonts w:hint="eastAsia" w:ascii="宋体" w:hAnsi="宋体" w:cs="宋体"/>
                <w:b/>
                <w:color w:val="auto"/>
                <w:szCs w:val="21"/>
              </w:rPr>
            </w:pPr>
            <w:r>
              <w:rPr>
                <w:rFonts w:hint="eastAsia" w:ascii="宋体" w:hAnsi="宋体" w:cs="宋体"/>
                <w:b/>
                <w:color w:val="auto"/>
                <w:szCs w:val="21"/>
              </w:rPr>
              <w:t>小写：</w:t>
            </w:r>
          </w:p>
        </w:tc>
      </w:tr>
      <w:tr w14:paraId="2B59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626" w:type="dxa"/>
            <w:tcBorders>
              <w:top w:val="single" w:color="auto" w:sz="4" w:space="0"/>
              <w:left w:val="single" w:color="auto" w:sz="4" w:space="0"/>
              <w:right w:val="single" w:color="auto" w:sz="4" w:space="0"/>
            </w:tcBorders>
            <w:vAlign w:val="center"/>
          </w:tcPr>
          <w:p w14:paraId="75E75089">
            <w:pPr>
              <w:spacing w:line="360" w:lineRule="auto"/>
              <w:rPr>
                <w:rFonts w:hint="eastAsia" w:ascii="宋体" w:hAnsi="宋体" w:cs="宋体"/>
                <w:b/>
                <w:color w:val="auto"/>
                <w:szCs w:val="21"/>
              </w:rPr>
            </w:pPr>
            <w:r>
              <w:rPr>
                <w:rFonts w:hint="eastAsia" w:ascii="宋体" w:hAnsi="宋体" w:cs="宋体"/>
                <w:b/>
                <w:color w:val="auto"/>
                <w:szCs w:val="21"/>
                <w:lang w:val="zh-CN"/>
              </w:rPr>
              <w:t>其中</w:t>
            </w:r>
            <w:r>
              <w:rPr>
                <w:rFonts w:hint="eastAsia" w:ascii="宋体" w:hAnsi="宋体" w:cs="宋体"/>
                <w:b/>
                <w:color w:val="auto"/>
                <w:szCs w:val="21"/>
              </w:rPr>
              <w:t>：</w:t>
            </w:r>
            <w:r>
              <w:rPr>
                <w:rFonts w:hint="eastAsia" w:ascii="宋体" w:hAnsi="宋体" w:cs="宋体"/>
                <w:b/>
                <w:color w:val="auto"/>
                <w:szCs w:val="21"/>
                <w:lang w:val="zh-CN"/>
              </w:rPr>
              <w:t>施工部分</w:t>
            </w:r>
            <w:r>
              <w:rPr>
                <w:rFonts w:hint="eastAsia" w:ascii="宋体" w:hAnsi="宋体" w:cs="宋体"/>
                <w:b/>
                <w:color w:val="auto"/>
                <w:szCs w:val="21"/>
              </w:rPr>
              <w:t>（</w:t>
            </w:r>
            <w:r>
              <w:rPr>
                <w:rFonts w:hint="eastAsia" w:ascii="宋体" w:hAnsi="宋体" w:cs="宋体"/>
                <w:b/>
                <w:color w:val="auto"/>
                <w:szCs w:val="21"/>
                <w:lang w:val="zh-CN"/>
              </w:rPr>
              <w:t>元</w:t>
            </w:r>
            <w:r>
              <w:rPr>
                <w:rFonts w:hint="eastAsia" w:ascii="宋体" w:hAnsi="宋体" w:cs="宋体"/>
                <w:b/>
                <w:color w:val="auto"/>
                <w:szCs w:val="21"/>
              </w:rPr>
              <w:t>）</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6C0539CB">
            <w:pPr>
              <w:spacing w:line="360" w:lineRule="auto"/>
              <w:jc w:val="left"/>
              <w:rPr>
                <w:rFonts w:hint="eastAsia" w:ascii="宋体" w:hAnsi="宋体" w:cs="宋体"/>
                <w:b/>
                <w:color w:val="auto"/>
                <w:szCs w:val="21"/>
              </w:rPr>
            </w:pPr>
            <w:r>
              <w:rPr>
                <w:rFonts w:hint="eastAsia" w:ascii="宋体" w:hAnsi="宋体" w:cs="宋体"/>
                <w:b/>
                <w:color w:val="auto"/>
                <w:szCs w:val="21"/>
              </w:rPr>
              <w:t xml:space="preserve">小写：         </w:t>
            </w:r>
          </w:p>
        </w:tc>
      </w:tr>
      <w:tr w14:paraId="4DA0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1FAA103D">
            <w:pPr>
              <w:spacing w:line="360" w:lineRule="auto"/>
              <w:ind w:firstLine="616" w:firstLineChars="292"/>
              <w:rPr>
                <w:rFonts w:hint="eastAsia" w:ascii="宋体" w:hAnsi="宋体" w:cs="宋体"/>
                <w:b/>
                <w:color w:val="auto"/>
                <w:szCs w:val="21"/>
                <w:lang w:val="zh-CN"/>
              </w:rPr>
            </w:pPr>
            <w:bookmarkStart w:id="574" w:name="_Toc439246066"/>
            <w:r>
              <w:rPr>
                <w:rFonts w:hint="eastAsia" w:ascii="宋体" w:hAnsi="宋体" w:cs="宋体"/>
                <w:b/>
                <w:color w:val="auto"/>
                <w:szCs w:val="21"/>
                <w:lang w:val="zh-CN"/>
              </w:rPr>
              <w:t>设计部分（元）</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7123175C">
            <w:pPr>
              <w:spacing w:line="360" w:lineRule="auto"/>
              <w:jc w:val="left"/>
              <w:rPr>
                <w:rFonts w:hint="eastAsia" w:ascii="宋体" w:hAnsi="宋体" w:cs="宋体"/>
                <w:b/>
                <w:color w:val="auto"/>
                <w:szCs w:val="21"/>
              </w:rPr>
            </w:pPr>
            <w:r>
              <w:rPr>
                <w:rFonts w:hint="eastAsia" w:ascii="宋体" w:hAnsi="宋体" w:cs="宋体"/>
                <w:b/>
                <w:color w:val="auto"/>
                <w:szCs w:val="21"/>
              </w:rPr>
              <w:t xml:space="preserve">小写：         </w:t>
            </w:r>
          </w:p>
        </w:tc>
      </w:tr>
      <w:bookmarkEnd w:id="574"/>
      <w:tr w14:paraId="0001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3DE5FA27">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投标总工期（含设计工期）</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61E06C29">
            <w:pPr>
              <w:spacing w:line="360" w:lineRule="auto"/>
              <w:rPr>
                <w:rFonts w:hint="eastAsia" w:ascii="宋体" w:hAnsi="宋体" w:cs="宋体"/>
                <w:b/>
                <w:color w:val="auto"/>
                <w:szCs w:val="21"/>
              </w:rPr>
            </w:pPr>
          </w:p>
        </w:tc>
      </w:tr>
      <w:tr w14:paraId="509A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17A5963E">
            <w:pPr>
              <w:spacing w:line="360" w:lineRule="auto"/>
              <w:jc w:val="center"/>
              <w:rPr>
                <w:rFonts w:hint="eastAsia" w:ascii="宋体" w:hAnsi="宋体" w:cs="宋体"/>
                <w:b/>
                <w:color w:val="auto"/>
                <w:szCs w:val="21"/>
              </w:rPr>
            </w:pPr>
            <w:r>
              <w:rPr>
                <w:rFonts w:hint="eastAsia" w:ascii="宋体" w:hAnsi="宋体" w:cs="宋体"/>
                <w:b/>
                <w:color w:val="auto"/>
                <w:szCs w:val="21"/>
                <w:lang w:val="zh-CN"/>
              </w:rPr>
              <w:t>工程质量标准</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0B32BC6A">
            <w:pPr>
              <w:spacing w:line="360" w:lineRule="auto"/>
              <w:rPr>
                <w:rFonts w:hint="eastAsia" w:ascii="宋体" w:hAnsi="宋体" w:cs="宋体"/>
                <w:b/>
                <w:color w:val="auto"/>
                <w:szCs w:val="21"/>
              </w:rPr>
            </w:pPr>
          </w:p>
        </w:tc>
      </w:tr>
      <w:tr w14:paraId="0EE8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5378DD66">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保修期限</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2B23FDBF">
            <w:pPr>
              <w:spacing w:line="360" w:lineRule="auto"/>
              <w:rPr>
                <w:rFonts w:hint="eastAsia" w:ascii="宋体" w:hAnsi="宋体" w:cs="宋体"/>
                <w:b/>
                <w:color w:val="auto"/>
                <w:szCs w:val="21"/>
              </w:rPr>
            </w:pPr>
          </w:p>
        </w:tc>
      </w:tr>
      <w:tr w14:paraId="33DA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5DB398ED">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委派的项目负责人</w:t>
            </w:r>
          </w:p>
        </w:tc>
        <w:tc>
          <w:tcPr>
            <w:tcW w:w="2163" w:type="dxa"/>
            <w:tcBorders>
              <w:top w:val="single" w:color="auto" w:sz="4" w:space="0"/>
              <w:left w:val="single" w:color="auto" w:sz="4" w:space="0"/>
              <w:bottom w:val="single" w:color="auto" w:sz="4" w:space="0"/>
              <w:right w:val="single" w:color="auto" w:sz="4" w:space="0"/>
            </w:tcBorders>
            <w:vAlign w:val="center"/>
          </w:tcPr>
          <w:p w14:paraId="44EE2760">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姓    名</w:t>
            </w:r>
          </w:p>
        </w:tc>
        <w:tc>
          <w:tcPr>
            <w:tcW w:w="4376" w:type="dxa"/>
            <w:tcBorders>
              <w:top w:val="single" w:color="auto" w:sz="4" w:space="0"/>
              <w:left w:val="single" w:color="auto" w:sz="4" w:space="0"/>
              <w:bottom w:val="single" w:color="auto" w:sz="4" w:space="0"/>
              <w:right w:val="single" w:color="auto" w:sz="4" w:space="0"/>
            </w:tcBorders>
            <w:vAlign w:val="center"/>
          </w:tcPr>
          <w:p w14:paraId="55184808">
            <w:pPr>
              <w:spacing w:line="360" w:lineRule="auto"/>
              <w:rPr>
                <w:rFonts w:hint="eastAsia" w:ascii="宋体" w:hAnsi="宋体" w:cs="宋体"/>
                <w:b/>
                <w:color w:val="auto"/>
                <w:szCs w:val="21"/>
              </w:rPr>
            </w:pPr>
          </w:p>
        </w:tc>
      </w:tr>
      <w:tr w14:paraId="35A6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25F2D05F">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委派的安全员</w:t>
            </w:r>
          </w:p>
        </w:tc>
        <w:tc>
          <w:tcPr>
            <w:tcW w:w="2163" w:type="dxa"/>
            <w:tcBorders>
              <w:top w:val="single" w:color="auto" w:sz="4" w:space="0"/>
              <w:left w:val="single" w:color="auto" w:sz="4" w:space="0"/>
              <w:bottom w:val="single" w:color="auto" w:sz="4" w:space="0"/>
              <w:right w:val="single" w:color="auto" w:sz="4" w:space="0"/>
            </w:tcBorders>
            <w:vAlign w:val="center"/>
          </w:tcPr>
          <w:p w14:paraId="2228B3E1">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姓    名</w:t>
            </w:r>
          </w:p>
        </w:tc>
        <w:tc>
          <w:tcPr>
            <w:tcW w:w="4376" w:type="dxa"/>
            <w:tcBorders>
              <w:top w:val="single" w:color="auto" w:sz="4" w:space="0"/>
              <w:left w:val="single" w:color="auto" w:sz="4" w:space="0"/>
              <w:bottom w:val="single" w:color="auto" w:sz="4" w:space="0"/>
              <w:right w:val="single" w:color="auto" w:sz="4" w:space="0"/>
            </w:tcBorders>
            <w:vAlign w:val="center"/>
          </w:tcPr>
          <w:p w14:paraId="55E5F5AB">
            <w:pPr>
              <w:spacing w:line="360" w:lineRule="auto"/>
              <w:rPr>
                <w:rFonts w:hint="eastAsia" w:ascii="宋体" w:hAnsi="宋体" w:cs="宋体"/>
                <w:b/>
                <w:color w:val="auto"/>
                <w:szCs w:val="21"/>
              </w:rPr>
            </w:pPr>
          </w:p>
        </w:tc>
      </w:tr>
      <w:tr w14:paraId="3C63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31846E94">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委派的设计负责人</w:t>
            </w:r>
          </w:p>
        </w:tc>
        <w:tc>
          <w:tcPr>
            <w:tcW w:w="2163" w:type="dxa"/>
            <w:tcBorders>
              <w:top w:val="single" w:color="auto" w:sz="4" w:space="0"/>
              <w:left w:val="single" w:color="auto" w:sz="4" w:space="0"/>
              <w:bottom w:val="single" w:color="auto" w:sz="4" w:space="0"/>
              <w:right w:val="single" w:color="auto" w:sz="4" w:space="0"/>
            </w:tcBorders>
            <w:vAlign w:val="center"/>
          </w:tcPr>
          <w:p w14:paraId="58A18802">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姓    名</w:t>
            </w:r>
          </w:p>
        </w:tc>
        <w:tc>
          <w:tcPr>
            <w:tcW w:w="4376" w:type="dxa"/>
            <w:tcBorders>
              <w:top w:val="single" w:color="auto" w:sz="4" w:space="0"/>
              <w:left w:val="single" w:color="auto" w:sz="4" w:space="0"/>
              <w:bottom w:val="single" w:color="auto" w:sz="4" w:space="0"/>
              <w:right w:val="single" w:color="auto" w:sz="4" w:space="0"/>
            </w:tcBorders>
            <w:vAlign w:val="center"/>
          </w:tcPr>
          <w:p w14:paraId="32FBF6A3">
            <w:pPr>
              <w:spacing w:line="360" w:lineRule="auto"/>
              <w:rPr>
                <w:rFonts w:hint="eastAsia" w:ascii="宋体" w:hAnsi="宋体" w:cs="宋体"/>
                <w:b/>
                <w:color w:val="auto"/>
                <w:szCs w:val="21"/>
              </w:rPr>
            </w:pPr>
            <w:bookmarkStart w:id="575" w:name="_Toc355355216"/>
            <w:bookmarkStart w:id="576" w:name="_Toc260129717"/>
          </w:p>
        </w:tc>
      </w:tr>
      <w:tr w14:paraId="4DFE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589E40BE">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投标有效期</w:t>
            </w:r>
          </w:p>
          <w:bookmarkEnd w:id="575"/>
          <w:bookmarkEnd w:id="576"/>
        </w:tc>
        <w:tc>
          <w:tcPr>
            <w:tcW w:w="6539" w:type="dxa"/>
            <w:gridSpan w:val="2"/>
            <w:tcBorders>
              <w:top w:val="single" w:color="auto" w:sz="4" w:space="0"/>
              <w:left w:val="single" w:color="auto" w:sz="4" w:space="0"/>
              <w:bottom w:val="single" w:color="auto" w:sz="4" w:space="0"/>
              <w:right w:val="single" w:color="auto" w:sz="4" w:space="0"/>
            </w:tcBorders>
            <w:vAlign w:val="center"/>
          </w:tcPr>
          <w:p w14:paraId="6AE4676C">
            <w:pPr>
              <w:spacing w:line="360" w:lineRule="auto"/>
              <w:rPr>
                <w:rFonts w:hint="eastAsia" w:ascii="宋体" w:hAnsi="宋体" w:cs="宋体"/>
                <w:b/>
                <w:color w:val="auto"/>
                <w:szCs w:val="21"/>
              </w:rPr>
            </w:pPr>
            <w:bookmarkStart w:id="577" w:name="_Toc439246069"/>
            <w:r>
              <w:rPr>
                <w:rFonts w:hint="eastAsia" w:ascii="宋体" w:hAnsi="宋体" w:cs="宋体"/>
                <w:b/>
                <w:color w:val="auto"/>
                <w:szCs w:val="21"/>
                <w:lang w:val="zh-CN"/>
              </w:rPr>
              <w:t>按招标文件要求</w:t>
            </w:r>
          </w:p>
          <w:bookmarkEnd w:id="577"/>
        </w:tc>
      </w:tr>
      <w:tr w14:paraId="5861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121E49C2">
            <w:pPr>
              <w:spacing w:line="360" w:lineRule="auto"/>
              <w:jc w:val="center"/>
              <w:rPr>
                <w:rFonts w:hint="eastAsia" w:ascii="宋体" w:hAnsi="宋体" w:cs="宋体"/>
                <w:b/>
                <w:color w:val="auto"/>
                <w:szCs w:val="21"/>
                <w:lang w:val="zh-CN"/>
              </w:rPr>
            </w:pPr>
            <w:bookmarkStart w:id="578" w:name="_Toc439246070"/>
            <w:bookmarkStart w:id="579" w:name="_Toc439240671"/>
            <w:r>
              <w:rPr>
                <w:rFonts w:hint="eastAsia" w:ascii="宋体" w:hAnsi="宋体" w:cs="宋体"/>
                <w:b/>
                <w:color w:val="auto"/>
                <w:szCs w:val="21"/>
              </w:rPr>
              <w:t>法定代表</w:t>
            </w:r>
            <w:bookmarkEnd w:id="578"/>
            <w:bookmarkEnd w:id="579"/>
            <w:r>
              <w:rPr>
                <w:rFonts w:hint="eastAsia" w:ascii="宋体" w:hAnsi="宋体" w:cs="宋体"/>
                <w:b/>
                <w:color w:val="auto"/>
                <w:szCs w:val="21"/>
              </w:rPr>
              <w:t>人或其委托代</w:t>
            </w:r>
            <w:bookmarkStart w:id="580" w:name="_Toc439246072"/>
            <w:r>
              <w:rPr>
                <w:rFonts w:hint="eastAsia" w:ascii="宋体" w:hAnsi="宋体" w:cs="宋体"/>
                <w:b/>
                <w:color w:val="auto"/>
                <w:szCs w:val="21"/>
              </w:rPr>
              <w:t>理人（签字或盖章）</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31EA2B43">
            <w:pPr>
              <w:spacing w:line="360" w:lineRule="auto"/>
              <w:rPr>
                <w:rFonts w:hint="eastAsia" w:ascii="宋体" w:hAnsi="宋体" w:cs="宋体"/>
                <w:b/>
                <w:color w:val="auto"/>
                <w:szCs w:val="21"/>
              </w:rPr>
            </w:pPr>
          </w:p>
          <w:bookmarkEnd w:id="580"/>
        </w:tc>
      </w:tr>
      <w:tr w14:paraId="386C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626" w:type="dxa"/>
            <w:tcBorders>
              <w:top w:val="single" w:color="auto" w:sz="4" w:space="0"/>
              <w:left w:val="single" w:color="auto" w:sz="4" w:space="0"/>
              <w:bottom w:val="single" w:color="auto" w:sz="4" w:space="0"/>
              <w:right w:val="single" w:color="auto" w:sz="4" w:space="0"/>
            </w:tcBorders>
            <w:vAlign w:val="center"/>
          </w:tcPr>
          <w:p w14:paraId="637AB486">
            <w:pPr>
              <w:spacing w:line="360" w:lineRule="auto"/>
              <w:jc w:val="center"/>
              <w:rPr>
                <w:rFonts w:hint="eastAsia" w:ascii="宋体" w:hAnsi="宋体" w:cs="宋体"/>
                <w:b/>
                <w:color w:val="auto"/>
                <w:szCs w:val="21"/>
                <w:lang w:val="zh-CN"/>
              </w:rPr>
            </w:pPr>
            <w:r>
              <w:rPr>
                <w:rFonts w:hint="eastAsia" w:ascii="宋体" w:hAnsi="宋体" w:cs="宋体"/>
                <w:b/>
                <w:color w:val="auto"/>
                <w:szCs w:val="21"/>
                <w:lang w:val="zh-CN"/>
              </w:rPr>
              <w:t>投标单位（盖章）</w:t>
            </w:r>
          </w:p>
        </w:tc>
        <w:tc>
          <w:tcPr>
            <w:tcW w:w="6539" w:type="dxa"/>
            <w:gridSpan w:val="2"/>
            <w:tcBorders>
              <w:top w:val="single" w:color="auto" w:sz="4" w:space="0"/>
              <w:left w:val="single" w:color="auto" w:sz="4" w:space="0"/>
              <w:bottom w:val="single" w:color="auto" w:sz="4" w:space="0"/>
              <w:right w:val="single" w:color="auto" w:sz="4" w:space="0"/>
            </w:tcBorders>
            <w:vAlign w:val="center"/>
          </w:tcPr>
          <w:p w14:paraId="39D31FB8">
            <w:pPr>
              <w:spacing w:line="360" w:lineRule="auto"/>
              <w:rPr>
                <w:rFonts w:hint="eastAsia" w:ascii="宋体" w:hAnsi="宋体" w:cs="宋体"/>
                <w:b/>
                <w:color w:val="auto"/>
                <w:szCs w:val="21"/>
              </w:rPr>
            </w:pPr>
          </w:p>
        </w:tc>
      </w:tr>
    </w:tbl>
    <w:p w14:paraId="4D76C113">
      <w:pPr>
        <w:snapToGrid w:val="0"/>
        <w:ind w:firstLine="422" w:firstLineChars="200"/>
        <w:rPr>
          <w:rFonts w:hint="eastAsia" w:ascii="宋体" w:hAnsi="宋体"/>
          <w:b/>
          <w:color w:val="auto"/>
          <w:szCs w:val="21"/>
        </w:rPr>
      </w:pPr>
      <w:r>
        <w:rPr>
          <w:rFonts w:hint="eastAsia" w:ascii="宋体" w:hAnsi="宋体"/>
          <w:b/>
          <w:color w:val="auto"/>
          <w:szCs w:val="21"/>
        </w:rPr>
        <w:t>注：1.联合体投标的，“投标单位”一栏需书写所有联合体成员的单位全称，并由联合体主办方按要求签字或盖章，联合体其他成员可不签字或盖章。</w:t>
      </w:r>
    </w:p>
    <w:p w14:paraId="5D56C7D9">
      <w:pPr>
        <w:snapToGrid w:val="0"/>
        <w:ind w:firstLine="422" w:firstLineChars="200"/>
        <w:rPr>
          <w:rFonts w:hint="eastAsia" w:ascii="宋体" w:hAnsi="宋体"/>
          <w:b/>
          <w:color w:val="auto"/>
          <w:szCs w:val="21"/>
        </w:rPr>
      </w:pPr>
      <w:r>
        <w:rPr>
          <w:rFonts w:hint="eastAsia" w:ascii="宋体" w:hAnsi="宋体"/>
          <w:b/>
          <w:color w:val="auto"/>
          <w:szCs w:val="21"/>
        </w:rPr>
        <w:t>2.</w:t>
      </w:r>
      <w:r>
        <w:rPr>
          <w:rFonts w:hint="eastAsia"/>
          <w:b/>
          <w:color w:val="auto"/>
        </w:rPr>
        <w:t xml:space="preserve"> 投标总报价的大写金额和小写金额不一致的，以大写金额为准</w:t>
      </w:r>
      <w:r>
        <w:rPr>
          <w:rFonts w:hint="eastAsia" w:ascii="宋体" w:hAnsi="宋体"/>
          <w:b/>
          <w:color w:val="auto"/>
          <w:szCs w:val="21"/>
        </w:rPr>
        <w:t>。</w:t>
      </w:r>
    </w:p>
    <w:p w14:paraId="1F7D44FE">
      <w:pPr>
        <w:spacing w:line="360" w:lineRule="auto"/>
        <w:ind w:firstLine="241" w:firstLineChars="100"/>
        <w:rPr>
          <w:rFonts w:hint="eastAsia" w:ascii="宋体" w:hAnsi="宋体" w:cs="宋体"/>
          <w:b/>
          <w:color w:val="auto"/>
          <w:kern w:val="0"/>
          <w:sz w:val="24"/>
        </w:rPr>
      </w:pPr>
    </w:p>
    <w:p w14:paraId="5F474F86">
      <w:pPr>
        <w:rPr>
          <w:rFonts w:hint="eastAsia" w:ascii="宋体" w:hAnsi="宋体" w:cs="宋体"/>
          <w:b/>
          <w:color w:val="auto"/>
          <w:kern w:val="1"/>
          <w:sz w:val="24"/>
          <w:lang w:val="zh-CN"/>
        </w:rPr>
      </w:pPr>
      <w:r>
        <w:rPr>
          <w:rFonts w:hint="eastAsia" w:ascii="宋体" w:hAnsi="宋体" w:cs="宋体"/>
          <w:b/>
          <w:color w:val="auto"/>
          <w:kern w:val="1"/>
          <w:sz w:val="24"/>
          <w:lang w:val="zh-CN"/>
        </w:rPr>
        <w:br w:type="page"/>
      </w:r>
    </w:p>
    <w:p w14:paraId="3811787B">
      <w:pPr>
        <w:spacing w:line="360" w:lineRule="auto"/>
        <w:jc w:val="left"/>
        <w:rPr>
          <w:rFonts w:hint="eastAsia" w:ascii="宋体" w:hAnsi="宋体" w:cs="宋体"/>
          <w:b/>
          <w:color w:val="auto"/>
          <w:kern w:val="1"/>
          <w:sz w:val="24"/>
          <w:lang w:val="zh-CN"/>
        </w:rPr>
      </w:pPr>
      <w:r>
        <w:rPr>
          <w:rFonts w:hint="eastAsia" w:ascii="宋体" w:hAnsi="宋体" w:cs="宋体"/>
          <w:b/>
          <w:color w:val="auto"/>
          <w:kern w:val="1"/>
          <w:sz w:val="24"/>
          <w:lang w:val="zh-CN"/>
        </w:rPr>
        <w:t>格式</w:t>
      </w:r>
      <w:r>
        <w:rPr>
          <w:rFonts w:hint="eastAsia" w:ascii="宋体" w:hAnsi="宋体" w:cs="宋体"/>
          <w:b/>
          <w:color w:val="auto"/>
          <w:kern w:val="1"/>
          <w:sz w:val="24"/>
        </w:rPr>
        <w:t>3</w:t>
      </w:r>
      <w:r>
        <w:rPr>
          <w:rFonts w:hint="eastAsia" w:ascii="宋体" w:hAnsi="宋体" w:cs="宋体"/>
          <w:b/>
          <w:color w:val="auto"/>
          <w:kern w:val="1"/>
          <w:sz w:val="24"/>
          <w:lang w:val="zh-CN"/>
        </w:rPr>
        <w:t>：</w:t>
      </w:r>
    </w:p>
    <w:p w14:paraId="25737356">
      <w:pPr>
        <w:spacing w:line="360" w:lineRule="auto"/>
        <w:jc w:val="center"/>
        <w:rPr>
          <w:rFonts w:hint="eastAsia" w:ascii="宋体" w:hAnsi="宋体" w:cs="宋体"/>
          <w:b/>
          <w:bCs/>
          <w:color w:val="auto"/>
          <w:sz w:val="36"/>
          <w:szCs w:val="36"/>
          <w:lang w:val="zh-CN"/>
        </w:rPr>
      </w:pPr>
      <w:r>
        <w:rPr>
          <w:rFonts w:hint="eastAsia" w:ascii="宋体" w:hAnsi="宋体" w:cs="宋体"/>
          <w:b/>
          <w:bCs/>
          <w:color w:val="auto"/>
          <w:sz w:val="36"/>
          <w:szCs w:val="36"/>
          <w:lang w:val="zh-CN"/>
        </w:rPr>
        <w:t>投标人基本情况表</w:t>
      </w:r>
    </w:p>
    <w:tbl>
      <w:tblPr>
        <w:tblStyle w:val="37"/>
        <w:tblW w:w="0" w:type="auto"/>
        <w:jc w:val="center"/>
        <w:tblLayout w:type="fixed"/>
        <w:tblCellMar>
          <w:top w:w="0" w:type="dxa"/>
          <w:left w:w="0" w:type="dxa"/>
          <w:bottom w:w="0" w:type="dxa"/>
          <w:right w:w="0" w:type="dxa"/>
        </w:tblCellMar>
      </w:tblPr>
      <w:tblGrid>
        <w:gridCol w:w="1885"/>
        <w:gridCol w:w="1102"/>
        <w:gridCol w:w="1214"/>
        <w:gridCol w:w="840"/>
        <w:gridCol w:w="425"/>
        <w:gridCol w:w="212"/>
        <w:gridCol w:w="1265"/>
        <w:gridCol w:w="204"/>
        <w:gridCol w:w="840"/>
        <w:gridCol w:w="1232"/>
      </w:tblGrid>
      <w:tr w14:paraId="02D129F7">
        <w:tblPrEx>
          <w:tblCellMar>
            <w:top w:w="0" w:type="dxa"/>
            <w:left w:w="0" w:type="dxa"/>
            <w:bottom w:w="0" w:type="dxa"/>
            <w:right w:w="0" w:type="dxa"/>
          </w:tblCellMar>
        </w:tblPrEx>
        <w:trPr>
          <w:trHeight w:val="50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3FB3253B">
            <w:pPr>
              <w:adjustRightInd w:val="0"/>
              <w:snapToGrid w:val="0"/>
              <w:jc w:val="center"/>
              <w:rPr>
                <w:rFonts w:hint="eastAsia" w:ascii="宋体" w:hAnsi="宋体" w:cs="宋体"/>
                <w:color w:val="auto"/>
                <w:szCs w:val="21"/>
              </w:rPr>
            </w:pPr>
            <w:r>
              <w:rPr>
                <w:rFonts w:hint="eastAsia" w:ascii="宋体" w:hAnsi="宋体" w:cs="宋体"/>
                <w:color w:val="auto"/>
                <w:kern w:val="0"/>
                <w:szCs w:val="21"/>
              </w:rPr>
              <w:t>投标人名称</w:t>
            </w:r>
          </w:p>
        </w:tc>
        <w:tc>
          <w:tcPr>
            <w:tcW w:w="7334" w:type="dxa"/>
            <w:gridSpan w:val="9"/>
            <w:tcBorders>
              <w:top w:val="single" w:color="auto" w:sz="8" w:space="0"/>
              <w:left w:val="single" w:color="auto" w:sz="8" w:space="0"/>
              <w:bottom w:val="single" w:color="auto" w:sz="8" w:space="0"/>
              <w:right w:val="single" w:color="auto" w:sz="8" w:space="0"/>
            </w:tcBorders>
            <w:vAlign w:val="center"/>
          </w:tcPr>
          <w:p w14:paraId="5C8F7716">
            <w:pPr>
              <w:adjustRightInd w:val="0"/>
              <w:snapToGrid w:val="0"/>
              <w:jc w:val="center"/>
              <w:rPr>
                <w:rFonts w:hint="eastAsia" w:ascii="宋体" w:hAnsi="宋体" w:cs="宋体"/>
                <w:color w:val="auto"/>
                <w:szCs w:val="21"/>
              </w:rPr>
            </w:pPr>
          </w:p>
        </w:tc>
      </w:tr>
      <w:tr w14:paraId="7A41EF3F">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6EFA64A0">
            <w:pPr>
              <w:adjustRightInd w:val="0"/>
              <w:snapToGrid w:val="0"/>
              <w:jc w:val="center"/>
              <w:rPr>
                <w:rFonts w:hint="eastAsia" w:ascii="宋体" w:hAnsi="宋体" w:cs="宋体"/>
                <w:color w:val="auto"/>
                <w:szCs w:val="21"/>
              </w:rPr>
            </w:pPr>
            <w:r>
              <w:rPr>
                <w:rFonts w:hint="eastAsia" w:ascii="宋体" w:hAnsi="宋体" w:cs="宋体"/>
                <w:color w:val="auto"/>
                <w:kern w:val="0"/>
                <w:szCs w:val="21"/>
              </w:rPr>
              <w:t>注册地址</w:t>
            </w:r>
          </w:p>
        </w:tc>
        <w:tc>
          <w:tcPr>
            <w:tcW w:w="3793" w:type="dxa"/>
            <w:gridSpan w:val="5"/>
            <w:tcBorders>
              <w:top w:val="single" w:color="auto" w:sz="8" w:space="0"/>
              <w:left w:val="single" w:color="auto" w:sz="8" w:space="0"/>
              <w:bottom w:val="single" w:color="auto" w:sz="8" w:space="0"/>
              <w:right w:val="single" w:color="auto" w:sz="8" w:space="0"/>
            </w:tcBorders>
            <w:vAlign w:val="center"/>
          </w:tcPr>
          <w:p w14:paraId="4B19E961">
            <w:pPr>
              <w:adjustRightInd w:val="0"/>
              <w:snapToGrid w:val="0"/>
              <w:jc w:val="center"/>
              <w:rPr>
                <w:rFonts w:hint="eastAsia" w:ascii="宋体" w:hAnsi="宋体" w:cs="宋体"/>
                <w:color w:val="auto"/>
                <w:szCs w:val="21"/>
              </w:rPr>
            </w:pPr>
          </w:p>
        </w:tc>
        <w:tc>
          <w:tcPr>
            <w:tcW w:w="1265" w:type="dxa"/>
            <w:tcBorders>
              <w:top w:val="single" w:color="auto" w:sz="8" w:space="0"/>
              <w:left w:val="single" w:color="auto" w:sz="8" w:space="0"/>
              <w:bottom w:val="single" w:color="auto" w:sz="8" w:space="0"/>
              <w:right w:val="single" w:color="auto" w:sz="8" w:space="0"/>
            </w:tcBorders>
            <w:vAlign w:val="center"/>
          </w:tcPr>
          <w:p w14:paraId="183C0900">
            <w:pPr>
              <w:adjustRightInd w:val="0"/>
              <w:snapToGrid w:val="0"/>
              <w:jc w:val="center"/>
              <w:rPr>
                <w:rFonts w:hint="eastAsia" w:ascii="宋体" w:hAnsi="宋体" w:cs="宋体"/>
                <w:color w:val="auto"/>
                <w:szCs w:val="21"/>
              </w:rPr>
            </w:pPr>
            <w:r>
              <w:rPr>
                <w:rFonts w:hint="eastAsia" w:ascii="宋体" w:hAnsi="宋体" w:cs="宋体"/>
                <w:color w:val="auto"/>
                <w:kern w:val="0"/>
                <w:szCs w:val="21"/>
              </w:rPr>
              <w:t>邮政编码</w:t>
            </w:r>
          </w:p>
        </w:tc>
        <w:tc>
          <w:tcPr>
            <w:tcW w:w="2276" w:type="dxa"/>
            <w:gridSpan w:val="3"/>
            <w:tcBorders>
              <w:top w:val="single" w:color="auto" w:sz="8" w:space="0"/>
              <w:left w:val="single" w:color="auto" w:sz="8" w:space="0"/>
              <w:bottom w:val="single" w:color="auto" w:sz="8" w:space="0"/>
              <w:right w:val="single" w:color="auto" w:sz="8" w:space="0"/>
            </w:tcBorders>
            <w:vAlign w:val="center"/>
          </w:tcPr>
          <w:p w14:paraId="5DB1B431">
            <w:pPr>
              <w:adjustRightInd w:val="0"/>
              <w:snapToGrid w:val="0"/>
              <w:jc w:val="center"/>
              <w:rPr>
                <w:rFonts w:hint="eastAsia" w:ascii="宋体" w:hAnsi="宋体" w:cs="宋体"/>
                <w:color w:val="auto"/>
                <w:szCs w:val="21"/>
              </w:rPr>
            </w:pPr>
          </w:p>
        </w:tc>
      </w:tr>
      <w:tr w14:paraId="46841EA5">
        <w:tblPrEx>
          <w:tblCellMar>
            <w:top w:w="0" w:type="dxa"/>
            <w:left w:w="0" w:type="dxa"/>
            <w:bottom w:w="0" w:type="dxa"/>
            <w:right w:w="0" w:type="dxa"/>
          </w:tblCellMar>
        </w:tblPrEx>
        <w:trPr>
          <w:cantSplit/>
          <w:trHeight w:val="540" w:hRule="exact"/>
          <w:jc w:val="center"/>
        </w:trPr>
        <w:tc>
          <w:tcPr>
            <w:tcW w:w="1885" w:type="dxa"/>
            <w:vMerge w:val="restart"/>
            <w:tcBorders>
              <w:top w:val="single" w:color="auto" w:sz="8" w:space="0"/>
              <w:left w:val="single" w:color="auto" w:sz="8" w:space="0"/>
              <w:bottom w:val="nil"/>
              <w:right w:val="single" w:color="auto" w:sz="8" w:space="0"/>
            </w:tcBorders>
            <w:vAlign w:val="center"/>
          </w:tcPr>
          <w:p w14:paraId="30B61BE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联系方式</w:t>
            </w:r>
          </w:p>
        </w:tc>
        <w:tc>
          <w:tcPr>
            <w:tcW w:w="1102" w:type="dxa"/>
            <w:tcBorders>
              <w:top w:val="single" w:color="auto" w:sz="8" w:space="0"/>
              <w:left w:val="single" w:color="auto" w:sz="8" w:space="0"/>
              <w:bottom w:val="single" w:color="auto" w:sz="8" w:space="0"/>
              <w:right w:val="single" w:color="auto" w:sz="8" w:space="0"/>
            </w:tcBorders>
            <w:vAlign w:val="center"/>
          </w:tcPr>
          <w:p w14:paraId="467CA78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联系人</w:t>
            </w:r>
          </w:p>
        </w:tc>
        <w:tc>
          <w:tcPr>
            <w:tcW w:w="2691" w:type="dxa"/>
            <w:gridSpan w:val="4"/>
            <w:tcBorders>
              <w:top w:val="single" w:color="auto" w:sz="8" w:space="0"/>
              <w:left w:val="single" w:color="auto" w:sz="8" w:space="0"/>
              <w:bottom w:val="single" w:color="auto" w:sz="8" w:space="0"/>
              <w:right w:val="single" w:color="auto" w:sz="8" w:space="0"/>
            </w:tcBorders>
            <w:vAlign w:val="center"/>
          </w:tcPr>
          <w:p w14:paraId="43C64377">
            <w:pPr>
              <w:adjustRightInd w:val="0"/>
              <w:snapToGrid w:val="0"/>
              <w:jc w:val="center"/>
              <w:rPr>
                <w:rFonts w:hint="eastAsia" w:ascii="宋体" w:hAnsi="宋体" w:cs="宋体"/>
                <w:color w:val="auto"/>
                <w:szCs w:val="21"/>
              </w:rPr>
            </w:pPr>
          </w:p>
        </w:tc>
        <w:tc>
          <w:tcPr>
            <w:tcW w:w="1265" w:type="dxa"/>
            <w:tcBorders>
              <w:top w:val="single" w:color="auto" w:sz="8" w:space="0"/>
              <w:left w:val="single" w:color="auto" w:sz="8" w:space="0"/>
              <w:bottom w:val="single" w:color="auto" w:sz="8" w:space="0"/>
              <w:right w:val="single" w:color="auto" w:sz="8" w:space="0"/>
            </w:tcBorders>
            <w:vAlign w:val="center"/>
          </w:tcPr>
          <w:p w14:paraId="227768DC">
            <w:pPr>
              <w:adjustRightInd w:val="0"/>
              <w:snapToGrid w:val="0"/>
              <w:jc w:val="center"/>
              <w:rPr>
                <w:rFonts w:hint="eastAsia" w:ascii="宋体" w:hAnsi="宋体" w:cs="宋体"/>
                <w:color w:val="auto"/>
                <w:szCs w:val="21"/>
              </w:rPr>
            </w:pPr>
            <w:r>
              <w:rPr>
                <w:rFonts w:hint="eastAsia" w:ascii="宋体" w:hAnsi="宋体" w:cs="宋体"/>
                <w:color w:val="auto"/>
                <w:kern w:val="0"/>
                <w:szCs w:val="21"/>
              </w:rPr>
              <w:t>电话</w:t>
            </w:r>
          </w:p>
        </w:tc>
        <w:tc>
          <w:tcPr>
            <w:tcW w:w="2276" w:type="dxa"/>
            <w:gridSpan w:val="3"/>
            <w:tcBorders>
              <w:top w:val="single" w:color="auto" w:sz="8" w:space="0"/>
              <w:left w:val="single" w:color="auto" w:sz="8" w:space="0"/>
              <w:bottom w:val="single" w:color="auto" w:sz="8" w:space="0"/>
              <w:right w:val="single" w:color="auto" w:sz="8" w:space="0"/>
            </w:tcBorders>
            <w:vAlign w:val="center"/>
          </w:tcPr>
          <w:p w14:paraId="46110342">
            <w:pPr>
              <w:adjustRightInd w:val="0"/>
              <w:snapToGrid w:val="0"/>
              <w:jc w:val="center"/>
              <w:rPr>
                <w:rFonts w:hint="eastAsia" w:ascii="宋体" w:hAnsi="宋体" w:cs="宋体"/>
                <w:color w:val="auto"/>
                <w:szCs w:val="21"/>
              </w:rPr>
            </w:pPr>
          </w:p>
        </w:tc>
      </w:tr>
      <w:tr w14:paraId="1674ED8E">
        <w:tblPrEx>
          <w:tblCellMar>
            <w:top w:w="0" w:type="dxa"/>
            <w:left w:w="0" w:type="dxa"/>
            <w:bottom w:w="0" w:type="dxa"/>
            <w:right w:w="0" w:type="dxa"/>
          </w:tblCellMar>
        </w:tblPrEx>
        <w:trPr>
          <w:cantSplit/>
          <w:trHeight w:val="520" w:hRule="exact"/>
          <w:jc w:val="center"/>
        </w:trPr>
        <w:tc>
          <w:tcPr>
            <w:tcW w:w="1885" w:type="dxa"/>
            <w:vMerge w:val="continue"/>
            <w:tcBorders>
              <w:top w:val="nil"/>
              <w:left w:val="single" w:color="auto" w:sz="8" w:space="0"/>
              <w:bottom w:val="single" w:color="auto" w:sz="8" w:space="0"/>
              <w:right w:val="single" w:color="auto" w:sz="8" w:space="0"/>
            </w:tcBorders>
            <w:vAlign w:val="center"/>
          </w:tcPr>
          <w:p w14:paraId="03A453FB">
            <w:pPr>
              <w:adjustRightInd w:val="0"/>
              <w:snapToGrid w:val="0"/>
              <w:jc w:val="center"/>
              <w:rPr>
                <w:rFonts w:hint="eastAsia" w:ascii="宋体" w:hAnsi="宋体" w:cs="宋体"/>
                <w:color w:val="auto"/>
                <w:kern w:val="0"/>
                <w:szCs w:val="21"/>
              </w:rPr>
            </w:pPr>
          </w:p>
        </w:tc>
        <w:tc>
          <w:tcPr>
            <w:tcW w:w="1102" w:type="dxa"/>
            <w:tcBorders>
              <w:top w:val="single" w:color="auto" w:sz="8" w:space="0"/>
              <w:left w:val="single" w:color="auto" w:sz="8" w:space="0"/>
              <w:bottom w:val="single" w:color="auto" w:sz="8" w:space="0"/>
              <w:right w:val="single" w:color="auto" w:sz="8" w:space="0"/>
            </w:tcBorders>
            <w:vAlign w:val="center"/>
          </w:tcPr>
          <w:p w14:paraId="76A8A4F4">
            <w:pPr>
              <w:adjustRightInd w:val="0"/>
              <w:snapToGrid w:val="0"/>
              <w:jc w:val="center"/>
              <w:rPr>
                <w:rFonts w:hint="eastAsia" w:ascii="宋体" w:hAnsi="宋体" w:cs="宋体"/>
                <w:color w:val="auto"/>
                <w:szCs w:val="21"/>
              </w:rPr>
            </w:pPr>
            <w:r>
              <w:rPr>
                <w:rFonts w:hint="eastAsia" w:ascii="宋体" w:hAnsi="宋体" w:cs="宋体"/>
                <w:color w:val="auto"/>
                <w:kern w:val="0"/>
                <w:szCs w:val="21"/>
              </w:rPr>
              <w:t>传真</w:t>
            </w:r>
          </w:p>
        </w:tc>
        <w:tc>
          <w:tcPr>
            <w:tcW w:w="2691" w:type="dxa"/>
            <w:gridSpan w:val="4"/>
            <w:tcBorders>
              <w:top w:val="single" w:color="auto" w:sz="8" w:space="0"/>
              <w:left w:val="single" w:color="auto" w:sz="8" w:space="0"/>
              <w:bottom w:val="single" w:color="auto" w:sz="8" w:space="0"/>
              <w:right w:val="single" w:color="auto" w:sz="8" w:space="0"/>
            </w:tcBorders>
            <w:vAlign w:val="center"/>
          </w:tcPr>
          <w:p w14:paraId="22BB496C">
            <w:pPr>
              <w:adjustRightInd w:val="0"/>
              <w:snapToGrid w:val="0"/>
              <w:jc w:val="center"/>
              <w:rPr>
                <w:rFonts w:hint="eastAsia" w:ascii="宋体" w:hAnsi="宋体" w:cs="宋体"/>
                <w:color w:val="auto"/>
                <w:szCs w:val="21"/>
              </w:rPr>
            </w:pPr>
          </w:p>
        </w:tc>
        <w:tc>
          <w:tcPr>
            <w:tcW w:w="1265" w:type="dxa"/>
            <w:tcBorders>
              <w:top w:val="single" w:color="auto" w:sz="8" w:space="0"/>
              <w:left w:val="single" w:color="auto" w:sz="8" w:space="0"/>
              <w:bottom w:val="single" w:color="auto" w:sz="8" w:space="0"/>
              <w:right w:val="single" w:color="auto" w:sz="8" w:space="0"/>
            </w:tcBorders>
            <w:vAlign w:val="center"/>
          </w:tcPr>
          <w:p w14:paraId="1394B7A9">
            <w:pPr>
              <w:adjustRightInd w:val="0"/>
              <w:snapToGrid w:val="0"/>
              <w:jc w:val="center"/>
              <w:rPr>
                <w:rFonts w:hint="eastAsia" w:ascii="宋体" w:hAnsi="宋体" w:cs="宋体"/>
                <w:color w:val="auto"/>
                <w:szCs w:val="21"/>
              </w:rPr>
            </w:pPr>
            <w:r>
              <w:rPr>
                <w:rFonts w:hint="eastAsia" w:ascii="宋体" w:hAnsi="宋体" w:cs="宋体"/>
                <w:color w:val="auto"/>
                <w:kern w:val="0"/>
                <w:szCs w:val="21"/>
              </w:rPr>
              <w:t>电子邮件</w:t>
            </w:r>
          </w:p>
        </w:tc>
        <w:tc>
          <w:tcPr>
            <w:tcW w:w="2276" w:type="dxa"/>
            <w:gridSpan w:val="3"/>
            <w:tcBorders>
              <w:top w:val="single" w:color="auto" w:sz="8" w:space="0"/>
              <w:left w:val="single" w:color="auto" w:sz="8" w:space="0"/>
              <w:bottom w:val="single" w:color="auto" w:sz="8" w:space="0"/>
              <w:right w:val="single" w:color="auto" w:sz="8" w:space="0"/>
            </w:tcBorders>
            <w:vAlign w:val="center"/>
          </w:tcPr>
          <w:p w14:paraId="510DB4BC">
            <w:pPr>
              <w:adjustRightInd w:val="0"/>
              <w:snapToGrid w:val="0"/>
              <w:jc w:val="center"/>
              <w:rPr>
                <w:rFonts w:hint="eastAsia" w:ascii="宋体" w:hAnsi="宋体" w:cs="宋体"/>
                <w:color w:val="auto"/>
                <w:szCs w:val="21"/>
              </w:rPr>
            </w:pPr>
          </w:p>
        </w:tc>
      </w:tr>
      <w:tr w14:paraId="76A50B51">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42DE4C43">
            <w:pPr>
              <w:adjustRightInd w:val="0"/>
              <w:snapToGrid w:val="0"/>
              <w:jc w:val="center"/>
              <w:rPr>
                <w:rFonts w:hint="eastAsia" w:ascii="宋体" w:hAnsi="宋体" w:cs="宋体"/>
                <w:color w:val="auto"/>
                <w:szCs w:val="21"/>
              </w:rPr>
            </w:pPr>
            <w:r>
              <w:rPr>
                <w:rFonts w:hint="eastAsia" w:ascii="宋体" w:hAnsi="宋体" w:cs="宋体"/>
                <w:color w:val="auto"/>
                <w:kern w:val="0"/>
                <w:szCs w:val="21"/>
              </w:rPr>
              <w:t>法定代表人</w:t>
            </w:r>
          </w:p>
        </w:tc>
        <w:tc>
          <w:tcPr>
            <w:tcW w:w="1102" w:type="dxa"/>
            <w:tcBorders>
              <w:top w:val="single" w:color="auto" w:sz="8" w:space="0"/>
              <w:left w:val="single" w:color="auto" w:sz="8" w:space="0"/>
              <w:bottom w:val="single" w:color="auto" w:sz="8" w:space="0"/>
              <w:right w:val="single" w:color="auto" w:sz="8" w:space="0"/>
            </w:tcBorders>
            <w:vAlign w:val="center"/>
          </w:tcPr>
          <w:p w14:paraId="3E02083C">
            <w:pPr>
              <w:adjustRightInd w:val="0"/>
              <w:snapToGrid w:val="0"/>
              <w:jc w:val="center"/>
              <w:rPr>
                <w:rFonts w:hint="eastAsia" w:ascii="宋体" w:hAnsi="宋体" w:cs="宋体"/>
                <w:color w:val="auto"/>
                <w:szCs w:val="21"/>
              </w:rPr>
            </w:pPr>
            <w:r>
              <w:rPr>
                <w:rFonts w:hint="eastAsia" w:ascii="宋体" w:hAnsi="宋体" w:cs="宋体"/>
                <w:color w:val="auto"/>
                <w:kern w:val="0"/>
                <w:szCs w:val="21"/>
              </w:rPr>
              <w:t>姓名</w:t>
            </w:r>
          </w:p>
        </w:tc>
        <w:tc>
          <w:tcPr>
            <w:tcW w:w="1214" w:type="dxa"/>
            <w:tcBorders>
              <w:top w:val="single" w:color="auto" w:sz="8" w:space="0"/>
              <w:left w:val="single" w:color="auto" w:sz="8" w:space="0"/>
              <w:bottom w:val="single" w:color="auto" w:sz="8" w:space="0"/>
              <w:right w:val="single" w:color="auto" w:sz="8" w:space="0"/>
            </w:tcBorders>
            <w:vAlign w:val="center"/>
          </w:tcPr>
          <w:p w14:paraId="47971C56">
            <w:pPr>
              <w:adjustRightInd w:val="0"/>
              <w:snapToGrid w:val="0"/>
              <w:jc w:val="center"/>
              <w:rPr>
                <w:rFonts w:hint="eastAsia" w:ascii="宋体" w:hAnsi="宋体" w:cs="宋体"/>
                <w:color w:val="auto"/>
                <w:szCs w:val="21"/>
              </w:rPr>
            </w:pPr>
          </w:p>
        </w:tc>
        <w:tc>
          <w:tcPr>
            <w:tcW w:w="1265" w:type="dxa"/>
            <w:gridSpan w:val="2"/>
            <w:tcBorders>
              <w:top w:val="single" w:color="auto" w:sz="8" w:space="0"/>
              <w:left w:val="single" w:color="auto" w:sz="8" w:space="0"/>
              <w:bottom w:val="single" w:color="auto" w:sz="8" w:space="0"/>
              <w:right w:val="single" w:color="auto" w:sz="8" w:space="0"/>
            </w:tcBorders>
            <w:vAlign w:val="center"/>
          </w:tcPr>
          <w:p w14:paraId="47C964C6">
            <w:pPr>
              <w:adjustRightInd w:val="0"/>
              <w:snapToGrid w:val="0"/>
              <w:jc w:val="center"/>
              <w:rPr>
                <w:rFonts w:hint="eastAsia" w:ascii="宋体" w:hAnsi="宋体" w:cs="宋体"/>
                <w:color w:val="auto"/>
                <w:szCs w:val="21"/>
              </w:rPr>
            </w:pPr>
            <w:r>
              <w:rPr>
                <w:rFonts w:hint="eastAsia" w:ascii="宋体" w:hAnsi="宋体" w:cs="宋体"/>
                <w:color w:val="auto"/>
                <w:kern w:val="0"/>
                <w:szCs w:val="21"/>
              </w:rPr>
              <w:t>技术职称</w:t>
            </w:r>
          </w:p>
        </w:tc>
        <w:tc>
          <w:tcPr>
            <w:tcW w:w="1681" w:type="dxa"/>
            <w:gridSpan w:val="3"/>
            <w:tcBorders>
              <w:top w:val="single" w:color="auto" w:sz="8" w:space="0"/>
              <w:left w:val="single" w:color="auto" w:sz="8" w:space="0"/>
              <w:bottom w:val="single" w:color="auto" w:sz="8" w:space="0"/>
              <w:right w:val="single" w:color="auto" w:sz="8" w:space="0"/>
            </w:tcBorders>
            <w:vAlign w:val="center"/>
          </w:tcPr>
          <w:p w14:paraId="30EF4B55">
            <w:pPr>
              <w:adjustRightInd w:val="0"/>
              <w:snapToGrid w:val="0"/>
              <w:jc w:val="center"/>
              <w:rPr>
                <w:rFonts w:hint="eastAsia" w:ascii="宋体" w:hAnsi="宋体" w:cs="宋体"/>
                <w:color w:val="auto"/>
                <w:szCs w:val="21"/>
              </w:rPr>
            </w:pPr>
          </w:p>
        </w:tc>
        <w:tc>
          <w:tcPr>
            <w:tcW w:w="840" w:type="dxa"/>
            <w:tcBorders>
              <w:top w:val="single" w:color="auto" w:sz="8" w:space="0"/>
              <w:left w:val="single" w:color="auto" w:sz="8" w:space="0"/>
              <w:bottom w:val="single" w:color="auto" w:sz="8" w:space="0"/>
              <w:right w:val="single" w:color="auto" w:sz="8" w:space="0"/>
            </w:tcBorders>
            <w:vAlign w:val="center"/>
          </w:tcPr>
          <w:p w14:paraId="206D1E85">
            <w:pPr>
              <w:adjustRightInd w:val="0"/>
              <w:snapToGrid w:val="0"/>
              <w:jc w:val="center"/>
              <w:rPr>
                <w:rFonts w:hint="eastAsia" w:ascii="宋体" w:hAnsi="宋体" w:cs="宋体"/>
                <w:color w:val="auto"/>
                <w:szCs w:val="21"/>
              </w:rPr>
            </w:pPr>
            <w:r>
              <w:rPr>
                <w:rFonts w:hint="eastAsia" w:ascii="宋体" w:hAnsi="宋体" w:cs="宋体"/>
                <w:color w:val="auto"/>
                <w:kern w:val="0"/>
                <w:szCs w:val="21"/>
              </w:rPr>
              <w:t>电话</w:t>
            </w:r>
          </w:p>
        </w:tc>
        <w:tc>
          <w:tcPr>
            <w:tcW w:w="1232" w:type="dxa"/>
            <w:tcBorders>
              <w:top w:val="single" w:color="auto" w:sz="8" w:space="0"/>
              <w:left w:val="single" w:color="auto" w:sz="8" w:space="0"/>
              <w:bottom w:val="single" w:color="auto" w:sz="8" w:space="0"/>
              <w:right w:val="single" w:color="auto" w:sz="8" w:space="0"/>
            </w:tcBorders>
            <w:vAlign w:val="center"/>
          </w:tcPr>
          <w:p w14:paraId="67F7145C">
            <w:pPr>
              <w:adjustRightInd w:val="0"/>
              <w:snapToGrid w:val="0"/>
              <w:jc w:val="center"/>
              <w:rPr>
                <w:rFonts w:hint="eastAsia" w:ascii="宋体" w:hAnsi="宋体" w:cs="宋体"/>
                <w:color w:val="auto"/>
                <w:szCs w:val="21"/>
              </w:rPr>
            </w:pPr>
          </w:p>
        </w:tc>
      </w:tr>
      <w:tr w14:paraId="7DEA1AC7">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53A57010">
            <w:pPr>
              <w:adjustRightInd w:val="0"/>
              <w:snapToGrid w:val="0"/>
              <w:jc w:val="center"/>
              <w:rPr>
                <w:rFonts w:hint="eastAsia" w:ascii="宋体" w:hAnsi="宋体" w:cs="宋体"/>
                <w:color w:val="auto"/>
                <w:szCs w:val="21"/>
              </w:rPr>
            </w:pPr>
            <w:r>
              <w:rPr>
                <w:rFonts w:hint="eastAsia" w:ascii="宋体" w:hAnsi="宋体" w:cs="宋体"/>
                <w:color w:val="auto"/>
                <w:kern w:val="0"/>
                <w:szCs w:val="21"/>
              </w:rPr>
              <w:t>技术负责人</w:t>
            </w:r>
          </w:p>
        </w:tc>
        <w:tc>
          <w:tcPr>
            <w:tcW w:w="1102" w:type="dxa"/>
            <w:tcBorders>
              <w:top w:val="single" w:color="auto" w:sz="8" w:space="0"/>
              <w:left w:val="single" w:color="auto" w:sz="8" w:space="0"/>
              <w:bottom w:val="single" w:color="auto" w:sz="8" w:space="0"/>
              <w:right w:val="single" w:color="auto" w:sz="8" w:space="0"/>
            </w:tcBorders>
            <w:vAlign w:val="center"/>
          </w:tcPr>
          <w:p w14:paraId="42763899">
            <w:pPr>
              <w:adjustRightInd w:val="0"/>
              <w:snapToGrid w:val="0"/>
              <w:jc w:val="center"/>
              <w:rPr>
                <w:rFonts w:hint="eastAsia" w:ascii="宋体" w:hAnsi="宋体" w:cs="宋体"/>
                <w:color w:val="auto"/>
                <w:szCs w:val="21"/>
              </w:rPr>
            </w:pPr>
            <w:r>
              <w:rPr>
                <w:rFonts w:hint="eastAsia" w:ascii="宋体" w:hAnsi="宋体" w:cs="宋体"/>
                <w:color w:val="auto"/>
                <w:kern w:val="0"/>
                <w:szCs w:val="21"/>
              </w:rPr>
              <w:t>姓名</w:t>
            </w:r>
          </w:p>
        </w:tc>
        <w:tc>
          <w:tcPr>
            <w:tcW w:w="1214" w:type="dxa"/>
            <w:tcBorders>
              <w:top w:val="single" w:color="auto" w:sz="8" w:space="0"/>
              <w:left w:val="single" w:color="auto" w:sz="8" w:space="0"/>
              <w:bottom w:val="single" w:color="auto" w:sz="8" w:space="0"/>
              <w:right w:val="single" w:color="auto" w:sz="8" w:space="0"/>
            </w:tcBorders>
            <w:vAlign w:val="center"/>
          </w:tcPr>
          <w:p w14:paraId="42788DC5">
            <w:pPr>
              <w:adjustRightInd w:val="0"/>
              <w:snapToGrid w:val="0"/>
              <w:jc w:val="center"/>
              <w:rPr>
                <w:rFonts w:hint="eastAsia" w:ascii="宋体" w:hAnsi="宋体" w:cs="宋体"/>
                <w:color w:val="auto"/>
                <w:szCs w:val="21"/>
              </w:rPr>
            </w:pPr>
          </w:p>
        </w:tc>
        <w:tc>
          <w:tcPr>
            <w:tcW w:w="1265" w:type="dxa"/>
            <w:gridSpan w:val="2"/>
            <w:tcBorders>
              <w:top w:val="single" w:color="auto" w:sz="8" w:space="0"/>
              <w:left w:val="single" w:color="auto" w:sz="8" w:space="0"/>
              <w:bottom w:val="single" w:color="auto" w:sz="8" w:space="0"/>
              <w:right w:val="single" w:color="auto" w:sz="8" w:space="0"/>
            </w:tcBorders>
            <w:vAlign w:val="center"/>
          </w:tcPr>
          <w:p w14:paraId="4377E41E">
            <w:pPr>
              <w:adjustRightInd w:val="0"/>
              <w:snapToGrid w:val="0"/>
              <w:jc w:val="center"/>
              <w:rPr>
                <w:rFonts w:hint="eastAsia" w:ascii="宋体" w:hAnsi="宋体" w:cs="宋体"/>
                <w:color w:val="auto"/>
                <w:szCs w:val="21"/>
              </w:rPr>
            </w:pPr>
            <w:r>
              <w:rPr>
                <w:rFonts w:hint="eastAsia" w:ascii="宋体" w:hAnsi="宋体" w:cs="宋体"/>
                <w:color w:val="auto"/>
                <w:kern w:val="0"/>
                <w:szCs w:val="21"/>
              </w:rPr>
              <w:t>技术职称</w:t>
            </w:r>
          </w:p>
        </w:tc>
        <w:tc>
          <w:tcPr>
            <w:tcW w:w="1681" w:type="dxa"/>
            <w:gridSpan w:val="3"/>
            <w:tcBorders>
              <w:top w:val="single" w:color="auto" w:sz="8" w:space="0"/>
              <w:left w:val="single" w:color="auto" w:sz="8" w:space="0"/>
              <w:bottom w:val="single" w:color="auto" w:sz="8" w:space="0"/>
              <w:right w:val="single" w:color="auto" w:sz="8" w:space="0"/>
            </w:tcBorders>
            <w:vAlign w:val="center"/>
          </w:tcPr>
          <w:p w14:paraId="0E56D440">
            <w:pPr>
              <w:adjustRightInd w:val="0"/>
              <w:snapToGrid w:val="0"/>
              <w:jc w:val="center"/>
              <w:rPr>
                <w:rFonts w:hint="eastAsia" w:ascii="宋体" w:hAnsi="宋体" w:cs="宋体"/>
                <w:color w:val="auto"/>
                <w:szCs w:val="21"/>
              </w:rPr>
            </w:pPr>
          </w:p>
        </w:tc>
        <w:tc>
          <w:tcPr>
            <w:tcW w:w="840" w:type="dxa"/>
            <w:tcBorders>
              <w:top w:val="single" w:color="auto" w:sz="8" w:space="0"/>
              <w:left w:val="single" w:color="auto" w:sz="8" w:space="0"/>
              <w:bottom w:val="single" w:color="auto" w:sz="8" w:space="0"/>
              <w:right w:val="single" w:color="auto" w:sz="8" w:space="0"/>
            </w:tcBorders>
            <w:vAlign w:val="center"/>
          </w:tcPr>
          <w:p w14:paraId="3413D535">
            <w:pPr>
              <w:adjustRightInd w:val="0"/>
              <w:snapToGrid w:val="0"/>
              <w:jc w:val="center"/>
              <w:rPr>
                <w:rFonts w:hint="eastAsia" w:ascii="宋体" w:hAnsi="宋体" w:cs="宋体"/>
                <w:color w:val="auto"/>
                <w:szCs w:val="21"/>
              </w:rPr>
            </w:pPr>
            <w:r>
              <w:rPr>
                <w:rFonts w:hint="eastAsia" w:ascii="宋体" w:hAnsi="宋体" w:cs="宋体"/>
                <w:color w:val="auto"/>
                <w:kern w:val="0"/>
                <w:szCs w:val="21"/>
              </w:rPr>
              <w:t>电话</w:t>
            </w:r>
          </w:p>
        </w:tc>
        <w:tc>
          <w:tcPr>
            <w:tcW w:w="1232" w:type="dxa"/>
            <w:tcBorders>
              <w:top w:val="single" w:color="auto" w:sz="8" w:space="0"/>
              <w:left w:val="single" w:color="auto" w:sz="8" w:space="0"/>
              <w:bottom w:val="single" w:color="auto" w:sz="8" w:space="0"/>
              <w:right w:val="single" w:color="auto" w:sz="8" w:space="0"/>
            </w:tcBorders>
            <w:vAlign w:val="center"/>
          </w:tcPr>
          <w:p w14:paraId="1F08AE8A">
            <w:pPr>
              <w:adjustRightInd w:val="0"/>
              <w:snapToGrid w:val="0"/>
              <w:jc w:val="center"/>
              <w:rPr>
                <w:rFonts w:hint="eastAsia" w:ascii="宋体" w:hAnsi="宋体" w:cs="宋体"/>
                <w:color w:val="auto"/>
                <w:szCs w:val="21"/>
              </w:rPr>
            </w:pPr>
          </w:p>
        </w:tc>
      </w:tr>
      <w:tr w14:paraId="4C56D7AB">
        <w:tblPrEx>
          <w:tblCellMar>
            <w:top w:w="0" w:type="dxa"/>
            <w:left w:w="0" w:type="dxa"/>
            <w:bottom w:w="0" w:type="dxa"/>
            <w:right w:w="0" w:type="dxa"/>
          </w:tblCellMar>
        </w:tblPrEx>
        <w:trPr>
          <w:trHeight w:val="54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49BBDA78">
            <w:pPr>
              <w:adjustRightInd w:val="0"/>
              <w:snapToGrid w:val="0"/>
              <w:jc w:val="center"/>
              <w:rPr>
                <w:rFonts w:hint="eastAsia" w:ascii="宋体" w:hAnsi="宋体" w:cs="宋体"/>
                <w:color w:val="auto"/>
                <w:szCs w:val="21"/>
              </w:rPr>
            </w:pPr>
            <w:r>
              <w:rPr>
                <w:rFonts w:hint="eastAsia" w:ascii="宋体" w:hAnsi="宋体" w:cs="宋体"/>
                <w:color w:val="auto"/>
                <w:kern w:val="0"/>
                <w:szCs w:val="21"/>
              </w:rPr>
              <w:t>成立时间</w:t>
            </w:r>
          </w:p>
        </w:tc>
        <w:tc>
          <w:tcPr>
            <w:tcW w:w="2316" w:type="dxa"/>
            <w:gridSpan w:val="2"/>
            <w:tcBorders>
              <w:top w:val="single" w:color="auto" w:sz="8" w:space="0"/>
              <w:left w:val="single" w:color="auto" w:sz="8" w:space="0"/>
              <w:bottom w:val="single" w:color="auto" w:sz="8" w:space="0"/>
              <w:right w:val="single" w:color="auto" w:sz="8" w:space="0"/>
            </w:tcBorders>
            <w:vAlign w:val="center"/>
          </w:tcPr>
          <w:p w14:paraId="31941A3A">
            <w:pPr>
              <w:adjustRightInd w:val="0"/>
              <w:snapToGrid w:val="0"/>
              <w:jc w:val="center"/>
              <w:rPr>
                <w:rFonts w:hint="eastAsia" w:ascii="宋体" w:hAnsi="宋体" w:cs="宋体"/>
                <w:color w:val="auto"/>
                <w:szCs w:val="21"/>
              </w:rPr>
            </w:pPr>
          </w:p>
        </w:tc>
        <w:tc>
          <w:tcPr>
            <w:tcW w:w="5018" w:type="dxa"/>
            <w:gridSpan w:val="7"/>
            <w:tcBorders>
              <w:top w:val="single" w:color="auto" w:sz="8" w:space="0"/>
              <w:left w:val="single" w:color="auto" w:sz="8" w:space="0"/>
              <w:bottom w:val="single" w:color="auto" w:sz="8" w:space="0"/>
              <w:right w:val="single" w:color="auto" w:sz="8" w:space="0"/>
            </w:tcBorders>
            <w:vAlign w:val="center"/>
          </w:tcPr>
          <w:p w14:paraId="1EC458BF">
            <w:pPr>
              <w:adjustRightInd w:val="0"/>
              <w:snapToGrid w:val="0"/>
              <w:jc w:val="center"/>
              <w:rPr>
                <w:rFonts w:hint="eastAsia" w:ascii="宋体" w:hAnsi="宋体" w:cs="宋体"/>
                <w:color w:val="auto"/>
                <w:szCs w:val="21"/>
              </w:rPr>
            </w:pPr>
            <w:r>
              <w:rPr>
                <w:rFonts w:hint="eastAsia" w:ascii="宋体" w:hAnsi="宋体" w:cs="宋体"/>
                <w:color w:val="auto"/>
                <w:kern w:val="0"/>
                <w:szCs w:val="21"/>
              </w:rPr>
              <w:t>员工总人数：</w:t>
            </w:r>
          </w:p>
        </w:tc>
      </w:tr>
      <w:tr w14:paraId="4F19D77B">
        <w:tblPrEx>
          <w:tblCellMar>
            <w:top w:w="0" w:type="dxa"/>
            <w:left w:w="0" w:type="dxa"/>
            <w:bottom w:w="0" w:type="dxa"/>
            <w:right w:w="0" w:type="dxa"/>
          </w:tblCellMar>
        </w:tblPrEx>
        <w:trPr>
          <w:trHeight w:val="50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13D53559">
            <w:pPr>
              <w:adjustRightInd w:val="0"/>
              <w:snapToGrid w:val="0"/>
              <w:jc w:val="center"/>
              <w:rPr>
                <w:rFonts w:hint="eastAsia" w:ascii="宋体" w:hAnsi="宋体" w:cs="宋体"/>
                <w:color w:val="auto"/>
                <w:szCs w:val="21"/>
              </w:rPr>
            </w:pPr>
            <w:r>
              <w:rPr>
                <w:rFonts w:hint="eastAsia" w:ascii="宋体" w:hAnsi="宋体" w:cs="宋体"/>
                <w:color w:val="auto"/>
                <w:kern w:val="0"/>
                <w:szCs w:val="21"/>
              </w:rPr>
              <w:t>企业资质等级</w:t>
            </w:r>
          </w:p>
        </w:tc>
        <w:tc>
          <w:tcPr>
            <w:tcW w:w="2316" w:type="dxa"/>
            <w:gridSpan w:val="2"/>
            <w:tcBorders>
              <w:top w:val="single" w:color="auto" w:sz="8" w:space="0"/>
              <w:left w:val="single" w:color="auto" w:sz="8" w:space="0"/>
              <w:bottom w:val="single" w:color="auto" w:sz="8" w:space="0"/>
              <w:right w:val="single" w:color="auto" w:sz="8" w:space="0"/>
            </w:tcBorders>
            <w:vAlign w:val="center"/>
          </w:tcPr>
          <w:p w14:paraId="4288BB3A">
            <w:pPr>
              <w:adjustRightInd w:val="0"/>
              <w:snapToGrid w:val="0"/>
              <w:jc w:val="center"/>
              <w:rPr>
                <w:rFonts w:hint="eastAsia" w:ascii="宋体" w:hAnsi="宋体" w:cs="宋体"/>
                <w:color w:val="auto"/>
                <w:szCs w:val="21"/>
              </w:rPr>
            </w:pPr>
          </w:p>
        </w:tc>
        <w:tc>
          <w:tcPr>
            <w:tcW w:w="840" w:type="dxa"/>
            <w:vMerge w:val="restart"/>
            <w:tcBorders>
              <w:top w:val="single" w:color="auto" w:sz="8" w:space="0"/>
              <w:left w:val="single" w:color="auto" w:sz="8" w:space="0"/>
              <w:right w:val="single" w:color="auto" w:sz="8" w:space="0"/>
            </w:tcBorders>
            <w:vAlign w:val="center"/>
          </w:tcPr>
          <w:p w14:paraId="5872D29F">
            <w:pPr>
              <w:adjustRightInd w:val="0"/>
              <w:snapToGrid w:val="0"/>
              <w:jc w:val="center"/>
              <w:rPr>
                <w:rFonts w:hint="eastAsia" w:ascii="宋体" w:hAnsi="宋体" w:cs="宋体"/>
                <w:color w:val="auto"/>
                <w:szCs w:val="21"/>
              </w:rPr>
            </w:pPr>
            <w:r>
              <w:rPr>
                <w:rFonts w:hint="eastAsia" w:ascii="宋体" w:hAnsi="宋体" w:cs="宋体"/>
                <w:color w:val="auto"/>
                <w:kern w:val="0"/>
                <w:szCs w:val="21"/>
              </w:rPr>
              <w:t>其中</w:t>
            </w:r>
          </w:p>
        </w:tc>
        <w:tc>
          <w:tcPr>
            <w:tcW w:w="2106" w:type="dxa"/>
            <w:gridSpan w:val="4"/>
            <w:tcBorders>
              <w:top w:val="single" w:color="auto" w:sz="8" w:space="0"/>
              <w:left w:val="single" w:color="auto" w:sz="8" w:space="0"/>
              <w:bottom w:val="single" w:color="auto" w:sz="8" w:space="0"/>
              <w:right w:val="single" w:color="auto" w:sz="8" w:space="0"/>
            </w:tcBorders>
            <w:vAlign w:val="center"/>
          </w:tcPr>
          <w:p w14:paraId="26F125AD">
            <w:pPr>
              <w:adjustRightInd w:val="0"/>
              <w:snapToGrid w:val="0"/>
              <w:jc w:val="center"/>
              <w:rPr>
                <w:rFonts w:hint="eastAsia" w:ascii="宋体" w:hAnsi="宋体" w:cs="宋体"/>
                <w:color w:val="auto"/>
                <w:szCs w:val="21"/>
              </w:rPr>
            </w:pPr>
            <w:r>
              <w:rPr>
                <w:rFonts w:hint="eastAsia" w:ascii="宋体" w:hAnsi="宋体" w:cs="宋体"/>
                <w:color w:val="auto"/>
                <w:kern w:val="0"/>
                <w:szCs w:val="21"/>
              </w:rPr>
              <w:t>项目经理</w:t>
            </w:r>
          </w:p>
        </w:tc>
        <w:tc>
          <w:tcPr>
            <w:tcW w:w="2072" w:type="dxa"/>
            <w:gridSpan w:val="2"/>
            <w:tcBorders>
              <w:top w:val="single" w:color="auto" w:sz="8" w:space="0"/>
              <w:left w:val="single" w:color="auto" w:sz="8" w:space="0"/>
              <w:bottom w:val="single" w:color="auto" w:sz="8" w:space="0"/>
              <w:right w:val="single" w:color="auto" w:sz="8" w:space="0"/>
            </w:tcBorders>
            <w:vAlign w:val="center"/>
          </w:tcPr>
          <w:p w14:paraId="3B9326AB">
            <w:pPr>
              <w:adjustRightInd w:val="0"/>
              <w:snapToGrid w:val="0"/>
              <w:jc w:val="center"/>
              <w:rPr>
                <w:rFonts w:hint="eastAsia" w:ascii="宋体" w:hAnsi="宋体" w:cs="宋体"/>
                <w:color w:val="auto"/>
                <w:szCs w:val="21"/>
              </w:rPr>
            </w:pPr>
          </w:p>
        </w:tc>
      </w:tr>
      <w:tr w14:paraId="38A94913">
        <w:tblPrEx>
          <w:tblCellMar>
            <w:top w:w="0" w:type="dxa"/>
            <w:left w:w="0" w:type="dxa"/>
            <w:bottom w:w="0" w:type="dxa"/>
            <w:right w:w="0" w:type="dxa"/>
          </w:tblCellMar>
        </w:tblPrEx>
        <w:trPr>
          <w:cantSplit/>
          <w:trHeight w:val="54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0506A240">
            <w:pPr>
              <w:adjustRightInd w:val="0"/>
              <w:snapToGrid w:val="0"/>
              <w:jc w:val="center"/>
              <w:rPr>
                <w:rFonts w:hint="eastAsia" w:ascii="宋体" w:hAnsi="宋体" w:cs="宋体"/>
                <w:color w:val="auto"/>
                <w:szCs w:val="21"/>
              </w:rPr>
            </w:pPr>
            <w:r>
              <w:rPr>
                <w:rFonts w:hint="eastAsia" w:ascii="宋体" w:hAnsi="宋体" w:cs="宋体"/>
                <w:color w:val="auto"/>
                <w:kern w:val="0"/>
                <w:szCs w:val="21"/>
              </w:rPr>
              <w:t>营业执照号</w:t>
            </w:r>
          </w:p>
        </w:tc>
        <w:tc>
          <w:tcPr>
            <w:tcW w:w="2316" w:type="dxa"/>
            <w:gridSpan w:val="2"/>
            <w:tcBorders>
              <w:top w:val="single" w:color="auto" w:sz="8" w:space="0"/>
              <w:left w:val="single" w:color="auto" w:sz="8" w:space="0"/>
              <w:bottom w:val="single" w:color="auto" w:sz="8" w:space="0"/>
              <w:right w:val="single" w:color="auto" w:sz="8" w:space="0"/>
            </w:tcBorders>
            <w:vAlign w:val="center"/>
          </w:tcPr>
          <w:p w14:paraId="58A6BD4D">
            <w:pPr>
              <w:adjustRightInd w:val="0"/>
              <w:snapToGrid w:val="0"/>
              <w:jc w:val="center"/>
              <w:rPr>
                <w:rFonts w:hint="eastAsia" w:ascii="宋体" w:hAnsi="宋体" w:cs="宋体"/>
                <w:color w:val="auto"/>
                <w:szCs w:val="21"/>
              </w:rPr>
            </w:pPr>
          </w:p>
        </w:tc>
        <w:tc>
          <w:tcPr>
            <w:tcW w:w="840" w:type="dxa"/>
            <w:vMerge w:val="continue"/>
            <w:tcBorders>
              <w:left w:val="single" w:color="auto" w:sz="8" w:space="0"/>
              <w:right w:val="single" w:color="auto" w:sz="8" w:space="0"/>
            </w:tcBorders>
            <w:vAlign w:val="center"/>
          </w:tcPr>
          <w:p w14:paraId="2D3258B4">
            <w:pPr>
              <w:adjustRightInd w:val="0"/>
              <w:snapToGrid w:val="0"/>
              <w:jc w:val="center"/>
              <w:rPr>
                <w:rFonts w:hint="eastAsia" w:ascii="宋体" w:hAnsi="宋体" w:cs="宋体"/>
                <w:color w:val="auto"/>
                <w:szCs w:val="21"/>
              </w:rPr>
            </w:pPr>
          </w:p>
        </w:tc>
        <w:tc>
          <w:tcPr>
            <w:tcW w:w="2106" w:type="dxa"/>
            <w:gridSpan w:val="4"/>
            <w:tcBorders>
              <w:top w:val="single" w:color="auto" w:sz="8" w:space="0"/>
              <w:left w:val="single" w:color="auto" w:sz="8" w:space="0"/>
              <w:bottom w:val="single" w:color="auto" w:sz="8" w:space="0"/>
              <w:right w:val="single" w:color="auto" w:sz="8" w:space="0"/>
            </w:tcBorders>
            <w:vAlign w:val="center"/>
          </w:tcPr>
          <w:p w14:paraId="795FD126">
            <w:pPr>
              <w:adjustRightInd w:val="0"/>
              <w:snapToGrid w:val="0"/>
              <w:jc w:val="center"/>
              <w:rPr>
                <w:rFonts w:hint="eastAsia" w:ascii="宋体" w:hAnsi="宋体" w:cs="宋体"/>
                <w:color w:val="auto"/>
                <w:szCs w:val="21"/>
              </w:rPr>
            </w:pPr>
            <w:r>
              <w:rPr>
                <w:rFonts w:hint="eastAsia" w:ascii="宋体" w:hAnsi="宋体" w:cs="宋体"/>
                <w:color w:val="auto"/>
                <w:kern w:val="0"/>
                <w:szCs w:val="21"/>
              </w:rPr>
              <w:t>高级职称人员</w:t>
            </w:r>
          </w:p>
        </w:tc>
        <w:tc>
          <w:tcPr>
            <w:tcW w:w="2072" w:type="dxa"/>
            <w:gridSpan w:val="2"/>
            <w:tcBorders>
              <w:top w:val="single" w:color="auto" w:sz="8" w:space="0"/>
              <w:left w:val="single" w:color="auto" w:sz="8" w:space="0"/>
              <w:bottom w:val="single" w:color="auto" w:sz="8" w:space="0"/>
              <w:right w:val="single" w:color="auto" w:sz="8" w:space="0"/>
            </w:tcBorders>
            <w:vAlign w:val="center"/>
          </w:tcPr>
          <w:p w14:paraId="358EA7E9">
            <w:pPr>
              <w:adjustRightInd w:val="0"/>
              <w:snapToGrid w:val="0"/>
              <w:jc w:val="center"/>
              <w:rPr>
                <w:rFonts w:hint="eastAsia" w:ascii="宋体" w:hAnsi="宋体" w:cs="宋体"/>
                <w:color w:val="auto"/>
                <w:szCs w:val="21"/>
              </w:rPr>
            </w:pPr>
          </w:p>
        </w:tc>
      </w:tr>
      <w:tr w14:paraId="5FA056EE">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718EFAAC">
            <w:pPr>
              <w:adjustRightInd w:val="0"/>
              <w:snapToGrid w:val="0"/>
              <w:jc w:val="center"/>
              <w:rPr>
                <w:rFonts w:hint="eastAsia" w:ascii="宋体" w:hAnsi="宋体" w:cs="宋体"/>
                <w:color w:val="auto"/>
                <w:szCs w:val="21"/>
              </w:rPr>
            </w:pPr>
            <w:r>
              <w:rPr>
                <w:rFonts w:hint="eastAsia" w:ascii="宋体" w:hAnsi="宋体" w:cs="宋体"/>
                <w:color w:val="auto"/>
                <w:kern w:val="0"/>
                <w:szCs w:val="21"/>
              </w:rPr>
              <w:t>注册资金</w:t>
            </w:r>
          </w:p>
        </w:tc>
        <w:tc>
          <w:tcPr>
            <w:tcW w:w="2316" w:type="dxa"/>
            <w:gridSpan w:val="2"/>
            <w:tcBorders>
              <w:top w:val="single" w:color="auto" w:sz="8" w:space="0"/>
              <w:left w:val="single" w:color="auto" w:sz="8" w:space="0"/>
              <w:bottom w:val="single" w:color="auto" w:sz="8" w:space="0"/>
              <w:right w:val="single" w:color="auto" w:sz="8" w:space="0"/>
            </w:tcBorders>
            <w:vAlign w:val="center"/>
          </w:tcPr>
          <w:p w14:paraId="57A44D31">
            <w:pPr>
              <w:adjustRightInd w:val="0"/>
              <w:snapToGrid w:val="0"/>
              <w:jc w:val="center"/>
              <w:rPr>
                <w:rFonts w:hint="eastAsia" w:ascii="宋体" w:hAnsi="宋体" w:cs="宋体"/>
                <w:color w:val="auto"/>
                <w:szCs w:val="21"/>
              </w:rPr>
            </w:pPr>
          </w:p>
        </w:tc>
        <w:tc>
          <w:tcPr>
            <w:tcW w:w="840" w:type="dxa"/>
            <w:vMerge w:val="continue"/>
            <w:tcBorders>
              <w:left w:val="single" w:color="auto" w:sz="8" w:space="0"/>
              <w:right w:val="single" w:color="auto" w:sz="8" w:space="0"/>
            </w:tcBorders>
            <w:vAlign w:val="center"/>
          </w:tcPr>
          <w:p w14:paraId="1F45864A">
            <w:pPr>
              <w:adjustRightInd w:val="0"/>
              <w:snapToGrid w:val="0"/>
              <w:jc w:val="center"/>
              <w:rPr>
                <w:rFonts w:hint="eastAsia" w:ascii="宋体" w:hAnsi="宋体" w:cs="宋体"/>
                <w:color w:val="auto"/>
                <w:szCs w:val="21"/>
              </w:rPr>
            </w:pPr>
          </w:p>
        </w:tc>
        <w:tc>
          <w:tcPr>
            <w:tcW w:w="2106" w:type="dxa"/>
            <w:gridSpan w:val="4"/>
            <w:tcBorders>
              <w:top w:val="single" w:color="auto" w:sz="8" w:space="0"/>
              <w:left w:val="single" w:color="auto" w:sz="8" w:space="0"/>
              <w:bottom w:val="single" w:color="auto" w:sz="8" w:space="0"/>
              <w:right w:val="single" w:color="auto" w:sz="8" w:space="0"/>
            </w:tcBorders>
            <w:vAlign w:val="center"/>
          </w:tcPr>
          <w:p w14:paraId="5B1C20F8">
            <w:pPr>
              <w:adjustRightInd w:val="0"/>
              <w:snapToGrid w:val="0"/>
              <w:jc w:val="center"/>
              <w:rPr>
                <w:rFonts w:hint="eastAsia" w:ascii="宋体" w:hAnsi="宋体" w:cs="宋体"/>
                <w:color w:val="auto"/>
                <w:szCs w:val="21"/>
              </w:rPr>
            </w:pPr>
            <w:r>
              <w:rPr>
                <w:rFonts w:hint="eastAsia" w:ascii="宋体" w:hAnsi="宋体" w:cs="宋体"/>
                <w:color w:val="auto"/>
                <w:kern w:val="0"/>
                <w:szCs w:val="21"/>
              </w:rPr>
              <w:t>中级职称人员</w:t>
            </w:r>
          </w:p>
        </w:tc>
        <w:tc>
          <w:tcPr>
            <w:tcW w:w="2072" w:type="dxa"/>
            <w:gridSpan w:val="2"/>
            <w:tcBorders>
              <w:top w:val="single" w:color="auto" w:sz="8" w:space="0"/>
              <w:left w:val="single" w:color="auto" w:sz="8" w:space="0"/>
              <w:bottom w:val="single" w:color="auto" w:sz="8" w:space="0"/>
              <w:right w:val="single" w:color="auto" w:sz="8" w:space="0"/>
            </w:tcBorders>
            <w:vAlign w:val="center"/>
          </w:tcPr>
          <w:p w14:paraId="30D0160E">
            <w:pPr>
              <w:adjustRightInd w:val="0"/>
              <w:snapToGrid w:val="0"/>
              <w:jc w:val="center"/>
              <w:rPr>
                <w:rFonts w:hint="eastAsia" w:ascii="宋体" w:hAnsi="宋体" w:cs="宋体"/>
                <w:color w:val="auto"/>
                <w:szCs w:val="21"/>
              </w:rPr>
            </w:pPr>
          </w:p>
        </w:tc>
      </w:tr>
      <w:tr w14:paraId="280B7141">
        <w:tblPrEx>
          <w:tblCellMar>
            <w:top w:w="0" w:type="dxa"/>
            <w:left w:w="0" w:type="dxa"/>
            <w:bottom w:w="0" w:type="dxa"/>
            <w:right w:w="0" w:type="dxa"/>
          </w:tblCellMar>
        </w:tblPrEx>
        <w:trPr>
          <w:cantSplit/>
          <w:trHeight w:val="782"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72CF1E4A">
            <w:pPr>
              <w:adjustRightInd w:val="0"/>
              <w:snapToGrid w:val="0"/>
              <w:jc w:val="center"/>
              <w:rPr>
                <w:rFonts w:hint="eastAsia" w:ascii="宋体" w:hAnsi="宋体" w:cs="宋体"/>
                <w:color w:val="auto"/>
                <w:szCs w:val="21"/>
              </w:rPr>
            </w:pPr>
            <w:r>
              <w:rPr>
                <w:rFonts w:hint="eastAsia" w:ascii="宋体" w:hAnsi="宋体" w:cs="宋体"/>
                <w:color w:val="auto"/>
                <w:kern w:val="0"/>
                <w:szCs w:val="21"/>
              </w:rPr>
              <w:t>基本账户开户银行</w:t>
            </w:r>
          </w:p>
        </w:tc>
        <w:tc>
          <w:tcPr>
            <w:tcW w:w="2316" w:type="dxa"/>
            <w:gridSpan w:val="2"/>
            <w:tcBorders>
              <w:top w:val="single" w:color="auto" w:sz="8" w:space="0"/>
              <w:left w:val="single" w:color="auto" w:sz="8" w:space="0"/>
              <w:bottom w:val="single" w:color="auto" w:sz="8" w:space="0"/>
              <w:right w:val="single" w:color="auto" w:sz="8" w:space="0"/>
            </w:tcBorders>
            <w:vAlign w:val="center"/>
          </w:tcPr>
          <w:p w14:paraId="5339A386">
            <w:pPr>
              <w:adjustRightInd w:val="0"/>
              <w:snapToGrid w:val="0"/>
              <w:jc w:val="center"/>
              <w:rPr>
                <w:rFonts w:hint="eastAsia" w:ascii="宋体" w:hAnsi="宋体" w:cs="宋体"/>
                <w:color w:val="auto"/>
                <w:szCs w:val="21"/>
              </w:rPr>
            </w:pPr>
          </w:p>
        </w:tc>
        <w:tc>
          <w:tcPr>
            <w:tcW w:w="840" w:type="dxa"/>
            <w:vMerge w:val="continue"/>
            <w:tcBorders>
              <w:left w:val="single" w:color="auto" w:sz="8" w:space="0"/>
              <w:right w:val="single" w:color="auto" w:sz="8" w:space="0"/>
            </w:tcBorders>
            <w:vAlign w:val="center"/>
          </w:tcPr>
          <w:p w14:paraId="6B26AECB">
            <w:pPr>
              <w:adjustRightInd w:val="0"/>
              <w:snapToGrid w:val="0"/>
              <w:jc w:val="center"/>
              <w:rPr>
                <w:rFonts w:hint="eastAsia" w:ascii="宋体" w:hAnsi="宋体" w:cs="宋体"/>
                <w:color w:val="auto"/>
                <w:szCs w:val="21"/>
              </w:rPr>
            </w:pPr>
          </w:p>
        </w:tc>
        <w:tc>
          <w:tcPr>
            <w:tcW w:w="2106" w:type="dxa"/>
            <w:gridSpan w:val="4"/>
            <w:tcBorders>
              <w:top w:val="single" w:color="auto" w:sz="8" w:space="0"/>
              <w:left w:val="single" w:color="auto" w:sz="8" w:space="0"/>
              <w:bottom w:val="single" w:color="auto" w:sz="8" w:space="0"/>
              <w:right w:val="single" w:color="auto" w:sz="8" w:space="0"/>
            </w:tcBorders>
            <w:vAlign w:val="center"/>
          </w:tcPr>
          <w:p w14:paraId="1A8D6219">
            <w:pPr>
              <w:adjustRightInd w:val="0"/>
              <w:snapToGrid w:val="0"/>
              <w:jc w:val="center"/>
              <w:rPr>
                <w:rFonts w:hint="eastAsia" w:ascii="宋体" w:hAnsi="宋体" w:cs="宋体"/>
                <w:color w:val="auto"/>
                <w:szCs w:val="21"/>
              </w:rPr>
            </w:pPr>
            <w:r>
              <w:rPr>
                <w:rFonts w:hint="eastAsia" w:ascii="宋体" w:hAnsi="宋体" w:cs="宋体"/>
                <w:color w:val="auto"/>
                <w:kern w:val="0"/>
                <w:szCs w:val="21"/>
              </w:rPr>
              <w:t>初级职称人员</w:t>
            </w:r>
          </w:p>
        </w:tc>
        <w:tc>
          <w:tcPr>
            <w:tcW w:w="2072" w:type="dxa"/>
            <w:gridSpan w:val="2"/>
            <w:tcBorders>
              <w:top w:val="single" w:color="auto" w:sz="8" w:space="0"/>
              <w:left w:val="single" w:color="auto" w:sz="8" w:space="0"/>
              <w:bottom w:val="single" w:color="auto" w:sz="8" w:space="0"/>
              <w:right w:val="single" w:color="auto" w:sz="8" w:space="0"/>
            </w:tcBorders>
            <w:vAlign w:val="center"/>
          </w:tcPr>
          <w:p w14:paraId="31F9E629">
            <w:pPr>
              <w:adjustRightInd w:val="0"/>
              <w:snapToGrid w:val="0"/>
              <w:jc w:val="center"/>
              <w:rPr>
                <w:rFonts w:hint="eastAsia" w:ascii="宋体" w:hAnsi="宋体" w:cs="宋体"/>
                <w:color w:val="auto"/>
                <w:szCs w:val="21"/>
              </w:rPr>
            </w:pPr>
          </w:p>
        </w:tc>
      </w:tr>
      <w:tr w14:paraId="77A8B6B0">
        <w:tblPrEx>
          <w:tblCellMar>
            <w:top w:w="0" w:type="dxa"/>
            <w:left w:w="0" w:type="dxa"/>
            <w:bottom w:w="0" w:type="dxa"/>
            <w:right w:w="0" w:type="dxa"/>
          </w:tblCellMar>
        </w:tblPrEx>
        <w:trPr>
          <w:cantSplit/>
          <w:trHeight w:val="710"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3B07575F">
            <w:pPr>
              <w:adjustRightInd w:val="0"/>
              <w:snapToGrid w:val="0"/>
              <w:jc w:val="center"/>
              <w:rPr>
                <w:rFonts w:hint="eastAsia" w:ascii="宋体" w:hAnsi="宋体" w:cs="宋体"/>
                <w:color w:val="auto"/>
                <w:szCs w:val="21"/>
              </w:rPr>
            </w:pPr>
            <w:r>
              <w:rPr>
                <w:rFonts w:hint="eastAsia" w:ascii="宋体" w:hAnsi="宋体" w:cs="宋体"/>
                <w:color w:val="auto"/>
                <w:kern w:val="0"/>
                <w:szCs w:val="21"/>
              </w:rPr>
              <w:t>基本账户账号</w:t>
            </w:r>
          </w:p>
        </w:tc>
        <w:tc>
          <w:tcPr>
            <w:tcW w:w="2316" w:type="dxa"/>
            <w:gridSpan w:val="2"/>
            <w:tcBorders>
              <w:top w:val="single" w:color="auto" w:sz="8" w:space="0"/>
              <w:left w:val="single" w:color="auto" w:sz="8" w:space="0"/>
              <w:bottom w:val="single" w:color="auto" w:sz="8" w:space="0"/>
              <w:right w:val="single" w:color="auto" w:sz="8" w:space="0"/>
            </w:tcBorders>
            <w:vAlign w:val="center"/>
          </w:tcPr>
          <w:p w14:paraId="7123475F">
            <w:pPr>
              <w:adjustRightInd w:val="0"/>
              <w:snapToGrid w:val="0"/>
              <w:jc w:val="center"/>
              <w:rPr>
                <w:rFonts w:hint="eastAsia" w:ascii="宋体" w:hAnsi="宋体" w:cs="宋体"/>
                <w:color w:val="auto"/>
                <w:szCs w:val="21"/>
              </w:rPr>
            </w:pPr>
          </w:p>
        </w:tc>
        <w:tc>
          <w:tcPr>
            <w:tcW w:w="840" w:type="dxa"/>
            <w:vMerge w:val="continue"/>
            <w:tcBorders>
              <w:left w:val="single" w:color="auto" w:sz="8" w:space="0"/>
              <w:bottom w:val="single" w:color="auto" w:sz="8" w:space="0"/>
              <w:right w:val="single" w:color="auto" w:sz="8" w:space="0"/>
            </w:tcBorders>
            <w:vAlign w:val="center"/>
          </w:tcPr>
          <w:p w14:paraId="0D4C8A16">
            <w:pPr>
              <w:adjustRightInd w:val="0"/>
              <w:snapToGrid w:val="0"/>
              <w:jc w:val="center"/>
              <w:rPr>
                <w:rFonts w:hint="eastAsia" w:ascii="宋体" w:hAnsi="宋体" w:cs="宋体"/>
                <w:color w:val="auto"/>
                <w:szCs w:val="21"/>
              </w:rPr>
            </w:pPr>
          </w:p>
        </w:tc>
        <w:tc>
          <w:tcPr>
            <w:tcW w:w="2106" w:type="dxa"/>
            <w:gridSpan w:val="4"/>
            <w:tcBorders>
              <w:top w:val="single" w:color="auto" w:sz="8" w:space="0"/>
              <w:left w:val="single" w:color="auto" w:sz="8" w:space="0"/>
              <w:bottom w:val="single" w:color="auto" w:sz="8" w:space="0"/>
              <w:right w:val="single" w:color="auto" w:sz="8" w:space="0"/>
            </w:tcBorders>
            <w:vAlign w:val="center"/>
          </w:tcPr>
          <w:p w14:paraId="556633D5">
            <w:pPr>
              <w:adjustRightInd w:val="0"/>
              <w:snapToGrid w:val="0"/>
              <w:jc w:val="center"/>
              <w:rPr>
                <w:rFonts w:hint="eastAsia" w:ascii="宋体" w:hAnsi="宋体" w:cs="宋体"/>
                <w:color w:val="auto"/>
                <w:szCs w:val="21"/>
              </w:rPr>
            </w:pPr>
            <w:r>
              <w:rPr>
                <w:rFonts w:hint="eastAsia" w:ascii="宋体" w:hAnsi="宋体" w:cs="宋体"/>
                <w:color w:val="auto"/>
                <w:kern w:val="0"/>
                <w:szCs w:val="21"/>
              </w:rPr>
              <w:t>技工</w:t>
            </w:r>
          </w:p>
        </w:tc>
        <w:tc>
          <w:tcPr>
            <w:tcW w:w="2072" w:type="dxa"/>
            <w:gridSpan w:val="2"/>
            <w:tcBorders>
              <w:top w:val="single" w:color="auto" w:sz="8" w:space="0"/>
              <w:left w:val="single" w:color="auto" w:sz="8" w:space="0"/>
              <w:bottom w:val="single" w:color="auto" w:sz="8" w:space="0"/>
              <w:right w:val="single" w:color="auto" w:sz="8" w:space="0"/>
            </w:tcBorders>
            <w:vAlign w:val="center"/>
          </w:tcPr>
          <w:p w14:paraId="07B64CB5">
            <w:pPr>
              <w:adjustRightInd w:val="0"/>
              <w:snapToGrid w:val="0"/>
              <w:jc w:val="center"/>
              <w:rPr>
                <w:rFonts w:hint="eastAsia" w:ascii="宋体" w:hAnsi="宋体" w:cs="宋体"/>
                <w:color w:val="auto"/>
                <w:szCs w:val="21"/>
              </w:rPr>
            </w:pPr>
          </w:p>
        </w:tc>
      </w:tr>
      <w:tr w14:paraId="3C2455CE">
        <w:tblPrEx>
          <w:tblCellMar>
            <w:top w:w="0" w:type="dxa"/>
            <w:left w:w="0" w:type="dxa"/>
            <w:bottom w:w="0" w:type="dxa"/>
            <w:right w:w="0" w:type="dxa"/>
          </w:tblCellMar>
        </w:tblPrEx>
        <w:trPr>
          <w:trHeight w:val="1676"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432A7FE3">
            <w:pPr>
              <w:adjustRightInd w:val="0"/>
              <w:snapToGrid w:val="0"/>
              <w:jc w:val="center"/>
              <w:rPr>
                <w:rFonts w:hint="eastAsia" w:ascii="宋体" w:hAnsi="宋体" w:cs="宋体"/>
                <w:color w:val="auto"/>
                <w:szCs w:val="21"/>
              </w:rPr>
            </w:pPr>
            <w:r>
              <w:rPr>
                <w:rFonts w:hint="eastAsia" w:ascii="宋体" w:hAnsi="宋体" w:cs="宋体"/>
                <w:color w:val="auto"/>
                <w:kern w:val="0"/>
                <w:szCs w:val="21"/>
              </w:rPr>
              <w:t>经营范围</w:t>
            </w:r>
          </w:p>
        </w:tc>
        <w:tc>
          <w:tcPr>
            <w:tcW w:w="7334" w:type="dxa"/>
            <w:gridSpan w:val="9"/>
            <w:tcBorders>
              <w:top w:val="single" w:color="auto" w:sz="8" w:space="0"/>
              <w:left w:val="single" w:color="auto" w:sz="8" w:space="0"/>
              <w:bottom w:val="single" w:color="auto" w:sz="8" w:space="0"/>
              <w:right w:val="single" w:color="auto" w:sz="8" w:space="0"/>
            </w:tcBorders>
            <w:vAlign w:val="center"/>
          </w:tcPr>
          <w:p w14:paraId="69920DC0">
            <w:pPr>
              <w:adjustRightInd w:val="0"/>
              <w:snapToGrid w:val="0"/>
              <w:jc w:val="center"/>
              <w:rPr>
                <w:rFonts w:hint="eastAsia" w:ascii="宋体" w:hAnsi="宋体" w:cs="宋体"/>
                <w:color w:val="auto"/>
                <w:szCs w:val="21"/>
              </w:rPr>
            </w:pPr>
          </w:p>
        </w:tc>
      </w:tr>
      <w:tr w14:paraId="3E7C7034">
        <w:tblPrEx>
          <w:tblCellMar>
            <w:top w:w="0" w:type="dxa"/>
            <w:left w:w="0" w:type="dxa"/>
            <w:bottom w:w="0" w:type="dxa"/>
            <w:right w:w="0" w:type="dxa"/>
          </w:tblCellMar>
        </w:tblPrEx>
        <w:trPr>
          <w:trHeight w:val="1421"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4730D568">
            <w:pPr>
              <w:adjustRightInd w:val="0"/>
              <w:snapToGrid w:val="0"/>
              <w:jc w:val="center"/>
              <w:rPr>
                <w:rFonts w:hint="eastAsia" w:ascii="宋体" w:hAnsi="宋体" w:cs="宋体"/>
                <w:color w:val="auto"/>
                <w:szCs w:val="21"/>
              </w:rPr>
            </w:pPr>
            <w:r>
              <w:rPr>
                <w:rFonts w:hint="eastAsia" w:ascii="宋体" w:hAnsi="宋体" w:cs="宋体"/>
                <w:color w:val="auto"/>
                <w:kern w:val="0"/>
                <w:szCs w:val="21"/>
              </w:rPr>
              <w:t>企业简介</w:t>
            </w:r>
          </w:p>
        </w:tc>
        <w:tc>
          <w:tcPr>
            <w:tcW w:w="7334" w:type="dxa"/>
            <w:gridSpan w:val="9"/>
            <w:tcBorders>
              <w:top w:val="single" w:color="auto" w:sz="8" w:space="0"/>
              <w:left w:val="single" w:color="auto" w:sz="8" w:space="0"/>
              <w:bottom w:val="single" w:color="auto" w:sz="8" w:space="0"/>
              <w:right w:val="single" w:color="auto" w:sz="8" w:space="0"/>
            </w:tcBorders>
            <w:vAlign w:val="center"/>
          </w:tcPr>
          <w:p w14:paraId="46993A53">
            <w:pPr>
              <w:adjustRightInd w:val="0"/>
              <w:snapToGrid w:val="0"/>
              <w:jc w:val="center"/>
              <w:rPr>
                <w:rFonts w:hint="eastAsia" w:ascii="宋体" w:hAnsi="宋体" w:cs="宋体"/>
                <w:color w:val="auto"/>
                <w:szCs w:val="21"/>
              </w:rPr>
            </w:pPr>
            <w:r>
              <w:rPr>
                <w:rFonts w:hint="eastAsia" w:ascii="宋体" w:hAnsi="宋体" w:cs="宋体"/>
                <w:color w:val="auto"/>
                <w:szCs w:val="21"/>
              </w:rPr>
              <w:t>（本项内容可另附页）</w:t>
            </w:r>
          </w:p>
        </w:tc>
      </w:tr>
      <w:tr w14:paraId="2958F71C">
        <w:tblPrEx>
          <w:tblCellMar>
            <w:top w:w="0" w:type="dxa"/>
            <w:left w:w="0" w:type="dxa"/>
            <w:bottom w:w="0" w:type="dxa"/>
            <w:right w:w="0" w:type="dxa"/>
          </w:tblCellMar>
        </w:tblPrEx>
        <w:trPr>
          <w:trHeight w:val="1084" w:hRule="exact"/>
          <w:jc w:val="center"/>
        </w:trPr>
        <w:tc>
          <w:tcPr>
            <w:tcW w:w="1885" w:type="dxa"/>
            <w:tcBorders>
              <w:top w:val="single" w:color="auto" w:sz="8" w:space="0"/>
              <w:left w:val="single" w:color="auto" w:sz="8" w:space="0"/>
              <w:bottom w:val="single" w:color="auto" w:sz="8" w:space="0"/>
              <w:right w:val="single" w:color="auto" w:sz="8" w:space="0"/>
            </w:tcBorders>
            <w:vAlign w:val="center"/>
          </w:tcPr>
          <w:p w14:paraId="101241F8">
            <w:pPr>
              <w:adjustRightInd w:val="0"/>
              <w:snapToGrid w:val="0"/>
              <w:jc w:val="center"/>
              <w:rPr>
                <w:rFonts w:hint="eastAsia" w:ascii="宋体" w:hAnsi="宋体" w:cs="宋体"/>
                <w:color w:val="auto"/>
                <w:szCs w:val="21"/>
              </w:rPr>
            </w:pPr>
            <w:r>
              <w:rPr>
                <w:rFonts w:hint="eastAsia" w:ascii="宋体" w:hAnsi="宋体" w:cs="宋体"/>
                <w:color w:val="auto"/>
                <w:kern w:val="0"/>
                <w:szCs w:val="21"/>
              </w:rPr>
              <w:t>备注</w:t>
            </w:r>
          </w:p>
        </w:tc>
        <w:tc>
          <w:tcPr>
            <w:tcW w:w="7334" w:type="dxa"/>
            <w:gridSpan w:val="9"/>
            <w:tcBorders>
              <w:top w:val="single" w:color="auto" w:sz="8" w:space="0"/>
              <w:left w:val="single" w:color="auto" w:sz="8" w:space="0"/>
              <w:bottom w:val="single" w:color="auto" w:sz="8" w:space="0"/>
              <w:right w:val="single" w:color="auto" w:sz="8" w:space="0"/>
            </w:tcBorders>
            <w:vAlign w:val="center"/>
          </w:tcPr>
          <w:p w14:paraId="36A0BBF4">
            <w:pPr>
              <w:adjustRightInd w:val="0"/>
              <w:snapToGrid w:val="0"/>
              <w:jc w:val="center"/>
              <w:rPr>
                <w:rFonts w:hint="eastAsia" w:ascii="宋体" w:hAnsi="宋体" w:cs="宋体"/>
                <w:color w:val="auto"/>
                <w:szCs w:val="21"/>
              </w:rPr>
            </w:pPr>
          </w:p>
        </w:tc>
      </w:tr>
    </w:tbl>
    <w:p w14:paraId="66C0F2EF">
      <w:pPr>
        <w:pStyle w:val="35"/>
        <w:spacing w:line="360" w:lineRule="auto"/>
        <w:ind w:left="-2" w:leftChars="-1" w:firstLine="422" w:firstLineChars="175"/>
        <w:jc w:val="left"/>
        <w:rPr>
          <w:rFonts w:hint="eastAsia" w:ascii="宋体" w:hAnsi="宋体" w:cs="宋体"/>
          <w:b/>
          <w:color w:val="auto"/>
          <w:sz w:val="24"/>
        </w:rPr>
      </w:pPr>
    </w:p>
    <w:p w14:paraId="7A44D3EE">
      <w:pPr>
        <w:pStyle w:val="35"/>
        <w:spacing w:line="360" w:lineRule="auto"/>
        <w:ind w:left="-2" w:leftChars="-1" w:firstLine="422" w:firstLineChars="175"/>
        <w:jc w:val="left"/>
        <w:rPr>
          <w:rFonts w:hint="eastAsia" w:ascii="宋体" w:hAnsi="宋体" w:cs="宋体"/>
          <w:b/>
          <w:color w:val="auto"/>
          <w:sz w:val="24"/>
        </w:rPr>
      </w:pPr>
      <w:r>
        <w:rPr>
          <w:rFonts w:hint="eastAsia" w:ascii="宋体" w:hAnsi="宋体" w:cs="宋体"/>
          <w:b/>
          <w:color w:val="auto"/>
          <w:sz w:val="24"/>
        </w:rPr>
        <w:t>注：由联合体主办方提供。</w:t>
      </w:r>
    </w:p>
    <w:p w14:paraId="6E66E72B">
      <w:pPr>
        <w:rPr>
          <w:rFonts w:hint="eastAsia" w:ascii="宋体" w:hAnsi="宋体" w:cs="宋体"/>
          <w:color w:val="auto"/>
        </w:rPr>
      </w:pPr>
    </w:p>
    <w:p w14:paraId="56F61730">
      <w:pPr>
        <w:rPr>
          <w:rFonts w:hint="eastAsia" w:ascii="宋体" w:hAnsi="宋体" w:cs="宋体"/>
          <w:b/>
          <w:color w:val="auto"/>
          <w:kern w:val="1"/>
          <w:sz w:val="24"/>
          <w:lang w:val="zh-CN"/>
        </w:rPr>
      </w:pPr>
      <w:r>
        <w:rPr>
          <w:rFonts w:hint="eastAsia" w:ascii="宋体" w:hAnsi="宋体" w:cs="宋体"/>
          <w:b/>
          <w:color w:val="auto"/>
          <w:kern w:val="1"/>
          <w:sz w:val="24"/>
          <w:lang w:val="zh-CN"/>
        </w:rPr>
        <w:br w:type="page"/>
      </w:r>
    </w:p>
    <w:p w14:paraId="05839DED">
      <w:pPr>
        <w:autoSpaceDE w:val="0"/>
        <w:autoSpaceDN w:val="0"/>
        <w:adjustRightInd w:val="0"/>
        <w:spacing w:line="360" w:lineRule="auto"/>
        <w:jc w:val="left"/>
        <w:rPr>
          <w:rFonts w:hint="eastAsia" w:ascii="宋体" w:hAnsi="宋体" w:cs="宋体"/>
          <w:color w:val="auto"/>
          <w:sz w:val="24"/>
        </w:rPr>
      </w:pPr>
      <w:r>
        <w:rPr>
          <w:rFonts w:hint="eastAsia" w:ascii="宋体" w:hAnsi="宋体" w:cs="宋体"/>
          <w:b/>
          <w:color w:val="auto"/>
          <w:kern w:val="1"/>
          <w:sz w:val="24"/>
          <w:lang w:val="zh-CN"/>
        </w:rPr>
        <w:t>格式</w:t>
      </w:r>
      <w:r>
        <w:rPr>
          <w:rFonts w:hint="eastAsia" w:ascii="宋体" w:hAnsi="宋体" w:cs="宋体"/>
          <w:b/>
          <w:color w:val="auto"/>
          <w:kern w:val="1"/>
          <w:sz w:val="24"/>
        </w:rPr>
        <w:t>4：</w:t>
      </w:r>
    </w:p>
    <w:p w14:paraId="70A6654C">
      <w:pPr>
        <w:spacing w:line="540" w:lineRule="exact"/>
        <w:jc w:val="center"/>
        <w:rPr>
          <w:rFonts w:hint="eastAsia" w:ascii="宋体" w:hAnsi="宋体" w:cs="宋体"/>
          <w:color w:val="auto"/>
        </w:rPr>
      </w:pPr>
      <w:r>
        <w:rPr>
          <w:rFonts w:hint="eastAsia" w:ascii="宋体" w:hAnsi="宋体" w:cs="宋体"/>
          <w:b/>
          <w:color w:val="auto"/>
          <w:sz w:val="28"/>
          <w:szCs w:val="28"/>
        </w:rPr>
        <w:t>投标承诺函</w:t>
      </w:r>
    </w:p>
    <w:p w14:paraId="6C9AF8CF">
      <w:pPr>
        <w:spacing w:line="440" w:lineRule="exact"/>
        <w:rPr>
          <w:rFonts w:hint="eastAsia" w:ascii="宋体" w:hAnsi="宋体" w:cs="宋体"/>
          <w:color w:val="auto"/>
          <w:sz w:val="20"/>
          <w:szCs w:val="20"/>
        </w:rPr>
      </w:pPr>
    </w:p>
    <w:p w14:paraId="48D64A87">
      <w:pPr>
        <w:spacing w:line="440" w:lineRule="exact"/>
        <w:rPr>
          <w:rFonts w:hint="eastAsia"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（招标人名称）：</w:t>
      </w:r>
    </w:p>
    <w:p w14:paraId="02F9E21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1．我方已仔细研究了</w:t>
      </w:r>
      <w:r>
        <w:rPr>
          <w:rFonts w:hint="eastAsia" w:ascii="宋体" w:hAnsi="宋体" w:cs="宋体"/>
          <w:color w:val="auto"/>
          <w:szCs w:val="21"/>
          <w:u w:val="single"/>
        </w:rPr>
        <w:t xml:space="preserve">               </w:t>
      </w:r>
      <w:r>
        <w:rPr>
          <w:rFonts w:hint="eastAsia" w:ascii="宋体" w:hAnsi="宋体" w:cs="宋体"/>
          <w:color w:val="auto"/>
          <w:szCs w:val="21"/>
        </w:rPr>
        <w:t>（项目名称）招标文件的全部内容，愿意以《投标时》中承诺的投标报价和工期，按合同约定进行设计、实施和竣工承包工程，修补工程中的任何缺陷，实现工程目的。我方充分了解了现场条件对可能存在的所有风险都已充分考虑，我方放弃在此方面提出含糊意见或误解的一切权力，承认招标文件的所有条款，按招标文件规定条款完成本次招标项目的内容。</w:t>
      </w:r>
    </w:p>
    <w:p w14:paraId="6265182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 我方已充分阅读了本项目招标文件并充分了解有关报价方式及变更、结算方式，我方完全响应招标文件的规定。</w:t>
      </w:r>
    </w:p>
    <w:p w14:paraId="67B9FA8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3．我方承诺投标文件中的一切资料、数据是真实的，并承担由此引起的一切责任。</w:t>
      </w:r>
    </w:p>
    <w:p w14:paraId="518534A2">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4．我方承诺在招标文件规定的投标有效期内不修改、撤销投标文件。</w:t>
      </w:r>
    </w:p>
    <w:p w14:paraId="4542F77A">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5．随同本投标函提交投标保证金一份，我方对招标文件中不予退还投标保证金的情形无异议。</w:t>
      </w:r>
    </w:p>
    <w:p w14:paraId="57D11795">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6．我方如果中标，我方保证：</w:t>
      </w:r>
    </w:p>
    <w:p w14:paraId="05DE0C4B">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（1）保证履行招标文件以及招标文件修改书(如有)中的全部责任和义务，在中标通知书规定的时间内签订合同，并严格按国家有关法规履行我方的全部责任，按质、按量、按期完成合同约定的全部任务。</w:t>
      </w:r>
    </w:p>
    <w:p w14:paraId="38D92C20">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2）保证将我方的资质承包范围不能涵盖或不具备相应能力(该能力须保证进度和质量且须获得发包人认可)的部分专业工程（如果有），委托获得发包人批准的具备相应专业资质和能力的单位实施，确保项目质量及进度。</w:t>
      </w:r>
    </w:p>
    <w:p w14:paraId="53A69AE2">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3）保证所完成的设计将完全符合国家相关规范要求，符合或优于招标文件、技术条件、合同条款的要求。若我方完成的设计文件未能达到发包人（或相关政府部门）的要求，我方将无条件根据要求进行修改设计文件，直至得到发包人（及相关政府部门）的认可为止。</w:t>
      </w:r>
    </w:p>
    <w:p w14:paraId="0538BC41">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（4）保证尽一切力量确保投标承诺的竣工日期，若我方未能按投标承诺的工期完成本项目，除承担合同约定的违约责任外，发包人有权解除合同，我方承担由于违约解除合同退场造成的对发包人的一切损失。</w:t>
      </w:r>
    </w:p>
    <w:p w14:paraId="06FB17C0">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（5）保证所投入本项目的主要材料、设备质量符合或优于招标文件要求，所投入本项目的辅助设备、材料与主主要材料、设备质量一致并有良好的配套性。</w:t>
      </w:r>
    </w:p>
    <w:p w14:paraId="70D7020A">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（6）保证按照招标文件的要求确保安全生产及文明施工，如有违反，我方愿意按合同约定承担违约责任，并为此负相关的法律责任。</w:t>
      </w:r>
    </w:p>
    <w:p w14:paraId="77B0C192">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（7）保证按国家的有关规定制订保证民工工资支付的方案及保证措施，否则，我方愿按合同条款规定承担违约责任并赔偿发包人的全部损失。</w:t>
      </w:r>
    </w:p>
    <w:p w14:paraId="70E02432">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（8）保证按施工期间做好安全文明和交通保证措施，施工区全封闭围挡，根据工程进度计划分段施工分期围挡。最大限度满足交通和市民出行方便，施工行为做到便民，不扰民。</w:t>
      </w:r>
    </w:p>
    <w:p w14:paraId="3121AE42">
      <w:pPr>
        <w:spacing w:line="440" w:lineRule="exact"/>
        <w:ind w:firstLine="420" w:firstLineChars="200"/>
        <w:rPr>
          <w:rFonts w:hint="eastAsia" w:ascii="宋体" w:hAnsi="宋体" w:cs="宋体"/>
          <w:color w:val="auto"/>
          <w:szCs w:val="21"/>
        </w:rPr>
      </w:pPr>
      <w:r>
        <w:rPr>
          <w:rFonts w:hint="eastAsia" w:ascii="宋体" w:hAnsi="宋体" w:cs="宋体"/>
          <w:color w:val="auto"/>
          <w:szCs w:val="21"/>
        </w:rPr>
        <w:t>（9）保证按发包方工期要求编制施工进度计划，计划内用全面详实，根据项目特点合理组织分段施工，分段逐步移交。</w:t>
      </w:r>
    </w:p>
    <w:p w14:paraId="299A7083">
      <w:pPr>
        <w:spacing w:line="440" w:lineRule="exact"/>
        <w:ind w:firstLine="420" w:firstLineChars="200"/>
        <w:rPr>
          <w:rFonts w:hint="eastAsia" w:ascii="宋体" w:hAnsi="宋体" w:cs="宋体"/>
          <w:color w:val="auto"/>
          <w:szCs w:val="21"/>
        </w:rPr>
      </w:pPr>
    </w:p>
    <w:p w14:paraId="397A7044">
      <w:pPr>
        <w:spacing w:line="440" w:lineRule="exact"/>
        <w:ind w:firstLine="420" w:firstLineChars="200"/>
        <w:rPr>
          <w:rFonts w:hint="eastAsia" w:ascii="宋体" w:hAnsi="宋体" w:cs="宋体"/>
          <w:color w:val="auto"/>
          <w:szCs w:val="21"/>
        </w:rPr>
      </w:pPr>
    </w:p>
    <w:p w14:paraId="497C7CBC">
      <w:pPr>
        <w:spacing w:line="440" w:lineRule="exact"/>
        <w:ind w:firstLine="4725" w:firstLineChars="2250"/>
        <w:rPr>
          <w:rFonts w:hint="eastAsia" w:ascii="宋体" w:hAnsi="宋体" w:cs="宋体"/>
          <w:color w:val="auto"/>
          <w:szCs w:val="21"/>
        </w:rPr>
      </w:pPr>
    </w:p>
    <w:p w14:paraId="69FA2C48">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投标人名称（盖法人公章）：</w:t>
      </w:r>
    </w:p>
    <w:p w14:paraId="30BFB18D">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法定代表人或被授权人（签字或盖章）：</w:t>
      </w:r>
    </w:p>
    <w:p w14:paraId="6E6AD875">
      <w:pPr>
        <w:spacing w:line="440" w:lineRule="exact"/>
        <w:ind w:firstLine="5880" w:firstLineChars="2800"/>
        <w:rPr>
          <w:rFonts w:hint="eastAsia" w:ascii="宋体" w:hAnsi="宋体" w:cs="宋体"/>
          <w:color w:val="auto"/>
          <w:szCs w:val="21"/>
        </w:rPr>
      </w:pPr>
      <w:r>
        <w:rPr>
          <w:rFonts w:hint="eastAsia" w:ascii="宋体" w:hAnsi="宋体" w:cs="宋体"/>
          <w:color w:val="auto"/>
          <w:szCs w:val="21"/>
        </w:rPr>
        <w:t>日期：   年  月  日</w:t>
      </w:r>
    </w:p>
    <w:p w14:paraId="0AF81324">
      <w:pPr>
        <w:spacing w:line="440" w:lineRule="exact"/>
        <w:ind w:firstLine="4725" w:firstLineChars="2250"/>
        <w:rPr>
          <w:rFonts w:hint="eastAsia" w:ascii="宋体" w:hAnsi="宋体" w:cs="宋体"/>
          <w:color w:val="auto"/>
          <w:szCs w:val="21"/>
        </w:rPr>
      </w:pPr>
    </w:p>
    <w:p w14:paraId="1D099346">
      <w:pPr>
        <w:spacing w:line="360" w:lineRule="auto"/>
        <w:ind w:firstLine="98"/>
        <w:rPr>
          <w:rFonts w:ascii="宋体" w:cs="宋体"/>
          <w:b/>
          <w:color w:val="auto"/>
          <w:spacing w:val="20"/>
          <w:kern w:val="1"/>
        </w:rPr>
      </w:pPr>
      <w:r>
        <w:rPr>
          <w:rFonts w:hint="eastAsia" w:ascii="宋体" w:cs="宋体"/>
          <w:color w:val="auto"/>
          <w:sz w:val="20"/>
          <w:szCs w:val="20"/>
        </w:rPr>
        <w:br w:type="page"/>
      </w:r>
      <w:bookmarkStart w:id="581" w:name="_Toc9033"/>
      <w:bookmarkStart w:id="582" w:name="_Toc73018163"/>
      <w:r>
        <w:rPr>
          <w:rFonts w:hint="eastAsia" w:ascii="宋体" w:cs="宋体"/>
          <w:b/>
          <w:color w:val="auto"/>
          <w:kern w:val="1"/>
          <w:sz w:val="24"/>
          <w:lang w:val="zh-CN"/>
        </w:rPr>
        <w:t>格式</w:t>
      </w:r>
      <w:bookmarkEnd w:id="581"/>
      <w:r>
        <w:rPr>
          <w:rFonts w:hint="eastAsia" w:ascii="宋体" w:cs="宋体"/>
          <w:b/>
          <w:color w:val="auto"/>
          <w:kern w:val="1"/>
          <w:sz w:val="24"/>
        </w:rPr>
        <w:t>5</w:t>
      </w:r>
      <w:bookmarkEnd w:id="582"/>
    </w:p>
    <w:p w14:paraId="7BE88312">
      <w:pPr>
        <w:spacing w:line="480" w:lineRule="auto"/>
        <w:jc w:val="center"/>
        <w:rPr>
          <w:rFonts w:hint="eastAsia" w:ascii="宋体" w:hAnsi="宋体" w:cs="宋体"/>
          <w:b/>
          <w:color w:val="auto"/>
          <w:kern w:val="1"/>
          <w:sz w:val="28"/>
          <w:szCs w:val="28"/>
        </w:rPr>
      </w:pPr>
      <w:r>
        <w:rPr>
          <w:rFonts w:hint="eastAsia" w:ascii="宋体" w:hAnsi="宋体" w:cs="宋体"/>
          <w:b/>
          <w:color w:val="auto"/>
          <w:kern w:val="1"/>
          <w:sz w:val="28"/>
          <w:szCs w:val="28"/>
          <w:lang w:val="zh-CN"/>
        </w:rPr>
        <w:t>企业类似工程业绩信息表</w:t>
      </w:r>
    </w:p>
    <w:tbl>
      <w:tblPr>
        <w:tblStyle w:val="37"/>
        <w:tblW w:w="4998" w:type="pct"/>
        <w:tblInd w:w="0" w:type="dxa"/>
        <w:tblLayout w:type="autofit"/>
        <w:tblCellMar>
          <w:top w:w="0" w:type="dxa"/>
          <w:left w:w="108" w:type="dxa"/>
          <w:bottom w:w="0" w:type="dxa"/>
          <w:right w:w="108" w:type="dxa"/>
        </w:tblCellMar>
      </w:tblPr>
      <w:tblGrid>
        <w:gridCol w:w="1188"/>
        <w:gridCol w:w="2047"/>
        <w:gridCol w:w="2047"/>
        <w:gridCol w:w="2048"/>
        <w:gridCol w:w="1189"/>
      </w:tblGrid>
      <w:tr w14:paraId="329DD258">
        <w:tblPrEx>
          <w:tblCellMar>
            <w:top w:w="0" w:type="dxa"/>
            <w:left w:w="108" w:type="dxa"/>
            <w:bottom w:w="0" w:type="dxa"/>
            <w:right w:w="108" w:type="dxa"/>
          </w:tblCellMar>
        </w:tblPrEx>
        <w:trPr>
          <w:trHeight w:val="8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1B8E9061">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lang w:val="zh-CN"/>
              </w:rPr>
              <w:t>序号</w:t>
            </w:r>
          </w:p>
        </w:tc>
        <w:tc>
          <w:tcPr>
            <w:tcW w:w="1201" w:type="pct"/>
            <w:tcBorders>
              <w:top w:val="single" w:color="000000" w:sz="4" w:space="0"/>
              <w:left w:val="single" w:color="000000" w:sz="4" w:space="0"/>
              <w:bottom w:val="single" w:color="000000" w:sz="4" w:space="0"/>
              <w:right w:val="single" w:color="000000" w:sz="4" w:space="0"/>
            </w:tcBorders>
            <w:vAlign w:val="center"/>
          </w:tcPr>
          <w:p w14:paraId="681E879A">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rPr>
              <w:t>项目编号</w:t>
            </w:r>
          </w:p>
        </w:tc>
        <w:tc>
          <w:tcPr>
            <w:tcW w:w="1201" w:type="pct"/>
            <w:tcBorders>
              <w:top w:val="single" w:color="000000" w:sz="4" w:space="0"/>
              <w:left w:val="single" w:color="000000" w:sz="4" w:space="0"/>
              <w:bottom w:val="single" w:color="000000" w:sz="4" w:space="0"/>
              <w:right w:val="single" w:color="000000" w:sz="4" w:space="0"/>
            </w:tcBorders>
            <w:vAlign w:val="center"/>
          </w:tcPr>
          <w:p w14:paraId="36D1E32D">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lang w:val="zh-CN"/>
              </w:rPr>
              <w:t>工程名称</w:t>
            </w:r>
          </w:p>
        </w:tc>
        <w:tc>
          <w:tcPr>
            <w:tcW w:w="1201" w:type="pct"/>
            <w:tcBorders>
              <w:top w:val="single" w:color="000000" w:sz="4" w:space="0"/>
              <w:left w:val="single" w:color="000000" w:sz="4" w:space="0"/>
              <w:bottom w:val="single" w:color="000000" w:sz="4" w:space="0"/>
              <w:right w:val="single" w:color="000000" w:sz="4" w:space="0"/>
            </w:tcBorders>
            <w:vAlign w:val="center"/>
          </w:tcPr>
          <w:p w14:paraId="62586BBC">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rPr>
              <w:t>造价</w:t>
            </w:r>
          </w:p>
          <w:p w14:paraId="3D6B2602">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lang w:val="zh-CN"/>
              </w:rPr>
              <w:t>（万元）</w:t>
            </w:r>
          </w:p>
        </w:tc>
        <w:tc>
          <w:tcPr>
            <w:tcW w:w="697" w:type="pct"/>
            <w:tcBorders>
              <w:top w:val="single" w:color="000000" w:sz="4" w:space="0"/>
              <w:left w:val="single" w:color="000000" w:sz="4" w:space="0"/>
              <w:bottom w:val="single" w:color="000000" w:sz="4" w:space="0"/>
              <w:right w:val="single" w:color="000000" w:sz="4" w:space="0"/>
            </w:tcBorders>
            <w:vAlign w:val="center"/>
          </w:tcPr>
          <w:p w14:paraId="750A7832">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lang w:val="zh-CN"/>
              </w:rPr>
              <w:t>备注</w:t>
            </w:r>
          </w:p>
        </w:tc>
      </w:tr>
      <w:tr w14:paraId="213F6280">
        <w:tblPrEx>
          <w:tblCellMar>
            <w:top w:w="0" w:type="dxa"/>
            <w:left w:w="108" w:type="dxa"/>
            <w:bottom w:w="0" w:type="dxa"/>
            <w:right w:w="108" w:type="dxa"/>
          </w:tblCellMar>
        </w:tblPrEx>
        <w:trPr>
          <w:trHeight w:val="8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241C029A">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05F20F82">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70D474DD">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565E406E">
            <w:pPr>
              <w:spacing w:line="480" w:lineRule="auto"/>
              <w:jc w:val="center"/>
              <w:rPr>
                <w:rFonts w:hint="eastAsia" w:ascii="宋体" w:hAnsi="宋体" w:cs="宋体"/>
                <w:color w:val="auto"/>
                <w:kern w:val="1"/>
                <w:sz w:val="28"/>
                <w:szCs w:val="28"/>
              </w:rPr>
            </w:pPr>
          </w:p>
        </w:tc>
        <w:tc>
          <w:tcPr>
            <w:tcW w:w="697" w:type="pct"/>
            <w:tcBorders>
              <w:top w:val="single" w:color="000000" w:sz="4" w:space="0"/>
              <w:left w:val="single" w:color="000000" w:sz="4" w:space="0"/>
              <w:bottom w:val="single" w:color="000000" w:sz="4" w:space="0"/>
              <w:right w:val="single" w:color="000000" w:sz="4" w:space="0"/>
            </w:tcBorders>
            <w:vAlign w:val="center"/>
          </w:tcPr>
          <w:p w14:paraId="2AC87612">
            <w:pPr>
              <w:spacing w:line="480" w:lineRule="auto"/>
              <w:jc w:val="center"/>
              <w:rPr>
                <w:rFonts w:hint="eastAsia" w:ascii="宋体" w:hAnsi="宋体" w:cs="宋体"/>
                <w:color w:val="auto"/>
                <w:kern w:val="1"/>
                <w:sz w:val="28"/>
                <w:szCs w:val="28"/>
              </w:rPr>
            </w:pPr>
          </w:p>
        </w:tc>
      </w:tr>
      <w:tr w14:paraId="7BE41F26">
        <w:tblPrEx>
          <w:tblCellMar>
            <w:top w:w="0" w:type="dxa"/>
            <w:left w:w="108" w:type="dxa"/>
            <w:bottom w:w="0" w:type="dxa"/>
            <w:right w:w="108" w:type="dxa"/>
          </w:tblCellMar>
        </w:tblPrEx>
        <w:trPr>
          <w:trHeight w:val="8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2CBB7D4B">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08F2603A">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234F4290">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40EE8E9F">
            <w:pPr>
              <w:spacing w:line="480" w:lineRule="auto"/>
              <w:jc w:val="center"/>
              <w:rPr>
                <w:rFonts w:hint="eastAsia" w:ascii="宋体" w:hAnsi="宋体" w:cs="宋体"/>
                <w:color w:val="auto"/>
                <w:kern w:val="1"/>
                <w:sz w:val="28"/>
                <w:szCs w:val="28"/>
              </w:rPr>
            </w:pPr>
          </w:p>
        </w:tc>
        <w:tc>
          <w:tcPr>
            <w:tcW w:w="697" w:type="pct"/>
            <w:tcBorders>
              <w:top w:val="single" w:color="000000" w:sz="4" w:space="0"/>
              <w:left w:val="single" w:color="000000" w:sz="4" w:space="0"/>
              <w:bottom w:val="single" w:color="000000" w:sz="4" w:space="0"/>
              <w:right w:val="single" w:color="000000" w:sz="4" w:space="0"/>
            </w:tcBorders>
            <w:vAlign w:val="center"/>
          </w:tcPr>
          <w:p w14:paraId="57C0A78C">
            <w:pPr>
              <w:spacing w:line="480" w:lineRule="auto"/>
              <w:jc w:val="center"/>
              <w:rPr>
                <w:rFonts w:hint="eastAsia" w:ascii="宋体" w:hAnsi="宋体" w:cs="宋体"/>
                <w:color w:val="auto"/>
                <w:kern w:val="1"/>
                <w:sz w:val="28"/>
                <w:szCs w:val="28"/>
              </w:rPr>
            </w:pPr>
          </w:p>
        </w:tc>
      </w:tr>
      <w:tr w14:paraId="2A9D76C5">
        <w:tblPrEx>
          <w:tblCellMar>
            <w:top w:w="0" w:type="dxa"/>
            <w:left w:w="108" w:type="dxa"/>
            <w:bottom w:w="0" w:type="dxa"/>
            <w:right w:w="108" w:type="dxa"/>
          </w:tblCellMar>
        </w:tblPrEx>
        <w:trPr>
          <w:trHeight w:val="8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036112BB">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778A52D9">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516654AF">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78295285">
            <w:pPr>
              <w:spacing w:line="480" w:lineRule="auto"/>
              <w:jc w:val="center"/>
              <w:rPr>
                <w:rFonts w:hint="eastAsia" w:ascii="宋体" w:hAnsi="宋体" w:cs="宋体"/>
                <w:color w:val="auto"/>
                <w:kern w:val="1"/>
                <w:sz w:val="28"/>
                <w:szCs w:val="28"/>
              </w:rPr>
            </w:pPr>
          </w:p>
        </w:tc>
        <w:tc>
          <w:tcPr>
            <w:tcW w:w="697" w:type="pct"/>
            <w:tcBorders>
              <w:top w:val="single" w:color="000000" w:sz="4" w:space="0"/>
              <w:left w:val="single" w:color="000000" w:sz="4" w:space="0"/>
              <w:bottom w:val="single" w:color="000000" w:sz="4" w:space="0"/>
              <w:right w:val="single" w:color="000000" w:sz="4" w:space="0"/>
            </w:tcBorders>
            <w:vAlign w:val="center"/>
          </w:tcPr>
          <w:p w14:paraId="7BFC5B86">
            <w:pPr>
              <w:spacing w:line="480" w:lineRule="auto"/>
              <w:jc w:val="center"/>
              <w:rPr>
                <w:rFonts w:hint="eastAsia" w:ascii="宋体" w:hAnsi="宋体" w:cs="宋体"/>
                <w:color w:val="auto"/>
                <w:kern w:val="1"/>
                <w:sz w:val="28"/>
                <w:szCs w:val="28"/>
              </w:rPr>
            </w:pPr>
          </w:p>
        </w:tc>
      </w:tr>
      <w:tr w14:paraId="2770FFDC">
        <w:tblPrEx>
          <w:tblCellMar>
            <w:top w:w="0" w:type="dxa"/>
            <w:left w:w="108" w:type="dxa"/>
            <w:bottom w:w="0" w:type="dxa"/>
            <w:right w:w="108" w:type="dxa"/>
          </w:tblCellMar>
        </w:tblPrEx>
        <w:trPr>
          <w:trHeight w:val="880" w:hRule="atLeast"/>
        </w:trPr>
        <w:tc>
          <w:tcPr>
            <w:tcW w:w="697" w:type="pct"/>
            <w:tcBorders>
              <w:top w:val="single" w:color="000000" w:sz="4" w:space="0"/>
              <w:left w:val="single" w:color="000000" w:sz="4" w:space="0"/>
              <w:bottom w:val="single" w:color="000000" w:sz="4" w:space="0"/>
              <w:right w:val="single" w:color="000000" w:sz="4" w:space="0"/>
            </w:tcBorders>
            <w:vAlign w:val="center"/>
          </w:tcPr>
          <w:p w14:paraId="57901908">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312D4883">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323CFAB1">
            <w:pPr>
              <w:spacing w:line="480" w:lineRule="auto"/>
              <w:jc w:val="center"/>
              <w:rPr>
                <w:rFonts w:hint="eastAsia" w:ascii="宋体" w:hAnsi="宋体" w:cs="宋体"/>
                <w:color w:val="auto"/>
                <w:kern w:val="1"/>
                <w:sz w:val="28"/>
                <w:szCs w:val="28"/>
              </w:rPr>
            </w:pPr>
          </w:p>
        </w:tc>
        <w:tc>
          <w:tcPr>
            <w:tcW w:w="1201" w:type="pct"/>
            <w:tcBorders>
              <w:top w:val="single" w:color="000000" w:sz="4" w:space="0"/>
              <w:left w:val="single" w:color="000000" w:sz="4" w:space="0"/>
              <w:bottom w:val="single" w:color="000000" w:sz="4" w:space="0"/>
              <w:right w:val="single" w:color="000000" w:sz="4" w:space="0"/>
            </w:tcBorders>
            <w:vAlign w:val="center"/>
          </w:tcPr>
          <w:p w14:paraId="7CF789A7">
            <w:pPr>
              <w:spacing w:line="480" w:lineRule="auto"/>
              <w:jc w:val="center"/>
              <w:rPr>
                <w:rFonts w:hint="eastAsia" w:ascii="宋体" w:hAnsi="宋体" w:cs="宋体"/>
                <w:color w:val="auto"/>
                <w:kern w:val="1"/>
                <w:sz w:val="28"/>
                <w:szCs w:val="28"/>
              </w:rPr>
            </w:pPr>
          </w:p>
        </w:tc>
        <w:tc>
          <w:tcPr>
            <w:tcW w:w="697" w:type="pct"/>
            <w:tcBorders>
              <w:top w:val="single" w:color="000000" w:sz="4" w:space="0"/>
              <w:left w:val="single" w:color="000000" w:sz="4" w:space="0"/>
              <w:bottom w:val="single" w:color="000000" w:sz="4" w:space="0"/>
              <w:right w:val="single" w:color="000000" w:sz="4" w:space="0"/>
            </w:tcBorders>
            <w:vAlign w:val="center"/>
          </w:tcPr>
          <w:p w14:paraId="432DD5E5">
            <w:pPr>
              <w:spacing w:line="480" w:lineRule="auto"/>
              <w:jc w:val="center"/>
              <w:rPr>
                <w:rFonts w:hint="eastAsia" w:ascii="宋体" w:hAnsi="宋体" w:cs="宋体"/>
                <w:color w:val="auto"/>
                <w:kern w:val="1"/>
                <w:sz w:val="28"/>
                <w:szCs w:val="28"/>
              </w:rPr>
            </w:pPr>
          </w:p>
        </w:tc>
      </w:tr>
    </w:tbl>
    <w:p w14:paraId="19CC23A9">
      <w:pPr>
        <w:pStyle w:val="36"/>
        <w:rPr>
          <w:color w:val="auto"/>
          <w:lang w:val="zh-CN"/>
        </w:rPr>
      </w:pPr>
    </w:p>
    <w:p w14:paraId="7B6F82DA">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投标人名称（盖法人公章）：</w:t>
      </w:r>
    </w:p>
    <w:p w14:paraId="654FAF7A">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法定代表人或被授权人（签字或盖章）：</w:t>
      </w:r>
    </w:p>
    <w:p w14:paraId="6FA46C5C">
      <w:pPr>
        <w:spacing w:line="440" w:lineRule="exact"/>
        <w:ind w:firstLine="5670" w:firstLineChars="2700"/>
        <w:rPr>
          <w:rFonts w:hint="eastAsia" w:ascii="宋体" w:hAnsi="宋体" w:cs="宋体"/>
          <w:color w:val="auto"/>
          <w:szCs w:val="21"/>
        </w:rPr>
      </w:pPr>
      <w:r>
        <w:rPr>
          <w:rFonts w:hint="eastAsia" w:ascii="宋体" w:hAnsi="宋体" w:cs="宋体"/>
          <w:color w:val="auto"/>
          <w:szCs w:val="21"/>
        </w:rPr>
        <w:t>日期：   年  月  日</w:t>
      </w:r>
    </w:p>
    <w:p w14:paraId="72500AF0">
      <w:pPr>
        <w:spacing w:line="360" w:lineRule="auto"/>
        <w:rPr>
          <w:rFonts w:hint="eastAsia" w:ascii="宋体" w:hAnsi="宋体" w:cs="宋体"/>
          <w:b/>
          <w:color w:val="auto"/>
          <w:kern w:val="1"/>
          <w:sz w:val="24"/>
          <w:lang w:val="zh-CN"/>
        </w:rPr>
      </w:pPr>
      <w:r>
        <w:rPr>
          <w:rFonts w:hint="eastAsia" w:ascii="宋体" w:hAnsi="宋体" w:cs="宋体"/>
          <w:b/>
          <w:color w:val="auto"/>
          <w:kern w:val="1"/>
          <w:sz w:val="24"/>
          <w:lang w:val="zh-CN"/>
        </w:rPr>
        <w:br w:type="page"/>
      </w:r>
      <w:r>
        <w:rPr>
          <w:rFonts w:hint="eastAsia" w:ascii="宋体" w:hAnsi="宋体" w:cs="宋体"/>
          <w:b/>
          <w:color w:val="auto"/>
          <w:kern w:val="1"/>
          <w:sz w:val="24"/>
          <w:lang w:val="zh-CN"/>
        </w:rPr>
        <w:t>格式</w:t>
      </w:r>
      <w:r>
        <w:rPr>
          <w:rFonts w:hint="eastAsia" w:ascii="宋体" w:hAnsi="宋体" w:cs="宋体"/>
          <w:b/>
          <w:color w:val="auto"/>
          <w:kern w:val="1"/>
          <w:sz w:val="24"/>
        </w:rPr>
        <w:t>6</w:t>
      </w:r>
    </w:p>
    <w:p w14:paraId="65F545EE">
      <w:pPr>
        <w:spacing w:line="360" w:lineRule="auto"/>
        <w:jc w:val="center"/>
        <w:rPr>
          <w:rFonts w:hint="eastAsia" w:ascii="宋体" w:hAnsi="宋体" w:cs="宋体"/>
          <w:color w:val="auto"/>
          <w:kern w:val="1"/>
          <w:sz w:val="28"/>
          <w:szCs w:val="28"/>
        </w:rPr>
      </w:pPr>
      <w:r>
        <w:rPr>
          <w:rFonts w:hint="eastAsia" w:ascii="宋体" w:hAnsi="宋体" w:cs="宋体"/>
          <w:b/>
          <w:bCs/>
          <w:color w:val="auto"/>
          <w:kern w:val="1"/>
          <w:sz w:val="28"/>
          <w:szCs w:val="28"/>
          <w:lang w:val="zh-CN"/>
        </w:rPr>
        <w:t>企业获奖情况业绩信息表</w:t>
      </w:r>
    </w:p>
    <w:tbl>
      <w:tblPr>
        <w:tblStyle w:val="37"/>
        <w:tblW w:w="4998" w:type="pct"/>
        <w:tblInd w:w="0" w:type="dxa"/>
        <w:tblLayout w:type="autofit"/>
        <w:tblCellMar>
          <w:top w:w="0" w:type="dxa"/>
          <w:left w:w="108" w:type="dxa"/>
          <w:bottom w:w="0" w:type="dxa"/>
          <w:right w:w="108" w:type="dxa"/>
        </w:tblCellMar>
      </w:tblPr>
      <w:tblGrid>
        <w:gridCol w:w="842"/>
        <w:gridCol w:w="1871"/>
        <w:gridCol w:w="1986"/>
        <w:gridCol w:w="2598"/>
        <w:gridCol w:w="1222"/>
      </w:tblGrid>
      <w:tr w14:paraId="5959C1CF">
        <w:tblPrEx>
          <w:tblCellMar>
            <w:top w:w="0" w:type="dxa"/>
            <w:left w:w="108" w:type="dxa"/>
            <w:bottom w:w="0" w:type="dxa"/>
            <w:right w:w="108" w:type="dxa"/>
          </w:tblCellMar>
        </w:tblPrEx>
        <w:trPr>
          <w:trHeight w:val="758" w:hRule="atLeast"/>
        </w:trPr>
        <w:tc>
          <w:tcPr>
            <w:tcW w:w="494" w:type="pct"/>
            <w:tcBorders>
              <w:top w:val="single" w:color="000000" w:sz="4" w:space="0"/>
              <w:left w:val="single" w:color="000000" w:sz="4" w:space="0"/>
              <w:bottom w:val="single" w:color="000000" w:sz="4" w:space="0"/>
              <w:right w:val="single" w:color="000000" w:sz="4" w:space="0"/>
            </w:tcBorders>
            <w:vAlign w:val="center"/>
          </w:tcPr>
          <w:p w14:paraId="2E5D6279">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lang w:val="zh-CN"/>
              </w:rPr>
              <w:t>序号</w:t>
            </w:r>
          </w:p>
        </w:tc>
        <w:tc>
          <w:tcPr>
            <w:tcW w:w="1098" w:type="pct"/>
            <w:tcBorders>
              <w:top w:val="single" w:color="000000" w:sz="4" w:space="0"/>
              <w:left w:val="single" w:color="000000" w:sz="4" w:space="0"/>
              <w:bottom w:val="single" w:color="000000" w:sz="4" w:space="0"/>
              <w:right w:val="single" w:color="000000" w:sz="4" w:space="0"/>
            </w:tcBorders>
            <w:vAlign w:val="center"/>
          </w:tcPr>
          <w:p w14:paraId="5BB324F1">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rPr>
              <w:t>项目编号</w:t>
            </w:r>
          </w:p>
        </w:tc>
        <w:tc>
          <w:tcPr>
            <w:tcW w:w="1165" w:type="pct"/>
            <w:tcBorders>
              <w:top w:val="single" w:color="000000" w:sz="4" w:space="0"/>
              <w:left w:val="single" w:color="000000" w:sz="4" w:space="0"/>
              <w:bottom w:val="single" w:color="000000" w:sz="4" w:space="0"/>
              <w:right w:val="single" w:color="000000" w:sz="4" w:space="0"/>
            </w:tcBorders>
            <w:vAlign w:val="center"/>
          </w:tcPr>
          <w:p w14:paraId="746FDC0B">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lang w:val="zh-CN"/>
              </w:rPr>
              <w:t>工程名称</w:t>
            </w:r>
          </w:p>
        </w:tc>
        <w:tc>
          <w:tcPr>
            <w:tcW w:w="1524" w:type="pct"/>
            <w:tcBorders>
              <w:top w:val="single" w:color="000000" w:sz="4" w:space="0"/>
              <w:left w:val="single" w:color="000000" w:sz="4" w:space="0"/>
              <w:bottom w:val="single" w:color="000000" w:sz="4" w:space="0"/>
              <w:right w:val="single" w:color="000000" w:sz="4" w:space="0"/>
            </w:tcBorders>
            <w:vAlign w:val="center"/>
          </w:tcPr>
          <w:p w14:paraId="2368D9BA">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rPr>
              <w:t>获奖情况</w:t>
            </w:r>
          </w:p>
        </w:tc>
        <w:tc>
          <w:tcPr>
            <w:tcW w:w="717" w:type="pct"/>
            <w:tcBorders>
              <w:top w:val="single" w:color="000000" w:sz="4" w:space="0"/>
              <w:left w:val="single" w:color="000000" w:sz="4" w:space="0"/>
              <w:bottom w:val="single" w:color="000000" w:sz="4" w:space="0"/>
              <w:right w:val="single" w:color="000000" w:sz="4" w:space="0"/>
            </w:tcBorders>
            <w:vAlign w:val="center"/>
          </w:tcPr>
          <w:p w14:paraId="6480BFB5">
            <w:pPr>
              <w:spacing w:line="440" w:lineRule="exact"/>
              <w:jc w:val="center"/>
              <w:rPr>
                <w:rFonts w:hint="eastAsia" w:ascii="宋体" w:hAnsi="宋体" w:cs="宋体"/>
                <w:color w:val="auto"/>
                <w:kern w:val="1"/>
                <w:sz w:val="28"/>
                <w:szCs w:val="28"/>
              </w:rPr>
            </w:pPr>
            <w:r>
              <w:rPr>
                <w:rFonts w:hint="eastAsia" w:ascii="宋体" w:hAnsi="宋体" w:cs="宋体"/>
                <w:color w:val="auto"/>
                <w:kern w:val="1"/>
                <w:sz w:val="28"/>
                <w:szCs w:val="28"/>
                <w:lang w:val="zh-CN"/>
              </w:rPr>
              <w:t>备注</w:t>
            </w:r>
          </w:p>
        </w:tc>
      </w:tr>
      <w:tr w14:paraId="1518543F">
        <w:tblPrEx>
          <w:tblCellMar>
            <w:top w:w="0" w:type="dxa"/>
            <w:left w:w="108" w:type="dxa"/>
            <w:bottom w:w="0" w:type="dxa"/>
            <w:right w:w="108" w:type="dxa"/>
          </w:tblCellMar>
        </w:tblPrEx>
        <w:trPr>
          <w:trHeight w:val="504" w:hRule="atLeast"/>
        </w:trPr>
        <w:tc>
          <w:tcPr>
            <w:tcW w:w="494" w:type="pct"/>
            <w:tcBorders>
              <w:top w:val="single" w:color="000000" w:sz="4" w:space="0"/>
              <w:left w:val="single" w:color="000000" w:sz="4" w:space="0"/>
              <w:bottom w:val="single" w:color="000000" w:sz="4" w:space="0"/>
              <w:right w:val="single" w:color="000000" w:sz="4" w:space="0"/>
            </w:tcBorders>
            <w:vAlign w:val="center"/>
          </w:tcPr>
          <w:p w14:paraId="3752D78B">
            <w:pPr>
              <w:spacing w:line="480" w:lineRule="auto"/>
              <w:jc w:val="center"/>
              <w:rPr>
                <w:rFonts w:hint="eastAsia" w:ascii="宋体" w:hAnsi="宋体" w:cs="宋体"/>
                <w:color w:val="auto"/>
                <w:kern w:val="1"/>
                <w:sz w:val="28"/>
                <w:szCs w:val="28"/>
              </w:rPr>
            </w:pPr>
          </w:p>
        </w:tc>
        <w:tc>
          <w:tcPr>
            <w:tcW w:w="1098" w:type="pct"/>
            <w:tcBorders>
              <w:top w:val="single" w:color="000000" w:sz="4" w:space="0"/>
              <w:left w:val="single" w:color="000000" w:sz="4" w:space="0"/>
              <w:bottom w:val="single" w:color="000000" w:sz="4" w:space="0"/>
              <w:right w:val="single" w:color="000000" w:sz="4" w:space="0"/>
            </w:tcBorders>
            <w:vAlign w:val="center"/>
          </w:tcPr>
          <w:p w14:paraId="368D0021">
            <w:pPr>
              <w:spacing w:line="480" w:lineRule="auto"/>
              <w:jc w:val="center"/>
              <w:rPr>
                <w:rFonts w:hint="eastAsia" w:ascii="宋体" w:hAnsi="宋体" w:cs="宋体"/>
                <w:color w:val="auto"/>
                <w:kern w:val="1"/>
                <w:sz w:val="28"/>
                <w:szCs w:val="28"/>
              </w:rPr>
            </w:pPr>
          </w:p>
        </w:tc>
        <w:tc>
          <w:tcPr>
            <w:tcW w:w="1165" w:type="pct"/>
            <w:tcBorders>
              <w:top w:val="single" w:color="000000" w:sz="4" w:space="0"/>
              <w:left w:val="single" w:color="000000" w:sz="4" w:space="0"/>
              <w:bottom w:val="single" w:color="000000" w:sz="4" w:space="0"/>
              <w:right w:val="single" w:color="000000" w:sz="4" w:space="0"/>
            </w:tcBorders>
            <w:vAlign w:val="center"/>
          </w:tcPr>
          <w:p w14:paraId="24499E9A">
            <w:pPr>
              <w:spacing w:line="480" w:lineRule="auto"/>
              <w:jc w:val="center"/>
              <w:rPr>
                <w:rFonts w:hint="eastAsia" w:ascii="宋体" w:hAnsi="宋体" w:cs="宋体"/>
                <w:color w:val="auto"/>
                <w:kern w:val="1"/>
                <w:sz w:val="28"/>
                <w:szCs w:val="28"/>
              </w:rPr>
            </w:pPr>
          </w:p>
        </w:tc>
        <w:tc>
          <w:tcPr>
            <w:tcW w:w="1524" w:type="pct"/>
            <w:tcBorders>
              <w:top w:val="single" w:color="000000" w:sz="4" w:space="0"/>
              <w:left w:val="single" w:color="000000" w:sz="4" w:space="0"/>
              <w:bottom w:val="single" w:color="000000" w:sz="4" w:space="0"/>
              <w:right w:val="single" w:color="000000" w:sz="4" w:space="0"/>
            </w:tcBorders>
            <w:vAlign w:val="center"/>
          </w:tcPr>
          <w:p w14:paraId="01DEFA8A">
            <w:pPr>
              <w:spacing w:line="480" w:lineRule="auto"/>
              <w:jc w:val="center"/>
              <w:rPr>
                <w:rFonts w:hint="eastAsia" w:ascii="宋体" w:hAnsi="宋体" w:cs="宋体"/>
                <w:color w:val="auto"/>
                <w:kern w:val="1"/>
                <w:sz w:val="28"/>
                <w:szCs w:val="28"/>
              </w:rPr>
            </w:pPr>
          </w:p>
        </w:tc>
        <w:tc>
          <w:tcPr>
            <w:tcW w:w="717" w:type="pct"/>
            <w:tcBorders>
              <w:top w:val="single" w:color="000000" w:sz="4" w:space="0"/>
              <w:left w:val="single" w:color="000000" w:sz="4" w:space="0"/>
              <w:bottom w:val="single" w:color="000000" w:sz="4" w:space="0"/>
              <w:right w:val="single" w:color="000000" w:sz="4" w:space="0"/>
            </w:tcBorders>
            <w:vAlign w:val="center"/>
          </w:tcPr>
          <w:p w14:paraId="6EC2245F">
            <w:pPr>
              <w:spacing w:line="480" w:lineRule="auto"/>
              <w:jc w:val="center"/>
              <w:rPr>
                <w:rFonts w:hint="eastAsia" w:ascii="宋体" w:hAnsi="宋体" w:cs="宋体"/>
                <w:color w:val="auto"/>
                <w:kern w:val="1"/>
                <w:sz w:val="28"/>
                <w:szCs w:val="28"/>
              </w:rPr>
            </w:pPr>
          </w:p>
        </w:tc>
      </w:tr>
      <w:tr w14:paraId="6FE4DA95">
        <w:tblPrEx>
          <w:tblCellMar>
            <w:top w:w="0" w:type="dxa"/>
            <w:left w:w="108" w:type="dxa"/>
            <w:bottom w:w="0" w:type="dxa"/>
            <w:right w:w="108" w:type="dxa"/>
          </w:tblCellMar>
        </w:tblPrEx>
        <w:trPr>
          <w:trHeight w:val="504" w:hRule="atLeast"/>
        </w:trPr>
        <w:tc>
          <w:tcPr>
            <w:tcW w:w="494" w:type="pct"/>
            <w:tcBorders>
              <w:top w:val="single" w:color="000000" w:sz="4" w:space="0"/>
              <w:left w:val="single" w:color="000000" w:sz="4" w:space="0"/>
              <w:bottom w:val="single" w:color="000000" w:sz="4" w:space="0"/>
              <w:right w:val="single" w:color="000000" w:sz="4" w:space="0"/>
            </w:tcBorders>
            <w:vAlign w:val="center"/>
          </w:tcPr>
          <w:p w14:paraId="634A9ED1">
            <w:pPr>
              <w:spacing w:line="480" w:lineRule="auto"/>
              <w:jc w:val="center"/>
              <w:rPr>
                <w:rFonts w:hint="eastAsia" w:ascii="宋体" w:hAnsi="宋体" w:cs="宋体"/>
                <w:color w:val="auto"/>
                <w:kern w:val="1"/>
                <w:sz w:val="28"/>
                <w:szCs w:val="28"/>
              </w:rPr>
            </w:pPr>
          </w:p>
        </w:tc>
        <w:tc>
          <w:tcPr>
            <w:tcW w:w="1098" w:type="pct"/>
            <w:tcBorders>
              <w:top w:val="single" w:color="000000" w:sz="4" w:space="0"/>
              <w:left w:val="single" w:color="000000" w:sz="4" w:space="0"/>
              <w:bottom w:val="single" w:color="000000" w:sz="4" w:space="0"/>
              <w:right w:val="single" w:color="000000" w:sz="4" w:space="0"/>
            </w:tcBorders>
            <w:vAlign w:val="center"/>
          </w:tcPr>
          <w:p w14:paraId="7036B690">
            <w:pPr>
              <w:spacing w:line="480" w:lineRule="auto"/>
              <w:jc w:val="center"/>
              <w:rPr>
                <w:rFonts w:hint="eastAsia" w:ascii="宋体" w:hAnsi="宋体" w:cs="宋体"/>
                <w:color w:val="auto"/>
                <w:kern w:val="1"/>
                <w:sz w:val="28"/>
                <w:szCs w:val="28"/>
              </w:rPr>
            </w:pPr>
          </w:p>
        </w:tc>
        <w:tc>
          <w:tcPr>
            <w:tcW w:w="1165" w:type="pct"/>
            <w:tcBorders>
              <w:top w:val="single" w:color="000000" w:sz="4" w:space="0"/>
              <w:left w:val="single" w:color="000000" w:sz="4" w:space="0"/>
              <w:bottom w:val="single" w:color="000000" w:sz="4" w:space="0"/>
              <w:right w:val="single" w:color="000000" w:sz="4" w:space="0"/>
            </w:tcBorders>
            <w:vAlign w:val="center"/>
          </w:tcPr>
          <w:p w14:paraId="4232CF04">
            <w:pPr>
              <w:spacing w:line="480" w:lineRule="auto"/>
              <w:jc w:val="center"/>
              <w:rPr>
                <w:rFonts w:hint="eastAsia" w:ascii="宋体" w:hAnsi="宋体" w:cs="宋体"/>
                <w:color w:val="auto"/>
                <w:kern w:val="1"/>
                <w:sz w:val="28"/>
                <w:szCs w:val="28"/>
              </w:rPr>
            </w:pPr>
          </w:p>
        </w:tc>
        <w:tc>
          <w:tcPr>
            <w:tcW w:w="1524" w:type="pct"/>
            <w:tcBorders>
              <w:top w:val="single" w:color="000000" w:sz="4" w:space="0"/>
              <w:left w:val="single" w:color="000000" w:sz="4" w:space="0"/>
              <w:bottom w:val="single" w:color="000000" w:sz="4" w:space="0"/>
              <w:right w:val="single" w:color="000000" w:sz="4" w:space="0"/>
            </w:tcBorders>
            <w:vAlign w:val="center"/>
          </w:tcPr>
          <w:p w14:paraId="6D40E781">
            <w:pPr>
              <w:spacing w:line="480" w:lineRule="auto"/>
              <w:jc w:val="center"/>
              <w:rPr>
                <w:rFonts w:hint="eastAsia" w:ascii="宋体" w:hAnsi="宋体" w:cs="宋体"/>
                <w:color w:val="auto"/>
                <w:kern w:val="1"/>
                <w:sz w:val="28"/>
                <w:szCs w:val="28"/>
              </w:rPr>
            </w:pPr>
          </w:p>
        </w:tc>
        <w:tc>
          <w:tcPr>
            <w:tcW w:w="717" w:type="pct"/>
            <w:tcBorders>
              <w:top w:val="single" w:color="000000" w:sz="4" w:space="0"/>
              <w:left w:val="single" w:color="000000" w:sz="4" w:space="0"/>
              <w:bottom w:val="single" w:color="000000" w:sz="4" w:space="0"/>
              <w:right w:val="single" w:color="000000" w:sz="4" w:space="0"/>
            </w:tcBorders>
            <w:vAlign w:val="center"/>
          </w:tcPr>
          <w:p w14:paraId="6C0A3195">
            <w:pPr>
              <w:spacing w:line="480" w:lineRule="auto"/>
              <w:jc w:val="center"/>
              <w:rPr>
                <w:rFonts w:hint="eastAsia" w:ascii="宋体" w:hAnsi="宋体" w:cs="宋体"/>
                <w:color w:val="auto"/>
                <w:kern w:val="1"/>
                <w:sz w:val="28"/>
                <w:szCs w:val="28"/>
              </w:rPr>
            </w:pPr>
          </w:p>
        </w:tc>
      </w:tr>
      <w:tr w14:paraId="1A6F4797">
        <w:tblPrEx>
          <w:tblCellMar>
            <w:top w:w="0" w:type="dxa"/>
            <w:left w:w="108" w:type="dxa"/>
            <w:bottom w:w="0" w:type="dxa"/>
            <w:right w:w="108" w:type="dxa"/>
          </w:tblCellMar>
        </w:tblPrEx>
        <w:trPr>
          <w:trHeight w:val="504" w:hRule="atLeast"/>
        </w:trPr>
        <w:tc>
          <w:tcPr>
            <w:tcW w:w="494" w:type="pct"/>
            <w:tcBorders>
              <w:top w:val="single" w:color="000000" w:sz="4" w:space="0"/>
              <w:left w:val="single" w:color="000000" w:sz="4" w:space="0"/>
              <w:bottom w:val="single" w:color="000000" w:sz="4" w:space="0"/>
              <w:right w:val="single" w:color="000000" w:sz="4" w:space="0"/>
            </w:tcBorders>
            <w:vAlign w:val="center"/>
          </w:tcPr>
          <w:p w14:paraId="6815763C">
            <w:pPr>
              <w:spacing w:line="480" w:lineRule="auto"/>
              <w:jc w:val="center"/>
              <w:rPr>
                <w:rFonts w:hint="eastAsia" w:ascii="宋体" w:hAnsi="宋体" w:cs="宋体"/>
                <w:color w:val="auto"/>
                <w:kern w:val="1"/>
                <w:sz w:val="28"/>
                <w:szCs w:val="28"/>
              </w:rPr>
            </w:pPr>
          </w:p>
        </w:tc>
        <w:tc>
          <w:tcPr>
            <w:tcW w:w="1098" w:type="pct"/>
            <w:tcBorders>
              <w:top w:val="single" w:color="000000" w:sz="4" w:space="0"/>
              <w:left w:val="single" w:color="000000" w:sz="4" w:space="0"/>
              <w:bottom w:val="single" w:color="000000" w:sz="4" w:space="0"/>
              <w:right w:val="single" w:color="000000" w:sz="4" w:space="0"/>
            </w:tcBorders>
            <w:vAlign w:val="center"/>
          </w:tcPr>
          <w:p w14:paraId="4309239F">
            <w:pPr>
              <w:spacing w:line="480" w:lineRule="auto"/>
              <w:jc w:val="center"/>
              <w:rPr>
                <w:rFonts w:hint="eastAsia" w:ascii="宋体" w:hAnsi="宋体" w:cs="宋体"/>
                <w:color w:val="auto"/>
                <w:kern w:val="1"/>
                <w:sz w:val="28"/>
                <w:szCs w:val="28"/>
              </w:rPr>
            </w:pPr>
          </w:p>
        </w:tc>
        <w:tc>
          <w:tcPr>
            <w:tcW w:w="1165" w:type="pct"/>
            <w:tcBorders>
              <w:top w:val="single" w:color="000000" w:sz="4" w:space="0"/>
              <w:left w:val="single" w:color="000000" w:sz="4" w:space="0"/>
              <w:bottom w:val="single" w:color="000000" w:sz="4" w:space="0"/>
              <w:right w:val="single" w:color="000000" w:sz="4" w:space="0"/>
            </w:tcBorders>
            <w:vAlign w:val="center"/>
          </w:tcPr>
          <w:p w14:paraId="7776C119">
            <w:pPr>
              <w:spacing w:line="480" w:lineRule="auto"/>
              <w:jc w:val="center"/>
              <w:rPr>
                <w:rFonts w:hint="eastAsia" w:ascii="宋体" w:hAnsi="宋体" w:cs="宋体"/>
                <w:color w:val="auto"/>
                <w:kern w:val="1"/>
                <w:sz w:val="28"/>
                <w:szCs w:val="28"/>
              </w:rPr>
            </w:pPr>
          </w:p>
        </w:tc>
        <w:tc>
          <w:tcPr>
            <w:tcW w:w="1524" w:type="pct"/>
            <w:tcBorders>
              <w:top w:val="single" w:color="000000" w:sz="4" w:space="0"/>
              <w:left w:val="single" w:color="000000" w:sz="4" w:space="0"/>
              <w:bottom w:val="single" w:color="000000" w:sz="4" w:space="0"/>
              <w:right w:val="single" w:color="000000" w:sz="4" w:space="0"/>
            </w:tcBorders>
            <w:vAlign w:val="center"/>
          </w:tcPr>
          <w:p w14:paraId="0D449B30">
            <w:pPr>
              <w:spacing w:line="480" w:lineRule="auto"/>
              <w:jc w:val="center"/>
              <w:rPr>
                <w:rFonts w:hint="eastAsia" w:ascii="宋体" w:hAnsi="宋体" w:cs="宋体"/>
                <w:color w:val="auto"/>
                <w:kern w:val="1"/>
                <w:sz w:val="28"/>
                <w:szCs w:val="28"/>
              </w:rPr>
            </w:pPr>
          </w:p>
        </w:tc>
        <w:tc>
          <w:tcPr>
            <w:tcW w:w="717" w:type="pct"/>
            <w:tcBorders>
              <w:top w:val="single" w:color="000000" w:sz="4" w:space="0"/>
              <w:left w:val="single" w:color="000000" w:sz="4" w:space="0"/>
              <w:bottom w:val="single" w:color="000000" w:sz="4" w:space="0"/>
              <w:right w:val="single" w:color="000000" w:sz="4" w:space="0"/>
            </w:tcBorders>
            <w:vAlign w:val="center"/>
          </w:tcPr>
          <w:p w14:paraId="40E88302">
            <w:pPr>
              <w:spacing w:line="480" w:lineRule="auto"/>
              <w:jc w:val="center"/>
              <w:rPr>
                <w:rFonts w:hint="eastAsia" w:ascii="宋体" w:hAnsi="宋体" w:cs="宋体"/>
                <w:color w:val="auto"/>
                <w:kern w:val="1"/>
                <w:sz w:val="28"/>
                <w:szCs w:val="28"/>
              </w:rPr>
            </w:pPr>
          </w:p>
        </w:tc>
      </w:tr>
      <w:tr w14:paraId="792C78F9">
        <w:tblPrEx>
          <w:tblCellMar>
            <w:top w:w="0" w:type="dxa"/>
            <w:left w:w="108" w:type="dxa"/>
            <w:bottom w:w="0" w:type="dxa"/>
            <w:right w:w="108" w:type="dxa"/>
          </w:tblCellMar>
        </w:tblPrEx>
        <w:trPr>
          <w:trHeight w:val="512" w:hRule="atLeast"/>
        </w:trPr>
        <w:tc>
          <w:tcPr>
            <w:tcW w:w="494" w:type="pct"/>
            <w:tcBorders>
              <w:top w:val="single" w:color="000000" w:sz="4" w:space="0"/>
              <w:left w:val="single" w:color="000000" w:sz="4" w:space="0"/>
              <w:bottom w:val="single" w:color="000000" w:sz="4" w:space="0"/>
              <w:right w:val="single" w:color="000000" w:sz="4" w:space="0"/>
            </w:tcBorders>
            <w:vAlign w:val="center"/>
          </w:tcPr>
          <w:p w14:paraId="14B73351">
            <w:pPr>
              <w:spacing w:line="480" w:lineRule="auto"/>
              <w:jc w:val="center"/>
              <w:rPr>
                <w:rFonts w:hint="eastAsia" w:ascii="宋体" w:hAnsi="宋体" w:cs="宋体"/>
                <w:color w:val="auto"/>
                <w:kern w:val="1"/>
                <w:sz w:val="28"/>
                <w:szCs w:val="28"/>
              </w:rPr>
            </w:pPr>
          </w:p>
        </w:tc>
        <w:tc>
          <w:tcPr>
            <w:tcW w:w="1098" w:type="pct"/>
            <w:tcBorders>
              <w:top w:val="single" w:color="000000" w:sz="4" w:space="0"/>
              <w:left w:val="single" w:color="000000" w:sz="4" w:space="0"/>
              <w:bottom w:val="single" w:color="000000" w:sz="4" w:space="0"/>
              <w:right w:val="single" w:color="000000" w:sz="4" w:space="0"/>
            </w:tcBorders>
            <w:vAlign w:val="center"/>
          </w:tcPr>
          <w:p w14:paraId="71D94A70">
            <w:pPr>
              <w:spacing w:line="480" w:lineRule="auto"/>
              <w:jc w:val="center"/>
              <w:rPr>
                <w:rFonts w:hint="eastAsia" w:ascii="宋体" w:hAnsi="宋体" w:cs="宋体"/>
                <w:color w:val="auto"/>
                <w:kern w:val="1"/>
                <w:sz w:val="28"/>
                <w:szCs w:val="28"/>
              </w:rPr>
            </w:pPr>
          </w:p>
        </w:tc>
        <w:tc>
          <w:tcPr>
            <w:tcW w:w="1165" w:type="pct"/>
            <w:tcBorders>
              <w:top w:val="single" w:color="000000" w:sz="4" w:space="0"/>
              <w:left w:val="single" w:color="000000" w:sz="4" w:space="0"/>
              <w:bottom w:val="single" w:color="000000" w:sz="4" w:space="0"/>
              <w:right w:val="single" w:color="000000" w:sz="4" w:space="0"/>
            </w:tcBorders>
            <w:vAlign w:val="center"/>
          </w:tcPr>
          <w:p w14:paraId="4A5310C9">
            <w:pPr>
              <w:spacing w:line="480" w:lineRule="auto"/>
              <w:jc w:val="center"/>
              <w:rPr>
                <w:rFonts w:hint="eastAsia" w:ascii="宋体" w:hAnsi="宋体" w:cs="宋体"/>
                <w:color w:val="auto"/>
                <w:kern w:val="1"/>
                <w:sz w:val="28"/>
                <w:szCs w:val="28"/>
              </w:rPr>
            </w:pPr>
          </w:p>
        </w:tc>
        <w:tc>
          <w:tcPr>
            <w:tcW w:w="1524" w:type="pct"/>
            <w:tcBorders>
              <w:top w:val="single" w:color="000000" w:sz="4" w:space="0"/>
              <w:left w:val="single" w:color="000000" w:sz="4" w:space="0"/>
              <w:bottom w:val="single" w:color="000000" w:sz="4" w:space="0"/>
              <w:right w:val="single" w:color="000000" w:sz="4" w:space="0"/>
            </w:tcBorders>
            <w:vAlign w:val="center"/>
          </w:tcPr>
          <w:p w14:paraId="3A842196">
            <w:pPr>
              <w:spacing w:line="480" w:lineRule="auto"/>
              <w:jc w:val="center"/>
              <w:rPr>
                <w:rFonts w:hint="eastAsia" w:ascii="宋体" w:hAnsi="宋体" w:cs="宋体"/>
                <w:color w:val="auto"/>
                <w:kern w:val="1"/>
                <w:sz w:val="28"/>
                <w:szCs w:val="28"/>
              </w:rPr>
            </w:pPr>
          </w:p>
        </w:tc>
        <w:tc>
          <w:tcPr>
            <w:tcW w:w="717" w:type="pct"/>
            <w:tcBorders>
              <w:top w:val="single" w:color="000000" w:sz="4" w:space="0"/>
              <w:left w:val="single" w:color="000000" w:sz="4" w:space="0"/>
              <w:bottom w:val="single" w:color="000000" w:sz="4" w:space="0"/>
              <w:right w:val="single" w:color="000000" w:sz="4" w:space="0"/>
            </w:tcBorders>
            <w:vAlign w:val="center"/>
          </w:tcPr>
          <w:p w14:paraId="61F0FEF4">
            <w:pPr>
              <w:spacing w:line="480" w:lineRule="auto"/>
              <w:jc w:val="center"/>
              <w:rPr>
                <w:rFonts w:hint="eastAsia" w:ascii="宋体" w:hAnsi="宋体" w:cs="宋体"/>
                <w:color w:val="auto"/>
                <w:kern w:val="1"/>
                <w:sz w:val="28"/>
                <w:szCs w:val="28"/>
              </w:rPr>
            </w:pPr>
          </w:p>
        </w:tc>
      </w:tr>
    </w:tbl>
    <w:p w14:paraId="2FE7E586">
      <w:pPr>
        <w:tabs>
          <w:tab w:val="left" w:pos="7655"/>
        </w:tabs>
        <w:ind w:right="492"/>
        <w:jc w:val="center"/>
        <w:rPr>
          <w:rFonts w:hint="eastAsia" w:ascii="宋体" w:hAnsi="宋体" w:cs="宋体"/>
          <w:color w:val="auto"/>
          <w:sz w:val="18"/>
          <w:szCs w:val="18"/>
        </w:rPr>
      </w:pPr>
    </w:p>
    <w:p w14:paraId="104A979F">
      <w:pPr>
        <w:tabs>
          <w:tab w:val="left" w:pos="7655"/>
        </w:tabs>
        <w:ind w:right="492"/>
        <w:jc w:val="center"/>
        <w:rPr>
          <w:rFonts w:hint="eastAsia" w:ascii="宋体" w:hAnsi="宋体" w:cs="宋体"/>
          <w:dstrike/>
          <w:color w:val="auto"/>
          <w:sz w:val="18"/>
          <w:szCs w:val="18"/>
        </w:rPr>
      </w:pPr>
    </w:p>
    <w:p w14:paraId="0A590554">
      <w:pPr>
        <w:spacing w:line="540" w:lineRule="exact"/>
        <w:rPr>
          <w:rFonts w:hint="eastAsia" w:ascii="宋体" w:hAnsi="宋体" w:cs="宋体"/>
          <w:b/>
          <w:dstrike/>
          <w:color w:val="auto"/>
          <w:kern w:val="1"/>
          <w:sz w:val="24"/>
          <w:lang w:val="zh-CN"/>
        </w:rPr>
      </w:pPr>
    </w:p>
    <w:p w14:paraId="572C0124">
      <w:pPr>
        <w:spacing w:line="540" w:lineRule="exact"/>
        <w:rPr>
          <w:rFonts w:hint="eastAsia" w:ascii="宋体" w:hAnsi="宋体" w:cs="宋体"/>
          <w:b/>
          <w:color w:val="auto"/>
          <w:kern w:val="1"/>
          <w:sz w:val="24"/>
          <w:lang w:val="zh-CN"/>
        </w:rPr>
      </w:pPr>
    </w:p>
    <w:p w14:paraId="0E3286E9">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投标人名称（盖法人公章）：</w:t>
      </w:r>
    </w:p>
    <w:p w14:paraId="6291759C">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法定代表人或被授权人（签字或盖章）：</w:t>
      </w:r>
    </w:p>
    <w:p w14:paraId="50189617">
      <w:pPr>
        <w:spacing w:line="440" w:lineRule="exact"/>
        <w:ind w:firstLine="6090" w:firstLineChars="2900"/>
        <w:rPr>
          <w:rFonts w:hint="eastAsia" w:ascii="宋体" w:hAnsi="宋体" w:cs="宋体"/>
          <w:color w:val="auto"/>
          <w:szCs w:val="21"/>
        </w:rPr>
      </w:pPr>
      <w:r>
        <w:rPr>
          <w:rFonts w:hint="eastAsia" w:ascii="宋体" w:hAnsi="宋体" w:cs="宋体"/>
          <w:color w:val="auto"/>
          <w:szCs w:val="21"/>
        </w:rPr>
        <w:t>日期：   年  月  日</w:t>
      </w:r>
    </w:p>
    <w:p w14:paraId="3A162045">
      <w:pPr>
        <w:pStyle w:val="36"/>
        <w:rPr>
          <w:color w:val="auto"/>
          <w:lang w:val="zh-CN"/>
        </w:rPr>
      </w:pPr>
    </w:p>
    <w:p w14:paraId="15822468">
      <w:pPr>
        <w:spacing w:line="360" w:lineRule="auto"/>
        <w:jc w:val="left"/>
        <w:rPr>
          <w:rFonts w:hint="eastAsia" w:ascii="宋体" w:hAnsi="宋体" w:cs="宋体"/>
          <w:b/>
          <w:color w:val="auto"/>
          <w:kern w:val="1"/>
          <w:sz w:val="24"/>
          <w:lang w:val="zh-CN"/>
        </w:rPr>
      </w:pPr>
      <w:r>
        <w:rPr>
          <w:rFonts w:hint="eastAsia" w:ascii="宋体" w:hAnsi="宋体" w:cs="宋体"/>
          <w:b/>
          <w:color w:val="auto"/>
          <w:kern w:val="1"/>
          <w:sz w:val="24"/>
          <w:lang w:val="zh-CN"/>
        </w:rPr>
        <w:br w:type="page"/>
      </w:r>
      <w:r>
        <w:rPr>
          <w:rFonts w:hint="eastAsia" w:ascii="宋体" w:hAnsi="宋体" w:cs="宋体"/>
          <w:b/>
          <w:color w:val="auto"/>
          <w:kern w:val="1"/>
          <w:sz w:val="24"/>
          <w:lang w:val="zh-CN"/>
        </w:rPr>
        <w:t>格式</w:t>
      </w:r>
      <w:r>
        <w:rPr>
          <w:rFonts w:hint="eastAsia" w:ascii="宋体" w:hAnsi="宋体" w:cs="宋体"/>
          <w:b/>
          <w:color w:val="auto"/>
          <w:kern w:val="1"/>
          <w:sz w:val="24"/>
        </w:rPr>
        <w:t>7</w:t>
      </w:r>
      <w:r>
        <w:rPr>
          <w:rFonts w:hint="eastAsia" w:ascii="宋体" w:hAnsi="宋体" w:cs="宋体"/>
          <w:b/>
          <w:color w:val="auto"/>
          <w:kern w:val="1"/>
          <w:sz w:val="24"/>
          <w:lang w:val="zh-CN"/>
        </w:rPr>
        <w:t>：</w:t>
      </w:r>
    </w:p>
    <w:p w14:paraId="3A90ABBB">
      <w:pPr>
        <w:autoSpaceDE w:val="0"/>
        <w:autoSpaceDN w:val="0"/>
        <w:adjustRightInd w:val="0"/>
        <w:spacing w:line="360" w:lineRule="auto"/>
        <w:jc w:val="center"/>
        <w:rPr>
          <w:rFonts w:hint="eastAsia" w:ascii="宋体" w:hAnsi="宋体" w:cs="宋体"/>
          <w:b/>
          <w:bCs/>
          <w:color w:val="auto"/>
          <w:sz w:val="28"/>
          <w:szCs w:val="28"/>
          <w:lang w:val="zh-CN"/>
        </w:rPr>
      </w:pPr>
      <w:r>
        <w:rPr>
          <w:rFonts w:hint="eastAsia" w:ascii="宋体" w:hAnsi="宋体" w:cs="宋体"/>
          <w:b/>
          <w:bCs/>
          <w:color w:val="auto"/>
          <w:sz w:val="28"/>
          <w:szCs w:val="28"/>
          <w:lang w:val="zh-CN"/>
        </w:rPr>
        <w:t>项目管理机构配备表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478"/>
        <w:gridCol w:w="992"/>
        <w:gridCol w:w="1069"/>
        <w:gridCol w:w="993"/>
        <w:gridCol w:w="1134"/>
        <w:gridCol w:w="930"/>
        <w:gridCol w:w="1236"/>
      </w:tblGrid>
      <w:tr w14:paraId="4470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09" w:type="dxa"/>
            <w:vAlign w:val="center"/>
          </w:tcPr>
          <w:p w14:paraId="3BDF48FC">
            <w:pPr>
              <w:adjustRightInd w:val="0"/>
              <w:snapToGrid w:val="0"/>
              <w:jc w:val="center"/>
              <w:rPr>
                <w:rFonts w:hint="eastAsia" w:ascii="宋体" w:hAnsi="宋体" w:cs="宋体"/>
                <w:color w:val="auto"/>
                <w:szCs w:val="21"/>
              </w:rPr>
            </w:pPr>
            <w:r>
              <w:rPr>
                <w:rFonts w:hint="eastAsia" w:ascii="宋体" w:hAnsi="宋体" w:cs="宋体"/>
                <w:color w:val="auto"/>
                <w:szCs w:val="21"/>
              </w:rPr>
              <w:t>序号</w:t>
            </w:r>
          </w:p>
        </w:tc>
        <w:tc>
          <w:tcPr>
            <w:tcW w:w="1478" w:type="dxa"/>
            <w:vAlign w:val="center"/>
          </w:tcPr>
          <w:p w14:paraId="45E57ADA">
            <w:pPr>
              <w:adjustRightInd w:val="0"/>
              <w:snapToGrid w:val="0"/>
              <w:jc w:val="center"/>
              <w:rPr>
                <w:rFonts w:hint="eastAsia" w:ascii="宋体" w:hAnsi="宋体" w:cs="宋体"/>
                <w:color w:val="auto"/>
                <w:szCs w:val="21"/>
              </w:rPr>
            </w:pPr>
            <w:r>
              <w:rPr>
                <w:rFonts w:hint="eastAsia" w:ascii="宋体" w:hAnsi="宋体" w:cs="宋体"/>
                <w:color w:val="auto"/>
                <w:szCs w:val="21"/>
              </w:rPr>
              <w:t>拟在本项目任职</w:t>
            </w:r>
          </w:p>
        </w:tc>
        <w:tc>
          <w:tcPr>
            <w:tcW w:w="992" w:type="dxa"/>
            <w:vAlign w:val="center"/>
          </w:tcPr>
          <w:p w14:paraId="3A0AFE0E">
            <w:pPr>
              <w:adjustRightInd w:val="0"/>
              <w:snapToGrid w:val="0"/>
              <w:jc w:val="center"/>
              <w:rPr>
                <w:rFonts w:hint="eastAsia" w:ascii="宋体" w:hAnsi="宋体" w:cs="宋体"/>
                <w:color w:val="auto"/>
                <w:szCs w:val="21"/>
              </w:rPr>
            </w:pPr>
            <w:r>
              <w:rPr>
                <w:rFonts w:hint="eastAsia" w:ascii="宋体" w:hAnsi="宋体" w:cs="宋体"/>
                <w:color w:val="auto"/>
                <w:szCs w:val="21"/>
              </w:rPr>
              <w:t>姓名</w:t>
            </w:r>
          </w:p>
        </w:tc>
        <w:tc>
          <w:tcPr>
            <w:tcW w:w="1069" w:type="dxa"/>
            <w:vAlign w:val="center"/>
          </w:tcPr>
          <w:p w14:paraId="7EC09406">
            <w:pPr>
              <w:adjustRightInd w:val="0"/>
              <w:snapToGrid w:val="0"/>
              <w:jc w:val="center"/>
              <w:rPr>
                <w:rFonts w:hint="eastAsia" w:ascii="宋体" w:hAnsi="宋体" w:cs="宋体"/>
                <w:color w:val="auto"/>
                <w:szCs w:val="21"/>
              </w:rPr>
            </w:pPr>
            <w:r>
              <w:rPr>
                <w:rFonts w:hint="eastAsia" w:ascii="宋体" w:hAnsi="宋体" w:cs="宋体"/>
                <w:color w:val="auto"/>
                <w:szCs w:val="21"/>
              </w:rPr>
              <w:t>年龄</w:t>
            </w:r>
          </w:p>
        </w:tc>
        <w:tc>
          <w:tcPr>
            <w:tcW w:w="993" w:type="dxa"/>
            <w:vAlign w:val="center"/>
          </w:tcPr>
          <w:p w14:paraId="647E21BF">
            <w:pPr>
              <w:adjustRightInd w:val="0"/>
              <w:snapToGrid w:val="0"/>
              <w:jc w:val="center"/>
              <w:rPr>
                <w:rFonts w:hint="eastAsia" w:ascii="宋体" w:hAnsi="宋体" w:cs="宋体"/>
                <w:color w:val="auto"/>
                <w:szCs w:val="21"/>
              </w:rPr>
            </w:pPr>
            <w:r>
              <w:rPr>
                <w:rFonts w:hint="eastAsia" w:ascii="宋体" w:hAnsi="宋体" w:cs="宋体"/>
                <w:color w:val="auto"/>
                <w:szCs w:val="21"/>
              </w:rPr>
              <w:t>注册证</w:t>
            </w:r>
          </w:p>
        </w:tc>
        <w:tc>
          <w:tcPr>
            <w:tcW w:w="1134" w:type="dxa"/>
            <w:vAlign w:val="center"/>
          </w:tcPr>
          <w:p w14:paraId="27B698ED">
            <w:pPr>
              <w:adjustRightInd w:val="0"/>
              <w:snapToGrid w:val="0"/>
              <w:jc w:val="center"/>
              <w:rPr>
                <w:rFonts w:hint="eastAsia" w:ascii="宋体" w:hAnsi="宋体" w:cs="宋体"/>
                <w:color w:val="auto"/>
                <w:szCs w:val="21"/>
              </w:rPr>
            </w:pPr>
            <w:r>
              <w:rPr>
                <w:rFonts w:hint="eastAsia" w:ascii="宋体" w:hAnsi="宋体" w:cs="宋体"/>
                <w:color w:val="auto"/>
                <w:szCs w:val="21"/>
              </w:rPr>
              <w:t>职称</w:t>
            </w:r>
          </w:p>
        </w:tc>
        <w:tc>
          <w:tcPr>
            <w:tcW w:w="930" w:type="dxa"/>
            <w:vAlign w:val="center"/>
          </w:tcPr>
          <w:p w14:paraId="040D67F2">
            <w:pPr>
              <w:adjustRightInd w:val="0"/>
              <w:snapToGrid w:val="0"/>
              <w:jc w:val="center"/>
              <w:rPr>
                <w:rFonts w:hint="eastAsia" w:ascii="宋体" w:hAnsi="宋体" w:cs="宋体"/>
                <w:color w:val="auto"/>
                <w:szCs w:val="21"/>
              </w:rPr>
            </w:pPr>
            <w:r>
              <w:rPr>
                <w:rFonts w:hint="eastAsia" w:ascii="宋体" w:hAnsi="宋体" w:cs="宋体"/>
                <w:color w:val="auto"/>
                <w:szCs w:val="21"/>
              </w:rPr>
              <w:t>学历</w:t>
            </w:r>
          </w:p>
        </w:tc>
        <w:tc>
          <w:tcPr>
            <w:tcW w:w="1236" w:type="dxa"/>
            <w:vAlign w:val="center"/>
          </w:tcPr>
          <w:p w14:paraId="6E157120">
            <w:pPr>
              <w:adjustRightInd w:val="0"/>
              <w:snapToGrid w:val="0"/>
              <w:jc w:val="center"/>
              <w:rPr>
                <w:rFonts w:hint="eastAsia" w:ascii="宋体" w:hAnsi="宋体" w:cs="宋体"/>
                <w:color w:val="auto"/>
                <w:szCs w:val="21"/>
              </w:rPr>
            </w:pPr>
            <w:r>
              <w:rPr>
                <w:rFonts w:hint="eastAsia" w:ascii="宋体" w:hAnsi="宋体" w:cs="宋体"/>
                <w:color w:val="auto"/>
                <w:szCs w:val="21"/>
              </w:rPr>
              <w:t>工作年限（年）</w:t>
            </w:r>
          </w:p>
        </w:tc>
      </w:tr>
      <w:tr w14:paraId="25CB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6746BA11">
            <w:pPr>
              <w:adjustRightInd w:val="0"/>
              <w:snapToGrid w:val="0"/>
              <w:jc w:val="center"/>
              <w:rPr>
                <w:rFonts w:hint="eastAsia" w:ascii="宋体" w:hAnsi="宋体" w:cs="宋体"/>
                <w:color w:val="auto"/>
                <w:szCs w:val="21"/>
              </w:rPr>
            </w:pPr>
          </w:p>
        </w:tc>
        <w:tc>
          <w:tcPr>
            <w:tcW w:w="1478" w:type="dxa"/>
            <w:vAlign w:val="center"/>
          </w:tcPr>
          <w:p w14:paraId="476A7004">
            <w:pPr>
              <w:adjustRightInd w:val="0"/>
              <w:snapToGrid w:val="0"/>
              <w:jc w:val="center"/>
              <w:rPr>
                <w:rFonts w:hint="eastAsia" w:ascii="宋体" w:hAnsi="宋体" w:cs="宋体"/>
                <w:color w:val="auto"/>
                <w:szCs w:val="21"/>
              </w:rPr>
            </w:pPr>
          </w:p>
        </w:tc>
        <w:tc>
          <w:tcPr>
            <w:tcW w:w="992" w:type="dxa"/>
            <w:vAlign w:val="center"/>
          </w:tcPr>
          <w:p w14:paraId="748471C8">
            <w:pPr>
              <w:adjustRightInd w:val="0"/>
              <w:snapToGrid w:val="0"/>
              <w:jc w:val="center"/>
              <w:rPr>
                <w:rFonts w:hint="eastAsia" w:ascii="宋体" w:hAnsi="宋体" w:cs="宋体"/>
                <w:color w:val="auto"/>
                <w:szCs w:val="21"/>
              </w:rPr>
            </w:pPr>
          </w:p>
        </w:tc>
        <w:tc>
          <w:tcPr>
            <w:tcW w:w="1069" w:type="dxa"/>
            <w:vAlign w:val="center"/>
          </w:tcPr>
          <w:p w14:paraId="43D7A32F">
            <w:pPr>
              <w:adjustRightInd w:val="0"/>
              <w:snapToGrid w:val="0"/>
              <w:jc w:val="center"/>
              <w:rPr>
                <w:rFonts w:hint="eastAsia" w:ascii="宋体" w:hAnsi="宋体" w:cs="宋体"/>
                <w:color w:val="auto"/>
                <w:szCs w:val="21"/>
              </w:rPr>
            </w:pPr>
          </w:p>
        </w:tc>
        <w:tc>
          <w:tcPr>
            <w:tcW w:w="993" w:type="dxa"/>
            <w:vAlign w:val="center"/>
          </w:tcPr>
          <w:p w14:paraId="00194127">
            <w:pPr>
              <w:adjustRightInd w:val="0"/>
              <w:snapToGrid w:val="0"/>
              <w:jc w:val="center"/>
              <w:rPr>
                <w:rFonts w:hint="eastAsia" w:ascii="宋体" w:hAnsi="宋体" w:cs="宋体"/>
                <w:color w:val="auto"/>
                <w:szCs w:val="21"/>
              </w:rPr>
            </w:pPr>
          </w:p>
        </w:tc>
        <w:tc>
          <w:tcPr>
            <w:tcW w:w="1134" w:type="dxa"/>
            <w:vAlign w:val="center"/>
          </w:tcPr>
          <w:p w14:paraId="1AC859F4">
            <w:pPr>
              <w:adjustRightInd w:val="0"/>
              <w:snapToGrid w:val="0"/>
              <w:jc w:val="center"/>
              <w:rPr>
                <w:rFonts w:hint="eastAsia" w:ascii="宋体" w:hAnsi="宋体" w:cs="宋体"/>
                <w:color w:val="auto"/>
                <w:szCs w:val="21"/>
              </w:rPr>
            </w:pPr>
          </w:p>
        </w:tc>
        <w:tc>
          <w:tcPr>
            <w:tcW w:w="930" w:type="dxa"/>
            <w:vAlign w:val="center"/>
          </w:tcPr>
          <w:p w14:paraId="1AF1B3AD">
            <w:pPr>
              <w:adjustRightInd w:val="0"/>
              <w:snapToGrid w:val="0"/>
              <w:jc w:val="center"/>
              <w:rPr>
                <w:rFonts w:hint="eastAsia" w:ascii="宋体" w:hAnsi="宋体" w:cs="宋体"/>
                <w:color w:val="auto"/>
                <w:szCs w:val="21"/>
              </w:rPr>
            </w:pPr>
          </w:p>
        </w:tc>
        <w:tc>
          <w:tcPr>
            <w:tcW w:w="1236" w:type="dxa"/>
            <w:vAlign w:val="center"/>
          </w:tcPr>
          <w:p w14:paraId="7E1E0EA7">
            <w:pPr>
              <w:adjustRightInd w:val="0"/>
              <w:snapToGrid w:val="0"/>
              <w:jc w:val="center"/>
              <w:rPr>
                <w:rFonts w:hint="eastAsia" w:ascii="宋体" w:hAnsi="宋体" w:cs="宋体"/>
                <w:color w:val="auto"/>
                <w:szCs w:val="21"/>
              </w:rPr>
            </w:pPr>
          </w:p>
        </w:tc>
      </w:tr>
      <w:tr w14:paraId="222A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4F5B1835">
            <w:pPr>
              <w:adjustRightInd w:val="0"/>
              <w:snapToGrid w:val="0"/>
              <w:jc w:val="center"/>
              <w:rPr>
                <w:rFonts w:hint="eastAsia" w:ascii="宋体" w:hAnsi="宋体" w:cs="宋体"/>
                <w:color w:val="auto"/>
                <w:szCs w:val="21"/>
              </w:rPr>
            </w:pPr>
          </w:p>
        </w:tc>
        <w:tc>
          <w:tcPr>
            <w:tcW w:w="1478" w:type="dxa"/>
            <w:vAlign w:val="center"/>
          </w:tcPr>
          <w:p w14:paraId="5D88C5A3">
            <w:pPr>
              <w:adjustRightInd w:val="0"/>
              <w:snapToGrid w:val="0"/>
              <w:jc w:val="center"/>
              <w:rPr>
                <w:rFonts w:hint="eastAsia" w:ascii="宋体" w:hAnsi="宋体" w:cs="宋体"/>
                <w:color w:val="auto"/>
                <w:szCs w:val="21"/>
              </w:rPr>
            </w:pPr>
          </w:p>
        </w:tc>
        <w:tc>
          <w:tcPr>
            <w:tcW w:w="992" w:type="dxa"/>
            <w:vAlign w:val="center"/>
          </w:tcPr>
          <w:p w14:paraId="4E061111">
            <w:pPr>
              <w:adjustRightInd w:val="0"/>
              <w:snapToGrid w:val="0"/>
              <w:jc w:val="center"/>
              <w:rPr>
                <w:rFonts w:hint="eastAsia" w:ascii="宋体" w:hAnsi="宋体" w:cs="宋体"/>
                <w:color w:val="auto"/>
                <w:szCs w:val="21"/>
              </w:rPr>
            </w:pPr>
          </w:p>
        </w:tc>
        <w:tc>
          <w:tcPr>
            <w:tcW w:w="1069" w:type="dxa"/>
            <w:vAlign w:val="center"/>
          </w:tcPr>
          <w:p w14:paraId="51068F88">
            <w:pPr>
              <w:adjustRightInd w:val="0"/>
              <w:snapToGrid w:val="0"/>
              <w:jc w:val="center"/>
              <w:rPr>
                <w:rFonts w:hint="eastAsia" w:ascii="宋体" w:hAnsi="宋体" w:cs="宋体"/>
                <w:color w:val="auto"/>
                <w:szCs w:val="21"/>
              </w:rPr>
            </w:pPr>
          </w:p>
        </w:tc>
        <w:tc>
          <w:tcPr>
            <w:tcW w:w="993" w:type="dxa"/>
            <w:vAlign w:val="center"/>
          </w:tcPr>
          <w:p w14:paraId="623F8ECE">
            <w:pPr>
              <w:adjustRightInd w:val="0"/>
              <w:snapToGrid w:val="0"/>
              <w:jc w:val="center"/>
              <w:rPr>
                <w:rFonts w:hint="eastAsia" w:ascii="宋体" w:hAnsi="宋体" w:cs="宋体"/>
                <w:color w:val="auto"/>
                <w:szCs w:val="21"/>
              </w:rPr>
            </w:pPr>
          </w:p>
        </w:tc>
        <w:tc>
          <w:tcPr>
            <w:tcW w:w="1134" w:type="dxa"/>
            <w:vAlign w:val="center"/>
          </w:tcPr>
          <w:p w14:paraId="0AFAF1DF">
            <w:pPr>
              <w:adjustRightInd w:val="0"/>
              <w:snapToGrid w:val="0"/>
              <w:jc w:val="center"/>
              <w:rPr>
                <w:rFonts w:hint="eastAsia" w:ascii="宋体" w:hAnsi="宋体" w:cs="宋体"/>
                <w:color w:val="auto"/>
                <w:szCs w:val="21"/>
              </w:rPr>
            </w:pPr>
          </w:p>
        </w:tc>
        <w:tc>
          <w:tcPr>
            <w:tcW w:w="930" w:type="dxa"/>
            <w:vAlign w:val="center"/>
          </w:tcPr>
          <w:p w14:paraId="4DD4DB3C">
            <w:pPr>
              <w:adjustRightInd w:val="0"/>
              <w:snapToGrid w:val="0"/>
              <w:jc w:val="center"/>
              <w:rPr>
                <w:rFonts w:hint="eastAsia" w:ascii="宋体" w:hAnsi="宋体" w:cs="宋体"/>
                <w:color w:val="auto"/>
                <w:szCs w:val="21"/>
              </w:rPr>
            </w:pPr>
          </w:p>
        </w:tc>
        <w:tc>
          <w:tcPr>
            <w:tcW w:w="1236" w:type="dxa"/>
            <w:vAlign w:val="center"/>
          </w:tcPr>
          <w:p w14:paraId="76B55FAA">
            <w:pPr>
              <w:adjustRightInd w:val="0"/>
              <w:snapToGrid w:val="0"/>
              <w:jc w:val="center"/>
              <w:rPr>
                <w:rFonts w:hint="eastAsia" w:ascii="宋体" w:hAnsi="宋体" w:cs="宋体"/>
                <w:color w:val="auto"/>
                <w:szCs w:val="21"/>
              </w:rPr>
            </w:pPr>
          </w:p>
        </w:tc>
      </w:tr>
      <w:tr w14:paraId="37C0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13C2DFC6">
            <w:pPr>
              <w:adjustRightInd w:val="0"/>
              <w:snapToGrid w:val="0"/>
              <w:jc w:val="center"/>
              <w:rPr>
                <w:rFonts w:hint="eastAsia" w:ascii="宋体" w:hAnsi="宋体" w:cs="宋体"/>
                <w:color w:val="auto"/>
                <w:szCs w:val="21"/>
              </w:rPr>
            </w:pPr>
          </w:p>
        </w:tc>
        <w:tc>
          <w:tcPr>
            <w:tcW w:w="1478" w:type="dxa"/>
            <w:vAlign w:val="center"/>
          </w:tcPr>
          <w:p w14:paraId="1D485537">
            <w:pPr>
              <w:adjustRightInd w:val="0"/>
              <w:snapToGrid w:val="0"/>
              <w:jc w:val="center"/>
              <w:rPr>
                <w:rFonts w:hint="eastAsia" w:ascii="宋体" w:hAnsi="宋体" w:cs="宋体"/>
                <w:color w:val="auto"/>
                <w:szCs w:val="21"/>
              </w:rPr>
            </w:pPr>
          </w:p>
        </w:tc>
        <w:tc>
          <w:tcPr>
            <w:tcW w:w="992" w:type="dxa"/>
            <w:vAlign w:val="center"/>
          </w:tcPr>
          <w:p w14:paraId="3BAF95EB">
            <w:pPr>
              <w:adjustRightInd w:val="0"/>
              <w:snapToGrid w:val="0"/>
              <w:jc w:val="center"/>
              <w:rPr>
                <w:rFonts w:hint="eastAsia" w:ascii="宋体" w:hAnsi="宋体" w:cs="宋体"/>
                <w:color w:val="auto"/>
                <w:szCs w:val="21"/>
              </w:rPr>
            </w:pPr>
          </w:p>
        </w:tc>
        <w:tc>
          <w:tcPr>
            <w:tcW w:w="1069" w:type="dxa"/>
            <w:vAlign w:val="center"/>
          </w:tcPr>
          <w:p w14:paraId="31C36EDA">
            <w:pPr>
              <w:adjustRightInd w:val="0"/>
              <w:snapToGrid w:val="0"/>
              <w:jc w:val="center"/>
              <w:rPr>
                <w:rFonts w:hint="eastAsia" w:ascii="宋体" w:hAnsi="宋体" w:cs="宋体"/>
                <w:color w:val="auto"/>
                <w:szCs w:val="21"/>
              </w:rPr>
            </w:pPr>
          </w:p>
        </w:tc>
        <w:tc>
          <w:tcPr>
            <w:tcW w:w="993" w:type="dxa"/>
            <w:vAlign w:val="center"/>
          </w:tcPr>
          <w:p w14:paraId="181DBFE0">
            <w:pPr>
              <w:adjustRightInd w:val="0"/>
              <w:snapToGrid w:val="0"/>
              <w:jc w:val="center"/>
              <w:rPr>
                <w:rFonts w:hint="eastAsia" w:ascii="宋体" w:hAnsi="宋体" w:cs="宋体"/>
                <w:color w:val="auto"/>
                <w:szCs w:val="21"/>
              </w:rPr>
            </w:pPr>
          </w:p>
        </w:tc>
        <w:tc>
          <w:tcPr>
            <w:tcW w:w="1134" w:type="dxa"/>
            <w:vAlign w:val="center"/>
          </w:tcPr>
          <w:p w14:paraId="31B2E91F">
            <w:pPr>
              <w:adjustRightInd w:val="0"/>
              <w:snapToGrid w:val="0"/>
              <w:jc w:val="center"/>
              <w:rPr>
                <w:rFonts w:hint="eastAsia" w:ascii="宋体" w:hAnsi="宋体" w:cs="宋体"/>
                <w:color w:val="auto"/>
                <w:szCs w:val="21"/>
              </w:rPr>
            </w:pPr>
          </w:p>
        </w:tc>
        <w:tc>
          <w:tcPr>
            <w:tcW w:w="930" w:type="dxa"/>
            <w:vAlign w:val="center"/>
          </w:tcPr>
          <w:p w14:paraId="59B6EF05">
            <w:pPr>
              <w:adjustRightInd w:val="0"/>
              <w:snapToGrid w:val="0"/>
              <w:jc w:val="center"/>
              <w:rPr>
                <w:rFonts w:hint="eastAsia" w:ascii="宋体" w:hAnsi="宋体" w:cs="宋体"/>
                <w:color w:val="auto"/>
                <w:szCs w:val="21"/>
              </w:rPr>
            </w:pPr>
          </w:p>
        </w:tc>
        <w:tc>
          <w:tcPr>
            <w:tcW w:w="1236" w:type="dxa"/>
            <w:vAlign w:val="center"/>
          </w:tcPr>
          <w:p w14:paraId="5D3168A2">
            <w:pPr>
              <w:adjustRightInd w:val="0"/>
              <w:snapToGrid w:val="0"/>
              <w:jc w:val="center"/>
              <w:rPr>
                <w:rFonts w:hint="eastAsia" w:ascii="宋体" w:hAnsi="宋体" w:cs="宋体"/>
                <w:color w:val="auto"/>
                <w:szCs w:val="21"/>
              </w:rPr>
            </w:pPr>
          </w:p>
        </w:tc>
      </w:tr>
      <w:tr w14:paraId="6AAF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3BEE5B6E">
            <w:pPr>
              <w:adjustRightInd w:val="0"/>
              <w:snapToGrid w:val="0"/>
              <w:jc w:val="center"/>
              <w:rPr>
                <w:rFonts w:hint="eastAsia" w:ascii="宋体" w:hAnsi="宋体" w:cs="宋体"/>
                <w:color w:val="auto"/>
                <w:szCs w:val="21"/>
              </w:rPr>
            </w:pPr>
          </w:p>
        </w:tc>
        <w:tc>
          <w:tcPr>
            <w:tcW w:w="1478" w:type="dxa"/>
            <w:vAlign w:val="center"/>
          </w:tcPr>
          <w:p w14:paraId="3080EE77">
            <w:pPr>
              <w:adjustRightInd w:val="0"/>
              <w:snapToGrid w:val="0"/>
              <w:jc w:val="center"/>
              <w:rPr>
                <w:rFonts w:hint="eastAsia" w:ascii="宋体" w:hAnsi="宋体" w:cs="宋体"/>
                <w:color w:val="auto"/>
                <w:szCs w:val="21"/>
              </w:rPr>
            </w:pPr>
          </w:p>
        </w:tc>
        <w:tc>
          <w:tcPr>
            <w:tcW w:w="992" w:type="dxa"/>
            <w:vAlign w:val="center"/>
          </w:tcPr>
          <w:p w14:paraId="6D9510C6">
            <w:pPr>
              <w:adjustRightInd w:val="0"/>
              <w:snapToGrid w:val="0"/>
              <w:jc w:val="center"/>
              <w:rPr>
                <w:rFonts w:hint="eastAsia" w:ascii="宋体" w:hAnsi="宋体" w:cs="宋体"/>
                <w:color w:val="auto"/>
                <w:szCs w:val="21"/>
              </w:rPr>
            </w:pPr>
          </w:p>
        </w:tc>
        <w:tc>
          <w:tcPr>
            <w:tcW w:w="1069" w:type="dxa"/>
            <w:vAlign w:val="center"/>
          </w:tcPr>
          <w:p w14:paraId="34A8067A">
            <w:pPr>
              <w:adjustRightInd w:val="0"/>
              <w:snapToGrid w:val="0"/>
              <w:jc w:val="center"/>
              <w:rPr>
                <w:rFonts w:hint="eastAsia" w:ascii="宋体" w:hAnsi="宋体" w:cs="宋体"/>
                <w:color w:val="auto"/>
                <w:szCs w:val="21"/>
              </w:rPr>
            </w:pPr>
          </w:p>
        </w:tc>
        <w:tc>
          <w:tcPr>
            <w:tcW w:w="993" w:type="dxa"/>
            <w:vAlign w:val="center"/>
          </w:tcPr>
          <w:p w14:paraId="2359D9D4">
            <w:pPr>
              <w:adjustRightInd w:val="0"/>
              <w:snapToGrid w:val="0"/>
              <w:jc w:val="center"/>
              <w:rPr>
                <w:rFonts w:hint="eastAsia" w:ascii="宋体" w:hAnsi="宋体" w:cs="宋体"/>
                <w:color w:val="auto"/>
                <w:szCs w:val="21"/>
              </w:rPr>
            </w:pPr>
          </w:p>
        </w:tc>
        <w:tc>
          <w:tcPr>
            <w:tcW w:w="1134" w:type="dxa"/>
            <w:vAlign w:val="center"/>
          </w:tcPr>
          <w:p w14:paraId="5AA98571">
            <w:pPr>
              <w:adjustRightInd w:val="0"/>
              <w:snapToGrid w:val="0"/>
              <w:jc w:val="center"/>
              <w:rPr>
                <w:rFonts w:hint="eastAsia" w:ascii="宋体" w:hAnsi="宋体" w:cs="宋体"/>
                <w:color w:val="auto"/>
                <w:szCs w:val="21"/>
              </w:rPr>
            </w:pPr>
          </w:p>
        </w:tc>
        <w:tc>
          <w:tcPr>
            <w:tcW w:w="930" w:type="dxa"/>
            <w:vAlign w:val="center"/>
          </w:tcPr>
          <w:p w14:paraId="26F89F9F">
            <w:pPr>
              <w:adjustRightInd w:val="0"/>
              <w:snapToGrid w:val="0"/>
              <w:jc w:val="center"/>
              <w:rPr>
                <w:rFonts w:hint="eastAsia" w:ascii="宋体" w:hAnsi="宋体" w:cs="宋体"/>
                <w:color w:val="auto"/>
                <w:szCs w:val="21"/>
              </w:rPr>
            </w:pPr>
          </w:p>
        </w:tc>
        <w:tc>
          <w:tcPr>
            <w:tcW w:w="1236" w:type="dxa"/>
            <w:vAlign w:val="center"/>
          </w:tcPr>
          <w:p w14:paraId="0A629892">
            <w:pPr>
              <w:adjustRightInd w:val="0"/>
              <w:snapToGrid w:val="0"/>
              <w:jc w:val="center"/>
              <w:rPr>
                <w:rFonts w:hint="eastAsia" w:ascii="宋体" w:hAnsi="宋体" w:cs="宋体"/>
                <w:color w:val="auto"/>
                <w:szCs w:val="21"/>
              </w:rPr>
            </w:pPr>
          </w:p>
        </w:tc>
      </w:tr>
      <w:tr w14:paraId="6ACB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481652B7">
            <w:pPr>
              <w:adjustRightInd w:val="0"/>
              <w:snapToGrid w:val="0"/>
              <w:jc w:val="center"/>
              <w:rPr>
                <w:rFonts w:hint="eastAsia" w:ascii="宋体" w:hAnsi="宋体" w:cs="宋体"/>
                <w:color w:val="auto"/>
                <w:szCs w:val="21"/>
              </w:rPr>
            </w:pPr>
          </w:p>
        </w:tc>
        <w:tc>
          <w:tcPr>
            <w:tcW w:w="1478" w:type="dxa"/>
            <w:vAlign w:val="center"/>
          </w:tcPr>
          <w:p w14:paraId="1FC12660">
            <w:pPr>
              <w:adjustRightInd w:val="0"/>
              <w:snapToGrid w:val="0"/>
              <w:jc w:val="center"/>
              <w:rPr>
                <w:rFonts w:hint="eastAsia" w:ascii="宋体" w:hAnsi="宋体" w:cs="宋体"/>
                <w:color w:val="auto"/>
                <w:szCs w:val="21"/>
              </w:rPr>
            </w:pPr>
          </w:p>
        </w:tc>
        <w:tc>
          <w:tcPr>
            <w:tcW w:w="992" w:type="dxa"/>
            <w:vAlign w:val="center"/>
          </w:tcPr>
          <w:p w14:paraId="0B23CFA9">
            <w:pPr>
              <w:adjustRightInd w:val="0"/>
              <w:snapToGrid w:val="0"/>
              <w:jc w:val="center"/>
              <w:rPr>
                <w:rFonts w:hint="eastAsia" w:ascii="宋体" w:hAnsi="宋体" w:cs="宋体"/>
                <w:color w:val="auto"/>
                <w:szCs w:val="21"/>
              </w:rPr>
            </w:pPr>
          </w:p>
        </w:tc>
        <w:tc>
          <w:tcPr>
            <w:tcW w:w="1069" w:type="dxa"/>
            <w:vAlign w:val="center"/>
          </w:tcPr>
          <w:p w14:paraId="0881614B">
            <w:pPr>
              <w:adjustRightInd w:val="0"/>
              <w:snapToGrid w:val="0"/>
              <w:jc w:val="center"/>
              <w:rPr>
                <w:rFonts w:hint="eastAsia" w:ascii="宋体" w:hAnsi="宋体" w:cs="宋体"/>
                <w:color w:val="auto"/>
                <w:szCs w:val="21"/>
              </w:rPr>
            </w:pPr>
          </w:p>
        </w:tc>
        <w:tc>
          <w:tcPr>
            <w:tcW w:w="993" w:type="dxa"/>
            <w:vAlign w:val="center"/>
          </w:tcPr>
          <w:p w14:paraId="1E38D075">
            <w:pPr>
              <w:adjustRightInd w:val="0"/>
              <w:snapToGrid w:val="0"/>
              <w:jc w:val="center"/>
              <w:rPr>
                <w:rFonts w:hint="eastAsia" w:ascii="宋体" w:hAnsi="宋体" w:cs="宋体"/>
                <w:color w:val="auto"/>
                <w:szCs w:val="21"/>
              </w:rPr>
            </w:pPr>
          </w:p>
        </w:tc>
        <w:tc>
          <w:tcPr>
            <w:tcW w:w="1134" w:type="dxa"/>
            <w:vAlign w:val="center"/>
          </w:tcPr>
          <w:p w14:paraId="26F13CBC">
            <w:pPr>
              <w:adjustRightInd w:val="0"/>
              <w:snapToGrid w:val="0"/>
              <w:jc w:val="center"/>
              <w:rPr>
                <w:rFonts w:hint="eastAsia" w:ascii="宋体" w:hAnsi="宋体" w:cs="宋体"/>
                <w:color w:val="auto"/>
                <w:szCs w:val="21"/>
              </w:rPr>
            </w:pPr>
          </w:p>
        </w:tc>
        <w:tc>
          <w:tcPr>
            <w:tcW w:w="930" w:type="dxa"/>
            <w:vAlign w:val="center"/>
          </w:tcPr>
          <w:p w14:paraId="6A6FFFB4">
            <w:pPr>
              <w:adjustRightInd w:val="0"/>
              <w:snapToGrid w:val="0"/>
              <w:jc w:val="center"/>
              <w:rPr>
                <w:rFonts w:hint="eastAsia" w:ascii="宋体" w:hAnsi="宋体" w:cs="宋体"/>
                <w:color w:val="auto"/>
                <w:szCs w:val="21"/>
              </w:rPr>
            </w:pPr>
          </w:p>
        </w:tc>
        <w:tc>
          <w:tcPr>
            <w:tcW w:w="1236" w:type="dxa"/>
            <w:vAlign w:val="center"/>
          </w:tcPr>
          <w:p w14:paraId="42DEEE63">
            <w:pPr>
              <w:adjustRightInd w:val="0"/>
              <w:snapToGrid w:val="0"/>
              <w:jc w:val="center"/>
              <w:rPr>
                <w:rFonts w:hint="eastAsia" w:ascii="宋体" w:hAnsi="宋体" w:cs="宋体"/>
                <w:color w:val="auto"/>
                <w:szCs w:val="21"/>
              </w:rPr>
            </w:pPr>
          </w:p>
        </w:tc>
      </w:tr>
      <w:tr w14:paraId="1B84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070727A1">
            <w:pPr>
              <w:adjustRightInd w:val="0"/>
              <w:snapToGrid w:val="0"/>
              <w:jc w:val="center"/>
              <w:rPr>
                <w:rFonts w:hint="eastAsia" w:ascii="宋体" w:hAnsi="宋体" w:cs="宋体"/>
                <w:color w:val="auto"/>
                <w:szCs w:val="21"/>
              </w:rPr>
            </w:pPr>
          </w:p>
        </w:tc>
        <w:tc>
          <w:tcPr>
            <w:tcW w:w="1478" w:type="dxa"/>
            <w:vAlign w:val="center"/>
          </w:tcPr>
          <w:p w14:paraId="60EB243D">
            <w:pPr>
              <w:adjustRightInd w:val="0"/>
              <w:snapToGrid w:val="0"/>
              <w:jc w:val="center"/>
              <w:rPr>
                <w:rFonts w:hint="eastAsia" w:ascii="宋体" w:hAnsi="宋体" w:cs="宋体"/>
                <w:color w:val="auto"/>
                <w:szCs w:val="21"/>
              </w:rPr>
            </w:pPr>
          </w:p>
        </w:tc>
        <w:tc>
          <w:tcPr>
            <w:tcW w:w="992" w:type="dxa"/>
            <w:vAlign w:val="center"/>
          </w:tcPr>
          <w:p w14:paraId="6E85D52B">
            <w:pPr>
              <w:adjustRightInd w:val="0"/>
              <w:snapToGrid w:val="0"/>
              <w:jc w:val="center"/>
              <w:rPr>
                <w:rFonts w:hint="eastAsia" w:ascii="宋体" w:hAnsi="宋体" w:cs="宋体"/>
                <w:color w:val="auto"/>
                <w:szCs w:val="21"/>
              </w:rPr>
            </w:pPr>
          </w:p>
        </w:tc>
        <w:tc>
          <w:tcPr>
            <w:tcW w:w="1069" w:type="dxa"/>
            <w:vAlign w:val="center"/>
          </w:tcPr>
          <w:p w14:paraId="7C66939D">
            <w:pPr>
              <w:adjustRightInd w:val="0"/>
              <w:snapToGrid w:val="0"/>
              <w:jc w:val="center"/>
              <w:rPr>
                <w:rFonts w:hint="eastAsia" w:ascii="宋体" w:hAnsi="宋体" w:cs="宋体"/>
                <w:color w:val="auto"/>
                <w:szCs w:val="21"/>
              </w:rPr>
            </w:pPr>
          </w:p>
        </w:tc>
        <w:tc>
          <w:tcPr>
            <w:tcW w:w="993" w:type="dxa"/>
            <w:vAlign w:val="center"/>
          </w:tcPr>
          <w:p w14:paraId="7307E20B">
            <w:pPr>
              <w:adjustRightInd w:val="0"/>
              <w:snapToGrid w:val="0"/>
              <w:jc w:val="center"/>
              <w:rPr>
                <w:rFonts w:hint="eastAsia" w:ascii="宋体" w:hAnsi="宋体" w:cs="宋体"/>
                <w:color w:val="auto"/>
                <w:szCs w:val="21"/>
              </w:rPr>
            </w:pPr>
          </w:p>
        </w:tc>
        <w:tc>
          <w:tcPr>
            <w:tcW w:w="1134" w:type="dxa"/>
            <w:vAlign w:val="center"/>
          </w:tcPr>
          <w:p w14:paraId="7C4CE696">
            <w:pPr>
              <w:adjustRightInd w:val="0"/>
              <w:snapToGrid w:val="0"/>
              <w:jc w:val="center"/>
              <w:rPr>
                <w:rFonts w:hint="eastAsia" w:ascii="宋体" w:hAnsi="宋体" w:cs="宋体"/>
                <w:color w:val="auto"/>
                <w:szCs w:val="21"/>
              </w:rPr>
            </w:pPr>
          </w:p>
        </w:tc>
        <w:tc>
          <w:tcPr>
            <w:tcW w:w="930" w:type="dxa"/>
            <w:vAlign w:val="center"/>
          </w:tcPr>
          <w:p w14:paraId="2C1CD899">
            <w:pPr>
              <w:adjustRightInd w:val="0"/>
              <w:snapToGrid w:val="0"/>
              <w:jc w:val="center"/>
              <w:rPr>
                <w:rFonts w:hint="eastAsia" w:ascii="宋体" w:hAnsi="宋体" w:cs="宋体"/>
                <w:color w:val="auto"/>
                <w:szCs w:val="21"/>
              </w:rPr>
            </w:pPr>
          </w:p>
        </w:tc>
        <w:tc>
          <w:tcPr>
            <w:tcW w:w="1236" w:type="dxa"/>
            <w:vAlign w:val="center"/>
          </w:tcPr>
          <w:p w14:paraId="09BC7299">
            <w:pPr>
              <w:adjustRightInd w:val="0"/>
              <w:snapToGrid w:val="0"/>
              <w:jc w:val="center"/>
              <w:rPr>
                <w:rFonts w:hint="eastAsia" w:ascii="宋体" w:hAnsi="宋体" w:cs="宋体"/>
                <w:color w:val="auto"/>
                <w:szCs w:val="21"/>
              </w:rPr>
            </w:pPr>
          </w:p>
        </w:tc>
      </w:tr>
      <w:tr w14:paraId="59D4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7EE9E277">
            <w:pPr>
              <w:adjustRightInd w:val="0"/>
              <w:snapToGrid w:val="0"/>
              <w:jc w:val="center"/>
              <w:rPr>
                <w:rFonts w:hint="eastAsia" w:ascii="宋体" w:hAnsi="宋体" w:cs="宋体"/>
                <w:color w:val="auto"/>
                <w:szCs w:val="21"/>
              </w:rPr>
            </w:pPr>
          </w:p>
        </w:tc>
        <w:tc>
          <w:tcPr>
            <w:tcW w:w="1478" w:type="dxa"/>
            <w:vAlign w:val="center"/>
          </w:tcPr>
          <w:p w14:paraId="2CB09254">
            <w:pPr>
              <w:adjustRightInd w:val="0"/>
              <w:snapToGrid w:val="0"/>
              <w:jc w:val="center"/>
              <w:rPr>
                <w:rFonts w:hint="eastAsia" w:ascii="宋体" w:hAnsi="宋体" w:cs="宋体"/>
                <w:color w:val="auto"/>
                <w:szCs w:val="21"/>
              </w:rPr>
            </w:pPr>
          </w:p>
        </w:tc>
        <w:tc>
          <w:tcPr>
            <w:tcW w:w="992" w:type="dxa"/>
            <w:vAlign w:val="center"/>
          </w:tcPr>
          <w:p w14:paraId="383B7E4B">
            <w:pPr>
              <w:adjustRightInd w:val="0"/>
              <w:snapToGrid w:val="0"/>
              <w:jc w:val="center"/>
              <w:rPr>
                <w:rFonts w:hint="eastAsia" w:ascii="宋体" w:hAnsi="宋体" w:cs="宋体"/>
                <w:color w:val="auto"/>
                <w:szCs w:val="21"/>
              </w:rPr>
            </w:pPr>
          </w:p>
        </w:tc>
        <w:tc>
          <w:tcPr>
            <w:tcW w:w="1069" w:type="dxa"/>
            <w:vAlign w:val="center"/>
          </w:tcPr>
          <w:p w14:paraId="5D18C87B">
            <w:pPr>
              <w:adjustRightInd w:val="0"/>
              <w:snapToGrid w:val="0"/>
              <w:jc w:val="center"/>
              <w:rPr>
                <w:rFonts w:hint="eastAsia" w:ascii="宋体" w:hAnsi="宋体" w:cs="宋体"/>
                <w:color w:val="auto"/>
                <w:szCs w:val="21"/>
              </w:rPr>
            </w:pPr>
          </w:p>
        </w:tc>
        <w:tc>
          <w:tcPr>
            <w:tcW w:w="993" w:type="dxa"/>
            <w:vAlign w:val="center"/>
          </w:tcPr>
          <w:p w14:paraId="3A6E3BDA">
            <w:pPr>
              <w:adjustRightInd w:val="0"/>
              <w:snapToGrid w:val="0"/>
              <w:jc w:val="center"/>
              <w:rPr>
                <w:rFonts w:hint="eastAsia" w:ascii="宋体" w:hAnsi="宋体" w:cs="宋体"/>
                <w:color w:val="auto"/>
                <w:szCs w:val="21"/>
              </w:rPr>
            </w:pPr>
          </w:p>
        </w:tc>
        <w:tc>
          <w:tcPr>
            <w:tcW w:w="1134" w:type="dxa"/>
            <w:vAlign w:val="center"/>
          </w:tcPr>
          <w:p w14:paraId="54753434">
            <w:pPr>
              <w:adjustRightInd w:val="0"/>
              <w:snapToGrid w:val="0"/>
              <w:jc w:val="center"/>
              <w:rPr>
                <w:rFonts w:hint="eastAsia" w:ascii="宋体" w:hAnsi="宋体" w:cs="宋体"/>
                <w:color w:val="auto"/>
                <w:szCs w:val="21"/>
              </w:rPr>
            </w:pPr>
          </w:p>
        </w:tc>
        <w:tc>
          <w:tcPr>
            <w:tcW w:w="930" w:type="dxa"/>
            <w:vAlign w:val="center"/>
          </w:tcPr>
          <w:p w14:paraId="3E07DF81">
            <w:pPr>
              <w:adjustRightInd w:val="0"/>
              <w:snapToGrid w:val="0"/>
              <w:jc w:val="center"/>
              <w:rPr>
                <w:rFonts w:hint="eastAsia" w:ascii="宋体" w:hAnsi="宋体" w:cs="宋体"/>
                <w:color w:val="auto"/>
                <w:szCs w:val="21"/>
              </w:rPr>
            </w:pPr>
          </w:p>
        </w:tc>
        <w:tc>
          <w:tcPr>
            <w:tcW w:w="1236" w:type="dxa"/>
            <w:vAlign w:val="center"/>
          </w:tcPr>
          <w:p w14:paraId="45BD3200">
            <w:pPr>
              <w:adjustRightInd w:val="0"/>
              <w:snapToGrid w:val="0"/>
              <w:jc w:val="center"/>
              <w:rPr>
                <w:rFonts w:hint="eastAsia" w:ascii="宋体" w:hAnsi="宋体" w:cs="宋体"/>
                <w:color w:val="auto"/>
                <w:szCs w:val="21"/>
              </w:rPr>
            </w:pPr>
          </w:p>
        </w:tc>
      </w:tr>
      <w:tr w14:paraId="7826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157F735A">
            <w:pPr>
              <w:adjustRightInd w:val="0"/>
              <w:snapToGrid w:val="0"/>
              <w:jc w:val="center"/>
              <w:rPr>
                <w:rFonts w:hint="eastAsia" w:ascii="宋体" w:hAnsi="宋体" w:cs="宋体"/>
                <w:color w:val="auto"/>
                <w:szCs w:val="21"/>
              </w:rPr>
            </w:pPr>
          </w:p>
        </w:tc>
        <w:tc>
          <w:tcPr>
            <w:tcW w:w="1478" w:type="dxa"/>
            <w:vAlign w:val="center"/>
          </w:tcPr>
          <w:p w14:paraId="7C790857">
            <w:pPr>
              <w:adjustRightInd w:val="0"/>
              <w:snapToGrid w:val="0"/>
              <w:jc w:val="center"/>
              <w:rPr>
                <w:rFonts w:hint="eastAsia" w:ascii="宋体" w:hAnsi="宋体" w:cs="宋体"/>
                <w:color w:val="auto"/>
                <w:szCs w:val="21"/>
              </w:rPr>
            </w:pPr>
          </w:p>
        </w:tc>
        <w:tc>
          <w:tcPr>
            <w:tcW w:w="992" w:type="dxa"/>
            <w:vAlign w:val="center"/>
          </w:tcPr>
          <w:p w14:paraId="14B674E6">
            <w:pPr>
              <w:adjustRightInd w:val="0"/>
              <w:snapToGrid w:val="0"/>
              <w:jc w:val="center"/>
              <w:rPr>
                <w:rFonts w:hint="eastAsia" w:ascii="宋体" w:hAnsi="宋体" w:cs="宋体"/>
                <w:color w:val="auto"/>
                <w:szCs w:val="21"/>
              </w:rPr>
            </w:pPr>
          </w:p>
        </w:tc>
        <w:tc>
          <w:tcPr>
            <w:tcW w:w="1069" w:type="dxa"/>
            <w:vAlign w:val="center"/>
          </w:tcPr>
          <w:p w14:paraId="0ED8BFB3">
            <w:pPr>
              <w:adjustRightInd w:val="0"/>
              <w:snapToGrid w:val="0"/>
              <w:jc w:val="center"/>
              <w:rPr>
                <w:rFonts w:hint="eastAsia" w:ascii="宋体" w:hAnsi="宋体" w:cs="宋体"/>
                <w:color w:val="auto"/>
                <w:szCs w:val="21"/>
              </w:rPr>
            </w:pPr>
          </w:p>
        </w:tc>
        <w:tc>
          <w:tcPr>
            <w:tcW w:w="993" w:type="dxa"/>
            <w:vAlign w:val="center"/>
          </w:tcPr>
          <w:p w14:paraId="280DEBF7">
            <w:pPr>
              <w:adjustRightInd w:val="0"/>
              <w:snapToGrid w:val="0"/>
              <w:jc w:val="center"/>
              <w:rPr>
                <w:rFonts w:hint="eastAsia" w:ascii="宋体" w:hAnsi="宋体" w:cs="宋体"/>
                <w:color w:val="auto"/>
                <w:szCs w:val="21"/>
              </w:rPr>
            </w:pPr>
          </w:p>
        </w:tc>
        <w:tc>
          <w:tcPr>
            <w:tcW w:w="1134" w:type="dxa"/>
            <w:vAlign w:val="center"/>
          </w:tcPr>
          <w:p w14:paraId="170BE1BF">
            <w:pPr>
              <w:adjustRightInd w:val="0"/>
              <w:snapToGrid w:val="0"/>
              <w:jc w:val="center"/>
              <w:rPr>
                <w:rFonts w:hint="eastAsia" w:ascii="宋体" w:hAnsi="宋体" w:cs="宋体"/>
                <w:color w:val="auto"/>
                <w:szCs w:val="21"/>
              </w:rPr>
            </w:pPr>
          </w:p>
        </w:tc>
        <w:tc>
          <w:tcPr>
            <w:tcW w:w="930" w:type="dxa"/>
            <w:vAlign w:val="center"/>
          </w:tcPr>
          <w:p w14:paraId="0BE140AC">
            <w:pPr>
              <w:adjustRightInd w:val="0"/>
              <w:snapToGrid w:val="0"/>
              <w:jc w:val="center"/>
              <w:rPr>
                <w:rFonts w:hint="eastAsia" w:ascii="宋体" w:hAnsi="宋体" w:cs="宋体"/>
                <w:color w:val="auto"/>
                <w:szCs w:val="21"/>
              </w:rPr>
            </w:pPr>
          </w:p>
        </w:tc>
        <w:tc>
          <w:tcPr>
            <w:tcW w:w="1236" w:type="dxa"/>
            <w:vAlign w:val="center"/>
          </w:tcPr>
          <w:p w14:paraId="6C30CAA8">
            <w:pPr>
              <w:adjustRightInd w:val="0"/>
              <w:snapToGrid w:val="0"/>
              <w:jc w:val="center"/>
              <w:rPr>
                <w:rFonts w:hint="eastAsia" w:ascii="宋体" w:hAnsi="宋体" w:cs="宋体"/>
                <w:color w:val="auto"/>
                <w:szCs w:val="21"/>
              </w:rPr>
            </w:pPr>
          </w:p>
        </w:tc>
      </w:tr>
      <w:tr w14:paraId="03E4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4C5EA7F8">
            <w:pPr>
              <w:adjustRightInd w:val="0"/>
              <w:snapToGrid w:val="0"/>
              <w:jc w:val="center"/>
              <w:rPr>
                <w:rFonts w:hint="eastAsia" w:ascii="宋体" w:hAnsi="宋体" w:cs="宋体"/>
                <w:color w:val="auto"/>
                <w:szCs w:val="21"/>
              </w:rPr>
            </w:pPr>
          </w:p>
        </w:tc>
        <w:tc>
          <w:tcPr>
            <w:tcW w:w="1478" w:type="dxa"/>
            <w:vAlign w:val="center"/>
          </w:tcPr>
          <w:p w14:paraId="1A633A77">
            <w:pPr>
              <w:adjustRightInd w:val="0"/>
              <w:snapToGrid w:val="0"/>
              <w:jc w:val="center"/>
              <w:rPr>
                <w:rFonts w:hint="eastAsia" w:ascii="宋体" w:hAnsi="宋体" w:cs="宋体"/>
                <w:color w:val="auto"/>
                <w:szCs w:val="21"/>
              </w:rPr>
            </w:pPr>
          </w:p>
        </w:tc>
        <w:tc>
          <w:tcPr>
            <w:tcW w:w="992" w:type="dxa"/>
            <w:vAlign w:val="center"/>
          </w:tcPr>
          <w:p w14:paraId="7A39EB4B">
            <w:pPr>
              <w:adjustRightInd w:val="0"/>
              <w:snapToGrid w:val="0"/>
              <w:jc w:val="center"/>
              <w:rPr>
                <w:rFonts w:hint="eastAsia" w:ascii="宋体" w:hAnsi="宋体" w:cs="宋体"/>
                <w:color w:val="auto"/>
                <w:szCs w:val="21"/>
              </w:rPr>
            </w:pPr>
          </w:p>
        </w:tc>
        <w:tc>
          <w:tcPr>
            <w:tcW w:w="1069" w:type="dxa"/>
            <w:vAlign w:val="center"/>
          </w:tcPr>
          <w:p w14:paraId="568EDB06">
            <w:pPr>
              <w:adjustRightInd w:val="0"/>
              <w:snapToGrid w:val="0"/>
              <w:jc w:val="center"/>
              <w:rPr>
                <w:rFonts w:hint="eastAsia" w:ascii="宋体" w:hAnsi="宋体" w:cs="宋体"/>
                <w:color w:val="auto"/>
                <w:szCs w:val="21"/>
              </w:rPr>
            </w:pPr>
          </w:p>
        </w:tc>
        <w:tc>
          <w:tcPr>
            <w:tcW w:w="993" w:type="dxa"/>
            <w:vAlign w:val="center"/>
          </w:tcPr>
          <w:p w14:paraId="48F7D59F">
            <w:pPr>
              <w:adjustRightInd w:val="0"/>
              <w:snapToGrid w:val="0"/>
              <w:jc w:val="center"/>
              <w:rPr>
                <w:rFonts w:hint="eastAsia" w:ascii="宋体" w:hAnsi="宋体" w:cs="宋体"/>
                <w:color w:val="auto"/>
                <w:szCs w:val="21"/>
              </w:rPr>
            </w:pPr>
          </w:p>
        </w:tc>
        <w:tc>
          <w:tcPr>
            <w:tcW w:w="1134" w:type="dxa"/>
            <w:vAlign w:val="center"/>
          </w:tcPr>
          <w:p w14:paraId="0E9469EB">
            <w:pPr>
              <w:adjustRightInd w:val="0"/>
              <w:snapToGrid w:val="0"/>
              <w:jc w:val="center"/>
              <w:rPr>
                <w:rFonts w:hint="eastAsia" w:ascii="宋体" w:hAnsi="宋体" w:cs="宋体"/>
                <w:color w:val="auto"/>
                <w:szCs w:val="21"/>
              </w:rPr>
            </w:pPr>
          </w:p>
        </w:tc>
        <w:tc>
          <w:tcPr>
            <w:tcW w:w="930" w:type="dxa"/>
            <w:vAlign w:val="center"/>
          </w:tcPr>
          <w:p w14:paraId="34CDE52C">
            <w:pPr>
              <w:adjustRightInd w:val="0"/>
              <w:snapToGrid w:val="0"/>
              <w:jc w:val="center"/>
              <w:rPr>
                <w:rFonts w:hint="eastAsia" w:ascii="宋体" w:hAnsi="宋体" w:cs="宋体"/>
                <w:color w:val="auto"/>
                <w:szCs w:val="21"/>
              </w:rPr>
            </w:pPr>
          </w:p>
        </w:tc>
        <w:tc>
          <w:tcPr>
            <w:tcW w:w="1236" w:type="dxa"/>
            <w:vAlign w:val="center"/>
          </w:tcPr>
          <w:p w14:paraId="2B24B5DF">
            <w:pPr>
              <w:adjustRightInd w:val="0"/>
              <w:snapToGrid w:val="0"/>
              <w:jc w:val="center"/>
              <w:rPr>
                <w:rFonts w:hint="eastAsia" w:ascii="宋体" w:hAnsi="宋体" w:cs="宋体"/>
                <w:color w:val="auto"/>
                <w:szCs w:val="21"/>
              </w:rPr>
            </w:pPr>
          </w:p>
        </w:tc>
      </w:tr>
      <w:tr w14:paraId="0FA7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23C70A3C">
            <w:pPr>
              <w:adjustRightInd w:val="0"/>
              <w:snapToGrid w:val="0"/>
              <w:jc w:val="center"/>
              <w:rPr>
                <w:rFonts w:hint="eastAsia" w:ascii="宋体" w:hAnsi="宋体" w:cs="宋体"/>
                <w:color w:val="auto"/>
                <w:szCs w:val="21"/>
              </w:rPr>
            </w:pPr>
          </w:p>
        </w:tc>
        <w:tc>
          <w:tcPr>
            <w:tcW w:w="1478" w:type="dxa"/>
            <w:vAlign w:val="center"/>
          </w:tcPr>
          <w:p w14:paraId="22B2550D">
            <w:pPr>
              <w:adjustRightInd w:val="0"/>
              <w:snapToGrid w:val="0"/>
              <w:jc w:val="center"/>
              <w:rPr>
                <w:rFonts w:hint="eastAsia" w:ascii="宋体" w:hAnsi="宋体" w:cs="宋体"/>
                <w:color w:val="auto"/>
                <w:szCs w:val="21"/>
              </w:rPr>
            </w:pPr>
          </w:p>
        </w:tc>
        <w:tc>
          <w:tcPr>
            <w:tcW w:w="992" w:type="dxa"/>
            <w:vAlign w:val="center"/>
          </w:tcPr>
          <w:p w14:paraId="680FEE65">
            <w:pPr>
              <w:adjustRightInd w:val="0"/>
              <w:snapToGrid w:val="0"/>
              <w:jc w:val="center"/>
              <w:rPr>
                <w:rFonts w:hint="eastAsia" w:ascii="宋体" w:hAnsi="宋体" w:cs="宋体"/>
                <w:color w:val="auto"/>
                <w:szCs w:val="21"/>
              </w:rPr>
            </w:pPr>
          </w:p>
        </w:tc>
        <w:tc>
          <w:tcPr>
            <w:tcW w:w="1069" w:type="dxa"/>
            <w:vAlign w:val="center"/>
          </w:tcPr>
          <w:p w14:paraId="54118E96">
            <w:pPr>
              <w:adjustRightInd w:val="0"/>
              <w:snapToGrid w:val="0"/>
              <w:jc w:val="center"/>
              <w:rPr>
                <w:rFonts w:hint="eastAsia" w:ascii="宋体" w:hAnsi="宋体" w:cs="宋体"/>
                <w:color w:val="auto"/>
                <w:szCs w:val="21"/>
              </w:rPr>
            </w:pPr>
          </w:p>
        </w:tc>
        <w:tc>
          <w:tcPr>
            <w:tcW w:w="993" w:type="dxa"/>
            <w:vAlign w:val="center"/>
          </w:tcPr>
          <w:p w14:paraId="5C5D7FBA">
            <w:pPr>
              <w:adjustRightInd w:val="0"/>
              <w:snapToGrid w:val="0"/>
              <w:jc w:val="center"/>
              <w:rPr>
                <w:rFonts w:hint="eastAsia" w:ascii="宋体" w:hAnsi="宋体" w:cs="宋体"/>
                <w:color w:val="auto"/>
                <w:szCs w:val="21"/>
              </w:rPr>
            </w:pPr>
          </w:p>
        </w:tc>
        <w:tc>
          <w:tcPr>
            <w:tcW w:w="1134" w:type="dxa"/>
            <w:vAlign w:val="center"/>
          </w:tcPr>
          <w:p w14:paraId="2F17529D">
            <w:pPr>
              <w:adjustRightInd w:val="0"/>
              <w:snapToGrid w:val="0"/>
              <w:jc w:val="center"/>
              <w:rPr>
                <w:rFonts w:hint="eastAsia" w:ascii="宋体" w:hAnsi="宋体" w:cs="宋体"/>
                <w:color w:val="auto"/>
                <w:szCs w:val="21"/>
              </w:rPr>
            </w:pPr>
          </w:p>
        </w:tc>
        <w:tc>
          <w:tcPr>
            <w:tcW w:w="930" w:type="dxa"/>
            <w:vAlign w:val="center"/>
          </w:tcPr>
          <w:p w14:paraId="4C2816D7">
            <w:pPr>
              <w:adjustRightInd w:val="0"/>
              <w:snapToGrid w:val="0"/>
              <w:jc w:val="center"/>
              <w:rPr>
                <w:rFonts w:hint="eastAsia" w:ascii="宋体" w:hAnsi="宋体" w:cs="宋体"/>
                <w:color w:val="auto"/>
                <w:szCs w:val="21"/>
              </w:rPr>
            </w:pPr>
          </w:p>
        </w:tc>
        <w:tc>
          <w:tcPr>
            <w:tcW w:w="1236" w:type="dxa"/>
            <w:vAlign w:val="center"/>
          </w:tcPr>
          <w:p w14:paraId="1E82473E">
            <w:pPr>
              <w:adjustRightInd w:val="0"/>
              <w:snapToGrid w:val="0"/>
              <w:jc w:val="center"/>
              <w:rPr>
                <w:rFonts w:hint="eastAsia" w:ascii="宋体" w:hAnsi="宋体" w:cs="宋体"/>
                <w:color w:val="auto"/>
                <w:szCs w:val="21"/>
              </w:rPr>
            </w:pPr>
          </w:p>
        </w:tc>
      </w:tr>
      <w:tr w14:paraId="45BB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7393BB04">
            <w:pPr>
              <w:adjustRightInd w:val="0"/>
              <w:snapToGrid w:val="0"/>
              <w:jc w:val="center"/>
              <w:rPr>
                <w:rFonts w:hint="eastAsia" w:ascii="宋体" w:hAnsi="宋体" w:cs="宋体"/>
                <w:color w:val="auto"/>
                <w:szCs w:val="21"/>
              </w:rPr>
            </w:pPr>
          </w:p>
        </w:tc>
        <w:tc>
          <w:tcPr>
            <w:tcW w:w="1478" w:type="dxa"/>
            <w:vAlign w:val="center"/>
          </w:tcPr>
          <w:p w14:paraId="101EE421">
            <w:pPr>
              <w:adjustRightInd w:val="0"/>
              <w:snapToGrid w:val="0"/>
              <w:jc w:val="center"/>
              <w:rPr>
                <w:rFonts w:hint="eastAsia" w:ascii="宋体" w:hAnsi="宋体" w:cs="宋体"/>
                <w:color w:val="auto"/>
                <w:szCs w:val="21"/>
              </w:rPr>
            </w:pPr>
          </w:p>
        </w:tc>
        <w:tc>
          <w:tcPr>
            <w:tcW w:w="992" w:type="dxa"/>
            <w:vAlign w:val="center"/>
          </w:tcPr>
          <w:p w14:paraId="3912ADE8">
            <w:pPr>
              <w:adjustRightInd w:val="0"/>
              <w:snapToGrid w:val="0"/>
              <w:jc w:val="center"/>
              <w:rPr>
                <w:rFonts w:hint="eastAsia" w:ascii="宋体" w:hAnsi="宋体" w:cs="宋体"/>
                <w:color w:val="auto"/>
                <w:szCs w:val="21"/>
              </w:rPr>
            </w:pPr>
          </w:p>
        </w:tc>
        <w:tc>
          <w:tcPr>
            <w:tcW w:w="1069" w:type="dxa"/>
            <w:vAlign w:val="center"/>
          </w:tcPr>
          <w:p w14:paraId="52D4F4F1">
            <w:pPr>
              <w:adjustRightInd w:val="0"/>
              <w:snapToGrid w:val="0"/>
              <w:jc w:val="center"/>
              <w:rPr>
                <w:rFonts w:hint="eastAsia" w:ascii="宋体" w:hAnsi="宋体" w:cs="宋体"/>
                <w:color w:val="auto"/>
                <w:szCs w:val="21"/>
              </w:rPr>
            </w:pPr>
          </w:p>
        </w:tc>
        <w:tc>
          <w:tcPr>
            <w:tcW w:w="993" w:type="dxa"/>
            <w:vAlign w:val="center"/>
          </w:tcPr>
          <w:p w14:paraId="11E8E947">
            <w:pPr>
              <w:adjustRightInd w:val="0"/>
              <w:snapToGrid w:val="0"/>
              <w:jc w:val="center"/>
              <w:rPr>
                <w:rFonts w:hint="eastAsia" w:ascii="宋体" w:hAnsi="宋体" w:cs="宋体"/>
                <w:color w:val="auto"/>
                <w:szCs w:val="21"/>
              </w:rPr>
            </w:pPr>
          </w:p>
        </w:tc>
        <w:tc>
          <w:tcPr>
            <w:tcW w:w="1134" w:type="dxa"/>
            <w:vAlign w:val="center"/>
          </w:tcPr>
          <w:p w14:paraId="6F4E83C9">
            <w:pPr>
              <w:adjustRightInd w:val="0"/>
              <w:snapToGrid w:val="0"/>
              <w:jc w:val="center"/>
              <w:rPr>
                <w:rFonts w:hint="eastAsia" w:ascii="宋体" w:hAnsi="宋体" w:cs="宋体"/>
                <w:color w:val="auto"/>
                <w:szCs w:val="21"/>
              </w:rPr>
            </w:pPr>
          </w:p>
        </w:tc>
        <w:tc>
          <w:tcPr>
            <w:tcW w:w="930" w:type="dxa"/>
            <w:vAlign w:val="center"/>
          </w:tcPr>
          <w:p w14:paraId="3C2C3956">
            <w:pPr>
              <w:adjustRightInd w:val="0"/>
              <w:snapToGrid w:val="0"/>
              <w:jc w:val="center"/>
              <w:rPr>
                <w:rFonts w:hint="eastAsia" w:ascii="宋体" w:hAnsi="宋体" w:cs="宋体"/>
                <w:color w:val="auto"/>
                <w:szCs w:val="21"/>
              </w:rPr>
            </w:pPr>
          </w:p>
        </w:tc>
        <w:tc>
          <w:tcPr>
            <w:tcW w:w="1236" w:type="dxa"/>
            <w:vAlign w:val="center"/>
          </w:tcPr>
          <w:p w14:paraId="4C17A133">
            <w:pPr>
              <w:adjustRightInd w:val="0"/>
              <w:snapToGrid w:val="0"/>
              <w:jc w:val="center"/>
              <w:rPr>
                <w:rFonts w:hint="eastAsia" w:ascii="宋体" w:hAnsi="宋体" w:cs="宋体"/>
                <w:color w:val="auto"/>
                <w:szCs w:val="21"/>
              </w:rPr>
            </w:pPr>
          </w:p>
        </w:tc>
      </w:tr>
      <w:tr w14:paraId="2379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4A1E8B28">
            <w:pPr>
              <w:adjustRightInd w:val="0"/>
              <w:snapToGrid w:val="0"/>
              <w:jc w:val="center"/>
              <w:rPr>
                <w:rFonts w:hint="eastAsia" w:ascii="宋体" w:hAnsi="宋体" w:cs="宋体"/>
                <w:color w:val="auto"/>
                <w:szCs w:val="21"/>
              </w:rPr>
            </w:pPr>
          </w:p>
        </w:tc>
        <w:tc>
          <w:tcPr>
            <w:tcW w:w="1478" w:type="dxa"/>
            <w:vAlign w:val="center"/>
          </w:tcPr>
          <w:p w14:paraId="42A06E92">
            <w:pPr>
              <w:adjustRightInd w:val="0"/>
              <w:snapToGrid w:val="0"/>
              <w:jc w:val="center"/>
              <w:rPr>
                <w:rFonts w:hint="eastAsia" w:ascii="宋体" w:hAnsi="宋体" w:cs="宋体"/>
                <w:color w:val="auto"/>
                <w:szCs w:val="21"/>
              </w:rPr>
            </w:pPr>
          </w:p>
        </w:tc>
        <w:tc>
          <w:tcPr>
            <w:tcW w:w="992" w:type="dxa"/>
            <w:vAlign w:val="center"/>
          </w:tcPr>
          <w:p w14:paraId="09E75975">
            <w:pPr>
              <w:adjustRightInd w:val="0"/>
              <w:snapToGrid w:val="0"/>
              <w:jc w:val="center"/>
              <w:rPr>
                <w:rFonts w:hint="eastAsia" w:ascii="宋体" w:hAnsi="宋体" w:cs="宋体"/>
                <w:color w:val="auto"/>
                <w:szCs w:val="21"/>
              </w:rPr>
            </w:pPr>
          </w:p>
        </w:tc>
        <w:tc>
          <w:tcPr>
            <w:tcW w:w="1069" w:type="dxa"/>
            <w:vAlign w:val="center"/>
          </w:tcPr>
          <w:p w14:paraId="6DD3E366">
            <w:pPr>
              <w:adjustRightInd w:val="0"/>
              <w:snapToGrid w:val="0"/>
              <w:jc w:val="center"/>
              <w:rPr>
                <w:rFonts w:hint="eastAsia" w:ascii="宋体" w:hAnsi="宋体" w:cs="宋体"/>
                <w:color w:val="auto"/>
                <w:szCs w:val="21"/>
              </w:rPr>
            </w:pPr>
          </w:p>
        </w:tc>
        <w:tc>
          <w:tcPr>
            <w:tcW w:w="993" w:type="dxa"/>
            <w:vAlign w:val="center"/>
          </w:tcPr>
          <w:p w14:paraId="541BA720">
            <w:pPr>
              <w:adjustRightInd w:val="0"/>
              <w:snapToGrid w:val="0"/>
              <w:jc w:val="center"/>
              <w:rPr>
                <w:rFonts w:hint="eastAsia" w:ascii="宋体" w:hAnsi="宋体" w:cs="宋体"/>
                <w:color w:val="auto"/>
                <w:szCs w:val="21"/>
              </w:rPr>
            </w:pPr>
          </w:p>
        </w:tc>
        <w:tc>
          <w:tcPr>
            <w:tcW w:w="1134" w:type="dxa"/>
            <w:vAlign w:val="center"/>
          </w:tcPr>
          <w:p w14:paraId="387A883C">
            <w:pPr>
              <w:adjustRightInd w:val="0"/>
              <w:snapToGrid w:val="0"/>
              <w:jc w:val="center"/>
              <w:rPr>
                <w:rFonts w:hint="eastAsia" w:ascii="宋体" w:hAnsi="宋体" w:cs="宋体"/>
                <w:color w:val="auto"/>
                <w:szCs w:val="21"/>
              </w:rPr>
            </w:pPr>
          </w:p>
        </w:tc>
        <w:tc>
          <w:tcPr>
            <w:tcW w:w="930" w:type="dxa"/>
            <w:vAlign w:val="center"/>
          </w:tcPr>
          <w:p w14:paraId="50E679AE">
            <w:pPr>
              <w:adjustRightInd w:val="0"/>
              <w:snapToGrid w:val="0"/>
              <w:jc w:val="center"/>
              <w:rPr>
                <w:rFonts w:hint="eastAsia" w:ascii="宋体" w:hAnsi="宋体" w:cs="宋体"/>
                <w:color w:val="auto"/>
                <w:szCs w:val="21"/>
              </w:rPr>
            </w:pPr>
          </w:p>
        </w:tc>
        <w:tc>
          <w:tcPr>
            <w:tcW w:w="1236" w:type="dxa"/>
            <w:vAlign w:val="center"/>
          </w:tcPr>
          <w:p w14:paraId="0057C89F">
            <w:pPr>
              <w:adjustRightInd w:val="0"/>
              <w:snapToGrid w:val="0"/>
              <w:jc w:val="center"/>
              <w:rPr>
                <w:rFonts w:hint="eastAsia" w:ascii="宋体" w:hAnsi="宋体" w:cs="宋体"/>
                <w:color w:val="auto"/>
                <w:szCs w:val="21"/>
              </w:rPr>
            </w:pPr>
          </w:p>
        </w:tc>
      </w:tr>
      <w:tr w14:paraId="22F5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7A036D04">
            <w:pPr>
              <w:adjustRightInd w:val="0"/>
              <w:snapToGrid w:val="0"/>
              <w:jc w:val="center"/>
              <w:rPr>
                <w:rFonts w:hint="eastAsia" w:ascii="宋体" w:hAnsi="宋体" w:cs="宋体"/>
                <w:color w:val="auto"/>
                <w:szCs w:val="21"/>
              </w:rPr>
            </w:pPr>
          </w:p>
        </w:tc>
        <w:tc>
          <w:tcPr>
            <w:tcW w:w="1478" w:type="dxa"/>
            <w:vAlign w:val="center"/>
          </w:tcPr>
          <w:p w14:paraId="2E4DB402">
            <w:pPr>
              <w:adjustRightInd w:val="0"/>
              <w:snapToGrid w:val="0"/>
              <w:jc w:val="center"/>
              <w:rPr>
                <w:rFonts w:hint="eastAsia" w:ascii="宋体" w:hAnsi="宋体" w:cs="宋体"/>
                <w:color w:val="auto"/>
                <w:szCs w:val="21"/>
              </w:rPr>
            </w:pPr>
          </w:p>
        </w:tc>
        <w:tc>
          <w:tcPr>
            <w:tcW w:w="992" w:type="dxa"/>
            <w:vAlign w:val="center"/>
          </w:tcPr>
          <w:p w14:paraId="7F0BC77E">
            <w:pPr>
              <w:adjustRightInd w:val="0"/>
              <w:snapToGrid w:val="0"/>
              <w:jc w:val="center"/>
              <w:rPr>
                <w:rFonts w:hint="eastAsia" w:ascii="宋体" w:hAnsi="宋体" w:cs="宋体"/>
                <w:color w:val="auto"/>
                <w:szCs w:val="21"/>
              </w:rPr>
            </w:pPr>
          </w:p>
        </w:tc>
        <w:tc>
          <w:tcPr>
            <w:tcW w:w="1069" w:type="dxa"/>
            <w:vAlign w:val="center"/>
          </w:tcPr>
          <w:p w14:paraId="0D56743A">
            <w:pPr>
              <w:adjustRightInd w:val="0"/>
              <w:snapToGrid w:val="0"/>
              <w:jc w:val="center"/>
              <w:rPr>
                <w:rFonts w:hint="eastAsia" w:ascii="宋体" w:hAnsi="宋体" w:cs="宋体"/>
                <w:color w:val="auto"/>
                <w:szCs w:val="21"/>
              </w:rPr>
            </w:pPr>
          </w:p>
        </w:tc>
        <w:tc>
          <w:tcPr>
            <w:tcW w:w="993" w:type="dxa"/>
            <w:vAlign w:val="center"/>
          </w:tcPr>
          <w:p w14:paraId="7BA5DDC1">
            <w:pPr>
              <w:adjustRightInd w:val="0"/>
              <w:snapToGrid w:val="0"/>
              <w:jc w:val="center"/>
              <w:rPr>
                <w:rFonts w:hint="eastAsia" w:ascii="宋体" w:hAnsi="宋体" w:cs="宋体"/>
                <w:color w:val="auto"/>
                <w:szCs w:val="21"/>
              </w:rPr>
            </w:pPr>
          </w:p>
        </w:tc>
        <w:tc>
          <w:tcPr>
            <w:tcW w:w="1134" w:type="dxa"/>
            <w:vAlign w:val="center"/>
          </w:tcPr>
          <w:p w14:paraId="34BB00B9">
            <w:pPr>
              <w:adjustRightInd w:val="0"/>
              <w:snapToGrid w:val="0"/>
              <w:jc w:val="center"/>
              <w:rPr>
                <w:rFonts w:hint="eastAsia" w:ascii="宋体" w:hAnsi="宋体" w:cs="宋体"/>
                <w:color w:val="auto"/>
                <w:szCs w:val="21"/>
              </w:rPr>
            </w:pPr>
          </w:p>
        </w:tc>
        <w:tc>
          <w:tcPr>
            <w:tcW w:w="930" w:type="dxa"/>
            <w:vAlign w:val="center"/>
          </w:tcPr>
          <w:p w14:paraId="41EC2D84">
            <w:pPr>
              <w:adjustRightInd w:val="0"/>
              <w:snapToGrid w:val="0"/>
              <w:jc w:val="center"/>
              <w:rPr>
                <w:rFonts w:hint="eastAsia" w:ascii="宋体" w:hAnsi="宋体" w:cs="宋体"/>
                <w:color w:val="auto"/>
                <w:szCs w:val="21"/>
              </w:rPr>
            </w:pPr>
          </w:p>
        </w:tc>
        <w:tc>
          <w:tcPr>
            <w:tcW w:w="1236" w:type="dxa"/>
            <w:vAlign w:val="center"/>
          </w:tcPr>
          <w:p w14:paraId="12870A1F">
            <w:pPr>
              <w:adjustRightInd w:val="0"/>
              <w:snapToGrid w:val="0"/>
              <w:jc w:val="center"/>
              <w:rPr>
                <w:rFonts w:hint="eastAsia" w:ascii="宋体" w:hAnsi="宋体" w:cs="宋体"/>
                <w:color w:val="auto"/>
                <w:szCs w:val="21"/>
              </w:rPr>
            </w:pPr>
          </w:p>
        </w:tc>
      </w:tr>
      <w:tr w14:paraId="65BE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vAlign w:val="center"/>
          </w:tcPr>
          <w:p w14:paraId="0C1DDC0D">
            <w:pPr>
              <w:adjustRightInd w:val="0"/>
              <w:snapToGrid w:val="0"/>
              <w:jc w:val="center"/>
              <w:rPr>
                <w:rFonts w:hint="eastAsia" w:ascii="宋体" w:hAnsi="宋体" w:cs="宋体"/>
                <w:color w:val="auto"/>
                <w:szCs w:val="21"/>
              </w:rPr>
            </w:pPr>
          </w:p>
        </w:tc>
        <w:tc>
          <w:tcPr>
            <w:tcW w:w="1478" w:type="dxa"/>
            <w:vAlign w:val="center"/>
          </w:tcPr>
          <w:p w14:paraId="3C88B9C4">
            <w:pPr>
              <w:adjustRightInd w:val="0"/>
              <w:snapToGrid w:val="0"/>
              <w:jc w:val="center"/>
              <w:rPr>
                <w:rFonts w:hint="eastAsia" w:ascii="宋体" w:hAnsi="宋体" w:cs="宋体"/>
                <w:color w:val="auto"/>
                <w:szCs w:val="21"/>
              </w:rPr>
            </w:pPr>
          </w:p>
        </w:tc>
        <w:tc>
          <w:tcPr>
            <w:tcW w:w="992" w:type="dxa"/>
            <w:vAlign w:val="center"/>
          </w:tcPr>
          <w:p w14:paraId="07B2ED6C">
            <w:pPr>
              <w:adjustRightInd w:val="0"/>
              <w:snapToGrid w:val="0"/>
              <w:jc w:val="center"/>
              <w:rPr>
                <w:rFonts w:hint="eastAsia" w:ascii="宋体" w:hAnsi="宋体" w:cs="宋体"/>
                <w:color w:val="auto"/>
                <w:szCs w:val="21"/>
              </w:rPr>
            </w:pPr>
          </w:p>
        </w:tc>
        <w:tc>
          <w:tcPr>
            <w:tcW w:w="1069" w:type="dxa"/>
            <w:vAlign w:val="center"/>
          </w:tcPr>
          <w:p w14:paraId="5E3E1F74">
            <w:pPr>
              <w:adjustRightInd w:val="0"/>
              <w:snapToGrid w:val="0"/>
              <w:jc w:val="center"/>
              <w:rPr>
                <w:rFonts w:hint="eastAsia" w:ascii="宋体" w:hAnsi="宋体" w:cs="宋体"/>
                <w:color w:val="auto"/>
                <w:szCs w:val="21"/>
              </w:rPr>
            </w:pPr>
          </w:p>
        </w:tc>
        <w:tc>
          <w:tcPr>
            <w:tcW w:w="993" w:type="dxa"/>
            <w:vAlign w:val="center"/>
          </w:tcPr>
          <w:p w14:paraId="62FE0464">
            <w:pPr>
              <w:adjustRightInd w:val="0"/>
              <w:snapToGrid w:val="0"/>
              <w:jc w:val="center"/>
              <w:rPr>
                <w:rFonts w:hint="eastAsia" w:ascii="宋体" w:hAnsi="宋体" w:cs="宋体"/>
                <w:color w:val="auto"/>
                <w:szCs w:val="21"/>
              </w:rPr>
            </w:pPr>
          </w:p>
        </w:tc>
        <w:tc>
          <w:tcPr>
            <w:tcW w:w="1134" w:type="dxa"/>
            <w:vAlign w:val="center"/>
          </w:tcPr>
          <w:p w14:paraId="24CFFFED">
            <w:pPr>
              <w:adjustRightInd w:val="0"/>
              <w:snapToGrid w:val="0"/>
              <w:jc w:val="center"/>
              <w:rPr>
                <w:rFonts w:hint="eastAsia" w:ascii="宋体" w:hAnsi="宋体" w:cs="宋体"/>
                <w:color w:val="auto"/>
                <w:szCs w:val="21"/>
              </w:rPr>
            </w:pPr>
          </w:p>
        </w:tc>
        <w:tc>
          <w:tcPr>
            <w:tcW w:w="930" w:type="dxa"/>
            <w:vAlign w:val="center"/>
          </w:tcPr>
          <w:p w14:paraId="767DDF31">
            <w:pPr>
              <w:adjustRightInd w:val="0"/>
              <w:snapToGrid w:val="0"/>
              <w:jc w:val="center"/>
              <w:rPr>
                <w:rFonts w:hint="eastAsia" w:ascii="宋体" w:hAnsi="宋体" w:cs="宋体"/>
                <w:color w:val="auto"/>
                <w:szCs w:val="21"/>
              </w:rPr>
            </w:pPr>
          </w:p>
        </w:tc>
        <w:tc>
          <w:tcPr>
            <w:tcW w:w="1236" w:type="dxa"/>
            <w:vAlign w:val="center"/>
          </w:tcPr>
          <w:p w14:paraId="6DA60F5F">
            <w:pPr>
              <w:adjustRightInd w:val="0"/>
              <w:snapToGrid w:val="0"/>
              <w:jc w:val="center"/>
              <w:rPr>
                <w:rFonts w:hint="eastAsia" w:ascii="宋体" w:hAnsi="宋体" w:cs="宋体"/>
                <w:color w:val="auto"/>
                <w:szCs w:val="21"/>
              </w:rPr>
            </w:pPr>
          </w:p>
        </w:tc>
      </w:tr>
    </w:tbl>
    <w:p w14:paraId="4B429A86">
      <w:pPr>
        <w:pStyle w:val="65"/>
        <w:ind w:firstLine="0" w:firstLineChars="0"/>
        <w:rPr>
          <w:rFonts w:hint="eastAsia" w:ascii="宋体" w:hAnsi="宋体" w:eastAsia="宋体" w:cs="宋体"/>
          <w:color w:val="auto"/>
        </w:rPr>
      </w:pPr>
      <w:r>
        <w:rPr>
          <w:rFonts w:hint="eastAsia" w:ascii="宋体" w:hAnsi="宋体" w:eastAsia="宋体" w:cs="宋体"/>
          <w:color w:val="auto"/>
          <w:spacing w:val="0"/>
          <w:kern w:val="2"/>
          <w:sz w:val="21"/>
          <w:szCs w:val="21"/>
        </w:rPr>
        <w:t>注：相应的证书附后。</w:t>
      </w:r>
    </w:p>
    <w:p w14:paraId="2DE6F33B">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投标人名称（盖法人公章）：</w:t>
      </w:r>
    </w:p>
    <w:p w14:paraId="01053ADF">
      <w:pPr>
        <w:spacing w:line="440" w:lineRule="exact"/>
        <w:ind w:firstLine="420" w:firstLineChars="200"/>
        <w:jc w:val="right"/>
        <w:rPr>
          <w:rFonts w:hint="eastAsia" w:ascii="宋体" w:hAnsi="宋体" w:cs="宋体"/>
          <w:color w:val="auto"/>
          <w:szCs w:val="21"/>
        </w:rPr>
      </w:pPr>
      <w:r>
        <w:rPr>
          <w:rFonts w:hint="eastAsia" w:ascii="宋体" w:hAnsi="宋体" w:cs="宋体"/>
          <w:color w:val="auto"/>
          <w:szCs w:val="21"/>
        </w:rPr>
        <w:t>法定代表人或被授权人（签字或盖章）：</w:t>
      </w:r>
    </w:p>
    <w:p w14:paraId="533FEB7E">
      <w:pPr>
        <w:spacing w:line="440" w:lineRule="exact"/>
        <w:ind w:firstLine="5880" w:firstLineChars="2800"/>
        <w:rPr>
          <w:rFonts w:hint="eastAsia" w:ascii="宋体" w:hAnsi="宋体" w:cs="宋体"/>
          <w:color w:val="auto"/>
          <w:szCs w:val="21"/>
        </w:rPr>
      </w:pPr>
      <w:r>
        <w:rPr>
          <w:rFonts w:hint="eastAsia" w:ascii="宋体" w:hAnsi="宋体" w:cs="宋体"/>
          <w:color w:val="auto"/>
          <w:szCs w:val="21"/>
        </w:rPr>
        <w:t>日期：   年  月  日</w:t>
      </w:r>
    </w:p>
    <w:p w14:paraId="3CA2A47F">
      <w:pPr>
        <w:pStyle w:val="36"/>
        <w:rPr>
          <w:color w:val="auto"/>
        </w:rPr>
      </w:pPr>
    </w:p>
    <w:p w14:paraId="04C3D82B">
      <w:pPr>
        <w:pStyle w:val="36"/>
        <w:rPr>
          <w:color w:val="auto"/>
        </w:rPr>
      </w:pPr>
    </w:p>
    <w:p w14:paraId="4FDE1A07">
      <w:pPr>
        <w:rPr>
          <w:rFonts w:hint="eastAsia" w:ascii="宋体" w:hAnsi="宋体" w:cs="宋体"/>
          <w:b/>
          <w:color w:val="auto"/>
          <w:kern w:val="1"/>
          <w:sz w:val="24"/>
          <w:lang w:val="zh-CN"/>
        </w:rPr>
      </w:pPr>
      <w:bookmarkStart w:id="583" w:name="_Toc23488"/>
      <w:bookmarkEnd w:id="583"/>
      <w:bookmarkStart w:id="584" w:name="_Toc11799"/>
      <w:bookmarkEnd w:id="584"/>
      <w:r>
        <w:rPr>
          <w:rFonts w:hint="eastAsia" w:ascii="宋体" w:hAnsi="宋体" w:cs="宋体"/>
          <w:b/>
          <w:color w:val="auto"/>
          <w:kern w:val="1"/>
          <w:sz w:val="24"/>
          <w:lang w:val="zh-CN"/>
        </w:rPr>
        <w:br w:type="page"/>
      </w:r>
    </w:p>
    <w:p w14:paraId="07D3362C">
      <w:pPr>
        <w:rPr>
          <w:rFonts w:hint="eastAsia" w:ascii="宋体" w:hAnsi="宋体" w:cs="宋体"/>
          <w:b/>
          <w:color w:val="auto"/>
          <w:kern w:val="1"/>
          <w:sz w:val="24"/>
        </w:rPr>
      </w:pPr>
      <w:r>
        <w:rPr>
          <w:rFonts w:hint="eastAsia" w:ascii="宋体" w:hAnsi="宋体" w:cs="宋体"/>
          <w:b/>
          <w:color w:val="auto"/>
          <w:kern w:val="1"/>
          <w:sz w:val="24"/>
          <w:lang w:val="zh-CN"/>
        </w:rPr>
        <w:t>格式</w:t>
      </w:r>
      <w:r>
        <w:rPr>
          <w:rFonts w:hint="eastAsia" w:ascii="宋体" w:hAnsi="宋体" w:cs="宋体"/>
          <w:b/>
          <w:color w:val="auto"/>
          <w:kern w:val="1"/>
          <w:sz w:val="24"/>
        </w:rPr>
        <w:t>8：</w:t>
      </w:r>
    </w:p>
    <w:p w14:paraId="236FB6F1">
      <w:pPr>
        <w:pStyle w:val="35"/>
        <w:spacing w:after="0" w:line="360" w:lineRule="auto"/>
        <w:ind w:firstLine="562" w:firstLineChars="200"/>
        <w:jc w:val="center"/>
        <w:rPr>
          <w:rFonts w:hint="eastAsia" w:ascii="宋体" w:hAnsi="宋体" w:cs="宋体"/>
          <w:color w:val="auto"/>
          <w:sz w:val="18"/>
          <w:szCs w:val="18"/>
        </w:rPr>
      </w:pPr>
      <w:r>
        <w:rPr>
          <w:rFonts w:hint="eastAsia" w:ascii="宋体" w:hAnsi="宋体" w:cs="宋体"/>
          <w:b/>
          <w:color w:val="auto"/>
          <w:sz w:val="28"/>
          <w:szCs w:val="28"/>
        </w:rPr>
        <w:t>投标文件编制人员名单</w:t>
      </w:r>
    </w:p>
    <w:tbl>
      <w:tblPr>
        <w:tblStyle w:val="37"/>
        <w:tblW w:w="0" w:type="auto"/>
        <w:tblInd w:w="0" w:type="dxa"/>
        <w:tblLayout w:type="fixed"/>
        <w:tblCellMar>
          <w:top w:w="0" w:type="dxa"/>
          <w:left w:w="108" w:type="dxa"/>
          <w:bottom w:w="0" w:type="dxa"/>
          <w:right w:w="108" w:type="dxa"/>
        </w:tblCellMar>
      </w:tblPr>
      <w:tblGrid>
        <w:gridCol w:w="1249"/>
        <w:gridCol w:w="1453"/>
        <w:gridCol w:w="2486"/>
        <w:gridCol w:w="2383"/>
        <w:gridCol w:w="1432"/>
      </w:tblGrid>
      <w:tr w14:paraId="2A069DEF">
        <w:tblPrEx>
          <w:tblCellMar>
            <w:top w:w="0" w:type="dxa"/>
            <w:left w:w="108" w:type="dxa"/>
            <w:bottom w:w="0" w:type="dxa"/>
            <w:right w:w="108" w:type="dxa"/>
          </w:tblCellMar>
        </w:tblPrEx>
        <w:trPr>
          <w:trHeight w:val="318" w:hRule="atLeast"/>
        </w:trPr>
        <w:tc>
          <w:tcPr>
            <w:tcW w:w="9003" w:type="dxa"/>
            <w:gridSpan w:val="5"/>
            <w:tcBorders>
              <w:top w:val="single" w:color="auto" w:sz="4" w:space="0"/>
              <w:left w:val="single" w:color="auto" w:sz="4" w:space="0"/>
              <w:bottom w:val="single" w:color="auto" w:sz="4" w:space="0"/>
              <w:right w:val="single" w:color="auto" w:sz="4" w:space="0"/>
            </w:tcBorders>
            <w:vAlign w:val="center"/>
          </w:tcPr>
          <w:p w14:paraId="238EDA03">
            <w:pPr>
              <w:tabs>
                <w:tab w:val="left" w:pos="720"/>
              </w:tabs>
              <w:snapToGrid w:val="0"/>
              <w:spacing w:line="360" w:lineRule="auto"/>
              <w:rPr>
                <w:rFonts w:hint="eastAsia" w:ascii="宋体" w:hAnsi="宋体" w:cs="宋体"/>
                <w:color w:val="auto"/>
                <w:sz w:val="18"/>
                <w:szCs w:val="18"/>
              </w:rPr>
            </w:pPr>
            <w:r>
              <w:rPr>
                <w:rFonts w:hint="eastAsia" w:ascii="宋体" w:hAnsi="宋体" w:cs="宋体"/>
                <w:color w:val="auto"/>
                <w:sz w:val="18"/>
                <w:szCs w:val="18"/>
              </w:rPr>
              <w:t>投标单位名称：</w:t>
            </w:r>
          </w:p>
        </w:tc>
      </w:tr>
      <w:tr w14:paraId="33475CB0">
        <w:tblPrEx>
          <w:tblCellMar>
            <w:top w:w="0" w:type="dxa"/>
            <w:left w:w="108" w:type="dxa"/>
            <w:bottom w:w="0" w:type="dxa"/>
            <w:right w:w="108" w:type="dxa"/>
          </w:tblCellMar>
        </w:tblPrEx>
        <w:trPr>
          <w:trHeight w:val="212" w:hRule="atLeast"/>
        </w:trPr>
        <w:tc>
          <w:tcPr>
            <w:tcW w:w="1249" w:type="dxa"/>
            <w:tcBorders>
              <w:top w:val="single" w:color="auto" w:sz="4" w:space="0"/>
              <w:left w:val="single" w:color="auto" w:sz="4" w:space="0"/>
              <w:bottom w:val="single" w:color="auto" w:sz="4" w:space="0"/>
              <w:right w:val="single" w:color="auto" w:sz="4" w:space="0"/>
            </w:tcBorders>
            <w:vAlign w:val="center"/>
          </w:tcPr>
          <w:p w14:paraId="3D15FD28">
            <w:pPr>
              <w:tabs>
                <w:tab w:val="left" w:pos="720"/>
              </w:tabs>
              <w:snapToGrid w:val="0"/>
              <w:spacing w:line="360" w:lineRule="auto"/>
              <w:jc w:val="center"/>
              <w:rPr>
                <w:rFonts w:hint="eastAsia" w:ascii="宋体" w:hAnsi="宋体" w:cs="宋体"/>
                <w:color w:val="auto"/>
                <w:sz w:val="18"/>
                <w:szCs w:val="18"/>
              </w:rPr>
            </w:pPr>
            <w:r>
              <w:rPr>
                <w:rFonts w:hint="eastAsia" w:ascii="宋体" w:hAnsi="宋体" w:cs="宋体"/>
                <w:color w:val="auto"/>
                <w:sz w:val="18"/>
                <w:szCs w:val="18"/>
              </w:rPr>
              <w:t>姓名</w:t>
            </w:r>
          </w:p>
        </w:tc>
        <w:tc>
          <w:tcPr>
            <w:tcW w:w="1453" w:type="dxa"/>
            <w:tcBorders>
              <w:top w:val="single" w:color="auto" w:sz="4" w:space="0"/>
              <w:left w:val="single" w:color="auto" w:sz="4" w:space="0"/>
              <w:bottom w:val="single" w:color="auto" w:sz="4" w:space="0"/>
              <w:right w:val="single" w:color="auto" w:sz="4" w:space="0"/>
            </w:tcBorders>
            <w:vAlign w:val="center"/>
          </w:tcPr>
          <w:p w14:paraId="73847F92">
            <w:pPr>
              <w:tabs>
                <w:tab w:val="left" w:pos="720"/>
              </w:tabs>
              <w:snapToGrid w:val="0"/>
              <w:spacing w:line="360" w:lineRule="auto"/>
              <w:jc w:val="center"/>
              <w:rPr>
                <w:rFonts w:hint="eastAsia" w:ascii="宋体" w:hAnsi="宋体" w:cs="宋体"/>
                <w:color w:val="auto"/>
                <w:sz w:val="18"/>
                <w:szCs w:val="18"/>
              </w:rPr>
            </w:pPr>
            <w:r>
              <w:rPr>
                <w:rFonts w:hint="eastAsia" w:ascii="宋体" w:hAnsi="宋体" w:cs="宋体"/>
                <w:color w:val="auto"/>
                <w:sz w:val="18"/>
                <w:szCs w:val="18"/>
              </w:rPr>
              <w:t>职务</w:t>
            </w:r>
          </w:p>
        </w:tc>
        <w:tc>
          <w:tcPr>
            <w:tcW w:w="2486" w:type="dxa"/>
            <w:tcBorders>
              <w:top w:val="single" w:color="auto" w:sz="4" w:space="0"/>
              <w:left w:val="single" w:color="auto" w:sz="4" w:space="0"/>
              <w:bottom w:val="single" w:color="auto" w:sz="4" w:space="0"/>
              <w:right w:val="single" w:color="auto" w:sz="4" w:space="0"/>
            </w:tcBorders>
            <w:vAlign w:val="center"/>
          </w:tcPr>
          <w:p w14:paraId="4A8E3C1D">
            <w:pPr>
              <w:tabs>
                <w:tab w:val="left" w:pos="720"/>
              </w:tabs>
              <w:snapToGrid w:val="0"/>
              <w:spacing w:line="360" w:lineRule="auto"/>
              <w:jc w:val="center"/>
              <w:rPr>
                <w:rFonts w:hint="eastAsia" w:ascii="宋体" w:hAnsi="宋体" w:cs="宋体"/>
                <w:color w:val="auto"/>
                <w:sz w:val="18"/>
                <w:szCs w:val="18"/>
              </w:rPr>
            </w:pPr>
            <w:r>
              <w:rPr>
                <w:rFonts w:hint="eastAsia" w:ascii="宋体" w:hAnsi="宋体" w:cs="宋体"/>
                <w:color w:val="auto"/>
                <w:sz w:val="18"/>
                <w:szCs w:val="18"/>
              </w:rPr>
              <w:t>所承担工作</w:t>
            </w:r>
          </w:p>
        </w:tc>
        <w:tc>
          <w:tcPr>
            <w:tcW w:w="2383" w:type="dxa"/>
            <w:tcBorders>
              <w:top w:val="single" w:color="auto" w:sz="4" w:space="0"/>
              <w:left w:val="single" w:color="auto" w:sz="4" w:space="0"/>
              <w:bottom w:val="single" w:color="auto" w:sz="4" w:space="0"/>
              <w:right w:val="single" w:color="auto" w:sz="4" w:space="0"/>
            </w:tcBorders>
            <w:vAlign w:val="center"/>
          </w:tcPr>
          <w:p w14:paraId="26008F12">
            <w:pPr>
              <w:tabs>
                <w:tab w:val="left" w:pos="720"/>
              </w:tabs>
              <w:snapToGrid w:val="0"/>
              <w:spacing w:line="360" w:lineRule="auto"/>
              <w:jc w:val="center"/>
              <w:rPr>
                <w:rFonts w:hint="eastAsia" w:ascii="宋体" w:hAnsi="宋体" w:cs="宋体"/>
                <w:color w:val="auto"/>
                <w:sz w:val="18"/>
                <w:szCs w:val="18"/>
              </w:rPr>
            </w:pPr>
            <w:r>
              <w:rPr>
                <w:rFonts w:hint="eastAsia" w:ascii="宋体" w:hAnsi="宋体" w:cs="宋体"/>
                <w:color w:val="auto"/>
                <w:sz w:val="18"/>
                <w:szCs w:val="18"/>
              </w:rPr>
              <w:t>身份证号码</w:t>
            </w:r>
          </w:p>
        </w:tc>
        <w:tc>
          <w:tcPr>
            <w:tcW w:w="1432" w:type="dxa"/>
            <w:tcBorders>
              <w:top w:val="single" w:color="auto" w:sz="4" w:space="0"/>
              <w:left w:val="single" w:color="auto" w:sz="4" w:space="0"/>
              <w:bottom w:val="single" w:color="auto" w:sz="4" w:space="0"/>
              <w:right w:val="single" w:color="auto" w:sz="4" w:space="0"/>
            </w:tcBorders>
            <w:vAlign w:val="center"/>
          </w:tcPr>
          <w:p w14:paraId="1B1CF765">
            <w:pPr>
              <w:tabs>
                <w:tab w:val="left" w:pos="720"/>
              </w:tabs>
              <w:snapToGrid w:val="0"/>
              <w:spacing w:line="360" w:lineRule="auto"/>
              <w:jc w:val="center"/>
              <w:rPr>
                <w:rFonts w:hint="eastAsia" w:ascii="宋体" w:hAnsi="宋体" w:cs="宋体"/>
                <w:color w:val="auto"/>
                <w:sz w:val="18"/>
                <w:szCs w:val="18"/>
              </w:rPr>
            </w:pPr>
            <w:r>
              <w:rPr>
                <w:rFonts w:hint="eastAsia" w:ascii="宋体" w:hAnsi="宋体" w:cs="宋体"/>
                <w:color w:val="auto"/>
                <w:sz w:val="18"/>
                <w:szCs w:val="18"/>
              </w:rPr>
              <w:t>本人签名栏</w:t>
            </w:r>
          </w:p>
        </w:tc>
      </w:tr>
      <w:tr w14:paraId="47B967CF">
        <w:tblPrEx>
          <w:tblCellMar>
            <w:top w:w="0" w:type="dxa"/>
            <w:left w:w="108" w:type="dxa"/>
            <w:bottom w:w="0" w:type="dxa"/>
            <w:right w:w="108" w:type="dxa"/>
          </w:tblCellMar>
        </w:tblPrEx>
        <w:trPr>
          <w:trHeight w:val="58" w:hRule="atLeast"/>
        </w:trPr>
        <w:tc>
          <w:tcPr>
            <w:tcW w:w="1249" w:type="dxa"/>
            <w:tcBorders>
              <w:top w:val="single" w:color="auto" w:sz="4" w:space="0"/>
              <w:left w:val="single" w:color="auto" w:sz="4" w:space="0"/>
              <w:bottom w:val="single" w:color="auto" w:sz="4" w:space="0"/>
              <w:right w:val="single" w:color="auto" w:sz="4" w:space="0"/>
            </w:tcBorders>
            <w:vAlign w:val="center"/>
          </w:tcPr>
          <w:p w14:paraId="530B7628">
            <w:pPr>
              <w:tabs>
                <w:tab w:val="left" w:pos="720"/>
              </w:tabs>
              <w:snapToGrid w:val="0"/>
              <w:spacing w:line="360" w:lineRule="auto"/>
              <w:jc w:val="center"/>
              <w:rPr>
                <w:rFonts w:hint="eastAsia" w:ascii="宋体" w:hAnsi="宋体" w:cs="宋体"/>
                <w:color w:val="auto"/>
                <w:sz w:val="18"/>
                <w:szCs w:val="18"/>
              </w:rPr>
            </w:pPr>
          </w:p>
        </w:tc>
        <w:tc>
          <w:tcPr>
            <w:tcW w:w="1453" w:type="dxa"/>
            <w:tcBorders>
              <w:top w:val="single" w:color="auto" w:sz="4" w:space="0"/>
              <w:left w:val="single" w:color="auto" w:sz="4" w:space="0"/>
              <w:bottom w:val="single" w:color="auto" w:sz="4" w:space="0"/>
              <w:right w:val="single" w:color="auto" w:sz="4" w:space="0"/>
            </w:tcBorders>
            <w:vAlign w:val="center"/>
          </w:tcPr>
          <w:p w14:paraId="047836BE">
            <w:pPr>
              <w:tabs>
                <w:tab w:val="left" w:pos="720"/>
              </w:tabs>
              <w:snapToGrid w:val="0"/>
              <w:spacing w:line="360" w:lineRule="auto"/>
              <w:jc w:val="center"/>
              <w:rPr>
                <w:rFonts w:hint="eastAsia" w:ascii="宋体" w:hAnsi="宋体" w:cs="宋体"/>
                <w:color w:val="auto"/>
                <w:sz w:val="18"/>
                <w:szCs w:val="18"/>
              </w:rPr>
            </w:pPr>
          </w:p>
        </w:tc>
        <w:tc>
          <w:tcPr>
            <w:tcW w:w="2486" w:type="dxa"/>
            <w:tcBorders>
              <w:top w:val="single" w:color="auto" w:sz="4" w:space="0"/>
              <w:left w:val="single" w:color="auto" w:sz="4" w:space="0"/>
              <w:bottom w:val="single" w:color="auto" w:sz="4" w:space="0"/>
              <w:right w:val="single" w:color="auto" w:sz="4" w:space="0"/>
            </w:tcBorders>
            <w:vAlign w:val="center"/>
          </w:tcPr>
          <w:p w14:paraId="4BC89C30">
            <w:pPr>
              <w:tabs>
                <w:tab w:val="left" w:pos="720"/>
              </w:tabs>
              <w:snapToGrid w:val="0"/>
              <w:spacing w:line="360" w:lineRule="auto"/>
              <w:jc w:val="center"/>
              <w:rPr>
                <w:rFonts w:hint="eastAsia" w:ascii="宋体" w:hAnsi="宋体" w:cs="宋体"/>
                <w:color w:val="auto"/>
                <w:sz w:val="18"/>
                <w:szCs w:val="18"/>
              </w:rPr>
            </w:pPr>
          </w:p>
        </w:tc>
        <w:tc>
          <w:tcPr>
            <w:tcW w:w="2383" w:type="dxa"/>
            <w:tcBorders>
              <w:top w:val="single" w:color="auto" w:sz="4" w:space="0"/>
              <w:left w:val="single" w:color="auto" w:sz="4" w:space="0"/>
              <w:bottom w:val="single" w:color="auto" w:sz="4" w:space="0"/>
              <w:right w:val="single" w:color="auto" w:sz="4" w:space="0"/>
            </w:tcBorders>
            <w:vAlign w:val="center"/>
          </w:tcPr>
          <w:p w14:paraId="190BEF8A">
            <w:pPr>
              <w:tabs>
                <w:tab w:val="left" w:pos="720"/>
              </w:tabs>
              <w:snapToGrid w:val="0"/>
              <w:spacing w:line="360" w:lineRule="auto"/>
              <w:jc w:val="center"/>
              <w:rPr>
                <w:rFonts w:hint="eastAsia" w:ascii="宋体" w:hAnsi="宋体" w:cs="宋体"/>
                <w:color w:val="auto"/>
                <w:sz w:val="18"/>
                <w:szCs w:val="18"/>
              </w:rPr>
            </w:pPr>
          </w:p>
        </w:tc>
        <w:tc>
          <w:tcPr>
            <w:tcW w:w="1432" w:type="dxa"/>
            <w:tcBorders>
              <w:top w:val="single" w:color="auto" w:sz="4" w:space="0"/>
              <w:left w:val="single" w:color="auto" w:sz="4" w:space="0"/>
              <w:bottom w:val="single" w:color="auto" w:sz="4" w:space="0"/>
              <w:right w:val="single" w:color="auto" w:sz="4" w:space="0"/>
            </w:tcBorders>
            <w:vAlign w:val="center"/>
          </w:tcPr>
          <w:p w14:paraId="71A7B7B3">
            <w:pPr>
              <w:tabs>
                <w:tab w:val="left" w:pos="720"/>
              </w:tabs>
              <w:snapToGrid w:val="0"/>
              <w:spacing w:line="360" w:lineRule="auto"/>
              <w:jc w:val="center"/>
              <w:rPr>
                <w:rFonts w:hint="eastAsia" w:ascii="宋体" w:hAnsi="宋体" w:cs="宋体"/>
                <w:color w:val="auto"/>
                <w:sz w:val="18"/>
                <w:szCs w:val="18"/>
              </w:rPr>
            </w:pPr>
          </w:p>
        </w:tc>
      </w:tr>
      <w:tr w14:paraId="7FCFEA02">
        <w:tblPrEx>
          <w:tblCellMar>
            <w:top w:w="0" w:type="dxa"/>
            <w:left w:w="108" w:type="dxa"/>
            <w:bottom w:w="0" w:type="dxa"/>
            <w:right w:w="108" w:type="dxa"/>
          </w:tblCellMar>
        </w:tblPrEx>
        <w:trPr>
          <w:trHeight w:val="162" w:hRule="atLeast"/>
        </w:trPr>
        <w:tc>
          <w:tcPr>
            <w:tcW w:w="1249" w:type="dxa"/>
            <w:tcBorders>
              <w:top w:val="single" w:color="auto" w:sz="4" w:space="0"/>
              <w:left w:val="single" w:color="auto" w:sz="4" w:space="0"/>
              <w:bottom w:val="single" w:color="auto" w:sz="4" w:space="0"/>
              <w:right w:val="single" w:color="auto" w:sz="4" w:space="0"/>
            </w:tcBorders>
            <w:vAlign w:val="center"/>
          </w:tcPr>
          <w:p w14:paraId="7AC04C5A">
            <w:pPr>
              <w:tabs>
                <w:tab w:val="left" w:pos="720"/>
              </w:tabs>
              <w:snapToGrid w:val="0"/>
              <w:spacing w:line="360" w:lineRule="auto"/>
              <w:jc w:val="center"/>
              <w:rPr>
                <w:rFonts w:hint="eastAsia" w:ascii="宋体" w:hAnsi="宋体" w:cs="宋体"/>
                <w:color w:val="auto"/>
                <w:sz w:val="18"/>
                <w:szCs w:val="18"/>
              </w:rPr>
            </w:pPr>
          </w:p>
        </w:tc>
        <w:tc>
          <w:tcPr>
            <w:tcW w:w="1453" w:type="dxa"/>
            <w:tcBorders>
              <w:top w:val="single" w:color="auto" w:sz="4" w:space="0"/>
              <w:left w:val="single" w:color="auto" w:sz="4" w:space="0"/>
              <w:bottom w:val="single" w:color="auto" w:sz="4" w:space="0"/>
              <w:right w:val="single" w:color="auto" w:sz="4" w:space="0"/>
            </w:tcBorders>
            <w:vAlign w:val="center"/>
          </w:tcPr>
          <w:p w14:paraId="51AD86CC">
            <w:pPr>
              <w:tabs>
                <w:tab w:val="left" w:pos="720"/>
              </w:tabs>
              <w:snapToGrid w:val="0"/>
              <w:spacing w:line="360" w:lineRule="auto"/>
              <w:jc w:val="center"/>
              <w:rPr>
                <w:rFonts w:hint="eastAsia" w:ascii="宋体" w:hAnsi="宋体" w:cs="宋体"/>
                <w:color w:val="auto"/>
                <w:sz w:val="18"/>
                <w:szCs w:val="18"/>
              </w:rPr>
            </w:pPr>
          </w:p>
        </w:tc>
        <w:tc>
          <w:tcPr>
            <w:tcW w:w="2486" w:type="dxa"/>
            <w:tcBorders>
              <w:top w:val="single" w:color="auto" w:sz="4" w:space="0"/>
              <w:left w:val="single" w:color="auto" w:sz="4" w:space="0"/>
              <w:bottom w:val="single" w:color="auto" w:sz="4" w:space="0"/>
              <w:right w:val="single" w:color="auto" w:sz="4" w:space="0"/>
            </w:tcBorders>
            <w:vAlign w:val="center"/>
          </w:tcPr>
          <w:p w14:paraId="18C84F7D">
            <w:pPr>
              <w:tabs>
                <w:tab w:val="left" w:pos="720"/>
              </w:tabs>
              <w:snapToGrid w:val="0"/>
              <w:spacing w:line="360" w:lineRule="auto"/>
              <w:jc w:val="center"/>
              <w:rPr>
                <w:rFonts w:hint="eastAsia" w:ascii="宋体" w:hAnsi="宋体" w:cs="宋体"/>
                <w:color w:val="auto"/>
                <w:sz w:val="18"/>
                <w:szCs w:val="18"/>
              </w:rPr>
            </w:pPr>
          </w:p>
        </w:tc>
        <w:tc>
          <w:tcPr>
            <w:tcW w:w="2383" w:type="dxa"/>
            <w:tcBorders>
              <w:top w:val="single" w:color="auto" w:sz="4" w:space="0"/>
              <w:left w:val="single" w:color="auto" w:sz="4" w:space="0"/>
              <w:bottom w:val="single" w:color="auto" w:sz="4" w:space="0"/>
              <w:right w:val="single" w:color="auto" w:sz="4" w:space="0"/>
            </w:tcBorders>
            <w:vAlign w:val="center"/>
          </w:tcPr>
          <w:p w14:paraId="2361EFA1">
            <w:pPr>
              <w:tabs>
                <w:tab w:val="left" w:pos="720"/>
              </w:tabs>
              <w:snapToGrid w:val="0"/>
              <w:spacing w:line="360" w:lineRule="auto"/>
              <w:jc w:val="center"/>
              <w:rPr>
                <w:rFonts w:hint="eastAsia" w:ascii="宋体" w:hAnsi="宋体" w:cs="宋体"/>
                <w:color w:val="auto"/>
                <w:sz w:val="18"/>
                <w:szCs w:val="18"/>
              </w:rPr>
            </w:pPr>
          </w:p>
        </w:tc>
        <w:tc>
          <w:tcPr>
            <w:tcW w:w="1432" w:type="dxa"/>
            <w:tcBorders>
              <w:top w:val="single" w:color="auto" w:sz="4" w:space="0"/>
              <w:left w:val="single" w:color="auto" w:sz="4" w:space="0"/>
              <w:bottom w:val="single" w:color="auto" w:sz="4" w:space="0"/>
              <w:right w:val="single" w:color="auto" w:sz="4" w:space="0"/>
            </w:tcBorders>
            <w:vAlign w:val="center"/>
          </w:tcPr>
          <w:p w14:paraId="0BB543EB">
            <w:pPr>
              <w:tabs>
                <w:tab w:val="left" w:pos="720"/>
              </w:tabs>
              <w:snapToGrid w:val="0"/>
              <w:spacing w:line="360" w:lineRule="auto"/>
              <w:jc w:val="center"/>
              <w:rPr>
                <w:rFonts w:hint="eastAsia" w:ascii="宋体" w:hAnsi="宋体" w:cs="宋体"/>
                <w:color w:val="auto"/>
                <w:sz w:val="18"/>
                <w:szCs w:val="18"/>
              </w:rPr>
            </w:pPr>
          </w:p>
        </w:tc>
      </w:tr>
      <w:tr w14:paraId="79C130A1">
        <w:tblPrEx>
          <w:tblCellMar>
            <w:top w:w="0" w:type="dxa"/>
            <w:left w:w="108" w:type="dxa"/>
            <w:bottom w:w="0" w:type="dxa"/>
            <w:right w:w="108" w:type="dxa"/>
          </w:tblCellMar>
        </w:tblPrEx>
        <w:trPr>
          <w:trHeight w:val="123" w:hRule="atLeast"/>
        </w:trPr>
        <w:tc>
          <w:tcPr>
            <w:tcW w:w="1249" w:type="dxa"/>
            <w:tcBorders>
              <w:top w:val="single" w:color="auto" w:sz="4" w:space="0"/>
              <w:left w:val="single" w:color="auto" w:sz="4" w:space="0"/>
              <w:bottom w:val="single" w:color="auto" w:sz="4" w:space="0"/>
              <w:right w:val="single" w:color="auto" w:sz="4" w:space="0"/>
            </w:tcBorders>
            <w:vAlign w:val="center"/>
          </w:tcPr>
          <w:p w14:paraId="433980A0">
            <w:pPr>
              <w:tabs>
                <w:tab w:val="left" w:pos="720"/>
              </w:tabs>
              <w:snapToGrid w:val="0"/>
              <w:spacing w:line="360" w:lineRule="auto"/>
              <w:jc w:val="center"/>
              <w:rPr>
                <w:rFonts w:hint="eastAsia" w:ascii="宋体" w:hAnsi="宋体" w:cs="宋体"/>
                <w:color w:val="auto"/>
                <w:sz w:val="18"/>
                <w:szCs w:val="18"/>
              </w:rPr>
            </w:pPr>
          </w:p>
        </w:tc>
        <w:tc>
          <w:tcPr>
            <w:tcW w:w="1453" w:type="dxa"/>
            <w:tcBorders>
              <w:top w:val="single" w:color="auto" w:sz="4" w:space="0"/>
              <w:left w:val="single" w:color="auto" w:sz="4" w:space="0"/>
              <w:bottom w:val="single" w:color="auto" w:sz="4" w:space="0"/>
              <w:right w:val="single" w:color="auto" w:sz="4" w:space="0"/>
            </w:tcBorders>
            <w:vAlign w:val="center"/>
          </w:tcPr>
          <w:p w14:paraId="6FFC2360">
            <w:pPr>
              <w:tabs>
                <w:tab w:val="left" w:pos="720"/>
              </w:tabs>
              <w:snapToGrid w:val="0"/>
              <w:spacing w:line="360" w:lineRule="auto"/>
              <w:jc w:val="center"/>
              <w:rPr>
                <w:rFonts w:hint="eastAsia" w:ascii="宋体" w:hAnsi="宋体" w:cs="宋体"/>
                <w:color w:val="auto"/>
                <w:sz w:val="18"/>
                <w:szCs w:val="18"/>
              </w:rPr>
            </w:pPr>
          </w:p>
        </w:tc>
        <w:tc>
          <w:tcPr>
            <w:tcW w:w="2486" w:type="dxa"/>
            <w:tcBorders>
              <w:top w:val="single" w:color="auto" w:sz="4" w:space="0"/>
              <w:left w:val="single" w:color="auto" w:sz="4" w:space="0"/>
              <w:bottom w:val="single" w:color="auto" w:sz="4" w:space="0"/>
              <w:right w:val="single" w:color="auto" w:sz="4" w:space="0"/>
            </w:tcBorders>
            <w:vAlign w:val="center"/>
          </w:tcPr>
          <w:p w14:paraId="677F8376">
            <w:pPr>
              <w:tabs>
                <w:tab w:val="left" w:pos="720"/>
              </w:tabs>
              <w:snapToGrid w:val="0"/>
              <w:spacing w:line="360" w:lineRule="auto"/>
              <w:jc w:val="center"/>
              <w:rPr>
                <w:rFonts w:hint="eastAsia" w:ascii="宋体" w:hAnsi="宋体" w:cs="宋体"/>
                <w:color w:val="auto"/>
                <w:sz w:val="18"/>
                <w:szCs w:val="18"/>
              </w:rPr>
            </w:pPr>
          </w:p>
        </w:tc>
        <w:tc>
          <w:tcPr>
            <w:tcW w:w="2383" w:type="dxa"/>
            <w:tcBorders>
              <w:top w:val="single" w:color="auto" w:sz="4" w:space="0"/>
              <w:left w:val="single" w:color="auto" w:sz="4" w:space="0"/>
              <w:bottom w:val="single" w:color="auto" w:sz="4" w:space="0"/>
              <w:right w:val="single" w:color="auto" w:sz="4" w:space="0"/>
            </w:tcBorders>
            <w:vAlign w:val="center"/>
          </w:tcPr>
          <w:p w14:paraId="272E915C">
            <w:pPr>
              <w:tabs>
                <w:tab w:val="left" w:pos="720"/>
              </w:tabs>
              <w:snapToGrid w:val="0"/>
              <w:spacing w:line="360" w:lineRule="auto"/>
              <w:jc w:val="center"/>
              <w:rPr>
                <w:rFonts w:hint="eastAsia" w:ascii="宋体" w:hAnsi="宋体" w:cs="宋体"/>
                <w:color w:val="auto"/>
                <w:sz w:val="18"/>
                <w:szCs w:val="18"/>
              </w:rPr>
            </w:pPr>
          </w:p>
        </w:tc>
        <w:tc>
          <w:tcPr>
            <w:tcW w:w="1432" w:type="dxa"/>
            <w:tcBorders>
              <w:top w:val="single" w:color="auto" w:sz="4" w:space="0"/>
              <w:left w:val="single" w:color="auto" w:sz="4" w:space="0"/>
              <w:bottom w:val="single" w:color="auto" w:sz="4" w:space="0"/>
              <w:right w:val="single" w:color="auto" w:sz="4" w:space="0"/>
            </w:tcBorders>
            <w:vAlign w:val="center"/>
          </w:tcPr>
          <w:p w14:paraId="499E5618">
            <w:pPr>
              <w:tabs>
                <w:tab w:val="left" w:pos="720"/>
              </w:tabs>
              <w:snapToGrid w:val="0"/>
              <w:spacing w:line="360" w:lineRule="auto"/>
              <w:jc w:val="center"/>
              <w:rPr>
                <w:rFonts w:hint="eastAsia" w:ascii="宋体" w:hAnsi="宋体" w:cs="宋体"/>
                <w:color w:val="auto"/>
                <w:sz w:val="18"/>
                <w:szCs w:val="18"/>
              </w:rPr>
            </w:pPr>
          </w:p>
        </w:tc>
      </w:tr>
      <w:tr w14:paraId="5A66FB02">
        <w:tblPrEx>
          <w:tblCellMar>
            <w:top w:w="0" w:type="dxa"/>
            <w:left w:w="108" w:type="dxa"/>
            <w:bottom w:w="0" w:type="dxa"/>
            <w:right w:w="108" w:type="dxa"/>
          </w:tblCellMar>
        </w:tblPrEx>
        <w:trPr>
          <w:trHeight w:val="214" w:hRule="atLeast"/>
        </w:trPr>
        <w:tc>
          <w:tcPr>
            <w:tcW w:w="1249" w:type="dxa"/>
            <w:tcBorders>
              <w:top w:val="single" w:color="auto" w:sz="4" w:space="0"/>
              <w:left w:val="single" w:color="auto" w:sz="4" w:space="0"/>
              <w:bottom w:val="single" w:color="auto" w:sz="4" w:space="0"/>
              <w:right w:val="single" w:color="auto" w:sz="4" w:space="0"/>
            </w:tcBorders>
            <w:vAlign w:val="center"/>
          </w:tcPr>
          <w:p w14:paraId="5266DF4C">
            <w:pPr>
              <w:tabs>
                <w:tab w:val="left" w:pos="720"/>
              </w:tabs>
              <w:snapToGrid w:val="0"/>
              <w:spacing w:line="360" w:lineRule="auto"/>
              <w:jc w:val="center"/>
              <w:rPr>
                <w:rFonts w:hint="eastAsia" w:ascii="宋体" w:hAnsi="宋体" w:cs="宋体"/>
                <w:color w:val="auto"/>
                <w:sz w:val="18"/>
                <w:szCs w:val="18"/>
              </w:rPr>
            </w:pPr>
          </w:p>
        </w:tc>
        <w:tc>
          <w:tcPr>
            <w:tcW w:w="1453" w:type="dxa"/>
            <w:tcBorders>
              <w:top w:val="single" w:color="auto" w:sz="4" w:space="0"/>
              <w:left w:val="single" w:color="auto" w:sz="4" w:space="0"/>
              <w:bottom w:val="single" w:color="auto" w:sz="4" w:space="0"/>
              <w:right w:val="single" w:color="auto" w:sz="4" w:space="0"/>
            </w:tcBorders>
            <w:vAlign w:val="center"/>
          </w:tcPr>
          <w:p w14:paraId="1EDBF70D">
            <w:pPr>
              <w:tabs>
                <w:tab w:val="left" w:pos="720"/>
              </w:tabs>
              <w:snapToGrid w:val="0"/>
              <w:spacing w:line="360" w:lineRule="auto"/>
              <w:jc w:val="center"/>
              <w:rPr>
                <w:rFonts w:hint="eastAsia" w:ascii="宋体" w:hAnsi="宋体" w:cs="宋体"/>
                <w:color w:val="auto"/>
                <w:sz w:val="18"/>
                <w:szCs w:val="18"/>
              </w:rPr>
            </w:pPr>
          </w:p>
        </w:tc>
        <w:tc>
          <w:tcPr>
            <w:tcW w:w="2486" w:type="dxa"/>
            <w:tcBorders>
              <w:top w:val="single" w:color="auto" w:sz="4" w:space="0"/>
              <w:left w:val="single" w:color="auto" w:sz="4" w:space="0"/>
              <w:bottom w:val="single" w:color="auto" w:sz="4" w:space="0"/>
              <w:right w:val="single" w:color="auto" w:sz="4" w:space="0"/>
            </w:tcBorders>
            <w:vAlign w:val="center"/>
          </w:tcPr>
          <w:p w14:paraId="7D3A1DCE">
            <w:pPr>
              <w:tabs>
                <w:tab w:val="left" w:pos="720"/>
              </w:tabs>
              <w:snapToGrid w:val="0"/>
              <w:spacing w:line="360" w:lineRule="auto"/>
              <w:jc w:val="center"/>
              <w:rPr>
                <w:rFonts w:hint="eastAsia" w:ascii="宋体" w:hAnsi="宋体" w:cs="宋体"/>
                <w:color w:val="auto"/>
                <w:sz w:val="18"/>
                <w:szCs w:val="18"/>
              </w:rPr>
            </w:pPr>
          </w:p>
        </w:tc>
        <w:tc>
          <w:tcPr>
            <w:tcW w:w="2383" w:type="dxa"/>
            <w:tcBorders>
              <w:top w:val="single" w:color="auto" w:sz="4" w:space="0"/>
              <w:left w:val="single" w:color="auto" w:sz="4" w:space="0"/>
              <w:bottom w:val="single" w:color="auto" w:sz="4" w:space="0"/>
              <w:right w:val="single" w:color="auto" w:sz="4" w:space="0"/>
            </w:tcBorders>
            <w:vAlign w:val="center"/>
          </w:tcPr>
          <w:p w14:paraId="7FF4364E">
            <w:pPr>
              <w:tabs>
                <w:tab w:val="left" w:pos="720"/>
              </w:tabs>
              <w:snapToGrid w:val="0"/>
              <w:spacing w:line="360" w:lineRule="auto"/>
              <w:jc w:val="center"/>
              <w:rPr>
                <w:rFonts w:hint="eastAsia" w:ascii="宋体" w:hAnsi="宋体" w:cs="宋体"/>
                <w:color w:val="auto"/>
                <w:sz w:val="18"/>
                <w:szCs w:val="18"/>
              </w:rPr>
            </w:pPr>
          </w:p>
        </w:tc>
        <w:tc>
          <w:tcPr>
            <w:tcW w:w="1432" w:type="dxa"/>
            <w:tcBorders>
              <w:top w:val="single" w:color="auto" w:sz="4" w:space="0"/>
              <w:left w:val="single" w:color="auto" w:sz="4" w:space="0"/>
              <w:bottom w:val="single" w:color="auto" w:sz="4" w:space="0"/>
              <w:right w:val="single" w:color="auto" w:sz="4" w:space="0"/>
            </w:tcBorders>
            <w:vAlign w:val="center"/>
          </w:tcPr>
          <w:p w14:paraId="553042E9">
            <w:pPr>
              <w:tabs>
                <w:tab w:val="left" w:pos="720"/>
              </w:tabs>
              <w:snapToGrid w:val="0"/>
              <w:spacing w:line="360" w:lineRule="auto"/>
              <w:jc w:val="center"/>
              <w:rPr>
                <w:rFonts w:hint="eastAsia" w:ascii="宋体" w:hAnsi="宋体" w:cs="宋体"/>
                <w:color w:val="auto"/>
                <w:sz w:val="18"/>
                <w:szCs w:val="18"/>
              </w:rPr>
            </w:pPr>
          </w:p>
        </w:tc>
      </w:tr>
      <w:tr w14:paraId="6DC68E72">
        <w:tblPrEx>
          <w:tblCellMar>
            <w:top w:w="0" w:type="dxa"/>
            <w:left w:w="108" w:type="dxa"/>
            <w:bottom w:w="0" w:type="dxa"/>
            <w:right w:w="108" w:type="dxa"/>
          </w:tblCellMar>
        </w:tblPrEx>
        <w:trPr>
          <w:trHeight w:val="175" w:hRule="atLeast"/>
        </w:trPr>
        <w:tc>
          <w:tcPr>
            <w:tcW w:w="1249" w:type="dxa"/>
            <w:tcBorders>
              <w:top w:val="single" w:color="auto" w:sz="4" w:space="0"/>
              <w:left w:val="single" w:color="auto" w:sz="4" w:space="0"/>
              <w:bottom w:val="single" w:color="auto" w:sz="4" w:space="0"/>
              <w:right w:val="single" w:color="auto" w:sz="4" w:space="0"/>
            </w:tcBorders>
            <w:vAlign w:val="center"/>
          </w:tcPr>
          <w:p w14:paraId="276A7625">
            <w:pPr>
              <w:tabs>
                <w:tab w:val="left" w:pos="720"/>
              </w:tabs>
              <w:snapToGrid w:val="0"/>
              <w:spacing w:line="360" w:lineRule="auto"/>
              <w:jc w:val="center"/>
              <w:rPr>
                <w:rFonts w:hint="eastAsia" w:ascii="宋体" w:hAnsi="宋体" w:cs="宋体"/>
                <w:color w:val="auto"/>
                <w:sz w:val="18"/>
                <w:szCs w:val="18"/>
              </w:rPr>
            </w:pPr>
          </w:p>
        </w:tc>
        <w:tc>
          <w:tcPr>
            <w:tcW w:w="1453" w:type="dxa"/>
            <w:tcBorders>
              <w:top w:val="single" w:color="auto" w:sz="4" w:space="0"/>
              <w:left w:val="single" w:color="auto" w:sz="4" w:space="0"/>
              <w:bottom w:val="single" w:color="auto" w:sz="4" w:space="0"/>
              <w:right w:val="single" w:color="auto" w:sz="4" w:space="0"/>
            </w:tcBorders>
            <w:vAlign w:val="center"/>
          </w:tcPr>
          <w:p w14:paraId="054AD97A">
            <w:pPr>
              <w:tabs>
                <w:tab w:val="left" w:pos="720"/>
              </w:tabs>
              <w:snapToGrid w:val="0"/>
              <w:spacing w:line="360" w:lineRule="auto"/>
              <w:jc w:val="center"/>
              <w:rPr>
                <w:rFonts w:hint="eastAsia" w:ascii="宋体" w:hAnsi="宋体" w:cs="宋体"/>
                <w:color w:val="auto"/>
                <w:sz w:val="18"/>
                <w:szCs w:val="18"/>
              </w:rPr>
            </w:pPr>
          </w:p>
        </w:tc>
        <w:tc>
          <w:tcPr>
            <w:tcW w:w="2486" w:type="dxa"/>
            <w:tcBorders>
              <w:top w:val="single" w:color="auto" w:sz="4" w:space="0"/>
              <w:left w:val="single" w:color="auto" w:sz="4" w:space="0"/>
              <w:bottom w:val="single" w:color="auto" w:sz="4" w:space="0"/>
              <w:right w:val="single" w:color="auto" w:sz="4" w:space="0"/>
            </w:tcBorders>
            <w:vAlign w:val="center"/>
          </w:tcPr>
          <w:p w14:paraId="2DE4736D">
            <w:pPr>
              <w:tabs>
                <w:tab w:val="left" w:pos="720"/>
              </w:tabs>
              <w:snapToGrid w:val="0"/>
              <w:spacing w:line="360" w:lineRule="auto"/>
              <w:jc w:val="center"/>
              <w:rPr>
                <w:rFonts w:hint="eastAsia" w:ascii="宋体" w:hAnsi="宋体" w:cs="宋体"/>
                <w:color w:val="auto"/>
                <w:sz w:val="18"/>
                <w:szCs w:val="18"/>
              </w:rPr>
            </w:pPr>
          </w:p>
        </w:tc>
        <w:tc>
          <w:tcPr>
            <w:tcW w:w="2383" w:type="dxa"/>
            <w:tcBorders>
              <w:top w:val="single" w:color="auto" w:sz="4" w:space="0"/>
              <w:left w:val="single" w:color="auto" w:sz="4" w:space="0"/>
              <w:bottom w:val="single" w:color="auto" w:sz="4" w:space="0"/>
              <w:right w:val="single" w:color="auto" w:sz="4" w:space="0"/>
            </w:tcBorders>
            <w:vAlign w:val="center"/>
          </w:tcPr>
          <w:p w14:paraId="3EFB267E">
            <w:pPr>
              <w:tabs>
                <w:tab w:val="left" w:pos="720"/>
              </w:tabs>
              <w:snapToGrid w:val="0"/>
              <w:spacing w:line="360" w:lineRule="auto"/>
              <w:jc w:val="center"/>
              <w:rPr>
                <w:rFonts w:hint="eastAsia" w:ascii="宋体" w:hAnsi="宋体" w:cs="宋体"/>
                <w:color w:val="auto"/>
                <w:sz w:val="18"/>
                <w:szCs w:val="18"/>
              </w:rPr>
            </w:pPr>
          </w:p>
        </w:tc>
        <w:tc>
          <w:tcPr>
            <w:tcW w:w="1432" w:type="dxa"/>
            <w:tcBorders>
              <w:top w:val="single" w:color="auto" w:sz="4" w:space="0"/>
              <w:left w:val="single" w:color="auto" w:sz="4" w:space="0"/>
              <w:bottom w:val="single" w:color="auto" w:sz="4" w:space="0"/>
              <w:right w:val="single" w:color="auto" w:sz="4" w:space="0"/>
            </w:tcBorders>
            <w:vAlign w:val="center"/>
          </w:tcPr>
          <w:p w14:paraId="248607D9">
            <w:pPr>
              <w:tabs>
                <w:tab w:val="left" w:pos="720"/>
              </w:tabs>
              <w:snapToGrid w:val="0"/>
              <w:spacing w:line="360" w:lineRule="auto"/>
              <w:jc w:val="center"/>
              <w:rPr>
                <w:rFonts w:hint="eastAsia" w:ascii="宋体" w:hAnsi="宋体" w:cs="宋体"/>
                <w:color w:val="auto"/>
                <w:sz w:val="18"/>
                <w:szCs w:val="18"/>
              </w:rPr>
            </w:pPr>
          </w:p>
        </w:tc>
      </w:tr>
    </w:tbl>
    <w:p w14:paraId="422CD553">
      <w:pPr>
        <w:pStyle w:val="35"/>
        <w:spacing w:after="0" w:line="360" w:lineRule="auto"/>
        <w:ind w:left="-2" w:leftChars="-1" w:firstLine="0"/>
        <w:rPr>
          <w:rFonts w:hint="eastAsia" w:ascii="宋体" w:hAnsi="宋体" w:cs="宋体"/>
          <w:color w:val="auto"/>
          <w:sz w:val="18"/>
          <w:szCs w:val="18"/>
        </w:rPr>
      </w:pPr>
    </w:p>
    <w:p w14:paraId="133FD467">
      <w:pPr>
        <w:pStyle w:val="35"/>
        <w:spacing w:after="0" w:line="360" w:lineRule="auto"/>
        <w:ind w:left="-2" w:leftChars="-1" w:firstLine="0"/>
        <w:rPr>
          <w:rFonts w:hint="eastAsia" w:ascii="宋体" w:hAnsi="宋体" w:cs="宋体"/>
          <w:bCs/>
          <w:iCs/>
          <w:color w:val="auto"/>
          <w:sz w:val="18"/>
          <w:szCs w:val="18"/>
        </w:rPr>
      </w:pPr>
      <w:r>
        <w:rPr>
          <w:rFonts w:hint="eastAsia" w:ascii="宋体" w:hAnsi="宋体" w:cs="宋体"/>
          <w:color w:val="auto"/>
          <w:sz w:val="18"/>
          <w:szCs w:val="18"/>
        </w:rPr>
        <w:t>注：</w:t>
      </w:r>
      <w:r>
        <w:rPr>
          <w:rFonts w:hint="eastAsia" w:ascii="宋体" w:hAnsi="宋体" w:cs="宋体"/>
          <w:bCs/>
          <w:iCs/>
          <w:color w:val="auto"/>
          <w:sz w:val="18"/>
          <w:szCs w:val="18"/>
        </w:rPr>
        <w:t>参与编制标书所有人员名单应包括如编制工程承包实施方案、投标报价、负责清样校对、负责加密打包、负责上传、负责密封、负责打印及复印等所有人员在内的人员名单。</w:t>
      </w:r>
    </w:p>
    <w:p w14:paraId="08B9AFC3">
      <w:pPr>
        <w:widowControl/>
        <w:jc w:val="left"/>
        <w:rPr>
          <w:rFonts w:hint="eastAsia" w:ascii="宋体" w:hAnsi="宋体" w:cs="宋体"/>
          <w:b/>
          <w:color w:val="auto"/>
          <w:kern w:val="1"/>
          <w:sz w:val="24"/>
          <w:lang w:val="zh-CN"/>
        </w:rPr>
      </w:pPr>
    </w:p>
    <w:p w14:paraId="1F59FEA5">
      <w:pPr>
        <w:widowControl/>
        <w:jc w:val="left"/>
        <w:rPr>
          <w:rFonts w:hint="eastAsia" w:ascii="宋体" w:hAnsi="宋体" w:cs="宋体"/>
          <w:b/>
          <w:color w:val="auto"/>
          <w:kern w:val="1"/>
          <w:sz w:val="24"/>
          <w:lang w:val="zh-CN"/>
        </w:rPr>
      </w:pPr>
    </w:p>
    <w:p w14:paraId="7AE7AC4C">
      <w:pPr>
        <w:widowControl/>
        <w:jc w:val="left"/>
        <w:rPr>
          <w:rFonts w:hint="eastAsia" w:ascii="宋体" w:hAnsi="宋体" w:cs="宋体"/>
          <w:b/>
          <w:color w:val="auto"/>
          <w:kern w:val="1"/>
          <w:sz w:val="24"/>
          <w:lang w:val="zh-CN"/>
        </w:rPr>
      </w:pPr>
    </w:p>
    <w:p w14:paraId="128A8EF2">
      <w:pPr>
        <w:pStyle w:val="65"/>
        <w:ind w:firstLine="0" w:firstLineChars="0"/>
        <w:rPr>
          <w:rFonts w:hint="eastAsia" w:ascii="宋体" w:hAnsi="宋体" w:eastAsia="宋体" w:cs="宋体"/>
          <w:color w:val="auto"/>
        </w:rPr>
      </w:pPr>
    </w:p>
    <w:p w14:paraId="2E736B74">
      <w:pPr>
        <w:pStyle w:val="65"/>
        <w:ind w:firstLine="0" w:firstLineChars="0"/>
        <w:rPr>
          <w:rFonts w:hint="eastAsia" w:ascii="宋体" w:hAnsi="宋体" w:eastAsia="宋体" w:cs="宋体"/>
          <w:color w:val="auto"/>
        </w:rPr>
      </w:pPr>
    </w:p>
    <w:p w14:paraId="1694ED5A">
      <w:pPr>
        <w:pStyle w:val="65"/>
        <w:ind w:firstLine="0" w:firstLineChars="0"/>
        <w:rPr>
          <w:rFonts w:hint="eastAsia" w:ascii="宋体" w:hAnsi="宋体" w:eastAsia="宋体" w:cs="宋体"/>
          <w:color w:val="auto"/>
        </w:rPr>
      </w:pPr>
    </w:p>
    <w:p w14:paraId="719A5739">
      <w:pPr>
        <w:pStyle w:val="65"/>
        <w:ind w:firstLine="0" w:firstLineChars="0"/>
        <w:rPr>
          <w:rFonts w:hint="eastAsia" w:ascii="宋体" w:hAnsi="宋体" w:eastAsia="宋体" w:cs="宋体"/>
          <w:color w:val="auto"/>
        </w:rPr>
      </w:pPr>
    </w:p>
    <w:p w14:paraId="0FE2DE47">
      <w:pPr>
        <w:pStyle w:val="65"/>
        <w:ind w:firstLine="0" w:firstLineChars="0"/>
        <w:rPr>
          <w:rFonts w:hint="eastAsia" w:ascii="宋体" w:hAnsi="宋体" w:eastAsia="宋体" w:cs="宋体"/>
          <w:color w:val="auto"/>
        </w:rPr>
      </w:pPr>
    </w:p>
    <w:p w14:paraId="6D270521">
      <w:pPr>
        <w:pStyle w:val="65"/>
        <w:ind w:firstLine="0" w:firstLineChars="0"/>
        <w:rPr>
          <w:rFonts w:hint="eastAsia" w:ascii="宋体" w:hAnsi="宋体" w:eastAsia="宋体" w:cs="宋体"/>
          <w:color w:val="auto"/>
        </w:rPr>
      </w:pPr>
    </w:p>
    <w:p w14:paraId="3FFCD768">
      <w:pPr>
        <w:pStyle w:val="65"/>
        <w:ind w:firstLine="0" w:firstLineChars="0"/>
        <w:rPr>
          <w:rFonts w:hint="eastAsia" w:ascii="宋体" w:hAnsi="宋体" w:eastAsia="宋体" w:cs="宋体"/>
          <w:color w:val="auto"/>
        </w:rPr>
      </w:pPr>
    </w:p>
    <w:p w14:paraId="13AB76B3">
      <w:pPr>
        <w:pStyle w:val="65"/>
        <w:ind w:firstLine="0" w:firstLineChars="0"/>
        <w:rPr>
          <w:rFonts w:hint="eastAsia" w:ascii="宋体" w:hAnsi="宋体" w:eastAsia="宋体" w:cs="宋体"/>
          <w:color w:val="auto"/>
        </w:rPr>
      </w:pPr>
    </w:p>
    <w:p w14:paraId="1F494C05">
      <w:pPr>
        <w:pStyle w:val="65"/>
        <w:ind w:firstLine="0" w:firstLineChars="0"/>
        <w:rPr>
          <w:rFonts w:hint="eastAsia" w:ascii="宋体" w:hAnsi="宋体" w:eastAsia="宋体" w:cs="宋体"/>
          <w:color w:val="auto"/>
        </w:rPr>
      </w:pPr>
    </w:p>
    <w:p w14:paraId="188A3899">
      <w:pPr>
        <w:pStyle w:val="65"/>
        <w:ind w:firstLine="0" w:firstLineChars="0"/>
        <w:rPr>
          <w:rFonts w:hint="eastAsia" w:ascii="宋体" w:hAnsi="宋体" w:eastAsia="宋体" w:cs="宋体"/>
          <w:color w:val="auto"/>
        </w:rPr>
      </w:pPr>
    </w:p>
    <w:p w14:paraId="104706CE">
      <w:pPr>
        <w:pStyle w:val="65"/>
        <w:ind w:firstLine="0" w:firstLineChars="0"/>
        <w:rPr>
          <w:rFonts w:hint="eastAsia" w:ascii="宋体" w:hAnsi="宋体" w:eastAsia="宋体" w:cs="宋体"/>
          <w:color w:val="auto"/>
        </w:rPr>
      </w:pPr>
    </w:p>
    <w:p w14:paraId="4E2E03DB">
      <w:pPr>
        <w:pStyle w:val="65"/>
        <w:ind w:firstLine="0" w:firstLineChars="0"/>
        <w:rPr>
          <w:rFonts w:hint="eastAsia" w:ascii="宋体" w:hAnsi="宋体" w:eastAsia="宋体" w:cs="宋体"/>
          <w:color w:val="auto"/>
        </w:rPr>
      </w:pPr>
    </w:p>
    <w:p w14:paraId="49B4BCE6">
      <w:pPr>
        <w:pStyle w:val="65"/>
        <w:ind w:firstLine="0" w:firstLineChars="0"/>
        <w:rPr>
          <w:rFonts w:hint="eastAsia" w:ascii="宋体" w:hAnsi="宋体" w:eastAsia="宋体" w:cs="宋体"/>
          <w:color w:val="auto"/>
        </w:rPr>
      </w:pPr>
    </w:p>
    <w:p w14:paraId="3F47C246">
      <w:pPr>
        <w:pStyle w:val="65"/>
        <w:ind w:firstLine="0" w:firstLineChars="0"/>
        <w:rPr>
          <w:rFonts w:hint="eastAsia" w:ascii="宋体" w:hAnsi="宋体" w:eastAsia="宋体" w:cs="宋体"/>
          <w:color w:val="auto"/>
        </w:rPr>
      </w:pPr>
    </w:p>
    <w:p w14:paraId="3C37DDCE">
      <w:pPr>
        <w:pStyle w:val="65"/>
        <w:ind w:firstLine="0" w:firstLineChars="0"/>
        <w:rPr>
          <w:rFonts w:hint="eastAsia" w:ascii="宋体" w:hAnsi="宋体" w:eastAsia="宋体" w:cs="宋体"/>
          <w:color w:val="auto"/>
        </w:rPr>
      </w:pPr>
    </w:p>
    <w:p w14:paraId="3969DC9B">
      <w:pPr>
        <w:pStyle w:val="65"/>
        <w:ind w:firstLine="0" w:firstLineChars="0"/>
        <w:rPr>
          <w:rFonts w:hint="eastAsia" w:ascii="宋体" w:hAnsi="宋体" w:eastAsia="宋体" w:cs="宋体"/>
          <w:b/>
          <w:color w:val="auto"/>
          <w:spacing w:val="0"/>
          <w:kern w:val="1"/>
          <w:lang w:val="zh-CN"/>
        </w:rPr>
      </w:pPr>
      <w:r>
        <w:rPr>
          <w:rFonts w:ascii="宋体" w:hAnsi="宋体" w:eastAsia="宋体" w:cs="宋体"/>
          <w:b/>
          <w:color w:val="auto"/>
          <w:spacing w:val="0"/>
          <w:kern w:val="1"/>
        </w:rPr>
        <w:br w:type="page"/>
      </w:r>
      <w:r>
        <w:rPr>
          <w:rFonts w:hint="eastAsia" w:ascii="宋体" w:hAnsi="宋体" w:eastAsia="宋体" w:cs="宋体"/>
          <w:b/>
          <w:color w:val="auto"/>
          <w:spacing w:val="0"/>
          <w:kern w:val="1"/>
          <w:lang w:val="zh-CN"/>
        </w:rPr>
        <w:t>格式9</w:t>
      </w:r>
    </w:p>
    <w:p w14:paraId="536AC16E">
      <w:pPr>
        <w:pStyle w:val="65"/>
        <w:ind w:firstLine="0" w:firstLineChars="0"/>
        <w:jc w:val="center"/>
        <w:rPr>
          <w:rFonts w:hint="eastAsia" w:ascii="宋体" w:hAnsi="宋体" w:eastAsia="宋体" w:cs="宋体"/>
          <w:b/>
          <w:bCs/>
          <w:color w:val="auto"/>
          <w:sz w:val="28"/>
        </w:rPr>
      </w:pPr>
      <w:r>
        <w:rPr>
          <w:rFonts w:hint="eastAsia" w:ascii="宋体" w:hAnsi="宋体" w:eastAsia="宋体" w:cs="宋体"/>
          <w:b/>
          <w:bCs/>
          <w:color w:val="auto"/>
          <w:sz w:val="28"/>
        </w:rPr>
        <w:t>投标人认为应该补充的资料</w:t>
      </w:r>
    </w:p>
    <w:p w14:paraId="045585AF">
      <w:pPr>
        <w:pStyle w:val="65"/>
        <w:ind w:firstLine="0" w:firstLineChars="0"/>
        <w:jc w:val="center"/>
        <w:rPr>
          <w:rFonts w:hint="eastAsia" w:ascii="宋体" w:hAnsi="宋体" w:eastAsia="宋体" w:cs="宋体"/>
          <w:b/>
          <w:bCs/>
          <w:color w:val="auto"/>
          <w:sz w:val="28"/>
        </w:rPr>
      </w:pPr>
      <w:r>
        <w:rPr>
          <w:rFonts w:hint="eastAsia" w:ascii="宋体" w:hAnsi="宋体" w:eastAsia="宋体" w:cs="宋体"/>
          <w:b/>
          <w:bCs/>
          <w:color w:val="auto"/>
          <w:sz w:val="28"/>
        </w:rPr>
        <w:t>（内容格式自拟）</w:t>
      </w:r>
    </w:p>
    <w:p w14:paraId="1CC159A5">
      <w:pPr>
        <w:widowControl/>
        <w:jc w:val="left"/>
        <w:rPr>
          <w:rFonts w:hint="eastAsia" w:ascii="宋体" w:hAnsi="宋体" w:cs="宋体"/>
          <w:b/>
          <w:color w:val="auto"/>
          <w:kern w:val="1"/>
          <w:sz w:val="24"/>
          <w:lang w:val="zh-CN"/>
        </w:rPr>
      </w:pPr>
    </w:p>
    <w:p w14:paraId="4DE91F90">
      <w:pPr>
        <w:widowControl/>
        <w:jc w:val="left"/>
        <w:rPr>
          <w:rFonts w:hint="eastAsia" w:ascii="宋体" w:hAnsi="宋体" w:cs="宋体"/>
          <w:b/>
          <w:color w:val="auto"/>
          <w:kern w:val="1"/>
          <w:sz w:val="24"/>
          <w:lang w:val="zh-CN"/>
        </w:rPr>
      </w:pPr>
    </w:p>
    <w:p w14:paraId="3786378F">
      <w:pPr>
        <w:widowControl/>
        <w:jc w:val="left"/>
        <w:rPr>
          <w:rFonts w:hint="eastAsia" w:ascii="宋体" w:hAnsi="宋体" w:cs="宋体"/>
          <w:b/>
          <w:color w:val="auto"/>
          <w:kern w:val="1"/>
          <w:sz w:val="24"/>
          <w:lang w:val="zh-CN"/>
        </w:rPr>
      </w:pPr>
    </w:p>
    <w:p w14:paraId="0838BA55">
      <w:pPr>
        <w:widowControl/>
        <w:jc w:val="left"/>
        <w:rPr>
          <w:rFonts w:hint="eastAsia" w:ascii="宋体" w:hAnsi="宋体" w:cs="宋体"/>
          <w:b/>
          <w:color w:val="auto"/>
          <w:kern w:val="1"/>
          <w:sz w:val="24"/>
          <w:lang w:val="zh-CN"/>
        </w:rPr>
      </w:pPr>
    </w:p>
    <w:p w14:paraId="2FCFE57C">
      <w:pPr>
        <w:widowControl/>
        <w:jc w:val="left"/>
        <w:rPr>
          <w:rFonts w:hint="eastAsia" w:ascii="宋体" w:hAnsi="宋体" w:cs="宋体"/>
          <w:b/>
          <w:color w:val="auto"/>
          <w:kern w:val="1"/>
          <w:sz w:val="24"/>
          <w:lang w:val="zh-CN"/>
        </w:rPr>
      </w:pPr>
    </w:p>
    <w:p w14:paraId="615D49F5">
      <w:pPr>
        <w:widowControl/>
        <w:jc w:val="left"/>
        <w:rPr>
          <w:rFonts w:hint="eastAsia" w:ascii="宋体" w:hAnsi="宋体" w:cs="宋体"/>
          <w:b/>
          <w:color w:val="auto"/>
          <w:kern w:val="1"/>
          <w:sz w:val="24"/>
          <w:lang w:val="zh-CN"/>
        </w:rPr>
      </w:pPr>
    </w:p>
    <w:p w14:paraId="7660F730">
      <w:pPr>
        <w:widowControl/>
        <w:jc w:val="left"/>
        <w:rPr>
          <w:rFonts w:hint="eastAsia" w:ascii="宋体" w:hAnsi="宋体" w:cs="宋体"/>
          <w:b/>
          <w:color w:val="auto"/>
          <w:kern w:val="1"/>
          <w:sz w:val="24"/>
          <w:lang w:val="zh-CN"/>
        </w:rPr>
      </w:pPr>
    </w:p>
    <w:p w14:paraId="7FEAA7F6">
      <w:pPr>
        <w:widowControl/>
        <w:jc w:val="left"/>
        <w:rPr>
          <w:rFonts w:hint="eastAsia" w:ascii="宋体" w:hAnsi="宋体" w:cs="宋体"/>
          <w:b/>
          <w:color w:val="auto"/>
          <w:kern w:val="1"/>
          <w:sz w:val="24"/>
          <w:lang w:val="zh-CN"/>
        </w:rPr>
      </w:pPr>
    </w:p>
    <w:p w14:paraId="71A4C92B">
      <w:pPr>
        <w:widowControl/>
        <w:jc w:val="left"/>
        <w:rPr>
          <w:rFonts w:hint="eastAsia" w:ascii="宋体" w:hAnsi="宋体" w:cs="宋体"/>
          <w:b/>
          <w:color w:val="auto"/>
          <w:kern w:val="1"/>
          <w:sz w:val="24"/>
          <w:lang w:val="zh-CN"/>
        </w:rPr>
      </w:pPr>
    </w:p>
    <w:p w14:paraId="1340E1F4">
      <w:pPr>
        <w:widowControl/>
        <w:jc w:val="left"/>
        <w:rPr>
          <w:rFonts w:hint="eastAsia" w:ascii="宋体" w:hAnsi="宋体" w:cs="宋体"/>
          <w:b/>
          <w:color w:val="auto"/>
          <w:kern w:val="1"/>
          <w:sz w:val="24"/>
          <w:lang w:val="zh-CN"/>
        </w:rPr>
      </w:pPr>
    </w:p>
    <w:p w14:paraId="263EABE5">
      <w:pPr>
        <w:widowControl/>
        <w:jc w:val="left"/>
        <w:rPr>
          <w:rFonts w:hint="eastAsia" w:ascii="宋体" w:hAnsi="宋体" w:cs="宋体"/>
          <w:b/>
          <w:color w:val="auto"/>
          <w:kern w:val="1"/>
          <w:sz w:val="24"/>
          <w:lang w:val="zh-CN"/>
        </w:rPr>
      </w:pPr>
    </w:p>
    <w:p w14:paraId="2B7DA153">
      <w:pPr>
        <w:widowControl/>
        <w:jc w:val="left"/>
        <w:rPr>
          <w:rFonts w:hint="eastAsia" w:ascii="宋体" w:hAnsi="宋体" w:cs="宋体"/>
          <w:b/>
          <w:color w:val="auto"/>
          <w:kern w:val="1"/>
          <w:sz w:val="24"/>
          <w:lang w:val="zh-CN"/>
        </w:rPr>
      </w:pPr>
    </w:p>
    <w:p w14:paraId="1EC9CFC5">
      <w:pPr>
        <w:widowControl/>
        <w:jc w:val="left"/>
        <w:rPr>
          <w:rFonts w:hint="eastAsia" w:ascii="宋体" w:hAnsi="宋体" w:cs="宋体"/>
          <w:b/>
          <w:color w:val="auto"/>
          <w:kern w:val="1"/>
          <w:sz w:val="24"/>
          <w:lang w:val="zh-CN"/>
        </w:rPr>
      </w:pPr>
    </w:p>
    <w:p w14:paraId="1BD21646">
      <w:pPr>
        <w:widowControl/>
        <w:jc w:val="left"/>
        <w:rPr>
          <w:rFonts w:hint="eastAsia" w:ascii="宋体" w:hAnsi="宋体" w:cs="宋体"/>
          <w:b/>
          <w:color w:val="auto"/>
          <w:kern w:val="1"/>
          <w:sz w:val="24"/>
          <w:lang w:val="zh-CN"/>
        </w:rPr>
      </w:pPr>
    </w:p>
    <w:p w14:paraId="13EAD81C">
      <w:pPr>
        <w:widowControl/>
        <w:jc w:val="left"/>
        <w:rPr>
          <w:rFonts w:hint="eastAsia" w:ascii="宋体" w:hAnsi="宋体" w:cs="宋体"/>
          <w:b/>
          <w:color w:val="auto"/>
          <w:kern w:val="1"/>
          <w:sz w:val="24"/>
          <w:lang w:val="zh-CN"/>
        </w:rPr>
      </w:pPr>
    </w:p>
    <w:p w14:paraId="5E2C80EB">
      <w:pPr>
        <w:widowControl/>
        <w:jc w:val="left"/>
        <w:rPr>
          <w:rFonts w:hint="eastAsia" w:ascii="宋体" w:hAnsi="宋体" w:cs="宋体"/>
          <w:b/>
          <w:color w:val="auto"/>
          <w:kern w:val="1"/>
          <w:sz w:val="24"/>
          <w:lang w:val="zh-CN"/>
        </w:rPr>
      </w:pPr>
    </w:p>
    <w:p w14:paraId="7C0BFCD3">
      <w:pPr>
        <w:widowControl/>
        <w:jc w:val="left"/>
        <w:rPr>
          <w:rFonts w:hint="eastAsia" w:ascii="宋体" w:hAnsi="宋体" w:cs="宋体"/>
          <w:b/>
          <w:color w:val="auto"/>
          <w:kern w:val="1"/>
          <w:sz w:val="24"/>
          <w:lang w:val="zh-CN"/>
        </w:rPr>
      </w:pPr>
    </w:p>
    <w:p w14:paraId="00468078">
      <w:pPr>
        <w:widowControl/>
        <w:jc w:val="left"/>
        <w:rPr>
          <w:rFonts w:hint="eastAsia" w:ascii="宋体" w:hAnsi="宋体" w:cs="宋体"/>
          <w:b/>
          <w:color w:val="auto"/>
          <w:kern w:val="1"/>
          <w:sz w:val="24"/>
          <w:lang w:val="zh-CN"/>
        </w:rPr>
      </w:pPr>
    </w:p>
    <w:p w14:paraId="757A247F">
      <w:pPr>
        <w:widowControl/>
        <w:jc w:val="left"/>
        <w:rPr>
          <w:rFonts w:hint="eastAsia" w:ascii="宋体" w:hAnsi="宋体" w:cs="宋体"/>
          <w:b/>
          <w:color w:val="auto"/>
          <w:kern w:val="1"/>
          <w:sz w:val="24"/>
          <w:lang w:val="zh-CN"/>
        </w:rPr>
      </w:pPr>
    </w:p>
    <w:p w14:paraId="5EDF2F88">
      <w:pPr>
        <w:widowControl/>
        <w:jc w:val="left"/>
        <w:rPr>
          <w:rFonts w:hint="eastAsia" w:ascii="宋体" w:hAnsi="宋体" w:cs="宋体"/>
          <w:b/>
          <w:color w:val="auto"/>
          <w:kern w:val="1"/>
          <w:sz w:val="24"/>
          <w:lang w:val="zh-CN"/>
        </w:rPr>
      </w:pPr>
    </w:p>
    <w:p w14:paraId="5D431E08">
      <w:pPr>
        <w:widowControl/>
        <w:jc w:val="left"/>
        <w:rPr>
          <w:rFonts w:hint="eastAsia" w:ascii="宋体" w:hAnsi="宋体" w:cs="宋体"/>
          <w:b/>
          <w:color w:val="auto"/>
          <w:kern w:val="1"/>
          <w:sz w:val="24"/>
          <w:lang w:val="zh-CN"/>
        </w:rPr>
      </w:pPr>
    </w:p>
    <w:p w14:paraId="26389618">
      <w:pPr>
        <w:widowControl/>
        <w:jc w:val="left"/>
        <w:rPr>
          <w:rFonts w:hint="eastAsia" w:ascii="宋体" w:hAnsi="宋体" w:cs="宋体"/>
          <w:b/>
          <w:color w:val="auto"/>
          <w:kern w:val="1"/>
          <w:sz w:val="24"/>
          <w:lang w:val="zh-CN"/>
        </w:rPr>
      </w:pPr>
    </w:p>
    <w:p w14:paraId="6F3F16F0">
      <w:pPr>
        <w:widowControl/>
        <w:jc w:val="left"/>
        <w:rPr>
          <w:rFonts w:hint="eastAsia" w:ascii="宋体" w:hAnsi="宋体" w:cs="宋体"/>
          <w:b/>
          <w:color w:val="auto"/>
          <w:kern w:val="1"/>
          <w:sz w:val="24"/>
          <w:lang w:val="zh-CN"/>
        </w:rPr>
      </w:pPr>
    </w:p>
    <w:p w14:paraId="076A9561">
      <w:pPr>
        <w:widowControl/>
        <w:jc w:val="left"/>
        <w:rPr>
          <w:rFonts w:hint="eastAsia" w:ascii="宋体" w:hAnsi="宋体" w:cs="宋体"/>
          <w:b/>
          <w:color w:val="auto"/>
          <w:kern w:val="1"/>
          <w:sz w:val="24"/>
          <w:lang w:val="zh-CN"/>
        </w:rPr>
      </w:pPr>
    </w:p>
    <w:p w14:paraId="0C5D7978">
      <w:pPr>
        <w:widowControl/>
        <w:jc w:val="left"/>
        <w:rPr>
          <w:rFonts w:hint="eastAsia" w:ascii="宋体" w:hAnsi="宋体" w:cs="宋体"/>
          <w:b/>
          <w:color w:val="auto"/>
          <w:kern w:val="1"/>
          <w:sz w:val="24"/>
          <w:lang w:val="zh-CN"/>
        </w:rPr>
      </w:pPr>
    </w:p>
    <w:p w14:paraId="5215AB08">
      <w:pPr>
        <w:widowControl/>
        <w:jc w:val="left"/>
        <w:rPr>
          <w:rFonts w:hint="eastAsia" w:ascii="宋体" w:hAnsi="宋体" w:cs="宋体"/>
          <w:b/>
          <w:color w:val="auto"/>
          <w:kern w:val="1"/>
          <w:sz w:val="24"/>
          <w:lang w:val="zh-CN"/>
        </w:rPr>
      </w:pPr>
    </w:p>
    <w:p w14:paraId="7EB196AC">
      <w:pPr>
        <w:widowControl/>
        <w:jc w:val="left"/>
        <w:rPr>
          <w:rFonts w:hint="eastAsia" w:ascii="宋体" w:hAnsi="宋体" w:cs="宋体"/>
          <w:b/>
          <w:color w:val="auto"/>
          <w:kern w:val="1"/>
          <w:sz w:val="24"/>
          <w:lang w:val="zh-CN"/>
        </w:rPr>
      </w:pPr>
    </w:p>
    <w:p w14:paraId="21401087">
      <w:pPr>
        <w:widowControl/>
        <w:jc w:val="left"/>
        <w:rPr>
          <w:rFonts w:hint="eastAsia" w:ascii="宋体" w:hAnsi="宋体" w:cs="宋体"/>
          <w:b/>
          <w:color w:val="auto"/>
          <w:kern w:val="1"/>
          <w:sz w:val="24"/>
          <w:lang w:val="zh-CN"/>
        </w:rPr>
      </w:pPr>
    </w:p>
    <w:p w14:paraId="6344A441">
      <w:pPr>
        <w:widowControl/>
        <w:jc w:val="left"/>
        <w:rPr>
          <w:rFonts w:hint="eastAsia" w:ascii="宋体" w:hAnsi="宋体" w:cs="宋体"/>
          <w:b/>
          <w:color w:val="auto"/>
          <w:kern w:val="1"/>
          <w:sz w:val="24"/>
          <w:lang w:val="zh-CN"/>
        </w:rPr>
      </w:pPr>
    </w:p>
    <w:p w14:paraId="4A0ECEA4">
      <w:pPr>
        <w:widowControl/>
        <w:jc w:val="left"/>
        <w:rPr>
          <w:rFonts w:hint="eastAsia" w:ascii="宋体" w:hAnsi="宋体" w:cs="宋体"/>
          <w:b/>
          <w:color w:val="auto"/>
          <w:kern w:val="1"/>
          <w:sz w:val="24"/>
          <w:lang w:val="zh-CN"/>
        </w:rPr>
      </w:pPr>
    </w:p>
    <w:p w14:paraId="7988F5B0">
      <w:pPr>
        <w:pStyle w:val="13"/>
        <w:rPr>
          <w:rFonts w:hint="eastAsia" w:ascii="宋体" w:hAnsi="宋体" w:cs="宋体"/>
          <w:color w:val="auto"/>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D15E8">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1905"/>
              <wp:wrapNone/>
              <wp:docPr id="2"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C3F84EC">
                          <w:pPr>
                            <w:pStyle w:val="2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025"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L3UTQAAAAAgEAAA8AAAAAAAAAAQAgAAAAIgAAAGRy&#10;cy9kb3ducmV2LnhtbFBLAQIUABQAAAAIAIdO4kAe5bvyDQIAAAQEAAAOAAAAAAAAAAEAIAAAAB8B&#10;AABkcnMvZTJvRG9jLnhtbFBLBQYAAAAABgAGAFkBAACeBQAAAAA=&#10;">
              <v:fill on="f" focussize="0,0"/>
              <v:stroke on="f"/>
              <v:imagedata o:title=""/>
              <o:lock v:ext="edit" aspectratio="f"/>
              <v:textbox inset="0mm,0mm,0mm,0mm" style="mso-fit-shape-to-text:t;">
                <w:txbxContent>
                  <w:p w14:paraId="1C3F84EC">
                    <w:pPr>
                      <w:pStyle w:val="2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5CB3484D">
    <w:pPr>
      <w:pStyle w:val="24"/>
      <w:pBdr>
        <w:bottom w:val="none" w:color="auto" w:sz="0" w:space="0"/>
      </w:pBdr>
    </w:pPr>
  </w:p>
  <w:p w14:paraId="388144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BE9E8">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3"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55807F53">
                          <w:pPr>
                            <w:pStyle w:val="23"/>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L3UTQAAAAAgEAAA8AAAAAAAAAAQAgAAAAIgAAAGRy&#10;cy9kb3ducmV2LnhtbFBLAQIUABQAAAAIAIdO4kAdmDgPDQIAAAQEAAAOAAAAAAAAAAEAIAAAAB8B&#10;AABkcnMvZTJvRG9jLnhtbFBLBQYAAAAABgAGAFkBAACeBQAAAAA=&#10;">
              <v:fill on="f" focussize="0,0"/>
              <v:stroke on="f"/>
              <v:imagedata o:title=""/>
              <o:lock v:ext="edit" aspectratio="f"/>
              <v:textbox inset="0mm,0mm,0mm,0mm" style="mso-fit-shape-to-text:t;">
                <w:txbxContent>
                  <w:p w14:paraId="55807F53">
                    <w:pPr>
                      <w:pStyle w:val="23"/>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5237A">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1905"/>
              <wp:wrapNone/>
              <wp:docPr id="1"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6C420D96">
                          <w:pPr>
                            <w:pStyle w:val="23"/>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4vdRNAAAAACAQAADwAAAAAAAAABACAAAAAiAAAAZHJz&#10;L2Rvd25yZXYueG1sUEsBAhQAFAAAAAgAh07iQFIgXlAMAgAABAQAAA4AAAAAAAAAAQAgAAAAHwEA&#10;AGRycy9lMm9Eb2MueG1sUEsFBgAAAAAGAAYAWQEAAJ0FAAAAAA==&#10;">
              <v:fill on="f" focussize="0,0"/>
              <v:stroke on="f"/>
              <v:imagedata o:title=""/>
              <o:lock v:ext="edit" aspectratio="f"/>
              <v:textbox inset="0mm,0mm,0mm,0mm" style="mso-fit-shape-to-text:t;">
                <w:txbxContent>
                  <w:p w14:paraId="6C420D96">
                    <w:pPr>
                      <w:pStyle w:val="23"/>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7612C"/>
    <w:multiLevelType w:val="singleLevel"/>
    <w:tmpl w:val="8AD7612C"/>
    <w:lvl w:ilvl="0" w:tentative="0">
      <w:start w:val="6"/>
      <w:numFmt w:val="decimal"/>
      <w:suff w:val="space"/>
      <w:lvlText w:val="%1."/>
      <w:lvlJc w:val="left"/>
    </w:lvl>
  </w:abstractNum>
  <w:abstractNum w:abstractNumId="1">
    <w:nsid w:val="0563A288"/>
    <w:multiLevelType w:val="singleLevel"/>
    <w:tmpl w:val="0563A288"/>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利记">
    <w15:presenceInfo w15:providerId="WPS Office" w15:userId="39744382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5MDg5OTk4YzdlNWRhNjY5ZTBhNzdkZmZjYmEwZDYifQ=="/>
    <w:docVar w:name="KGWebUrl" w:val="http://10.168.30.10:7890/easoa/PositionServlet"/>
  </w:docVars>
  <w:rsids>
    <w:rsidRoot w:val="00172A27"/>
    <w:rsid w:val="00000393"/>
    <w:rsid w:val="00000DE9"/>
    <w:rsid w:val="0000133A"/>
    <w:rsid w:val="00001518"/>
    <w:rsid w:val="00001B17"/>
    <w:rsid w:val="0000378D"/>
    <w:rsid w:val="00003C7B"/>
    <w:rsid w:val="0000562D"/>
    <w:rsid w:val="0000771B"/>
    <w:rsid w:val="000108FA"/>
    <w:rsid w:val="00012E70"/>
    <w:rsid w:val="0001314A"/>
    <w:rsid w:val="00013409"/>
    <w:rsid w:val="0001673E"/>
    <w:rsid w:val="0001686B"/>
    <w:rsid w:val="00030637"/>
    <w:rsid w:val="00030BFA"/>
    <w:rsid w:val="00033FD3"/>
    <w:rsid w:val="00036079"/>
    <w:rsid w:val="00037489"/>
    <w:rsid w:val="0003765B"/>
    <w:rsid w:val="00040E20"/>
    <w:rsid w:val="00043F7E"/>
    <w:rsid w:val="0004572A"/>
    <w:rsid w:val="000473B5"/>
    <w:rsid w:val="0004768B"/>
    <w:rsid w:val="000527A5"/>
    <w:rsid w:val="0005291F"/>
    <w:rsid w:val="00052D5F"/>
    <w:rsid w:val="000538FB"/>
    <w:rsid w:val="000540B8"/>
    <w:rsid w:val="000547A0"/>
    <w:rsid w:val="000568C9"/>
    <w:rsid w:val="00060554"/>
    <w:rsid w:val="000609DC"/>
    <w:rsid w:val="00061B45"/>
    <w:rsid w:val="00061E2D"/>
    <w:rsid w:val="00062B5A"/>
    <w:rsid w:val="00066C21"/>
    <w:rsid w:val="00066E93"/>
    <w:rsid w:val="000677BD"/>
    <w:rsid w:val="0007044E"/>
    <w:rsid w:val="00071E5D"/>
    <w:rsid w:val="000728B4"/>
    <w:rsid w:val="00073ACE"/>
    <w:rsid w:val="0007578B"/>
    <w:rsid w:val="00075B15"/>
    <w:rsid w:val="00076D54"/>
    <w:rsid w:val="000773D6"/>
    <w:rsid w:val="000823A6"/>
    <w:rsid w:val="00082FEA"/>
    <w:rsid w:val="00083312"/>
    <w:rsid w:val="000842DE"/>
    <w:rsid w:val="00087775"/>
    <w:rsid w:val="000902A4"/>
    <w:rsid w:val="00093539"/>
    <w:rsid w:val="00094665"/>
    <w:rsid w:val="00096DB1"/>
    <w:rsid w:val="000974B7"/>
    <w:rsid w:val="00097D5C"/>
    <w:rsid w:val="00097E04"/>
    <w:rsid w:val="000A0AB8"/>
    <w:rsid w:val="000A10D2"/>
    <w:rsid w:val="000A401E"/>
    <w:rsid w:val="000A5AC8"/>
    <w:rsid w:val="000A68CC"/>
    <w:rsid w:val="000A6DC9"/>
    <w:rsid w:val="000A7CE9"/>
    <w:rsid w:val="000B22A1"/>
    <w:rsid w:val="000B2B70"/>
    <w:rsid w:val="000B36AD"/>
    <w:rsid w:val="000B5901"/>
    <w:rsid w:val="000B5A36"/>
    <w:rsid w:val="000B615E"/>
    <w:rsid w:val="000B7682"/>
    <w:rsid w:val="000B7757"/>
    <w:rsid w:val="000C1C5E"/>
    <w:rsid w:val="000C4A60"/>
    <w:rsid w:val="000C50C0"/>
    <w:rsid w:val="000C548B"/>
    <w:rsid w:val="000C5CD6"/>
    <w:rsid w:val="000C77AE"/>
    <w:rsid w:val="000C7F1C"/>
    <w:rsid w:val="000D1854"/>
    <w:rsid w:val="000D2806"/>
    <w:rsid w:val="000D4709"/>
    <w:rsid w:val="000D6EC1"/>
    <w:rsid w:val="000D7410"/>
    <w:rsid w:val="000E0542"/>
    <w:rsid w:val="000E3F41"/>
    <w:rsid w:val="000E64BF"/>
    <w:rsid w:val="000F0426"/>
    <w:rsid w:val="000F0E16"/>
    <w:rsid w:val="000F4262"/>
    <w:rsid w:val="000F4FE9"/>
    <w:rsid w:val="000F59AB"/>
    <w:rsid w:val="00100E67"/>
    <w:rsid w:val="00101757"/>
    <w:rsid w:val="0010359E"/>
    <w:rsid w:val="00104A71"/>
    <w:rsid w:val="00105273"/>
    <w:rsid w:val="0011035C"/>
    <w:rsid w:val="00111D53"/>
    <w:rsid w:val="00111F5F"/>
    <w:rsid w:val="0011205D"/>
    <w:rsid w:val="001132D2"/>
    <w:rsid w:val="00114E7E"/>
    <w:rsid w:val="00116540"/>
    <w:rsid w:val="001211A7"/>
    <w:rsid w:val="00121C2E"/>
    <w:rsid w:val="00122496"/>
    <w:rsid w:val="0012269E"/>
    <w:rsid w:val="00124134"/>
    <w:rsid w:val="001243AE"/>
    <w:rsid w:val="001245D3"/>
    <w:rsid w:val="0012543F"/>
    <w:rsid w:val="00126DDC"/>
    <w:rsid w:val="0013253A"/>
    <w:rsid w:val="00134893"/>
    <w:rsid w:val="001358F9"/>
    <w:rsid w:val="00136226"/>
    <w:rsid w:val="0013775A"/>
    <w:rsid w:val="001379A6"/>
    <w:rsid w:val="00140592"/>
    <w:rsid w:val="00140DC6"/>
    <w:rsid w:val="001415F6"/>
    <w:rsid w:val="001439D7"/>
    <w:rsid w:val="00144067"/>
    <w:rsid w:val="00144387"/>
    <w:rsid w:val="00146694"/>
    <w:rsid w:val="0015105C"/>
    <w:rsid w:val="00152925"/>
    <w:rsid w:val="0015336D"/>
    <w:rsid w:val="0015588E"/>
    <w:rsid w:val="00160969"/>
    <w:rsid w:val="00160F72"/>
    <w:rsid w:val="0016128D"/>
    <w:rsid w:val="00161F46"/>
    <w:rsid w:val="001630EA"/>
    <w:rsid w:val="0016373A"/>
    <w:rsid w:val="00163CC8"/>
    <w:rsid w:val="00165C2C"/>
    <w:rsid w:val="001667F7"/>
    <w:rsid w:val="00167C11"/>
    <w:rsid w:val="00167EEA"/>
    <w:rsid w:val="00170E33"/>
    <w:rsid w:val="00170F9F"/>
    <w:rsid w:val="001710EC"/>
    <w:rsid w:val="00171738"/>
    <w:rsid w:val="001724F4"/>
    <w:rsid w:val="00172A27"/>
    <w:rsid w:val="00176254"/>
    <w:rsid w:val="00177D2C"/>
    <w:rsid w:val="00181D3A"/>
    <w:rsid w:val="0018357F"/>
    <w:rsid w:val="0018385E"/>
    <w:rsid w:val="001853CD"/>
    <w:rsid w:val="00185E33"/>
    <w:rsid w:val="00186718"/>
    <w:rsid w:val="00187754"/>
    <w:rsid w:val="00187A83"/>
    <w:rsid w:val="001913B5"/>
    <w:rsid w:val="0019565B"/>
    <w:rsid w:val="001973D4"/>
    <w:rsid w:val="001A1BF6"/>
    <w:rsid w:val="001A346A"/>
    <w:rsid w:val="001A4C48"/>
    <w:rsid w:val="001A5612"/>
    <w:rsid w:val="001A7180"/>
    <w:rsid w:val="001A730F"/>
    <w:rsid w:val="001A7880"/>
    <w:rsid w:val="001B283F"/>
    <w:rsid w:val="001B32A6"/>
    <w:rsid w:val="001B39AC"/>
    <w:rsid w:val="001B4A13"/>
    <w:rsid w:val="001B5BF8"/>
    <w:rsid w:val="001B5DEE"/>
    <w:rsid w:val="001B62F8"/>
    <w:rsid w:val="001C143D"/>
    <w:rsid w:val="001C45BD"/>
    <w:rsid w:val="001C5C4F"/>
    <w:rsid w:val="001C614B"/>
    <w:rsid w:val="001C70DC"/>
    <w:rsid w:val="001C7EB3"/>
    <w:rsid w:val="001D13D5"/>
    <w:rsid w:val="001D2AC0"/>
    <w:rsid w:val="001D4370"/>
    <w:rsid w:val="001D4B15"/>
    <w:rsid w:val="001D4C1F"/>
    <w:rsid w:val="001E16C8"/>
    <w:rsid w:val="001E1759"/>
    <w:rsid w:val="001E17FC"/>
    <w:rsid w:val="001E2917"/>
    <w:rsid w:val="001E3DE6"/>
    <w:rsid w:val="001E4DE1"/>
    <w:rsid w:val="001F0447"/>
    <w:rsid w:val="001F0B11"/>
    <w:rsid w:val="001F1441"/>
    <w:rsid w:val="001F2AE7"/>
    <w:rsid w:val="001F4808"/>
    <w:rsid w:val="001F4EA1"/>
    <w:rsid w:val="001F6F0A"/>
    <w:rsid w:val="0020041E"/>
    <w:rsid w:val="00201111"/>
    <w:rsid w:val="00201ABD"/>
    <w:rsid w:val="002046B5"/>
    <w:rsid w:val="00204791"/>
    <w:rsid w:val="00204E1A"/>
    <w:rsid w:val="002074D8"/>
    <w:rsid w:val="00207A2B"/>
    <w:rsid w:val="00207E72"/>
    <w:rsid w:val="0021237C"/>
    <w:rsid w:val="00213DB0"/>
    <w:rsid w:val="00216226"/>
    <w:rsid w:val="00216350"/>
    <w:rsid w:val="00216982"/>
    <w:rsid w:val="00220CAC"/>
    <w:rsid w:val="00221377"/>
    <w:rsid w:val="00222071"/>
    <w:rsid w:val="00222AE0"/>
    <w:rsid w:val="00223225"/>
    <w:rsid w:val="00224318"/>
    <w:rsid w:val="00225C66"/>
    <w:rsid w:val="00230F5A"/>
    <w:rsid w:val="00232D5A"/>
    <w:rsid w:val="002363F8"/>
    <w:rsid w:val="0023665A"/>
    <w:rsid w:val="002378C5"/>
    <w:rsid w:val="00246CFF"/>
    <w:rsid w:val="002504BA"/>
    <w:rsid w:val="00251321"/>
    <w:rsid w:val="002513FB"/>
    <w:rsid w:val="002528C7"/>
    <w:rsid w:val="00253068"/>
    <w:rsid w:val="00254AF3"/>
    <w:rsid w:val="002609F1"/>
    <w:rsid w:val="00261799"/>
    <w:rsid w:val="00261A88"/>
    <w:rsid w:val="00261CA9"/>
    <w:rsid w:val="00262EC5"/>
    <w:rsid w:val="00263F40"/>
    <w:rsid w:val="00264E6E"/>
    <w:rsid w:val="00264EDB"/>
    <w:rsid w:val="00266162"/>
    <w:rsid w:val="00266B6C"/>
    <w:rsid w:val="00266D48"/>
    <w:rsid w:val="00267458"/>
    <w:rsid w:val="00267988"/>
    <w:rsid w:val="00267E84"/>
    <w:rsid w:val="002707E2"/>
    <w:rsid w:val="00270D15"/>
    <w:rsid w:val="0027131E"/>
    <w:rsid w:val="0027211D"/>
    <w:rsid w:val="0027400A"/>
    <w:rsid w:val="00274EC6"/>
    <w:rsid w:val="00275CAC"/>
    <w:rsid w:val="00276664"/>
    <w:rsid w:val="0027705D"/>
    <w:rsid w:val="00277F2C"/>
    <w:rsid w:val="00282818"/>
    <w:rsid w:val="00282C09"/>
    <w:rsid w:val="0028343D"/>
    <w:rsid w:val="00284D63"/>
    <w:rsid w:val="00285466"/>
    <w:rsid w:val="00286036"/>
    <w:rsid w:val="00287F11"/>
    <w:rsid w:val="00290E39"/>
    <w:rsid w:val="002915CD"/>
    <w:rsid w:val="00291ABE"/>
    <w:rsid w:val="00291E5D"/>
    <w:rsid w:val="0029268C"/>
    <w:rsid w:val="0029269C"/>
    <w:rsid w:val="00293037"/>
    <w:rsid w:val="00293BEC"/>
    <w:rsid w:val="00293C36"/>
    <w:rsid w:val="00294674"/>
    <w:rsid w:val="0029568C"/>
    <w:rsid w:val="00295708"/>
    <w:rsid w:val="00296277"/>
    <w:rsid w:val="002A0000"/>
    <w:rsid w:val="002A026C"/>
    <w:rsid w:val="002A0514"/>
    <w:rsid w:val="002A10D9"/>
    <w:rsid w:val="002A1B03"/>
    <w:rsid w:val="002A26AE"/>
    <w:rsid w:val="002A2DBA"/>
    <w:rsid w:val="002A30C4"/>
    <w:rsid w:val="002A317C"/>
    <w:rsid w:val="002A33E4"/>
    <w:rsid w:val="002A4006"/>
    <w:rsid w:val="002A43A5"/>
    <w:rsid w:val="002A5594"/>
    <w:rsid w:val="002A5913"/>
    <w:rsid w:val="002A62BD"/>
    <w:rsid w:val="002B2185"/>
    <w:rsid w:val="002B2CA4"/>
    <w:rsid w:val="002B3D06"/>
    <w:rsid w:val="002B4717"/>
    <w:rsid w:val="002C0033"/>
    <w:rsid w:val="002C18DD"/>
    <w:rsid w:val="002C2072"/>
    <w:rsid w:val="002C2F79"/>
    <w:rsid w:val="002C428C"/>
    <w:rsid w:val="002C58FE"/>
    <w:rsid w:val="002C6063"/>
    <w:rsid w:val="002D2274"/>
    <w:rsid w:val="002D2D65"/>
    <w:rsid w:val="002D35C5"/>
    <w:rsid w:val="002D68C0"/>
    <w:rsid w:val="002D70EB"/>
    <w:rsid w:val="002E0557"/>
    <w:rsid w:val="002E1FDF"/>
    <w:rsid w:val="002E202C"/>
    <w:rsid w:val="002E24F2"/>
    <w:rsid w:val="002E414B"/>
    <w:rsid w:val="002E43C5"/>
    <w:rsid w:val="002E7F95"/>
    <w:rsid w:val="002F01D0"/>
    <w:rsid w:val="002F3C62"/>
    <w:rsid w:val="002F3EA3"/>
    <w:rsid w:val="002F4079"/>
    <w:rsid w:val="002F5030"/>
    <w:rsid w:val="002F5281"/>
    <w:rsid w:val="002F5DA2"/>
    <w:rsid w:val="002F6332"/>
    <w:rsid w:val="002F7B55"/>
    <w:rsid w:val="0030093A"/>
    <w:rsid w:val="00300B06"/>
    <w:rsid w:val="003016BB"/>
    <w:rsid w:val="00303DBD"/>
    <w:rsid w:val="00304035"/>
    <w:rsid w:val="003050FC"/>
    <w:rsid w:val="00305258"/>
    <w:rsid w:val="0030662D"/>
    <w:rsid w:val="003074D3"/>
    <w:rsid w:val="003075E7"/>
    <w:rsid w:val="0031010C"/>
    <w:rsid w:val="003114E8"/>
    <w:rsid w:val="00312AA7"/>
    <w:rsid w:val="00313580"/>
    <w:rsid w:val="00314D9D"/>
    <w:rsid w:val="0031563E"/>
    <w:rsid w:val="0031593B"/>
    <w:rsid w:val="00315D5C"/>
    <w:rsid w:val="0031695B"/>
    <w:rsid w:val="003206FC"/>
    <w:rsid w:val="003217C5"/>
    <w:rsid w:val="00322579"/>
    <w:rsid w:val="00324276"/>
    <w:rsid w:val="00325081"/>
    <w:rsid w:val="00330509"/>
    <w:rsid w:val="0033058E"/>
    <w:rsid w:val="00332076"/>
    <w:rsid w:val="00333175"/>
    <w:rsid w:val="00334C0D"/>
    <w:rsid w:val="00335DBE"/>
    <w:rsid w:val="00336351"/>
    <w:rsid w:val="00336D5A"/>
    <w:rsid w:val="00337386"/>
    <w:rsid w:val="003376E5"/>
    <w:rsid w:val="00337E49"/>
    <w:rsid w:val="0034043A"/>
    <w:rsid w:val="00341D0C"/>
    <w:rsid w:val="00341DF6"/>
    <w:rsid w:val="00343460"/>
    <w:rsid w:val="00343A71"/>
    <w:rsid w:val="00344431"/>
    <w:rsid w:val="0034515A"/>
    <w:rsid w:val="00350009"/>
    <w:rsid w:val="00351550"/>
    <w:rsid w:val="00351A45"/>
    <w:rsid w:val="00351A93"/>
    <w:rsid w:val="00352BB1"/>
    <w:rsid w:val="00353155"/>
    <w:rsid w:val="00354E74"/>
    <w:rsid w:val="0035666E"/>
    <w:rsid w:val="003574C1"/>
    <w:rsid w:val="003608E3"/>
    <w:rsid w:val="00361DB2"/>
    <w:rsid w:val="00362FBE"/>
    <w:rsid w:val="00364051"/>
    <w:rsid w:val="00364812"/>
    <w:rsid w:val="0036481E"/>
    <w:rsid w:val="00364B3F"/>
    <w:rsid w:val="003654D3"/>
    <w:rsid w:val="00367C89"/>
    <w:rsid w:val="00367E75"/>
    <w:rsid w:val="0037065F"/>
    <w:rsid w:val="00370AA2"/>
    <w:rsid w:val="00372A67"/>
    <w:rsid w:val="00372B70"/>
    <w:rsid w:val="00373E82"/>
    <w:rsid w:val="00374C0D"/>
    <w:rsid w:val="003750F8"/>
    <w:rsid w:val="00376230"/>
    <w:rsid w:val="00377245"/>
    <w:rsid w:val="0037757B"/>
    <w:rsid w:val="003802FD"/>
    <w:rsid w:val="00380BDE"/>
    <w:rsid w:val="00382034"/>
    <w:rsid w:val="00383688"/>
    <w:rsid w:val="00390955"/>
    <w:rsid w:val="00391B4A"/>
    <w:rsid w:val="0039202F"/>
    <w:rsid w:val="0039216B"/>
    <w:rsid w:val="003943EC"/>
    <w:rsid w:val="00395588"/>
    <w:rsid w:val="00395D6F"/>
    <w:rsid w:val="003A01A8"/>
    <w:rsid w:val="003A0914"/>
    <w:rsid w:val="003A2152"/>
    <w:rsid w:val="003A2934"/>
    <w:rsid w:val="003A307E"/>
    <w:rsid w:val="003A49AD"/>
    <w:rsid w:val="003A50B6"/>
    <w:rsid w:val="003A5178"/>
    <w:rsid w:val="003A532D"/>
    <w:rsid w:val="003B0F44"/>
    <w:rsid w:val="003B1493"/>
    <w:rsid w:val="003B2155"/>
    <w:rsid w:val="003B217C"/>
    <w:rsid w:val="003B2ED9"/>
    <w:rsid w:val="003B46DF"/>
    <w:rsid w:val="003C4211"/>
    <w:rsid w:val="003C6E0A"/>
    <w:rsid w:val="003D016E"/>
    <w:rsid w:val="003D0C46"/>
    <w:rsid w:val="003D12B1"/>
    <w:rsid w:val="003D228E"/>
    <w:rsid w:val="003D2D40"/>
    <w:rsid w:val="003D2DA1"/>
    <w:rsid w:val="003D3657"/>
    <w:rsid w:val="003D49B3"/>
    <w:rsid w:val="003D4DCB"/>
    <w:rsid w:val="003D6028"/>
    <w:rsid w:val="003D7279"/>
    <w:rsid w:val="003D7908"/>
    <w:rsid w:val="003E0B8A"/>
    <w:rsid w:val="003E212B"/>
    <w:rsid w:val="003E4EC4"/>
    <w:rsid w:val="003E5720"/>
    <w:rsid w:val="003E755A"/>
    <w:rsid w:val="003F061A"/>
    <w:rsid w:val="003F3181"/>
    <w:rsid w:val="003F3708"/>
    <w:rsid w:val="003F3BE3"/>
    <w:rsid w:val="003F58D2"/>
    <w:rsid w:val="003F6817"/>
    <w:rsid w:val="003F68B1"/>
    <w:rsid w:val="00402290"/>
    <w:rsid w:val="00402748"/>
    <w:rsid w:val="00402A04"/>
    <w:rsid w:val="00403310"/>
    <w:rsid w:val="00403946"/>
    <w:rsid w:val="00403D3F"/>
    <w:rsid w:val="0040475C"/>
    <w:rsid w:val="00404FBA"/>
    <w:rsid w:val="00405EE9"/>
    <w:rsid w:val="004062B8"/>
    <w:rsid w:val="00407BB4"/>
    <w:rsid w:val="00410FD3"/>
    <w:rsid w:val="00411E2F"/>
    <w:rsid w:val="00413A76"/>
    <w:rsid w:val="00413ADB"/>
    <w:rsid w:val="004145DD"/>
    <w:rsid w:val="00415CCB"/>
    <w:rsid w:val="00416E62"/>
    <w:rsid w:val="004225F2"/>
    <w:rsid w:val="0042475D"/>
    <w:rsid w:val="00424801"/>
    <w:rsid w:val="004261A1"/>
    <w:rsid w:val="00426552"/>
    <w:rsid w:val="0042732D"/>
    <w:rsid w:val="0043077C"/>
    <w:rsid w:val="004311D6"/>
    <w:rsid w:val="004314F9"/>
    <w:rsid w:val="00432EC2"/>
    <w:rsid w:val="004332AB"/>
    <w:rsid w:val="0043367A"/>
    <w:rsid w:val="00434018"/>
    <w:rsid w:val="004345AA"/>
    <w:rsid w:val="00435039"/>
    <w:rsid w:val="00436222"/>
    <w:rsid w:val="00436E8A"/>
    <w:rsid w:val="00440FCB"/>
    <w:rsid w:val="0044282A"/>
    <w:rsid w:val="004431A5"/>
    <w:rsid w:val="0044332C"/>
    <w:rsid w:val="00444B58"/>
    <w:rsid w:val="00445197"/>
    <w:rsid w:val="00447E46"/>
    <w:rsid w:val="004511DC"/>
    <w:rsid w:val="0045132C"/>
    <w:rsid w:val="004517CA"/>
    <w:rsid w:val="00451E12"/>
    <w:rsid w:val="00452710"/>
    <w:rsid w:val="004532CE"/>
    <w:rsid w:val="004554AE"/>
    <w:rsid w:val="00456AC9"/>
    <w:rsid w:val="00457B69"/>
    <w:rsid w:val="0046132E"/>
    <w:rsid w:val="00463196"/>
    <w:rsid w:val="00466B95"/>
    <w:rsid w:val="00467288"/>
    <w:rsid w:val="00467786"/>
    <w:rsid w:val="004708AE"/>
    <w:rsid w:val="00470C4D"/>
    <w:rsid w:val="00471DFE"/>
    <w:rsid w:val="00472135"/>
    <w:rsid w:val="00473409"/>
    <w:rsid w:val="00474B4B"/>
    <w:rsid w:val="00475F43"/>
    <w:rsid w:val="0047619C"/>
    <w:rsid w:val="004761F4"/>
    <w:rsid w:val="00476944"/>
    <w:rsid w:val="00476E80"/>
    <w:rsid w:val="0047733F"/>
    <w:rsid w:val="004776F2"/>
    <w:rsid w:val="004810C7"/>
    <w:rsid w:val="0048165B"/>
    <w:rsid w:val="004822E7"/>
    <w:rsid w:val="00485A1F"/>
    <w:rsid w:val="00486726"/>
    <w:rsid w:val="00486BCD"/>
    <w:rsid w:val="00487072"/>
    <w:rsid w:val="0048708A"/>
    <w:rsid w:val="00490990"/>
    <w:rsid w:val="00491555"/>
    <w:rsid w:val="00492495"/>
    <w:rsid w:val="00495415"/>
    <w:rsid w:val="004964B5"/>
    <w:rsid w:val="00497291"/>
    <w:rsid w:val="004A140F"/>
    <w:rsid w:val="004A196E"/>
    <w:rsid w:val="004A216C"/>
    <w:rsid w:val="004A3A93"/>
    <w:rsid w:val="004A4887"/>
    <w:rsid w:val="004A764F"/>
    <w:rsid w:val="004B0BAC"/>
    <w:rsid w:val="004B1D11"/>
    <w:rsid w:val="004B1F08"/>
    <w:rsid w:val="004B28B8"/>
    <w:rsid w:val="004B2904"/>
    <w:rsid w:val="004B30A2"/>
    <w:rsid w:val="004B3953"/>
    <w:rsid w:val="004B44F0"/>
    <w:rsid w:val="004B45C8"/>
    <w:rsid w:val="004B53B9"/>
    <w:rsid w:val="004B6A56"/>
    <w:rsid w:val="004C1025"/>
    <w:rsid w:val="004C164C"/>
    <w:rsid w:val="004C21FE"/>
    <w:rsid w:val="004C2804"/>
    <w:rsid w:val="004C6064"/>
    <w:rsid w:val="004C7092"/>
    <w:rsid w:val="004D20D4"/>
    <w:rsid w:val="004D35D1"/>
    <w:rsid w:val="004D3947"/>
    <w:rsid w:val="004D4FE6"/>
    <w:rsid w:val="004D67A0"/>
    <w:rsid w:val="004D7F6F"/>
    <w:rsid w:val="004E0253"/>
    <w:rsid w:val="004E1452"/>
    <w:rsid w:val="004E16E5"/>
    <w:rsid w:val="004E21E4"/>
    <w:rsid w:val="004E3270"/>
    <w:rsid w:val="004E4624"/>
    <w:rsid w:val="004E5415"/>
    <w:rsid w:val="004E6D71"/>
    <w:rsid w:val="004E7DB3"/>
    <w:rsid w:val="004F2D16"/>
    <w:rsid w:val="004F3137"/>
    <w:rsid w:val="004F3849"/>
    <w:rsid w:val="004F581C"/>
    <w:rsid w:val="00501C0C"/>
    <w:rsid w:val="00502DBE"/>
    <w:rsid w:val="00505472"/>
    <w:rsid w:val="00505774"/>
    <w:rsid w:val="00506327"/>
    <w:rsid w:val="0050639C"/>
    <w:rsid w:val="00506AF2"/>
    <w:rsid w:val="00507D99"/>
    <w:rsid w:val="00510DB1"/>
    <w:rsid w:val="00512CC1"/>
    <w:rsid w:val="00515834"/>
    <w:rsid w:val="00516DBE"/>
    <w:rsid w:val="00517889"/>
    <w:rsid w:val="00520C76"/>
    <w:rsid w:val="005215B7"/>
    <w:rsid w:val="005216C4"/>
    <w:rsid w:val="00524210"/>
    <w:rsid w:val="00524A00"/>
    <w:rsid w:val="00524B01"/>
    <w:rsid w:val="005258D9"/>
    <w:rsid w:val="00527C61"/>
    <w:rsid w:val="00530D73"/>
    <w:rsid w:val="005315D7"/>
    <w:rsid w:val="005317D3"/>
    <w:rsid w:val="00534307"/>
    <w:rsid w:val="00536185"/>
    <w:rsid w:val="0053694F"/>
    <w:rsid w:val="00537D7A"/>
    <w:rsid w:val="00537FC0"/>
    <w:rsid w:val="00540D29"/>
    <w:rsid w:val="005438E1"/>
    <w:rsid w:val="00544D54"/>
    <w:rsid w:val="00545BA3"/>
    <w:rsid w:val="00546B4B"/>
    <w:rsid w:val="005515A6"/>
    <w:rsid w:val="00551D70"/>
    <w:rsid w:val="005600E9"/>
    <w:rsid w:val="00560665"/>
    <w:rsid w:val="00561A4C"/>
    <w:rsid w:val="0056221A"/>
    <w:rsid w:val="00563394"/>
    <w:rsid w:val="00563C21"/>
    <w:rsid w:val="0056449B"/>
    <w:rsid w:val="005647D4"/>
    <w:rsid w:val="0056497C"/>
    <w:rsid w:val="005655E4"/>
    <w:rsid w:val="00566A2E"/>
    <w:rsid w:val="0056719F"/>
    <w:rsid w:val="0057155B"/>
    <w:rsid w:val="0057182E"/>
    <w:rsid w:val="0057330F"/>
    <w:rsid w:val="0057440E"/>
    <w:rsid w:val="005753CA"/>
    <w:rsid w:val="005758AD"/>
    <w:rsid w:val="00576E16"/>
    <w:rsid w:val="005773B8"/>
    <w:rsid w:val="00580C55"/>
    <w:rsid w:val="00581590"/>
    <w:rsid w:val="00581771"/>
    <w:rsid w:val="0058189D"/>
    <w:rsid w:val="00581ECF"/>
    <w:rsid w:val="00582E1A"/>
    <w:rsid w:val="00583902"/>
    <w:rsid w:val="0058536C"/>
    <w:rsid w:val="00586647"/>
    <w:rsid w:val="005866B0"/>
    <w:rsid w:val="005874E7"/>
    <w:rsid w:val="00587F25"/>
    <w:rsid w:val="005900D3"/>
    <w:rsid w:val="005914A6"/>
    <w:rsid w:val="00591F8E"/>
    <w:rsid w:val="005923BC"/>
    <w:rsid w:val="00592C33"/>
    <w:rsid w:val="00592F9B"/>
    <w:rsid w:val="005946A1"/>
    <w:rsid w:val="0059573E"/>
    <w:rsid w:val="00595818"/>
    <w:rsid w:val="005962F1"/>
    <w:rsid w:val="00596853"/>
    <w:rsid w:val="005A30B8"/>
    <w:rsid w:val="005A35F5"/>
    <w:rsid w:val="005A7594"/>
    <w:rsid w:val="005B1497"/>
    <w:rsid w:val="005B1653"/>
    <w:rsid w:val="005B4939"/>
    <w:rsid w:val="005B4DFB"/>
    <w:rsid w:val="005B534B"/>
    <w:rsid w:val="005B7B86"/>
    <w:rsid w:val="005B7F0A"/>
    <w:rsid w:val="005C0484"/>
    <w:rsid w:val="005C08F6"/>
    <w:rsid w:val="005C0A93"/>
    <w:rsid w:val="005C2A4E"/>
    <w:rsid w:val="005C390D"/>
    <w:rsid w:val="005C4C61"/>
    <w:rsid w:val="005C687E"/>
    <w:rsid w:val="005D3F8B"/>
    <w:rsid w:val="005E0519"/>
    <w:rsid w:val="005E09EC"/>
    <w:rsid w:val="005E1567"/>
    <w:rsid w:val="005E1B95"/>
    <w:rsid w:val="005E3A10"/>
    <w:rsid w:val="005E6061"/>
    <w:rsid w:val="005F0993"/>
    <w:rsid w:val="005F1753"/>
    <w:rsid w:val="005F294A"/>
    <w:rsid w:val="005F2FEF"/>
    <w:rsid w:val="005F3199"/>
    <w:rsid w:val="005F32A1"/>
    <w:rsid w:val="005F3B68"/>
    <w:rsid w:val="005F3D90"/>
    <w:rsid w:val="005F3E78"/>
    <w:rsid w:val="005F3F07"/>
    <w:rsid w:val="005F5BF9"/>
    <w:rsid w:val="005F649A"/>
    <w:rsid w:val="006019FF"/>
    <w:rsid w:val="00601C00"/>
    <w:rsid w:val="00601D4B"/>
    <w:rsid w:val="0060298C"/>
    <w:rsid w:val="00602D22"/>
    <w:rsid w:val="00602EF2"/>
    <w:rsid w:val="00604B92"/>
    <w:rsid w:val="006066FA"/>
    <w:rsid w:val="006070DF"/>
    <w:rsid w:val="006071D9"/>
    <w:rsid w:val="0060763B"/>
    <w:rsid w:val="00611513"/>
    <w:rsid w:val="00611994"/>
    <w:rsid w:val="00612EC4"/>
    <w:rsid w:val="0061399D"/>
    <w:rsid w:val="00613A07"/>
    <w:rsid w:val="00613C47"/>
    <w:rsid w:val="00614EE2"/>
    <w:rsid w:val="00616B4D"/>
    <w:rsid w:val="0061725E"/>
    <w:rsid w:val="00617E0D"/>
    <w:rsid w:val="00621291"/>
    <w:rsid w:val="00621D07"/>
    <w:rsid w:val="00623651"/>
    <w:rsid w:val="00623756"/>
    <w:rsid w:val="006239C7"/>
    <w:rsid w:val="00623F04"/>
    <w:rsid w:val="006253B8"/>
    <w:rsid w:val="00626C90"/>
    <w:rsid w:val="006310A6"/>
    <w:rsid w:val="00631401"/>
    <w:rsid w:val="00631820"/>
    <w:rsid w:val="0063182E"/>
    <w:rsid w:val="00631A49"/>
    <w:rsid w:val="00634785"/>
    <w:rsid w:val="00634A1C"/>
    <w:rsid w:val="006352D5"/>
    <w:rsid w:val="00635B42"/>
    <w:rsid w:val="0063614B"/>
    <w:rsid w:val="00637EE9"/>
    <w:rsid w:val="00641825"/>
    <w:rsid w:val="00642860"/>
    <w:rsid w:val="00645A74"/>
    <w:rsid w:val="006475C6"/>
    <w:rsid w:val="00647C4D"/>
    <w:rsid w:val="006520B8"/>
    <w:rsid w:val="006522BD"/>
    <w:rsid w:val="0065254A"/>
    <w:rsid w:val="00654461"/>
    <w:rsid w:val="00655556"/>
    <w:rsid w:val="0065707C"/>
    <w:rsid w:val="006577F9"/>
    <w:rsid w:val="00657B07"/>
    <w:rsid w:val="00660056"/>
    <w:rsid w:val="006610F5"/>
    <w:rsid w:val="00661104"/>
    <w:rsid w:val="006634C8"/>
    <w:rsid w:val="0066428E"/>
    <w:rsid w:val="0066587F"/>
    <w:rsid w:val="00665F79"/>
    <w:rsid w:val="00666BE8"/>
    <w:rsid w:val="006671D1"/>
    <w:rsid w:val="00667B10"/>
    <w:rsid w:val="00667E02"/>
    <w:rsid w:val="00667FD8"/>
    <w:rsid w:val="00671213"/>
    <w:rsid w:val="0067233E"/>
    <w:rsid w:val="00672CBD"/>
    <w:rsid w:val="00673B0F"/>
    <w:rsid w:val="006749E4"/>
    <w:rsid w:val="00676EDB"/>
    <w:rsid w:val="00677FB1"/>
    <w:rsid w:val="00680D9C"/>
    <w:rsid w:val="006825C5"/>
    <w:rsid w:val="00683071"/>
    <w:rsid w:val="006834AC"/>
    <w:rsid w:val="006869CE"/>
    <w:rsid w:val="00686E9C"/>
    <w:rsid w:val="00690537"/>
    <w:rsid w:val="00693288"/>
    <w:rsid w:val="006958DB"/>
    <w:rsid w:val="00695FD6"/>
    <w:rsid w:val="00696295"/>
    <w:rsid w:val="00697849"/>
    <w:rsid w:val="00697AA5"/>
    <w:rsid w:val="006A0FFC"/>
    <w:rsid w:val="006A1B71"/>
    <w:rsid w:val="006A1C0F"/>
    <w:rsid w:val="006A1F8D"/>
    <w:rsid w:val="006A46B6"/>
    <w:rsid w:val="006A4838"/>
    <w:rsid w:val="006A6434"/>
    <w:rsid w:val="006A64E7"/>
    <w:rsid w:val="006B000C"/>
    <w:rsid w:val="006B04B3"/>
    <w:rsid w:val="006B0587"/>
    <w:rsid w:val="006B0D1A"/>
    <w:rsid w:val="006B0F09"/>
    <w:rsid w:val="006B1734"/>
    <w:rsid w:val="006B21A6"/>
    <w:rsid w:val="006B2A7A"/>
    <w:rsid w:val="006B417F"/>
    <w:rsid w:val="006B6D1F"/>
    <w:rsid w:val="006B6E5A"/>
    <w:rsid w:val="006B78AA"/>
    <w:rsid w:val="006B7FA1"/>
    <w:rsid w:val="006C0A05"/>
    <w:rsid w:val="006C1FB8"/>
    <w:rsid w:val="006C2D26"/>
    <w:rsid w:val="006C2F49"/>
    <w:rsid w:val="006C34DE"/>
    <w:rsid w:val="006C394D"/>
    <w:rsid w:val="006C5637"/>
    <w:rsid w:val="006C5C8F"/>
    <w:rsid w:val="006C7175"/>
    <w:rsid w:val="006C71E6"/>
    <w:rsid w:val="006C7B70"/>
    <w:rsid w:val="006D0AE8"/>
    <w:rsid w:val="006D0CC2"/>
    <w:rsid w:val="006D2271"/>
    <w:rsid w:val="006D431C"/>
    <w:rsid w:val="006D4E53"/>
    <w:rsid w:val="006D640B"/>
    <w:rsid w:val="006E0902"/>
    <w:rsid w:val="006E23AE"/>
    <w:rsid w:val="006E56EF"/>
    <w:rsid w:val="006E7F22"/>
    <w:rsid w:val="006F0A9D"/>
    <w:rsid w:val="006F1BD1"/>
    <w:rsid w:val="006F252D"/>
    <w:rsid w:val="006F419F"/>
    <w:rsid w:val="006F4C77"/>
    <w:rsid w:val="006F56AF"/>
    <w:rsid w:val="006F5B87"/>
    <w:rsid w:val="006F6011"/>
    <w:rsid w:val="006F6D59"/>
    <w:rsid w:val="0070062F"/>
    <w:rsid w:val="007006CB"/>
    <w:rsid w:val="00701776"/>
    <w:rsid w:val="007023F0"/>
    <w:rsid w:val="00702D82"/>
    <w:rsid w:val="00703C34"/>
    <w:rsid w:val="00704ADB"/>
    <w:rsid w:val="007064A7"/>
    <w:rsid w:val="00706584"/>
    <w:rsid w:val="00707F7B"/>
    <w:rsid w:val="007115F4"/>
    <w:rsid w:val="007131D2"/>
    <w:rsid w:val="007145FB"/>
    <w:rsid w:val="00715658"/>
    <w:rsid w:val="00716A53"/>
    <w:rsid w:val="00716BBB"/>
    <w:rsid w:val="00720F6B"/>
    <w:rsid w:val="00721B8A"/>
    <w:rsid w:val="00721C17"/>
    <w:rsid w:val="00721F31"/>
    <w:rsid w:val="007233B0"/>
    <w:rsid w:val="00724248"/>
    <w:rsid w:val="007274BB"/>
    <w:rsid w:val="00730FDA"/>
    <w:rsid w:val="0073153F"/>
    <w:rsid w:val="00731603"/>
    <w:rsid w:val="007320D7"/>
    <w:rsid w:val="00736CB5"/>
    <w:rsid w:val="00736D0A"/>
    <w:rsid w:val="007373D6"/>
    <w:rsid w:val="007408E5"/>
    <w:rsid w:val="00741334"/>
    <w:rsid w:val="007422BB"/>
    <w:rsid w:val="00742475"/>
    <w:rsid w:val="00742AC9"/>
    <w:rsid w:val="00743608"/>
    <w:rsid w:val="00745D95"/>
    <w:rsid w:val="00746202"/>
    <w:rsid w:val="00746846"/>
    <w:rsid w:val="0074791F"/>
    <w:rsid w:val="00751A10"/>
    <w:rsid w:val="00751F11"/>
    <w:rsid w:val="00752231"/>
    <w:rsid w:val="007529BB"/>
    <w:rsid w:val="00753536"/>
    <w:rsid w:val="007541ED"/>
    <w:rsid w:val="00756044"/>
    <w:rsid w:val="00756B36"/>
    <w:rsid w:val="00756EBD"/>
    <w:rsid w:val="00761A28"/>
    <w:rsid w:val="00761E6F"/>
    <w:rsid w:val="00761EE9"/>
    <w:rsid w:val="007621CB"/>
    <w:rsid w:val="007635D8"/>
    <w:rsid w:val="007647B7"/>
    <w:rsid w:val="00764EFF"/>
    <w:rsid w:val="00766B32"/>
    <w:rsid w:val="00766F31"/>
    <w:rsid w:val="00771758"/>
    <w:rsid w:val="00772351"/>
    <w:rsid w:val="00772551"/>
    <w:rsid w:val="00773328"/>
    <w:rsid w:val="00773A85"/>
    <w:rsid w:val="007741CA"/>
    <w:rsid w:val="007750CC"/>
    <w:rsid w:val="00775B37"/>
    <w:rsid w:val="00775F7F"/>
    <w:rsid w:val="007762BD"/>
    <w:rsid w:val="00783F4E"/>
    <w:rsid w:val="007847BD"/>
    <w:rsid w:val="00791DEB"/>
    <w:rsid w:val="00795B75"/>
    <w:rsid w:val="0079629D"/>
    <w:rsid w:val="00797EAB"/>
    <w:rsid w:val="007A1CBD"/>
    <w:rsid w:val="007A1EC6"/>
    <w:rsid w:val="007A1FD5"/>
    <w:rsid w:val="007A25E5"/>
    <w:rsid w:val="007A26CB"/>
    <w:rsid w:val="007A2A89"/>
    <w:rsid w:val="007A31D6"/>
    <w:rsid w:val="007A3BCD"/>
    <w:rsid w:val="007A46A1"/>
    <w:rsid w:val="007A7023"/>
    <w:rsid w:val="007B0ADC"/>
    <w:rsid w:val="007B11E2"/>
    <w:rsid w:val="007B347B"/>
    <w:rsid w:val="007B3D88"/>
    <w:rsid w:val="007B557C"/>
    <w:rsid w:val="007B77E7"/>
    <w:rsid w:val="007C00C2"/>
    <w:rsid w:val="007C0685"/>
    <w:rsid w:val="007C07F5"/>
    <w:rsid w:val="007C0F2D"/>
    <w:rsid w:val="007C0F83"/>
    <w:rsid w:val="007C1C1D"/>
    <w:rsid w:val="007C1D98"/>
    <w:rsid w:val="007C42BB"/>
    <w:rsid w:val="007C5E1D"/>
    <w:rsid w:val="007C6115"/>
    <w:rsid w:val="007C67A2"/>
    <w:rsid w:val="007D09C8"/>
    <w:rsid w:val="007D1589"/>
    <w:rsid w:val="007D2ADF"/>
    <w:rsid w:val="007D3209"/>
    <w:rsid w:val="007D35BB"/>
    <w:rsid w:val="007D41FF"/>
    <w:rsid w:val="007D5ABE"/>
    <w:rsid w:val="007E01D0"/>
    <w:rsid w:val="007E0759"/>
    <w:rsid w:val="007E0819"/>
    <w:rsid w:val="007E0A4E"/>
    <w:rsid w:val="007E0F4C"/>
    <w:rsid w:val="007E38D4"/>
    <w:rsid w:val="007E4F46"/>
    <w:rsid w:val="007E7FF1"/>
    <w:rsid w:val="007F0B17"/>
    <w:rsid w:val="007F1DD4"/>
    <w:rsid w:val="007F3CA4"/>
    <w:rsid w:val="007F3F75"/>
    <w:rsid w:val="007F54F1"/>
    <w:rsid w:val="007F63A3"/>
    <w:rsid w:val="007F6837"/>
    <w:rsid w:val="007F744C"/>
    <w:rsid w:val="008037AD"/>
    <w:rsid w:val="0080555F"/>
    <w:rsid w:val="00813085"/>
    <w:rsid w:val="00813760"/>
    <w:rsid w:val="00814224"/>
    <w:rsid w:val="008142EA"/>
    <w:rsid w:val="00815E9D"/>
    <w:rsid w:val="008169EF"/>
    <w:rsid w:val="0081736E"/>
    <w:rsid w:val="00820B12"/>
    <w:rsid w:val="00820B3C"/>
    <w:rsid w:val="00823B96"/>
    <w:rsid w:val="00826834"/>
    <w:rsid w:val="00826EB6"/>
    <w:rsid w:val="00827609"/>
    <w:rsid w:val="00827ED8"/>
    <w:rsid w:val="00830B52"/>
    <w:rsid w:val="008313F3"/>
    <w:rsid w:val="00831400"/>
    <w:rsid w:val="00831424"/>
    <w:rsid w:val="0083249F"/>
    <w:rsid w:val="00832629"/>
    <w:rsid w:val="00832F70"/>
    <w:rsid w:val="00834B33"/>
    <w:rsid w:val="00835FAA"/>
    <w:rsid w:val="00836A3D"/>
    <w:rsid w:val="00837377"/>
    <w:rsid w:val="00841741"/>
    <w:rsid w:val="00841B45"/>
    <w:rsid w:val="00842C3C"/>
    <w:rsid w:val="008439D4"/>
    <w:rsid w:val="00844CC6"/>
    <w:rsid w:val="00845B02"/>
    <w:rsid w:val="00847051"/>
    <w:rsid w:val="00847BB2"/>
    <w:rsid w:val="0085059A"/>
    <w:rsid w:val="00850A24"/>
    <w:rsid w:val="00850F37"/>
    <w:rsid w:val="0085384E"/>
    <w:rsid w:val="0085483E"/>
    <w:rsid w:val="00856025"/>
    <w:rsid w:val="00856E09"/>
    <w:rsid w:val="0085738E"/>
    <w:rsid w:val="0086111E"/>
    <w:rsid w:val="008616BD"/>
    <w:rsid w:val="00861B7D"/>
    <w:rsid w:val="00862CC8"/>
    <w:rsid w:val="00863581"/>
    <w:rsid w:val="00863898"/>
    <w:rsid w:val="00863F33"/>
    <w:rsid w:val="00864466"/>
    <w:rsid w:val="00865061"/>
    <w:rsid w:val="008655F3"/>
    <w:rsid w:val="00865908"/>
    <w:rsid w:val="00866623"/>
    <w:rsid w:val="00867B22"/>
    <w:rsid w:val="00872E05"/>
    <w:rsid w:val="00873BEE"/>
    <w:rsid w:val="008748C0"/>
    <w:rsid w:val="00874E79"/>
    <w:rsid w:val="00875006"/>
    <w:rsid w:val="0087532F"/>
    <w:rsid w:val="008818F0"/>
    <w:rsid w:val="00883408"/>
    <w:rsid w:val="00883BBF"/>
    <w:rsid w:val="00884CFF"/>
    <w:rsid w:val="008862CC"/>
    <w:rsid w:val="008862E3"/>
    <w:rsid w:val="00886816"/>
    <w:rsid w:val="0089100C"/>
    <w:rsid w:val="008928E5"/>
    <w:rsid w:val="00893A89"/>
    <w:rsid w:val="00894A47"/>
    <w:rsid w:val="008962C6"/>
    <w:rsid w:val="008A1B52"/>
    <w:rsid w:val="008A208E"/>
    <w:rsid w:val="008A3A59"/>
    <w:rsid w:val="008A3B8B"/>
    <w:rsid w:val="008A50EE"/>
    <w:rsid w:val="008A5442"/>
    <w:rsid w:val="008A641B"/>
    <w:rsid w:val="008B0143"/>
    <w:rsid w:val="008B254B"/>
    <w:rsid w:val="008B3768"/>
    <w:rsid w:val="008B50F8"/>
    <w:rsid w:val="008B5E01"/>
    <w:rsid w:val="008B5F1A"/>
    <w:rsid w:val="008B61CF"/>
    <w:rsid w:val="008B6D17"/>
    <w:rsid w:val="008B7410"/>
    <w:rsid w:val="008C0D26"/>
    <w:rsid w:val="008C4F23"/>
    <w:rsid w:val="008C7F75"/>
    <w:rsid w:val="008D0735"/>
    <w:rsid w:val="008D2C98"/>
    <w:rsid w:val="008D6BF0"/>
    <w:rsid w:val="008D7617"/>
    <w:rsid w:val="008D79EA"/>
    <w:rsid w:val="008E50B0"/>
    <w:rsid w:val="008E5861"/>
    <w:rsid w:val="008F15B1"/>
    <w:rsid w:val="008F1730"/>
    <w:rsid w:val="008F18F1"/>
    <w:rsid w:val="008F2ED5"/>
    <w:rsid w:val="008F37BD"/>
    <w:rsid w:val="008F3EDC"/>
    <w:rsid w:val="008F46C7"/>
    <w:rsid w:val="008F4895"/>
    <w:rsid w:val="008F4EDE"/>
    <w:rsid w:val="008F5C40"/>
    <w:rsid w:val="008F6D64"/>
    <w:rsid w:val="008F7EBD"/>
    <w:rsid w:val="00900C4B"/>
    <w:rsid w:val="00900E97"/>
    <w:rsid w:val="00903F29"/>
    <w:rsid w:val="009063F7"/>
    <w:rsid w:val="00906A27"/>
    <w:rsid w:val="009118B6"/>
    <w:rsid w:val="00912421"/>
    <w:rsid w:val="0091378B"/>
    <w:rsid w:val="0091756D"/>
    <w:rsid w:val="00921805"/>
    <w:rsid w:val="0092180F"/>
    <w:rsid w:val="00922FD6"/>
    <w:rsid w:val="009230E9"/>
    <w:rsid w:val="009238B5"/>
    <w:rsid w:val="009244EF"/>
    <w:rsid w:val="00924A12"/>
    <w:rsid w:val="00925DBA"/>
    <w:rsid w:val="009267E4"/>
    <w:rsid w:val="00930137"/>
    <w:rsid w:val="009302E8"/>
    <w:rsid w:val="00930EA6"/>
    <w:rsid w:val="009318EF"/>
    <w:rsid w:val="00932970"/>
    <w:rsid w:val="009332BD"/>
    <w:rsid w:val="00934EA6"/>
    <w:rsid w:val="00935977"/>
    <w:rsid w:val="00935D6B"/>
    <w:rsid w:val="009369BB"/>
    <w:rsid w:val="0093783D"/>
    <w:rsid w:val="00940493"/>
    <w:rsid w:val="00941067"/>
    <w:rsid w:val="009416A2"/>
    <w:rsid w:val="009435C7"/>
    <w:rsid w:val="00944ECD"/>
    <w:rsid w:val="00945087"/>
    <w:rsid w:val="00945C9B"/>
    <w:rsid w:val="00946513"/>
    <w:rsid w:val="009470B6"/>
    <w:rsid w:val="00950F66"/>
    <w:rsid w:val="00951E61"/>
    <w:rsid w:val="00955E2E"/>
    <w:rsid w:val="00957B69"/>
    <w:rsid w:val="00961A4A"/>
    <w:rsid w:val="00962A13"/>
    <w:rsid w:val="00963E5E"/>
    <w:rsid w:val="009644D4"/>
    <w:rsid w:val="00964B00"/>
    <w:rsid w:val="00966485"/>
    <w:rsid w:val="0097102D"/>
    <w:rsid w:val="009743FB"/>
    <w:rsid w:val="009750CA"/>
    <w:rsid w:val="00975BFE"/>
    <w:rsid w:val="00977DA9"/>
    <w:rsid w:val="009806E9"/>
    <w:rsid w:val="00981AB0"/>
    <w:rsid w:val="0098256F"/>
    <w:rsid w:val="00982816"/>
    <w:rsid w:val="00982936"/>
    <w:rsid w:val="00984DC3"/>
    <w:rsid w:val="009859E2"/>
    <w:rsid w:val="00987D11"/>
    <w:rsid w:val="00992237"/>
    <w:rsid w:val="00993C08"/>
    <w:rsid w:val="00995788"/>
    <w:rsid w:val="00995D75"/>
    <w:rsid w:val="00996298"/>
    <w:rsid w:val="00996FF5"/>
    <w:rsid w:val="00997177"/>
    <w:rsid w:val="009A01EE"/>
    <w:rsid w:val="009A1007"/>
    <w:rsid w:val="009A2D0A"/>
    <w:rsid w:val="009A2F21"/>
    <w:rsid w:val="009A38A0"/>
    <w:rsid w:val="009A393E"/>
    <w:rsid w:val="009A59F5"/>
    <w:rsid w:val="009A681C"/>
    <w:rsid w:val="009B1089"/>
    <w:rsid w:val="009B13C0"/>
    <w:rsid w:val="009B365C"/>
    <w:rsid w:val="009B6F9E"/>
    <w:rsid w:val="009C0137"/>
    <w:rsid w:val="009C0983"/>
    <w:rsid w:val="009C17AF"/>
    <w:rsid w:val="009C28B5"/>
    <w:rsid w:val="009C3F53"/>
    <w:rsid w:val="009C571B"/>
    <w:rsid w:val="009C630F"/>
    <w:rsid w:val="009C7ACA"/>
    <w:rsid w:val="009D0FD1"/>
    <w:rsid w:val="009D1005"/>
    <w:rsid w:val="009D1828"/>
    <w:rsid w:val="009D2049"/>
    <w:rsid w:val="009D2AEB"/>
    <w:rsid w:val="009D3F00"/>
    <w:rsid w:val="009D66C2"/>
    <w:rsid w:val="009E0DDE"/>
    <w:rsid w:val="009E2601"/>
    <w:rsid w:val="009E2677"/>
    <w:rsid w:val="009E2F1F"/>
    <w:rsid w:val="009E3064"/>
    <w:rsid w:val="009E4070"/>
    <w:rsid w:val="009E5525"/>
    <w:rsid w:val="009E60EC"/>
    <w:rsid w:val="009F0DBB"/>
    <w:rsid w:val="009F1397"/>
    <w:rsid w:val="009F1BA3"/>
    <w:rsid w:val="009F2A8F"/>
    <w:rsid w:val="009F420A"/>
    <w:rsid w:val="009F54BA"/>
    <w:rsid w:val="009F66BC"/>
    <w:rsid w:val="009F7596"/>
    <w:rsid w:val="009F77F6"/>
    <w:rsid w:val="00A014FC"/>
    <w:rsid w:val="00A01A8F"/>
    <w:rsid w:val="00A01EC3"/>
    <w:rsid w:val="00A01F84"/>
    <w:rsid w:val="00A04E4A"/>
    <w:rsid w:val="00A062FE"/>
    <w:rsid w:val="00A064BD"/>
    <w:rsid w:val="00A06B8F"/>
    <w:rsid w:val="00A07681"/>
    <w:rsid w:val="00A07BA7"/>
    <w:rsid w:val="00A109FA"/>
    <w:rsid w:val="00A10B34"/>
    <w:rsid w:val="00A13CEE"/>
    <w:rsid w:val="00A14102"/>
    <w:rsid w:val="00A142C3"/>
    <w:rsid w:val="00A15646"/>
    <w:rsid w:val="00A17372"/>
    <w:rsid w:val="00A1791E"/>
    <w:rsid w:val="00A20D25"/>
    <w:rsid w:val="00A21C2D"/>
    <w:rsid w:val="00A26D25"/>
    <w:rsid w:val="00A30B0E"/>
    <w:rsid w:val="00A33250"/>
    <w:rsid w:val="00A33B73"/>
    <w:rsid w:val="00A34A17"/>
    <w:rsid w:val="00A3543B"/>
    <w:rsid w:val="00A3657C"/>
    <w:rsid w:val="00A41B54"/>
    <w:rsid w:val="00A42397"/>
    <w:rsid w:val="00A42686"/>
    <w:rsid w:val="00A4295C"/>
    <w:rsid w:val="00A43863"/>
    <w:rsid w:val="00A43A38"/>
    <w:rsid w:val="00A4409C"/>
    <w:rsid w:val="00A4541B"/>
    <w:rsid w:val="00A479D3"/>
    <w:rsid w:val="00A47F19"/>
    <w:rsid w:val="00A50BE5"/>
    <w:rsid w:val="00A51C76"/>
    <w:rsid w:val="00A53E8F"/>
    <w:rsid w:val="00A54C91"/>
    <w:rsid w:val="00A54DFE"/>
    <w:rsid w:val="00A5520A"/>
    <w:rsid w:val="00A56818"/>
    <w:rsid w:val="00A61503"/>
    <w:rsid w:val="00A6275E"/>
    <w:rsid w:val="00A62DFC"/>
    <w:rsid w:val="00A654B3"/>
    <w:rsid w:val="00A65730"/>
    <w:rsid w:val="00A66BC4"/>
    <w:rsid w:val="00A67766"/>
    <w:rsid w:val="00A70218"/>
    <w:rsid w:val="00A70441"/>
    <w:rsid w:val="00A71E86"/>
    <w:rsid w:val="00A7390E"/>
    <w:rsid w:val="00A7430F"/>
    <w:rsid w:val="00A74755"/>
    <w:rsid w:val="00A74F96"/>
    <w:rsid w:val="00A74FDD"/>
    <w:rsid w:val="00A76040"/>
    <w:rsid w:val="00A76F9E"/>
    <w:rsid w:val="00A77427"/>
    <w:rsid w:val="00A77705"/>
    <w:rsid w:val="00A806EE"/>
    <w:rsid w:val="00A80BCF"/>
    <w:rsid w:val="00A81146"/>
    <w:rsid w:val="00A84EDA"/>
    <w:rsid w:val="00A852E8"/>
    <w:rsid w:val="00A853E3"/>
    <w:rsid w:val="00A91DE4"/>
    <w:rsid w:val="00A92C11"/>
    <w:rsid w:val="00A946D5"/>
    <w:rsid w:val="00A94960"/>
    <w:rsid w:val="00A9729B"/>
    <w:rsid w:val="00A97672"/>
    <w:rsid w:val="00A97760"/>
    <w:rsid w:val="00A97A87"/>
    <w:rsid w:val="00AA1351"/>
    <w:rsid w:val="00AA1AB1"/>
    <w:rsid w:val="00AA2DC0"/>
    <w:rsid w:val="00AA304E"/>
    <w:rsid w:val="00AA3630"/>
    <w:rsid w:val="00AA47E3"/>
    <w:rsid w:val="00AA55BD"/>
    <w:rsid w:val="00AA6244"/>
    <w:rsid w:val="00AA69AF"/>
    <w:rsid w:val="00AB0B5F"/>
    <w:rsid w:val="00AB1ECF"/>
    <w:rsid w:val="00AB2327"/>
    <w:rsid w:val="00AB276F"/>
    <w:rsid w:val="00AB27EB"/>
    <w:rsid w:val="00AB2E7E"/>
    <w:rsid w:val="00AB3D99"/>
    <w:rsid w:val="00AB4482"/>
    <w:rsid w:val="00AB4C8C"/>
    <w:rsid w:val="00AB569E"/>
    <w:rsid w:val="00AB755E"/>
    <w:rsid w:val="00AB7DBF"/>
    <w:rsid w:val="00AC0C73"/>
    <w:rsid w:val="00AC0E1B"/>
    <w:rsid w:val="00AC1603"/>
    <w:rsid w:val="00AC74D3"/>
    <w:rsid w:val="00AD03BE"/>
    <w:rsid w:val="00AD2263"/>
    <w:rsid w:val="00AD2D40"/>
    <w:rsid w:val="00AD2EA3"/>
    <w:rsid w:val="00AD3215"/>
    <w:rsid w:val="00AD549C"/>
    <w:rsid w:val="00AD6FC4"/>
    <w:rsid w:val="00AD759F"/>
    <w:rsid w:val="00AD75E0"/>
    <w:rsid w:val="00AD7800"/>
    <w:rsid w:val="00AE05E2"/>
    <w:rsid w:val="00AE0DF6"/>
    <w:rsid w:val="00AE1461"/>
    <w:rsid w:val="00AE1BB2"/>
    <w:rsid w:val="00AE27A7"/>
    <w:rsid w:val="00AE3E85"/>
    <w:rsid w:val="00AE59CA"/>
    <w:rsid w:val="00AE7F2E"/>
    <w:rsid w:val="00AF046E"/>
    <w:rsid w:val="00AF10EB"/>
    <w:rsid w:val="00AF5EC1"/>
    <w:rsid w:val="00AF6786"/>
    <w:rsid w:val="00AF7E28"/>
    <w:rsid w:val="00B004A2"/>
    <w:rsid w:val="00B00B6B"/>
    <w:rsid w:val="00B0321E"/>
    <w:rsid w:val="00B03FC2"/>
    <w:rsid w:val="00B0418A"/>
    <w:rsid w:val="00B05633"/>
    <w:rsid w:val="00B06839"/>
    <w:rsid w:val="00B06E28"/>
    <w:rsid w:val="00B06FF8"/>
    <w:rsid w:val="00B07FC9"/>
    <w:rsid w:val="00B10808"/>
    <w:rsid w:val="00B115E3"/>
    <w:rsid w:val="00B126C6"/>
    <w:rsid w:val="00B14486"/>
    <w:rsid w:val="00B14F6B"/>
    <w:rsid w:val="00B158F8"/>
    <w:rsid w:val="00B167E4"/>
    <w:rsid w:val="00B16985"/>
    <w:rsid w:val="00B17273"/>
    <w:rsid w:val="00B20889"/>
    <w:rsid w:val="00B2104C"/>
    <w:rsid w:val="00B21743"/>
    <w:rsid w:val="00B21AE8"/>
    <w:rsid w:val="00B23892"/>
    <w:rsid w:val="00B23D7F"/>
    <w:rsid w:val="00B25FF0"/>
    <w:rsid w:val="00B273A2"/>
    <w:rsid w:val="00B305B7"/>
    <w:rsid w:val="00B33AEC"/>
    <w:rsid w:val="00B35F69"/>
    <w:rsid w:val="00B36AFF"/>
    <w:rsid w:val="00B43DE9"/>
    <w:rsid w:val="00B43EA0"/>
    <w:rsid w:val="00B43F35"/>
    <w:rsid w:val="00B455B3"/>
    <w:rsid w:val="00B45854"/>
    <w:rsid w:val="00B45B7C"/>
    <w:rsid w:val="00B503E7"/>
    <w:rsid w:val="00B5175E"/>
    <w:rsid w:val="00B51BDC"/>
    <w:rsid w:val="00B52428"/>
    <w:rsid w:val="00B53BB9"/>
    <w:rsid w:val="00B53FE9"/>
    <w:rsid w:val="00B54011"/>
    <w:rsid w:val="00B553B8"/>
    <w:rsid w:val="00B57488"/>
    <w:rsid w:val="00B631CA"/>
    <w:rsid w:val="00B63268"/>
    <w:rsid w:val="00B6367B"/>
    <w:rsid w:val="00B64910"/>
    <w:rsid w:val="00B65221"/>
    <w:rsid w:val="00B65603"/>
    <w:rsid w:val="00B656A1"/>
    <w:rsid w:val="00B66203"/>
    <w:rsid w:val="00B66912"/>
    <w:rsid w:val="00B66A2D"/>
    <w:rsid w:val="00B7244A"/>
    <w:rsid w:val="00B75189"/>
    <w:rsid w:val="00B75BD3"/>
    <w:rsid w:val="00B7646C"/>
    <w:rsid w:val="00B76491"/>
    <w:rsid w:val="00B766B8"/>
    <w:rsid w:val="00B7722C"/>
    <w:rsid w:val="00B77267"/>
    <w:rsid w:val="00B77AE0"/>
    <w:rsid w:val="00B81346"/>
    <w:rsid w:val="00B81424"/>
    <w:rsid w:val="00B82BF5"/>
    <w:rsid w:val="00B83327"/>
    <w:rsid w:val="00B852B1"/>
    <w:rsid w:val="00B86838"/>
    <w:rsid w:val="00B872AF"/>
    <w:rsid w:val="00B9098C"/>
    <w:rsid w:val="00B91B72"/>
    <w:rsid w:val="00B93D95"/>
    <w:rsid w:val="00B962BC"/>
    <w:rsid w:val="00B970A7"/>
    <w:rsid w:val="00B974D4"/>
    <w:rsid w:val="00BA0FB1"/>
    <w:rsid w:val="00BA1EF7"/>
    <w:rsid w:val="00BA3623"/>
    <w:rsid w:val="00BA3941"/>
    <w:rsid w:val="00BA4457"/>
    <w:rsid w:val="00BB00E3"/>
    <w:rsid w:val="00BB0102"/>
    <w:rsid w:val="00BB02BA"/>
    <w:rsid w:val="00BB0EE5"/>
    <w:rsid w:val="00BB281B"/>
    <w:rsid w:val="00BB3483"/>
    <w:rsid w:val="00BB38ED"/>
    <w:rsid w:val="00BB3C79"/>
    <w:rsid w:val="00BB4E02"/>
    <w:rsid w:val="00BB6E9D"/>
    <w:rsid w:val="00BC03BA"/>
    <w:rsid w:val="00BC0E16"/>
    <w:rsid w:val="00BC0EAB"/>
    <w:rsid w:val="00BC16EF"/>
    <w:rsid w:val="00BC5059"/>
    <w:rsid w:val="00BC7540"/>
    <w:rsid w:val="00BD0EFF"/>
    <w:rsid w:val="00BD1E3F"/>
    <w:rsid w:val="00BD2A02"/>
    <w:rsid w:val="00BD341F"/>
    <w:rsid w:val="00BD4C7C"/>
    <w:rsid w:val="00BD4E11"/>
    <w:rsid w:val="00BD52E1"/>
    <w:rsid w:val="00BD7805"/>
    <w:rsid w:val="00BD7D3D"/>
    <w:rsid w:val="00BE00EF"/>
    <w:rsid w:val="00BE26A3"/>
    <w:rsid w:val="00BE2D59"/>
    <w:rsid w:val="00BE2E5F"/>
    <w:rsid w:val="00BE546D"/>
    <w:rsid w:val="00BE554F"/>
    <w:rsid w:val="00BE5DC9"/>
    <w:rsid w:val="00BE6FBF"/>
    <w:rsid w:val="00BE7055"/>
    <w:rsid w:val="00BE764A"/>
    <w:rsid w:val="00BE7A9C"/>
    <w:rsid w:val="00BF1561"/>
    <w:rsid w:val="00BF19D7"/>
    <w:rsid w:val="00BF1C96"/>
    <w:rsid w:val="00BF2163"/>
    <w:rsid w:val="00BF29DB"/>
    <w:rsid w:val="00BF2B9C"/>
    <w:rsid w:val="00BF2F11"/>
    <w:rsid w:val="00BF4A48"/>
    <w:rsid w:val="00BF5061"/>
    <w:rsid w:val="00BF5DD5"/>
    <w:rsid w:val="00BF692C"/>
    <w:rsid w:val="00BF77F8"/>
    <w:rsid w:val="00C01085"/>
    <w:rsid w:val="00C01768"/>
    <w:rsid w:val="00C0458C"/>
    <w:rsid w:val="00C04638"/>
    <w:rsid w:val="00C053CB"/>
    <w:rsid w:val="00C0786D"/>
    <w:rsid w:val="00C10A48"/>
    <w:rsid w:val="00C11B36"/>
    <w:rsid w:val="00C120DA"/>
    <w:rsid w:val="00C1287E"/>
    <w:rsid w:val="00C13CE3"/>
    <w:rsid w:val="00C14760"/>
    <w:rsid w:val="00C14874"/>
    <w:rsid w:val="00C15BBC"/>
    <w:rsid w:val="00C1634B"/>
    <w:rsid w:val="00C16AB1"/>
    <w:rsid w:val="00C17B41"/>
    <w:rsid w:val="00C20448"/>
    <w:rsid w:val="00C2196F"/>
    <w:rsid w:val="00C231AA"/>
    <w:rsid w:val="00C23948"/>
    <w:rsid w:val="00C271FC"/>
    <w:rsid w:val="00C276A6"/>
    <w:rsid w:val="00C276C9"/>
    <w:rsid w:val="00C30127"/>
    <w:rsid w:val="00C31031"/>
    <w:rsid w:val="00C32749"/>
    <w:rsid w:val="00C33169"/>
    <w:rsid w:val="00C33197"/>
    <w:rsid w:val="00C331CD"/>
    <w:rsid w:val="00C33EFE"/>
    <w:rsid w:val="00C35A4D"/>
    <w:rsid w:val="00C35E4D"/>
    <w:rsid w:val="00C368F3"/>
    <w:rsid w:val="00C37ADA"/>
    <w:rsid w:val="00C37FE7"/>
    <w:rsid w:val="00C40556"/>
    <w:rsid w:val="00C42B61"/>
    <w:rsid w:val="00C444BC"/>
    <w:rsid w:val="00C46733"/>
    <w:rsid w:val="00C4685E"/>
    <w:rsid w:val="00C51E21"/>
    <w:rsid w:val="00C53467"/>
    <w:rsid w:val="00C60C81"/>
    <w:rsid w:val="00C60E01"/>
    <w:rsid w:val="00C61329"/>
    <w:rsid w:val="00C61976"/>
    <w:rsid w:val="00C629B1"/>
    <w:rsid w:val="00C63FA0"/>
    <w:rsid w:val="00C646B0"/>
    <w:rsid w:val="00C64821"/>
    <w:rsid w:val="00C64F5D"/>
    <w:rsid w:val="00C67A5D"/>
    <w:rsid w:val="00C70958"/>
    <w:rsid w:val="00C71D13"/>
    <w:rsid w:val="00C7302F"/>
    <w:rsid w:val="00C73F2B"/>
    <w:rsid w:val="00C746A8"/>
    <w:rsid w:val="00C750A8"/>
    <w:rsid w:val="00C76C9A"/>
    <w:rsid w:val="00C77881"/>
    <w:rsid w:val="00C80B31"/>
    <w:rsid w:val="00C80D55"/>
    <w:rsid w:val="00C83261"/>
    <w:rsid w:val="00C84552"/>
    <w:rsid w:val="00C84EDA"/>
    <w:rsid w:val="00C851D0"/>
    <w:rsid w:val="00C8539D"/>
    <w:rsid w:val="00C85F20"/>
    <w:rsid w:val="00C862C0"/>
    <w:rsid w:val="00C87CCD"/>
    <w:rsid w:val="00C91022"/>
    <w:rsid w:val="00C919DB"/>
    <w:rsid w:val="00C92C73"/>
    <w:rsid w:val="00C93488"/>
    <w:rsid w:val="00C955AF"/>
    <w:rsid w:val="00C9573D"/>
    <w:rsid w:val="00C97326"/>
    <w:rsid w:val="00C97499"/>
    <w:rsid w:val="00C97A93"/>
    <w:rsid w:val="00C97CCE"/>
    <w:rsid w:val="00CA2156"/>
    <w:rsid w:val="00CA41B7"/>
    <w:rsid w:val="00CA603E"/>
    <w:rsid w:val="00CA6672"/>
    <w:rsid w:val="00CA7322"/>
    <w:rsid w:val="00CA7BE1"/>
    <w:rsid w:val="00CB198E"/>
    <w:rsid w:val="00CB294D"/>
    <w:rsid w:val="00CC0404"/>
    <w:rsid w:val="00CC0C3B"/>
    <w:rsid w:val="00CC17F2"/>
    <w:rsid w:val="00CC1996"/>
    <w:rsid w:val="00CC26AB"/>
    <w:rsid w:val="00CC2832"/>
    <w:rsid w:val="00CC2B90"/>
    <w:rsid w:val="00CC5687"/>
    <w:rsid w:val="00CD05E3"/>
    <w:rsid w:val="00CD0D93"/>
    <w:rsid w:val="00CD1B1A"/>
    <w:rsid w:val="00CD3536"/>
    <w:rsid w:val="00CD44E8"/>
    <w:rsid w:val="00CD46E2"/>
    <w:rsid w:val="00CD53C1"/>
    <w:rsid w:val="00CE043E"/>
    <w:rsid w:val="00CE1125"/>
    <w:rsid w:val="00CE29F0"/>
    <w:rsid w:val="00CE40CE"/>
    <w:rsid w:val="00CE42FA"/>
    <w:rsid w:val="00CE4CE9"/>
    <w:rsid w:val="00CE4DE9"/>
    <w:rsid w:val="00CE5369"/>
    <w:rsid w:val="00CE5DE4"/>
    <w:rsid w:val="00CE6809"/>
    <w:rsid w:val="00CE7788"/>
    <w:rsid w:val="00CF02E2"/>
    <w:rsid w:val="00CF09BC"/>
    <w:rsid w:val="00CF1C0B"/>
    <w:rsid w:val="00CF6E6C"/>
    <w:rsid w:val="00CF7142"/>
    <w:rsid w:val="00D005CF"/>
    <w:rsid w:val="00D00EC4"/>
    <w:rsid w:val="00D020B8"/>
    <w:rsid w:val="00D0227E"/>
    <w:rsid w:val="00D029F8"/>
    <w:rsid w:val="00D03224"/>
    <w:rsid w:val="00D03740"/>
    <w:rsid w:val="00D0503A"/>
    <w:rsid w:val="00D05C7B"/>
    <w:rsid w:val="00D05F79"/>
    <w:rsid w:val="00D12993"/>
    <w:rsid w:val="00D13400"/>
    <w:rsid w:val="00D14790"/>
    <w:rsid w:val="00D15A6E"/>
    <w:rsid w:val="00D15FC2"/>
    <w:rsid w:val="00D1757B"/>
    <w:rsid w:val="00D17887"/>
    <w:rsid w:val="00D17987"/>
    <w:rsid w:val="00D25EE9"/>
    <w:rsid w:val="00D2626E"/>
    <w:rsid w:val="00D26F03"/>
    <w:rsid w:val="00D27820"/>
    <w:rsid w:val="00D30A5C"/>
    <w:rsid w:val="00D318F3"/>
    <w:rsid w:val="00D31FAB"/>
    <w:rsid w:val="00D3394C"/>
    <w:rsid w:val="00D34578"/>
    <w:rsid w:val="00D34B2F"/>
    <w:rsid w:val="00D40664"/>
    <w:rsid w:val="00D41428"/>
    <w:rsid w:val="00D43690"/>
    <w:rsid w:val="00D458D5"/>
    <w:rsid w:val="00D46CE5"/>
    <w:rsid w:val="00D47C03"/>
    <w:rsid w:val="00D50B28"/>
    <w:rsid w:val="00D51640"/>
    <w:rsid w:val="00D52DE3"/>
    <w:rsid w:val="00D530A3"/>
    <w:rsid w:val="00D559F4"/>
    <w:rsid w:val="00D57DEE"/>
    <w:rsid w:val="00D628F5"/>
    <w:rsid w:val="00D637FB"/>
    <w:rsid w:val="00D63BDA"/>
    <w:rsid w:val="00D64660"/>
    <w:rsid w:val="00D6511B"/>
    <w:rsid w:val="00D668AF"/>
    <w:rsid w:val="00D66925"/>
    <w:rsid w:val="00D67D64"/>
    <w:rsid w:val="00D70919"/>
    <w:rsid w:val="00D7254F"/>
    <w:rsid w:val="00D737E1"/>
    <w:rsid w:val="00D73D75"/>
    <w:rsid w:val="00D74E43"/>
    <w:rsid w:val="00D76206"/>
    <w:rsid w:val="00D76409"/>
    <w:rsid w:val="00D8051B"/>
    <w:rsid w:val="00D80805"/>
    <w:rsid w:val="00D81E7D"/>
    <w:rsid w:val="00D85A89"/>
    <w:rsid w:val="00D86671"/>
    <w:rsid w:val="00D920B4"/>
    <w:rsid w:val="00D92795"/>
    <w:rsid w:val="00D96B76"/>
    <w:rsid w:val="00D96D07"/>
    <w:rsid w:val="00D96DC0"/>
    <w:rsid w:val="00D9718A"/>
    <w:rsid w:val="00D975F7"/>
    <w:rsid w:val="00D9775E"/>
    <w:rsid w:val="00DA2A78"/>
    <w:rsid w:val="00DA3435"/>
    <w:rsid w:val="00DA37F2"/>
    <w:rsid w:val="00DA3A12"/>
    <w:rsid w:val="00DA4CA8"/>
    <w:rsid w:val="00DA7846"/>
    <w:rsid w:val="00DA7C5B"/>
    <w:rsid w:val="00DB0BA1"/>
    <w:rsid w:val="00DB0F85"/>
    <w:rsid w:val="00DB1948"/>
    <w:rsid w:val="00DB1DF4"/>
    <w:rsid w:val="00DB239F"/>
    <w:rsid w:val="00DB3423"/>
    <w:rsid w:val="00DB34AE"/>
    <w:rsid w:val="00DB54CD"/>
    <w:rsid w:val="00DB587F"/>
    <w:rsid w:val="00DB664F"/>
    <w:rsid w:val="00DB6F97"/>
    <w:rsid w:val="00DB725E"/>
    <w:rsid w:val="00DC1AED"/>
    <w:rsid w:val="00DC2FC4"/>
    <w:rsid w:val="00DC4E3A"/>
    <w:rsid w:val="00DC6242"/>
    <w:rsid w:val="00DC6641"/>
    <w:rsid w:val="00DC7206"/>
    <w:rsid w:val="00DD2912"/>
    <w:rsid w:val="00DD4AD9"/>
    <w:rsid w:val="00DE0BE1"/>
    <w:rsid w:val="00DE0C61"/>
    <w:rsid w:val="00DE0FC3"/>
    <w:rsid w:val="00DE418A"/>
    <w:rsid w:val="00DE42D4"/>
    <w:rsid w:val="00DE499B"/>
    <w:rsid w:val="00DE4F70"/>
    <w:rsid w:val="00DE7026"/>
    <w:rsid w:val="00DE7C0E"/>
    <w:rsid w:val="00DF0FEB"/>
    <w:rsid w:val="00DF21B6"/>
    <w:rsid w:val="00DF4C88"/>
    <w:rsid w:val="00DF4F9A"/>
    <w:rsid w:val="00DF6207"/>
    <w:rsid w:val="00E008C8"/>
    <w:rsid w:val="00E01DE9"/>
    <w:rsid w:val="00E026BF"/>
    <w:rsid w:val="00E04250"/>
    <w:rsid w:val="00E043C7"/>
    <w:rsid w:val="00E04B49"/>
    <w:rsid w:val="00E0655B"/>
    <w:rsid w:val="00E0728C"/>
    <w:rsid w:val="00E10DD9"/>
    <w:rsid w:val="00E11139"/>
    <w:rsid w:val="00E121AC"/>
    <w:rsid w:val="00E139AA"/>
    <w:rsid w:val="00E17930"/>
    <w:rsid w:val="00E214FC"/>
    <w:rsid w:val="00E21B38"/>
    <w:rsid w:val="00E21BE6"/>
    <w:rsid w:val="00E24402"/>
    <w:rsid w:val="00E26F74"/>
    <w:rsid w:val="00E27B6A"/>
    <w:rsid w:val="00E307C5"/>
    <w:rsid w:val="00E32A92"/>
    <w:rsid w:val="00E32EDE"/>
    <w:rsid w:val="00E33D88"/>
    <w:rsid w:val="00E34E36"/>
    <w:rsid w:val="00E35579"/>
    <w:rsid w:val="00E37C19"/>
    <w:rsid w:val="00E37CED"/>
    <w:rsid w:val="00E37E2C"/>
    <w:rsid w:val="00E4009F"/>
    <w:rsid w:val="00E41414"/>
    <w:rsid w:val="00E4329C"/>
    <w:rsid w:val="00E436D8"/>
    <w:rsid w:val="00E4560D"/>
    <w:rsid w:val="00E460DA"/>
    <w:rsid w:val="00E46442"/>
    <w:rsid w:val="00E46F71"/>
    <w:rsid w:val="00E47371"/>
    <w:rsid w:val="00E47F06"/>
    <w:rsid w:val="00E51A41"/>
    <w:rsid w:val="00E52F76"/>
    <w:rsid w:val="00E53137"/>
    <w:rsid w:val="00E5565B"/>
    <w:rsid w:val="00E57051"/>
    <w:rsid w:val="00E618E4"/>
    <w:rsid w:val="00E61AE3"/>
    <w:rsid w:val="00E620D1"/>
    <w:rsid w:val="00E62D56"/>
    <w:rsid w:val="00E6486E"/>
    <w:rsid w:val="00E64BFC"/>
    <w:rsid w:val="00E64D22"/>
    <w:rsid w:val="00E64F43"/>
    <w:rsid w:val="00E65D76"/>
    <w:rsid w:val="00E71D3E"/>
    <w:rsid w:val="00E7207F"/>
    <w:rsid w:val="00E72798"/>
    <w:rsid w:val="00E7312C"/>
    <w:rsid w:val="00E74F53"/>
    <w:rsid w:val="00E75278"/>
    <w:rsid w:val="00E75DF8"/>
    <w:rsid w:val="00E774A0"/>
    <w:rsid w:val="00E80E88"/>
    <w:rsid w:val="00E8141E"/>
    <w:rsid w:val="00E84990"/>
    <w:rsid w:val="00E85061"/>
    <w:rsid w:val="00E85581"/>
    <w:rsid w:val="00E86B30"/>
    <w:rsid w:val="00E87500"/>
    <w:rsid w:val="00E92BF3"/>
    <w:rsid w:val="00E934A1"/>
    <w:rsid w:val="00E937EA"/>
    <w:rsid w:val="00E95A3C"/>
    <w:rsid w:val="00EA14EC"/>
    <w:rsid w:val="00EA1A84"/>
    <w:rsid w:val="00EA246D"/>
    <w:rsid w:val="00EA41A7"/>
    <w:rsid w:val="00EA6683"/>
    <w:rsid w:val="00EA6C77"/>
    <w:rsid w:val="00EB11D7"/>
    <w:rsid w:val="00EB12C0"/>
    <w:rsid w:val="00EB16A1"/>
    <w:rsid w:val="00EB2401"/>
    <w:rsid w:val="00EB2CAB"/>
    <w:rsid w:val="00EB2CB0"/>
    <w:rsid w:val="00EB3362"/>
    <w:rsid w:val="00EB46CB"/>
    <w:rsid w:val="00EB473C"/>
    <w:rsid w:val="00EB4B9D"/>
    <w:rsid w:val="00EB66F9"/>
    <w:rsid w:val="00EC046B"/>
    <w:rsid w:val="00EC283E"/>
    <w:rsid w:val="00EC2DD1"/>
    <w:rsid w:val="00EC35BD"/>
    <w:rsid w:val="00EC3EA0"/>
    <w:rsid w:val="00EC5D55"/>
    <w:rsid w:val="00EC7945"/>
    <w:rsid w:val="00ED0925"/>
    <w:rsid w:val="00ED1279"/>
    <w:rsid w:val="00ED1728"/>
    <w:rsid w:val="00ED1C2E"/>
    <w:rsid w:val="00ED265A"/>
    <w:rsid w:val="00ED3C95"/>
    <w:rsid w:val="00ED438B"/>
    <w:rsid w:val="00ED448D"/>
    <w:rsid w:val="00ED4AFE"/>
    <w:rsid w:val="00ED6502"/>
    <w:rsid w:val="00EE060F"/>
    <w:rsid w:val="00EE068C"/>
    <w:rsid w:val="00EE08C8"/>
    <w:rsid w:val="00EE1507"/>
    <w:rsid w:val="00EE1EEC"/>
    <w:rsid w:val="00EE2025"/>
    <w:rsid w:val="00EE2BAE"/>
    <w:rsid w:val="00EE2E7E"/>
    <w:rsid w:val="00EE2F28"/>
    <w:rsid w:val="00EE4FEE"/>
    <w:rsid w:val="00EE70DB"/>
    <w:rsid w:val="00EE782F"/>
    <w:rsid w:val="00EF45C3"/>
    <w:rsid w:val="00EF4BED"/>
    <w:rsid w:val="00EF52B1"/>
    <w:rsid w:val="00EF5DD9"/>
    <w:rsid w:val="00EF7C8D"/>
    <w:rsid w:val="00F0158F"/>
    <w:rsid w:val="00F06C67"/>
    <w:rsid w:val="00F07A7A"/>
    <w:rsid w:val="00F10111"/>
    <w:rsid w:val="00F101A3"/>
    <w:rsid w:val="00F10BB0"/>
    <w:rsid w:val="00F11A57"/>
    <w:rsid w:val="00F136E0"/>
    <w:rsid w:val="00F15EE7"/>
    <w:rsid w:val="00F16359"/>
    <w:rsid w:val="00F16B59"/>
    <w:rsid w:val="00F22920"/>
    <w:rsid w:val="00F22CAD"/>
    <w:rsid w:val="00F233C1"/>
    <w:rsid w:val="00F24C34"/>
    <w:rsid w:val="00F254AD"/>
    <w:rsid w:val="00F3192F"/>
    <w:rsid w:val="00F32BE6"/>
    <w:rsid w:val="00F3415E"/>
    <w:rsid w:val="00F35A30"/>
    <w:rsid w:val="00F369F7"/>
    <w:rsid w:val="00F40C61"/>
    <w:rsid w:val="00F421E5"/>
    <w:rsid w:val="00F43FB8"/>
    <w:rsid w:val="00F442EF"/>
    <w:rsid w:val="00F449F9"/>
    <w:rsid w:val="00F44B91"/>
    <w:rsid w:val="00F47FC7"/>
    <w:rsid w:val="00F50CDF"/>
    <w:rsid w:val="00F519E4"/>
    <w:rsid w:val="00F53257"/>
    <w:rsid w:val="00F533D5"/>
    <w:rsid w:val="00F5515A"/>
    <w:rsid w:val="00F5625A"/>
    <w:rsid w:val="00F5731E"/>
    <w:rsid w:val="00F604D4"/>
    <w:rsid w:val="00F63889"/>
    <w:rsid w:val="00F65DC3"/>
    <w:rsid w:val="00F6636A"/>
    <w:rsid w:val="00F71390"/>
    <w:rsid w:val="00F71DCE"/>
    <w:rsid w:val="00F76F95"/>
    <w:rsid w:val="00F80720"/>
    <w:rsid w:val="00F80FAB"/>
    <w:rsid w:val="00F82BC2"/>
    <w:rsid w:val="00F84186"/>
    <w:rsid w:val="00F859DA"/>
    <w:rsid w:val="00F905FA"/>
    <w:rsid w:val="00F9288D"/>
    <w:rsid w:val="00F93224"/>
    <w:rsid w:val="00F93895"/>
    <w:rsid w:val="00F9434D"/>
    <w:rsid w:val="00F94FE7"/>
    <w:rsid w:val="00F96A0F"/>
    <w:rsid w:val="00FA21A0"/>
    <w:rsid w:val="00FA2758"/>
    <w:rsid w:val="00FA4491"/>
    <w:rsid w:val="00FA49B8"/>
    <w:rsid w:val="00FA4A49"/>
    <w:rsid w:val="00FA61B1"/>
    <w:rsid w:val="00FA6D70"/>
    <w:rsid w:val="00FB007A"/>
    <w:rsid w:val="00FB16B5"/>
    <w:rsid w:val="00FB20BE"/>
    <w:rsid w:val="00FB230B"/>
    <w:rsid w:val="00FB272A"/>
    <w:rsid w:val="00FB28C4"/>
    <w:rsid w:val="00FB28E9"/>
    <w:rsid w:val="00FB2FE6"/>
    <w:rsid w:val="00FB34FE"/>
    <w:rsid w:val="00FB4431"/>
    <w:rsid w:val="00FB4D2B"/>
    <w:rsid w:val="00FB6A8E"/>
    <w:rsid w:val="00FB6F34"/>
    <w:rsid w:val="00FB7298"/>
    <w:rsid w:val="00FB752E"/>
    <w:rsid w:val="00FC2291"/>
    <w:rsid w:val="00FC22E4"/>
    <w:rsid w:val="00FC3E0F"/>
    <w:rsid w:val="00FC3FF6"/>
    <w:rsid w:val="00FC551C"/>
    <w:rsid w:val="00FC5C18"/>
    <w:rsid w:val="00FC60DB"/>
    <w:rsid w:val="00FC63FA"/>
    <w:rsid w:val="00FC6DDE"/>
    <w:rsid w:val="00FD2B05"/>
    <w:rsid w:val="00FD3369"/>
    <w:rsid w:val="00FD394A"/>
    <w:rsid w:val="00FD3EEF"/>
    <w:rsid w:val="00FD4A40"/>
    <w:rsid w:val="00FD4EF4"/>
    <w:rsid w:val="00FD5B7A"/>
    <w:rsid w:val="00FD60DD"/>
    <w:rsid w:val="00FE0116"/>
    <w:rsid w:val="00FE33B1"/>
    <w:rsid w:val="00FE368E"/>
    <w:rsid w:val="00FE374E"/>
    <w:rsid w:val="00FE40BE"/>
    <w:rsid w:val="00FE78F0"/>
    <w:rsid w:val="00FF30D4"/>
    <w:rsid w:val="00FF3A58"/>
    <w:rsid w:val="00FF5494"/>
    <w:rsid w:val="00FF7685"/>
    <w:rsid w:val="010A478A"/>
    <w:rsid w:val="010F524E"/>
    <w:rsid w:val="011253ED"/>
    <w:rsid w:val="01176EA7"/>
    <w:rsid w:val="011E1FE4"/>
    <w:rsid w:val="014C40D5"/>
    <w:rsid w:val="015E4AD6"/>
    <w:rsid w:val="0160084E"/>
    <w:rsid w:val="01C012ED"/>
    <w:rsid w:val="01D94483"/>
    <w:rsid w:val="01F40F97"/>
    <w:rsid w:val="01F82835"/>
    <w:rsid w:val="0200793B"/>
    <w:rsid w:val="0213766F"/>
    <w:rsid w:val="02144A36"/>
    <w:rsid w:val="023F2212"/>
    <w:rsid w:val="026C6D7F"/>
    <w:rsid w:val="02873BB9"/>
    <w:rsid w:val="029307AF"/>
    <w:rsid w:val="02987B74"/>
    <w:rsid w:val="02A8425B"/>
    <w:rsid w:val="02B853D7"/>
    <w:rsid w:val="02BE582C"/>
    <w:rsid w:val="02C32E43"/>
    <w:rsid w:val="02D52B76"/>
    <w:rsid w:val="03011BBD"/>
    <w:rsid w:val="032B6C3A"/>
    <w:rsid w:val="033267EB"/>
    <w:rsid w:val="034026E5"/>
    <w:rsid w:val="03435D32"/>
    <w:rsid w:val="03497A81"/>
    <w:rsid w:val="034C7AFF"/>
    <w:rsid w:val="03510B84"/>
    <w:rsid w:val="036F2FCB"/>
    <w:rsid w:val="036F6B27"/>
    <w:rsid w:val="039321C0"/>
    <w:rsid w:val="03A52548"/>
    <w:rsid w:val="03AF6F21"/>
    <w:rsid w:val="03BD5AE4"/>
    <w:rsid w:val="03C926DB"/>
    <w:rsid w:val="03DD6186"/>
    <w:rsid w:val="03DF34E4"/>
    <w:rsid w:val="03E04A35"/>
    <w:rsid w:val="03E05C76"/>
    <w:rsid w:val="03EC63C9"/>
    <w:rsid w:val="03F31506"/>
    <w:rsid w:val="041D47D5"/>
    <w:rsid w:val="044B1342"/>
    <w:rsid w:val="044E19F7"/>
    <w:rsid w:val="045521C0"/>
    <w:rsid w:val="04673CA2"/>
    <w:rsid w:val="04784101"/>
    <w:rsid w:val="04932CE9"/>
    <w:rsid w:val="049F48BF"/>
    <w:rsid w:val="04A84EAE"/>
    <w:rsid w:val="04AC7907"/>
    <w:rsid w:val="04C11604"/>
    <w:rsid w:val="04D74983"/>
    <w:rsid w:val="04DC01EC"/>
    <w:rsid w:val="04E81783"/>
    <w:rsid w:val="04FC43EA"/>
    <w:rsid w:val="05092FAB"/>
    <w:rsid w:val="051F457C"/>
    <w:rsid w:val="0539563E"/>
    <w:rsid w:val="05490DDB"/>
    <w:rsid w:val="0553487B"/>
    <w:rsid w:val="055A1B02"/>
    <w:rsid w:val="05812B41"/>
    <w:rsid w:val="0597643A"/>
    <w:rsid w:val="05A14F91"/>
    <w:rsid w:val="05A2221D"/>
    <w:rsid w:val="05C375FE"/>
    <w:rsid w:val="05DD1395"/>
    <w:rsid w:val="05DE1D42"/>
    <w:rsid w:val="05E05ABA"/>
    <w:rsid w:val="060043AE"/>
    <w:rsid w:val="06085010"/>
    <w:rsid w:val="060C68AF"/>
    <w:rsid w:val="061B6D6D"/>
    <w:rsid w:val="061D6D0E"/>
    <w:rsid w:val="062F259D"/>
    <w:rsid w:val="063876A4"/>
    <w:rsid w:val="0639341C"/>
    <w:rsid w:val="063F6C84"/>
    <w:rsid w:val="064A7E01"/>
    <w:rsid w:val="065F10D4"/>
    <w:rsid w:val="06621996"/>
    <w:rsid w:val="0687687D"/>
    <w:rsid w:val="069E1F4A"/>
    <w:rsid w:val="069E5DF6"/>
    <w:rsid w:val="06A905A2"/>
    <w:rsid w:val="06B06C5D"/>
    <w:rsid w:val="06BA630B"/>
    <w:rsid w:val="06BB2083"/>
    <w:rsid w:val="06D3303D"/>
    <w:rsid w:val="06DD1E11"/>
    <w:rsid w:val="06F42124"/>
    <w:rsid w:val="06F86E33"/>
    <w:rsid w:val="071719AF"/>
    <w:rsid w:val="071A324D"/>
    <w:rsid w:val="0721282E"/>
    <w:rsid w:val="07313D00"/>
    <w:rsid w:val="07391B32"/>
    <w:rsid w:val="073D1FEE"/>
    <w:rsid w:val="07464042"/>
    <w:rsid w:val="07623F84"/>
    <w:rsid w:val="0764271A"/>
    <w:rsid w:val="07724E37"/>
    <w:rsid w:val="0774295E"/>
    <w:rsid w:val="0777244E"/>
    <w:rsid w:val="07837045"/>
    <w:rsid w:val="07862691"/>
    <w:rsid w:val="07A174CB"/>
    <w:rsid w:val="07A33243"/>
    <w:rsid w:val="07B05960"/>
    <w:rsid w:val="07B21AAB"/>
    <w:rsid w:val="07C03DF5"/>
    <w:rsid w:val="07C26CA5"/>
    <w:rsid w:val="07E15B19"/>
    <w:rsid w:val="07E21FBD"/>
    <w:rsid w:val="07EA70C4"/>
    <w:rsid w:val="07EF6488"/>
    <w:rsid w:val="07FF3B44"/>
    <w:rsid w:val="080041F1"/>
    <w:rsid w:val="08114650"/>
    <w:rsid w:val="08122176"/>
    <w:rsid w:val="08145EEF"/>
    <w:rsid w:val="08164F13"/>
    <w:rsid w:val="08193505"/>
    <w:rsid w:val="08320D8F"/>
    <w:rsid w:val="08332819"/>
    <w:rsid w:val="08365E65"/>
    <w:rsid w:val="084F6F27"/>
    <w:rsid w:val="087C0E6B"/>
    <w:rsid w:val="08805332"/>
    <w:rsid w:val="088C017B"/>
    <w:rsid w:val="089221ED"/>
    <w:rsid w:val="089C57C4"/>
    <w:rsid w:val="08A54D99"/>
    <w:rsid w:val="08A600D3"/>
    <w:rsid w:val="08AA40C0"/>
    <w:rsid w:val="08B33959"/>
    <w:rsid w:val="08C23B9D"/>
    <w:rsid w:val="08C276F9"/>
    <w:rsid w:val="08C47915"/>
    <w:rsid w:val="08EC4C92"/>
    <w:rsid w:val="08F479AA"/>
    <w:rsid w:val="08FF094D"/>
    <w:rsid w:val="090715AF"/>
    <w:rsid w:val="09075A53"/>
    <w:rsid w:val="090B5543"/>
    <w:rsid w:val="090E6DE2"/>
    <w:rsid w:val="091A7535"/>
    <w:rsid w:val="091E614B"/>
    <w:rsid w:val="09300B06"/>
    <w:rsid w:val="09355DDA"/>
    <w:rsid w:val="09491BC8"/>
    <w:rsid w:val="094E71DE"/>
    <w:rsid w:val="09575226"/>
    <w:rsid w:val="096864F2"/>
    <w:rsid w:val="09694018"/>
    <w:rsid w:val="097035F9"/>
    <w:rsid w:val="099217C1"/>
    <w:rsid w:val="0992531D"/>
    <w:rsid w:val="099472E7"/>
    <w:rsid w:val="09CB082F"/>
    <w:rsid w:val="09E10052"/>
    <w:rsid w:val="09E3201C"/>
    <w:rsid w:val="09E71B0D"/>
    <w:rsid w:val="09F204B1"/>
    <w:rsid w:val="09F75AC8"/>
    <w:rsid w:val="09FD0E9F"/>
    <w:rsid w:val="0A081A83"/>
    <w:rsid w:val="0A0C1573"/>
    <w:rsid w:val="0A1B5312"/>
    <w:rsid w:val="0A2166A1"/>
    <w:rsid w:val="0A2A4608"/>
    <w:rsid w:val="0A2C39C3"/>
    <w:rsid w:val="0A3C34DB"/>
    <w:rsid w:val="0A530F50"/>
    <w:rsid w:val="0A59408D"/>
    <w:rsid w:val="0A60366D"/>
    <w:rsid w:val="0A64315D"/>
    <w:rsid w:val="0A79472F"/>
    <w:rsid w:val="0A9357F1"/>
    <w:rsid w:val="0A956A37"/>
    <w:rsid w:val="0AA55524"/>
    <w:rsid w:val="0AAA2B3A"/>
    <w:rsid w:val="0AC736EC"/>
    <w:rsid w:val="0ADD081A"/>
    <w:rsid w:val="0ADD2EA9"/>
    <w:rsid w:val="0AEC3153"/>
    <w:rsid w:val="0AF52007"/>
    <w:rsid w:val="0AFA5870"/>
    <w:rsid w:val="0B016BFE"/>
    <w:rsid w:val="0B065FC2"/>
    <w:rsid w:val="0B073AE9"/>
    <w:rsid w:val="0B2621C1"/>
    <w:rsid w:val="0B301291"/>
    <w:rsid w:val="0B353EC5"/>
    <w:rsid w:val="0B4E6AF0"/>
    <w:rsid w:val="0B5A4560"/>
    <w:rsid w:val="0B666A61"/>
    <w:rsid w:val="0B732F2C"/>
    <w:rsid w:val="0B756CA4"/>
    <w:rsid w:val="0B7A075E"/>
    <w:rsid w:val="0BB05F2E"/>
    <w:rsid w:val="0BB377CC"/>
    <w:rsid w:val="0BC1013B"/>
    <w:rsid w:val="0BC11374"/>
    <w:rsid w:val="0BD51E39"/>
    <w:rsid w:val="0BE95EF7"/>
    <w:rsid w:val="0BF24799"/>
    <w:rsid w:val="0BF95B27"/>
    <w:rsid w:val="0BFB189F"/>
    <w:rsid w:val="0C063DA0"/>
    <w:rsid w:val="0C193AD3"/>
    <w:rsid w:val="0C2F32F7"/>
    <w:rsid w:val="0C3254DC"/>
    <w:rsid w:val="0C34090D"/>
    <w:rsid w:val="0C4274CE"/>
    <w:rsid w:val="0C57284E"/>
    <w:rsid w:val="0C7D65BC"/>
    <w:rsid w:val="0C9571AF"/>
    <w:rsid w:val="0CA05FA3"/>
    <w:rsid w:val="0CAA0BCF"/>
    <w:rsid w:val="0CAD38AC"/>
    <w:rsid w:val="0CD52391"/>
    <w:rsid w:val="0CD65E68"/>
    <w:rsid w:val="0CD90881"/>
    <w:rsid w:val="0CD93263"/>
    <w:rsid w:val="0CE02843"/>
    <w:rsid w:val="0CE91DBB"/>
    <w:rsid w:val="0CED7D8C"/>
    <w:rsid w:val="0CEE4F60"/>
    <w:rsid w:val="0CF140C8"/>
    <w:rsid w:val="0D120738"/>
    <w:rsid w:val="0D162EF3"/>
    <w:rsid w:val="0D197B03"/>
    <w:rsid w:val="0D2070E4"/>
    <w:rsid w:val="0D2564A8"/>
    <w:rsid w:val="0D272220"/>
    <w:rsid w:val="0D2C7836"/>
    <w:rsid w:val="0D58687D"/>
    <w:rsid w:val="0D6A4AD7"/>
    <w:rsid w:val="0D9755F8"/>
    <w:rsid w:val="0D9C2C0E"/>
    <w:rsid w:val="0D9C676A"/>
    <w:rsid w:val="0DB37F58"/>
    <w:rsid w:val="0DC932D7"/>
    <w:rsid w:val="0DD53DD4"/>
    <w:rsid w:val="0DD57ECE"/>
    <w:rsid w:val="0DF76096"/>
    <w:rsid w:val="0DFC18FF"/>
    <w:rsid w:val="0E1704E7"/>
    <w:rsid w:val="0E26697C"/>
    <w:rsid w:val="0E323572"/>
    <w:rsid w:val="0E567261"/>
    <w:rsid w:val="0E855450"/>
    <w:rsid w:val="0E8C7F2B"/>
    <w:rsid w:val="0E9E4764"/>
    <w:rsid w:val="0EAA4EB7"/>
    <w:rsid w:val="0EC20452"/>
    <w:rsid w:val="0ECA37AB"/>
    <w:rsid w:val="0ED40186"/>
    <w:rsid w:val="0EF40828"/>
    <w:rsid w:val="0EF645A0"/>
    <w:rsid w:val="0EF820C6"/>
    <w:rsid w:val="0F296723"/>
    <w:rsid w:val="0F470958"/>
    <w:rsid w:val="0F4E618A"/>
    <w:rsid w:val="0F786D63"/>
    <w:rsid w:val="0F7A2ADB"/>
    <w:rsid w:val="0F9576F0"/>
    <w:rsid w:val="0F9718DF"/>
    <w:rsid w:val="0F9811B3"/>
    <w:rsid w:val="0F9D6B5D"/>
    <w:rsid w:val="0FB26719"/>
    <w:rsid w:val="0FBC30F4"/>
    <w:rsid w:val="0FD80032"/>
    <w:rsid w:val="0FF3288D"/>
    <w:rsid w:val="1009014F"/>
    <w:rsid w:val="10152804"/>
    <w:rsid w:val="101A606C"/>
    <w:rsid w:val="102D5D9F"/>
    <w:rsid w:val="103E1D5B"/>
    <w:rsid w:val="10545A22"/>
    <w:rsid w:val="105C6685"/>
    <w:rsid w:val="106A6FF4"/>
    <w:rsid w:val="107439CE"/>
    <w:rsid w:val="10923E54"/>
    <w:rsid w:val="109A0F5B"/>
    <w:rsid w:val="10A65B52"/>
    <w:rsid w:val="10A75C36"/>
    <w:rsid w:val="10CD30DE"/>
    <w:rsid w:val="10D4446D"/>
    <w:rsid w:val="10E01064"/>
    <w:rsid w:val="10F36FE9"/>
    <w:rsid w:val="11056D1C"/>
    <w:rsid w:val="11116F7C"/>
    <w:rsid w:val="11124F95"/>
    <w:rsid w:val="11214B6D"/>
    <w:rsid w:val="11276C93"/>
    <w:rsid w:val="11477335"/>
    <w:rsid w:val="11916802"/>
    <w:rsid w:val="11943BFC"/>
    <w:rsid w:val="11A622AD"/>
    <w:rsid w:val="11B5429E"/>
    <w:rsid w:val="11D00633"/>
    <w:rsid w:val="11D30BC8"/>
    <w:rsid w:val="12103BCB"/>
    <w:rsid w:val="12266F4A"/>
    <w:rsid w:val="12505D75"/>
    <w:rsid w:val="1255782F"/>
    <w:rsid w:val="125A6BF4"/>
    <w:rsid w:val="126D4B79"/>
    <w:rsid w:val="127203E1"/>
    <w:rsid w:val="127F48AC"/>
    <w:rsid w:val="12971BF6"/>
    <w:rsid w:val="12A12A75"/>
    <w:rsid w:val="12A460C1"/>
    <w:rsid w:val="12BB58E4"/>
    <w:rsid w:val="12C10A21"/>
    <w:rsid w:val="12D270D2"/>
    <w:rsid w:val="12DC585B"/>
    <w:rsid w:val="1300779B"/>
    <w:rsid w:val="130D010A"/>
    <w:rsid w:val="13160D6D"/>
    <w:rsid w:val="13207E3D"/>
    <w:rsid w:val="133B3B5D"/>
    <w:rsid w:val="133F5C40"/>
    <w:rsid w:val="134C0C32"/>
    <w:rsid w:val="135E0D52"/>
    <w:rsid w:val="13715411"/>
    <w:rsid w:val="1373302C"/>
    <w:rsid w:val="137B5074"/>
    <w:rsid w:val="138A52B7"/>
    <w:rsid w:val="139879D4"/>
    <w:rsid w:val="13AC7923"/>
    <w:rsid w:val="13B91FDD"/>
    <w:rsid w:val="13D43AB9"/>
    <w:rsid w:val="13E470BD"/>
    <w:rsid w:val="13E946D3"/>
    <w:rsid w:val="13FA68E0"/>
    <w:rsid w:val="13FF7A53"/>
    <w:rsid w:val="14096B23"/>
    <w:rsid w:val="14340E2C"/>
    <w:rsid w:val="143E3DC9"/>
    <w:rsid w:val="144B0EEA"/>
    <w:rsid w:val="14522278"/>
    <w:rsid w:val="14531B4D"/>
    <w:rsid w:val="14587163"/>
    <w:rsid w:val="1461426A"/>
    <w:rsid w:val="14740441"/>
    <w:rsid w:val="147A357D"/>
    <w:rsid w:val="14894F33"/>
    <w:rsid w:val="149D101A"/>
    <w:rsid w:val="14A10B0A"/>
    <w:rsid w:val="14A8633C"/>
    <w:rsid w:val="14D25167"/>
    <w:rsid w:val="14E804E7"/>
    <w:rsid w:val="14F52C04"/>
    <w:rsid w:val="14F74BCE"/>
    <w:rsid w:val="15081290"/>
    <w:rsid w:val="151072FF"/>
    <w:rsid w:val="15155054"/>
    <w:rsid w:val="151C63E2"/>
    <w:rsid w:val="153B2D0D"/>
    <w:rsid w:val="156264EB"/>
    <w:rsid w:val="156758B0"/>
    <w:rsid w:val="156C55BC"/>
    <w:rsid w:val="157D344D"/>
    <w:rsid w:val="15B36D47"/>
    <w:rsid w:val="15B900D5"/>
    <w:rsid w:val="15BA391C"/>
    <w:rsid w:val="15C76D29"/>
    <w:rsid w:val="15C9016D"/>
    <w:rsid w:val="15D13671"/>
    <w:rsid w:val="15DE18EA"/>
    <w:rsid w:val="15F829AC"/>
    <w:rsid w:val="15F86E50"/>
    <w:rsid w:val="15F95707"/>
    <w:rsid w:val="15FB06EE"/>
    <w:rsid w:val="16013F56"/>
    <w:rsid w:val="16107164"/>
    <w:rsid w:val="161B48EC"/>
    <w:rsid w:val="161D2412"/>
    <w:rsid w:val="164328C7"/>
    <w:rsid w:val="1648040C"/>
    <w:rsid w:val="169A1CB5"/>
    <w:rsid w:val="16B20DAC"/>
    <w:rsid w:val="16BE59A3"/>
    <w:rsid w:val="16C3745D"/>
    <w:rsid w:val="16F413C5"/>
    <w:rsid w:val="170A0BE8"/>
    <w:rsid w:val="170A75EE"/>
    <w:rsid w:val="170F26A3"/>
    <w:rsid w:val="17103D25"/>
    <w:rsid w:val="17134CD7"/>
    <w:rsid w:val="17141A67"/>
    <w:rsid w:val="17153C0C"/>
    <w:rsid w:val="173E0892"/>
    <w:rsid w:val="173F7C7B"/>
    <w:rsid w:val="175B58E8"/>
    <w:rsid w:val="17936E30"/>
    <w:rsid w:val="17991F6C"/>
    <w:rsid w:val="179B3F36"/>
    <w:rsid w:val="17AE6E10"/>
    <w:rsid w:val="17D82A95"/>
    <w:rsid w:val="17E55ACB"/>
    <w:rsid w:val="18100480"/>
    <w:rsid w:val="18194E5B"/>
    <w:rsid w:val="181A12FF"/>
    <w:rsid w:val="181B5077"/>
    <w:rsid w:val="182201B4"/>
    <w:rsid w:val="18244E26"/>
    <w:rsid w:val="183506F4"/>
    <w:rsid w:val="183F2B14"/>
    <w:rsid w:val="18477C1A"/>
    <w:rsid w:val="18512847"/>
    <w:rsid w:val="18585984"/>
    <w:rsid w:val="187F73B4"/>
    <w:rsid w:val="189664AC"/>
    <w:rsid w:val="189A5F9C"/>
    <w:rsid w:val="189C7F66"/>
    <w:rsid w:val="18A1732B"/>
    <w:rsid w:val="18A40BC9"/>
    <w:rsid w:val="18A84B5D"/>
    <w:rsid w:val="18BD7EDC"/>
    <w:rsid w:val="18C04373"/>
    <w:rsid w:val="18C3178B"/>
    <w:rsid w:val="18C9062F"/>
    <w:rsid w:val="18EB4A4A"/>
    <w:rsid w:val="190301FC"/>
    <w:rsid w:val="19033B41"/>
    <w:rsid w:val="19102702"/>
    <w:rsid w:val="19173A91"/>
    <w:rsid w:val="19193365"/>
    <w:rsid w:val="19495575"/>
    <w:rsid w:val="195A6DE8"/>
    <w:rsid w:val="197C1B46"/>
    <w:rsid w:val="198D5B01"/>
    <w:rsid w:val="199944A6"/>
    <w:rsid w:val="199B1FCC"/>
    <w:rsid w:val="199C5D44"/>
    <w:rsid w:val="19A52E4A"/>
    <w:rsid w:val="19BA5D94"/>
    <w:rsid w:val="19BC1F42"/>
    <w:rsid w:val="19D21766"/>
    <w:rsid w:val="19E75211"/>
    <w:rsid w:val="19EC6CCB"/>
    <w:rsid w:val="19F618F8"/>
    <w:rsid w:val="1A642D06"/>
    <w:rsid w:val="1A6C3968"/>
    <w:rsid w:val="1A8567D8"/>
    <w:rsid w:val="1A8B0292"/>
    <w:rsid w:val="1AA03612"/>
    <w:rsid w:val="1AA17AB6"/>
    <w:rsid w:val="1AA43102"/>
    <w:rsid w:val="1ACD08AB"/>
    <w:rsid w:val="1ADA4D76"/>
    <w:rsid w:val="1AF000F5"/>
    <w:rsid w:val="1B2D30F7"/>
    <w:rsid w:val="1B3A2A27"/>
    <w:rsid w:val="1B4641B9"/>
    <w:rsid w:val="1B486183"/>
    <w:rsid w:val="1B5543FC"/>
    <w:rsid w:val="1B5C1C2F"/>
    <w:rsid w:val="1B612DA1"/>
    <w:rsid w:val="1B627C0A"/>
    <w:rsid w:val="1B6F54BE"/>
    <w:rsid w:val="1B7603DB"/>
    <w:rsid w:val="1B7A01CA"/>
    <w:rsid w:val="1B812F99"/>
    <w:rsid w:val="1B852F33"/>
    <w:rsid w:val="1B8D003A"/>
    <w:rsid w:val="1B9C027D"/>
    <w:rsid w:val="1BA01B1B"/>
    <w:rsid w:val="1BD73063"/>
    <w:rsid w:val="1BE20386"/>
    <w:rsid w:val="1BE340FE"/>
    <w:rsid w:val="1BE7774A"/>
    <w:rsid w:val="1C0A3439"/>
    <w:rsid w:val="1C1B14A9"/>
    <w:rsid w:val="1C1D5C5A"/>
    <w:rsid w:val="1C252021"/>
    <w:rsid w:val="1C2564C4"/>
    <w:rsid w:val="1C3A1F70"/>
    <w:rsid w:val="1C3E30E2"/>
    <w:rsid w:val="1C876837"/>
    <w:rsid w:val="1C8B2DC8"/>
    <w:rsid w:val="1C8C6544"/>
    <w:rsid w:val="1C8E7BC6"/>
    <w:rsid w:val="1C9A2A0F"/>
    <w:rsid w:val="1CB44424"/>
    <w:rsid w:val="1CBD009F"/>
    <w:rsid w:val="1CCA15F3"/>
    <w:rsid w:val="1CD51C99"/>
    <w:rsid w:val="1CD8377F"/>
    <w:rsid w:val="1CED6FE2"/>
    <w:rsid w:val="1CF245F9"/>
    <w:rsid w:val="1D097B94"/>
    <w:rsid w:val="1D1A76AB"/>
    <w:rsid w:val="1D3C1D18"/>
    <w:rsid w:val="1D433820"/>
    <w:rsid w:val="1D440BCC"/>
    <w:rsid w:val="1D554B87"/>
    <w:rsid w:val="1D5A77BF"/>
    <w:rsid w:val="1D5C4168"/>
    <w:rsid w:val="1D5C5F16"/>
    <w:rsid w:val="1D667FFB"/>
    <w:rsid w:val="1D74500E"/>
    <w:rsid w:val="1D7E5E8C"/>
    <w:rsid w:val="1D8D60CF"/>
    <w:rsid w:val="1D9E652E"/>
    <w:rsid w:val="1DB218CD"/>
    <w:rsid w:val="1DC046F7"/>
    <w:rsid w:val="1DC5334C"/>
    <w:rsid w:val="1DEB1048"/>
    <w:rsid w:val="1DEF28E6"/>
    <w:rsid w:val="1E05210A"/>
    <w:rsid w:val="1E0565AE"/>
    <w:rsid w:val="1E075E82"/>
    <w:rsid w:val="1E1660C5"/>
    <w:rsid w:val="1E674B72"/>
    <w:rsid w:val="1E733517"/>
    <w:rsid w:val="1E74728F"/>
    <w:rsid w:val="1E7563B9"/>
    <w:rsid w:val="1E764E95"/>
    <w:rsid w:val="1E7B23CC"/>
    <w:rsid w:val="1E8C6387"/>
    <w:rsid w:val="1E933BB9"/>
    <w:rsid w:val="1E984D2C"/>
    <w:rsid w:val="1E9A6CF6"/>
    <w:rsid w:val="1EA336D1"/>
    <w:rsid w:val="1EB13227"/>
    <w:rsid w:val="1ED1023E"/>
    <w:rsid w:val="1EEA12FF"/>
    <w:rsid w:val="1EEE7042"/>
    <w:rsid w:val="1EF21687"/>
    <w:rsid w:val="1F06438B"/>
    <w:rsid w:val="1F0D396C"/>
    <w:rsid w:val="1F220A99"/>
    <w:rsid w:val="1F2C68C3"/>
    <w:rsid w:val="1F58270D"/>
    <w:rsid w:val="1F63358C"/>
    <w:rsid w:val="1F645556"/>
    <w:rsid w:val="1F7F7C9A"/>
    <w:rsid w:val="1F843D72"/>
    <w:rsid w:val="1F8E612F"/>
    <w:rsid w:val="1F9E2816"/>
    <w:rsid w:val="1FCB1131"/>
    <w:rsid w:val="1FEF4A96"/>
    <w:rsid w:val="1FF71F26"/>
    <w:rsid w:val="1FF94A12"/>
    <w:rsid w:val="201B4CE7"/>
    <w:rsid w:val="201B58A5"/>
    <w:rsid w:val="201E5705"/>
    <w:rsid w:val="202C6073"/>
    <w:rsid w:val="20363DAA"/>
    <w:rsid w:val="20450EE3"/>
    <w:rsid w:val="204C4020"/>
    <w:rsid w:val="205E01F7"/>
    <w:rsid w:val="20601879"/>
    <w:rsid w:val="209634ED"/>
    <w:rsid w:val="20AD0BF1"/>
    <w:rsid w:val="20E57FD0"/>
    <w:rsid w:val="20F24498"/>
    <w:rsid w:val="20F85F56"/>
    <w:rsid w:val="21042B4C"/>
    <w:rsid w:val="210466A8"/>
    <w:rsid w:val="21162BA2"/>
    <w:rsid w:val="2116462E"/>
    <w:rsid w:val="21486EDD"/>
    <w:rsid w:val="2164183D"/>
    <w:rsid w:val="219C4B33"/>
    <w:rsid w:val="21AC584E"/>
    <w:rsid w:val="21BE2CFB"/>
    <w:rsid w:val="21F4496F"/>
    <w:rsid w:val="21F77FBB"/>
    <w:rsid w:val="21FE57EE"/>
    <w:rsid w:val="22052962"/>
    <w:rsid w:val="22056B7C"/>
    <w:rsid w:val="2220335F"/>
    <w:rsid w:val="222334A6"/>
    <w:rsid w:val="222B5EB7"/>
    <w:rsid w:val="222E39E5"/>
    <w:rsid w:val="223236E9"/>
    <w:rsid w:val="2237485C"/>
    <w:rsid w:val="224750CA"/>
    <w:rsid w:val="22525B39"/>
    <w:rsid w:val="22575200"/>
    <w:rsid w:val="225D635C"/>
    <w:rsid w:val="225E0B69"/>
    <w:rsid w:val="22603DB2"/>
    <w:rsid w:val="22714EB1"/>
    <w:rsid w:val="22717D6E"/>
    <w:rsid w:val="228201CD"/>
    <w:rsid w:val="22851A6B"/>
    <w:rsid w:val="22C5455D"/>
    <w:rsid w:val="22D4654E"/>
    <w:rsid w:val="22EE13BE"/>
    <w:rsid w:val="230C3F3A"/>
    <w:rsid w:val="230E7CB2"/>
    <w:rsid w:val="231150AD"/>
    <w:rsid w:val="23290648"/>
    <w:rsid w:val="2329499C"/>
    <w:rsid w:val="234F3F82"/>
    <w:rsid w:val="2366364A"/>
    <w:rsid w:val="236D70AB"/>
    <w:rsid w:val="23767606"/>
    <w:rsid w:val="237D6BE6"/>
    <w:rsid w:val="23E26A49"/>
    <w:rsid w:val="23E26F0C"/>
    <w:rsid w:val="23F8626D"/>
    <w:rsid w:val="241A61E3"/>
    <w:rsid w:val="24247062"/>
    <w:rsid w:val="24635DDC"/>
    <w:rsid w:val="246D0A09"/>
    <w:rsid w:val="24771887"/>
    <w:rsid w:val="248D2E59"/>
    <w:rsid w:val="249064A5"/>
    <w:rsid w:val="24AC106B"/>
    <w:rsid w:val="24AD7057"/>
    <w:rsid w:val="24AF2DCF"/>
    <w:rsid w:val="24AF4B7D"/>
    <w:rsid w:val="24B6742C"/>
    <w:rsid w:val="24B82068"/>
    <w:rsid w:val="24BB5C18"/>
    <w:rsid w:val="24BC54EC"/>
    <w:rsid w:val="24BE1264"/>
    <w:rsid w:val="24C21763"/>
    <w:rsid w:val="24D61B28"/>
    <w:rsid w:val="24E0567E"/>
    <w:rsid w:val="250F1AC0"/>
    <w:rsid w:val="252E1F46"/>
    <w:rsid w:val="25381017"/>
    <w:rsid w:val="25382DC5"/>
    <w:rsid w:val="25407ECB"/>
    <w:rsid w:val="254554E2"/>
    <w:rsid w:val="2546260F"/>
    <w:rsid w:val="256A6A48"/>
    <w:rsid w:val="256E2C8A"/>
    <w:rsid w:val="25777D91"/>
    <w:rsid w:val="257B4C0D"/>
    <w:rsid w:val="257D4C7B"/>
    <w:rsid w:val="25956469"/>
    <w:rsid w:val="25965D3D"/>
    <w:rsid w:val="25A246E2"/>
    <w:rsid w:val="25B032A3"/>
    <w:rsid w:val="25D074A1"/>
    <w:rsid w:val="25E20F82"/>
    <w:rsid w:val="25E571EB"/>
    <w:rsid w:val="25F211C5"/>
    <w:rsid w:val="26040EF9"/>
    <w:rsid w:val="260643AC"/>
    <w:rsid w:val="26121868"/>
    <w:rsid w:val="262558FD"/>
    <w:rsid w:val="262B2929"/>
    <w:rsid w:val="262D66A1"/>
    <w:rsid w:val="262F241A"/>
    <w:rsid w:val="263613A5"/>
    <w:rsid w:val="264F4FDA"/>
    <w:rsid w:val="26527C90"/>
    <w:rsid w:val="265A4FBD"/>
    <w:rsid w:val="26647BE9"/>
    <w:rsid w:val="26695200"/>
    <w:rsid w:val="266A3452"/>
    <w:rsid w:val="26735D8E"/>
    <w:rsid w:val="26A74146"/>
    <w:rsid w:val="26AC1B2A"/>
    <w:rsid w:val="26AD333E"/>
    <w:rsid w:val="26B446CD"/>
    <w:rsid w:val="26BB5A5B"/>
    <w:rsid w:val="26BC7A25"/>
    <w:rsid w:val="26BE0D88"/>
    <w:rsid w:val="26CD39E1"/>
    <w:rsid w:val="26CF1B23"/>
    <w:rsid w:val="26D66D39"/>
    <w:rsid w:val="26EA27E4"/>
    <w:rsid w:val="26F471BF"/>
    <w:rsid w:val="26FC2A88"/>
    <w:rsid w:val="27084A19"/>
    <w:rsid w:val="27181100"/>
    <w:rsid w:val="272378A0"/>
    <w:rsid w:val="27265A63"/>
    <w:rsid w:val="27335F39"/>
    <w:rsid w:val="275D2FB6"/>
    <w:rsid w:val="27602AA7"/>
    <w:rsid w:val="27624129"/>
    <w:rsid w:val="27644345"/>
    <w:rsid w:val="276F394A"/>
    <w:rsid w:val="27850DB9"/>
    <w:rsid w:val="279135A5"/>
    <w:rsid w:val="27932534"/>
    <w:rsid w:val="279938C3"/>
    <w:rsid w:val="279B763B"/>
    <w:rsid w:val="27B64475"/>
    <w:rsid w:val="27C2106B"/>
    <w:rsid w:val="27D76FC4"/>
    <w:rsid w:val="27E4630B"/>
    <w:rsid w:val="27E47E54"/>
    <w:rsid w:val="27E64D5A"/>
    <w:rsid w:val="27EF5C4B"/>
    <w:rsid w:val="27F60D15"/>
    <w:rsid w:val="2803315A"/>
    <w:rsid w:val="281A0EA7"/>
    <w:rsid w:val="282835C4"/>
    <w:rsid w:val="28426463"/>
    <w:rsid w:val="28520641"/>
    <w:rsid w:val="2859377E"/>
    <w:rsid w:val="28665E9B"/>
    <w:rsid w:val="288D3427"/>
    <w:rsid w:val="289724F8"/>
    <w:rsid w:val="289E73E3"/>
    <w:rsid w:val="28A54C15"/>
    <w:rsid w:val="28AB7D51"/>
    <w:rsid w:val="28B07116"/>
    <w:rsid w:val="28BC438E"/>
    <w:rsid w:val="28CC03F4"/>
    <w:rsid w:val="28CE4769"/>
    <w:rsid w:val="28D42E04"/>
    <w:rsid w:val="28ED036A"/>
    <w:rsid w:val="291C47AB"/>
    <w:rsid w:val="292875F4"/>
    <w:rsid w:val="292C1FF8"/>
    <w:rsid w:val="29310257"/>
    <w:rsid w:val="294E4BC1"/>
    <w:rsid w:val="29581C87"/>
    <w:rsid w:val="295E6B72"/>
    <w:rsid w:val="296879F1"/>
    <w:rsid w:val="29817476"/>
    <w:rsid w:val="29845D0F"/>
    <w:rsid w:val="299A22A0"/>
    <w:rsid w:val="299D769A"/>
    <w:rsid w:val="29AC3D81"/>
    <w:rsid w:val="29B50E88"/>
    <w:rsid w:val="29EB48A9"/>
    <w:rsid w:val="29F738D5"/>
    <w:rsid w:val="29FD282F"/>
    <w:rsid w:val="2A0B6CFA"/>
    <w:rsid w:val="2A1738F0"/>
    <w:rsid w:val="2A1A6F3D"/>
    <w:rsid w:val="2A240F21"/>
    <w:rsid w:val="2A306760"/>
    <w:rsid w:val="2A337FFE"/>
    <w:rsid w:val="2A3E16D4"/>
    <w:rsid w:val="2A473AAA"/>
    <w:rsid w:val="2A481CFC"/>
    <w:rsid w:val="2A6071AB"/>
    <w:rsid w:val="2A6076F0"/>
    <w:rsid w:val="2A697EC4"/>
    <w:rsid w:val="2A7523C5"/>
    <w:rsid w:val="2A8B3997"/>
    <w:rsid w:val="2ABC1581"/>
    <w:rsid w:val="2AC11AAE"/>
    <w:rsid w:val="2ACD7048"/>
    <w:rsid w:val="2AD92954"/>
    <w:rsid w:val="2AE5754B"/>
    <w:rsid w:val="2AED63FF"/>
    <w:rsid w:val="2AF92FF6"/>
    <w:rsid w:val="2B053749"/>
    <w:rsid w:val="2B0F6376"/>
    <w:rsid w:val="2B146FA7"/>
    <w:rsid w:val="2B457FE9"/>
    <w:rsid w:val="2B4A1AA4"/>
    <w:rsid w:val="2B4C1378"/>
    <w:rsid w:val="2B4F2C16"/>
    <w:rsid w:val="2B523154"/>
    <w:rsid w:val="2B683CD8"/>
    <w:rsid w:val="2B7408CF"/>
    <w:rsid w:val="2B77216D"/>
    <w:rsid w:val="2B794137"/>
    <w:rsid w:val="2BA07916"/>
    <w:rsid w:val="2BA70CA4"/>
    <w:rsid w:val="2BBF30C3"/>
    <w:rsid w:val="2BC9660D"/>
    <w:rsid w:val="2BD66E93"/>
    <w:rsid w:val="2BEE242F"/>
    <w:rsid w:val="2BFA7026"/>
    <w:rsid w:val="2C161986"/>
    <w:rsid w:val="2C2038D9"/>
    <w:rsid w:val="2C27037A"/>
    <w:rsid w:val="2C293467"/>
    <w:rsid w:val="2C3F0EDD"/>
    <w:rsid w:val="2C3F712F"/>
    <w:rsid w:val="2C42277B"/>
    <w:rsid w:val="2C4509EF"/>
    <w:rsid w:val="2C471B3F"/>
    <w:rsid w:val="2C536736"/>
    <w:rsid w:val="2C5F4325"/>
    <w:rsid w:val="2C5F50DB"/>
    <w:rsid w:val="2C7C7A3B"/>
    <w:rsid w:val="2C8C39F6"/>
    <w:rsid w:val="2C8E776E"/>
    <w:rsid w:val="2C923702"/>
    <w:rsid w:val="2C9835CA"/>
    <w:rsid w:val="2C9A4365"/>
    <w:rsid w:val="2C9F3729"/>
    <w:rsid w:val="2CA11F33"/>
    <w:rsid w:val="2CA3146B"/>
    <w:rsid w:val="2CB216AE"/>
    <w:rsid w:val="2CB25B52"/>
    <w:rsid w:val="2CB34515"/>
    <w:rsid w:val="2CC413E2"/>
    <w:rsid w:val="2D016192"/>
    <w:rsid w:val="2D1A7254"/>
    <w:rsid w:val="2D26209C"/>
    <w:rsid w:val="2D265BF9"/>
    <w:rsid w:val="2D2F71A3"/>
    <w:rsid w:val="2D355E3C"/>
    <w:rsid w:val="2D360531"/>
    <w:rsid w:val="2D482013"/>
    <w:rsid w:val="2D564730"/>
    <w:rsid w:val="2D7158B8"/>
    <w:rsid w:val="2D7F400A"/>
    <w:rsid w:val="2D8868B3"/>
    <w:rsid w:val="2D9139BA"/>
    <w:rsid w:val="2DA21723"/>
    <w:rsid w:val="2DA336ED"/>
    <w:rsid w:val="2DAA7713"/>
    <w:rsid w:val="2DB72CF5"/>
    <w:rsid w:val="2DC72F38"/>
    <w:rsid w:val="2DCC49F2"/>
    <w:rsid w:val="2DE0224B"/>
    <w:rsid w:val="2DFE26D1"/>
    <w:rsid w:val="2E0C1D6B"/>
    <w:rsid w:val="2E262354"/>
    <w:rsid w:val="2E2850C4"/>
    <w:rsid w:val="2E291E44"/>
    <w:rsid w:val="2E304BA3"/>
    <w:rsid w:val="2E3600BD"/>
    <w:rsid w:val="2E375F69"/>
    <w:rsid w:val="2E652751"/>
    <w:rsid w:val="2E711A24"/>
    <w:rsid w:val="2E864BA1"/>
    <w:rsid w:val="2EA414CB"/>
    <w:rsid w:val="2EAE1057"/>
    <w:rsid w:val="2EB63B09"/>
    <w:rsid w:val="2ECE666B"/>
    <w:rsid w:val="2F065CE2"/>
    <w:rsid w:val="2F083808"/>
    <w:rsid w:val="2F2B5748"/>
    <w:rsid w:val="2F3445FD"/>
    <w:rsid w:val="2F450157"/>
    <w:rsid w:val="2F560A17"/>
    <w:rsid w:val="2F6173BC"/>
    <w:rsid w:val="2F634EE2"/>
    <w:rsid w:val="2F6628DC"/>
    <w:rsid w:val="2F9037FD"/>
    <w:rsid w:val="2FAC28E5"/>
    <w:rsid w:val="2FB341DC"/>
    <w:rsid w:val="2FBF3F34"/>
    <w:rsid w:val="2FC52C51"/>
    <w:rsid w:val="2FE74788"/>
    <w:rsid w:val="2FF41FDE"/>
    <w:rsid w:val="30055F99"/>
    <w:rsid w:val="30073B78"/>
    <w:rsid w:val="301601A6"/>
    <w:rsid w:val="302E54F0"/>
    <w:rsid w:val="30403475"/>
    <w:rsid w:val="30474804"/>
    <w:rsid w:val="304E7940"/>
    <w:rsid w:val="30640F12"/>
    <w:rsid w:val="306F78B6"/>
    <w:rsid w:val="309335A5"/>
    <w:rsid w:val="30A9322D"/>
    <w:rsid w:val="30AC28B9"/>
    <w:rsid w:val="30AD0B0B"/>
    <w:rsid w:val="30B05F05"/>
    <w:rsid w:val="30B45F5A"/>
    <w:rsid w:val="30C45E54"/>
    <w:rsid w:val="30C9346B"/>
    <w:rsid w:val="30F2476F"/>
    <w:rsid w:val="30FF1D00"/>
    <w:rsid w:val="3106021B"/>
    <w:rsid w:val="31102E48"/>
    <w:rsid w:val="311A54E9"/>
    <w:rsid w:val="311C7A3E"/>
    <w:rsid w:val="311E5564"/>
    <w:rsid w:val="31215055"/>
    <w:rsid w:val="31216E03"/>
    <w:rsid w:val="312C2234"/>
    <w:rsid w:val="314D7BF8"/>
    <w:rsid w:val="31501496"/>
    <w:rsid w:val="316A07AA"/>
    <w:rsid w:val="31725842"/>
    <w:rsid w:val="317957AA"/>
    <w:rsid w:val="317E36F8"/>
    <w:rsid w:val="31827B83"/>
    <w:rsid w:val="318F6462"/>
    <w:rsid w:val="319E48F7"/>
    <w:rsid w:val="31B9528D"/>
    <w:rsid w:val="31D71BB7"/>
    <w:rsid w:val="31D976DD"/>
    <w:rsid w:val="31DB3455"/>
    <w:rsid w:val="31E56082"/>
    <w:rsid w:val="31FD7870"/>
    <w:rsid w:val="320F1351"/>
    <w:rsid w:val="32186458"/>
    <w:rsid w:val="32230959"/>
    <w:rsid w:val="32270449"/>
    <w:rsid w:val="322A7F39"/>
    <w:rsid w:val="3247367B"/>
    <w:rsid w:val="32560D2E"/>
    <w:rsid w:val="32566F80"/>
    <w:rsid w:val="32803FFD"/>
    <w:rsid w:val="3281224F"/>
    <w:rsid w:val="32894C60"/>
    <w:rsid w:val="32A777DC"/>
    <w:rsid w:val="32B141B6"/>
    <w:rsid w:val="32BF68D3"/>
    <w:rsid w:val="32E75E2A"/>
    <w:rsid w:val="330D1551"/>
    <w:rsid w:val="33360382"/>
    <w:rsid w:val="33525999"/>
    <w:rsid w:val="33784CD4"/>
    <w:rsid w:val="337C47C4"/>
    <w:rsid w:val="3392223A"/>
    <w:rsid w:val="33A06705"/>
    <w:rsid w:val="33A855B9"/>
    <w:rsid w:val="33A87367"/>
    <w:rsid w:val="33BE4DDD"/>
    <w:rsid w:val="33D148B1"/>
    <w:rsid w:val="33D726ED"/>
    <w:rsid w:val="33EA3E24"/>
    <w:rsid w:val="34052A0C"/>
    <w:rsid w:val="34254E5C"/>
    <w:rsid w:val="34256C0A"/>
    <w:rsid w:val="342A06C4"/>
    <w:rsid w:val="342F1837"/>
    <w:rsid w:val="34346E4D"/>
    <w:rsid w:val="34347434"/>
    <w:rsid w:val="343E1A7A"/>
    <w:rsid w:val="3441272A"/>
    <w:rsid w:val="3441319B"/>
    <w:rsid w:val="34682775"/>
    <w:rsid w:val="346C65E7"/>
    <w:rsid w:val="347831DE"/>
    <w:rsid w:val="34806536"/>
    <w:rsid w:val="348749F5"/>
    <w:rsid w:val="348E47AF"/>
    <w:rsid w:val="349D2C44"/>
    <w:rsid w:val="34B4528F"/>
    <w:rsid w:val="34C74165"/>
    <w:rsid w:val="34C91C8B"/>
    <w:rsid w:val="34D67F04"/>
    <w:rsid w:val="34D80120"/>
    <w:rsid w:val="34DB19BE"/>
    <w:rsid w:val="34E00F20"/>
    <w:rsid w:val="34E15227"/>
    <w:rsid w:val="34FA3BF3"/>
    <w:rsid w:val="35007B1B"/>
    <w:rsid w:val="350D5220"/>
    <w:rsid w:val="35223149"/>
    <w:rsid w:val="35245113"/>
    <w:rsid w:val="352B0250"/>
    <w:rsid w:val="352B64A2"/>
    <w:rsid w:val="352D221A"/>
    <w:rsid w:val="354632DC"/>
    <w:rsid w:val="355A6D87"/>
    <w:rsid w:val="355C0417"/>
    <w:rsid w:val="35633E8E"/>
    <w:rsid w:val="356C2617"/>
    <w:rsid w:val="357240D1"/>
    <w:rsid w:val="35747E49"/>
    <w:rsid w:val="3575596F"/>
    <w:rsid w:val="357B46C9"/>
    <w:rsid w:val="359009FB"/>
    <w:rsid w:val="359758E5"/>
    <w:rsid w:val="359978AF"/>
    <w:rsid w:val="35A240D4"/>
    <w:rsid w:val="35A250E3"/>
    <w:rsid w:val="35A324DC"/>
    <w:rsid w:val="35AF5AAB"/>
    <w:rsid w:val="35BE10C4"/>
    <w:rsid w:val="35CA6610"/>
    <w:rsid w:val="35DA1C76"/>
    <w:rsid w:val="35DE3514"/>
    <w:rsid w:val="35E623C9"/>
    <w:rsid w:val="35F25212"/>
    <w:rsid w:val="35FB7A22"/>
    <w:rsid w:val="35FE7713"/>
    <w:rsid w:val="36195A35"/>
    <w:rsid w:val="364A6F3B"/>
    <w:rsid w:val="36545584"/>
    <w:rsid w:val="3681072C"/>
    <w:rsid w:val="368D0A96"/>
    <w:rsid w:val="369167D9"/>
    <w:rsid w:val="36AB74CE"/>
    <w:rsid w:val="36AC3612"/>
    <w:rsid w:val="36E27034"/>
    <w:rsid w:val="36E52680"/>
    <w:rsid w:val="36EA7C97"/>
    <w:rsid w:val="36ED0492"/>
    <w:rsid w:val="36F07AD7"/>
    <w:rsid w:val="37060F75"/>
    <w:rsid w:val="370E607B"/>
    <w:rsid w:val="37154308"/>
    <w:rsid w:val="371B2546"/>
    <w:rsid w:val="371B60A2"/>
    <w:rsid w:val="371F2036"/>
    <w:rsid w:val="373A0C1E"/>
    <w:rsid w:val="37517D16"/>
    <w:rsid w:val="37712166"/>
    <w:rsid w:val="377203B8"/>
    <w:rsid w:val="37732382"/>
    <w:rsid w:val="377F0D27"/>
    <w:rsid w:val="378E4AC6"/>
    <w:rsid w:val="37936580"/>
    <w:rsid w:val="37A92E71"/>
    <w:rsid w:val="37A95DA4"/>
    <w:rsid w:val="37E312B6"/>
    <w:rsid w:val="37E34E12"/>
    <w:rsid w:val="37E90DFF"/>
    <w:rsid w:val="37F0752F"/>
    <w:rsid w:val="37F60D8B"/>
    <w:rsid w:val="37F963E3"/>
    <w:rsid w:val="380C0500"/>
    <w:rsid w:val="381625C9"/>
    <w:rsid w:val="381C6576"/>
    <w:rsid w:val="381E2337"/>
    <w:rsid w:val="38262F51"/>
    <w:rsid w:val="38451629"/>
    <w:rsid w:val="38481119"/>
    <w:rsid w:val="385E6884"/>
    <w:rsid w:val="387737AC"/>
    <w:rsid w:val="38797524"/>
    <w:rsid w:val="388859B9"/>
    <w:rsid w:val="388F6D48"/>
    <w:rsid w:val="38B467AE"/>
    <w:rsid w:val="38BE762D"/>
    <w:rsid w:val="38C369F1"/>
    <w:rsid w:val="38D17360"/>
    <w:rsid w:val="38DE55D9"/>
    <w:rsid w:val="38E726E0"/>
    <w:rsid w:val="38E86458"/>
    <w:rsid w:val="38EF77E6"/>
    <w:rsid w:val="38FD63A7"/>
    <w:rsid w:val="39072D82"/>
    <w:rsid w:val="39243934"/>
    <w:rsid w:val="392B0556"/>
    <w:rsid w:val="394144E6"/>
    <w:rsid w:val="396A50BF"/>
    <w:rsid w:val="39A64349"/>
    <w:rsid w:val="39B10819"/>
    <w:rsid w:val="39D32FD8"/>
    <w:rsid w:val="39DE2D7E"/>
    <w:rsid w:val="39F03816"/>
    <w:rsid w:val="39F96B6F"/>
    <w:rsid w:val="3A0177D1"/>
    <w:rsid w:val="3A080B60"/>
    <w:rsid w:val="3A184B1B"/>
    <w:rsid w:val="3A190FBF"/>
    <w:rsid w:val="3A2160C5"/>
    <w:rsid w:val="3A267238"/>
    <w:rsid w:val="3A282FB0"/>
    <w:rsid w:val="3A4D0C68"/>
    <w:rsid w:val="3A5244D1"/>
    <w:rsid w:val="3A6769F0"/>
    <w:rsid w:val="3A745884"/>
    <w:rsid w:val="3A797CAF"/>
    <w:rsid w:val="3A7E52C6"/>
    <w:rsid w:val="3A816B64"/>
    <w:rsid w:val="3A9643BE"/>
    <w:rsid w:val="3A9B5E78"/>
    <w:rsid w:val="3AA56A3E"/>
    <w:rsid w:val="3AAD68F3"/>
    <w:rsid w:val="3AB26D1E"/>
    <w:rsid w:val="3AB46F3A"/>
    <w:rsid w:val="3AB64A60"/>
    <w:rsid w:val="3ACA22B9"/>
    <w:rsid w:val="3ACD3B57"/>
    <w:rsid w:val="3ACE574C"/>
    <w:rsid w:val="3AD14FE6"/>
    <w:rsid w:val="3ADD50BB"/>
    <w:rsid w:val="3ADE5D64"/>
    <w:rsid w:val="3AFE01B5"/>
    <w:rsid w:val="3B037579"/>
    <w:rsid w:val="3B091033"/>
    <w:rsid w:val="3B0B0AD5"/>
    <w:rsid w:val="3B6B19B8"/>
    <w:rsid w:val="3B6D5039"/>
    <w:rsid w:val="3B7566C9"/>
    <w:rsid w:val="3B8561E0"/>
    <w:rsid w:val="3B9052B1"/>
    <w:rsid w:val="3B935388"/>
    <w:rsid w:val="3B9823B7"/>
    <w:rsid w:val="3BBB7E54"/>
    <w:rsid w:val="3BDD426E"/>
    <w:rsid w:val="3BE13D5E"/>
    <w:rsid w:val="3BFF2436"/>
    <w:rsid w:val="3C0161AE"/>
    <w:rsid w:val="3C033CD5"/>
    <w:rsid w:val="3C0E2679"/>
    <w:rsid w:val="3C1C08F2"/>
    <w:rsid w:val="3C221C81"/>
    <w:rsid w:val="3C3E2F5F"/>
    <w:rsid w:val="3C4E234C"/>
    <w:rsid w:val="3C6978B0"/>
    <w:rsid w:val="3C784739"/>
    <w:rsid w:val="3CB90837"/>
    <w:rsid w:val="3CBF1A5E"/>
    <w:rsid w:val="3CD25455"/>
    <w:rsid w:val="3CDB255C"/>
    <w:rsid w:val="3CF90C34"/>
    <w:rsid w:val="3CFE449C"/>
    <w:rsid w:val="3D015D3A"/>
    <w:rsid w:val="3D303804"/>
    <w:rsid w:val="3D3659E4"/>
    <w:rsid w:val="3D516CC2"/>
    <w:rsid w:val="3D6267D9"/>
    <w:rsid w:val="3D934BE4"/>
    <w:rsid w:val="3D947A19"/>
    <w:rsid w:val="3DA9265A"/>
    <w:rsid w:val="3DA94408"/>
    <w:rsid w:val="3DDF42CD"/>
    <w:rsid w:val="3E030956"/>
    <w:rsid w:val="3E077380"/>
    <w:rsid w:val="3E10477B"/>
    <w:rsid w:val="3E3C2B86"/>
    <w:rsid w:val="3E4B54BF"/>
    <w:rsid w:val="3E5527E2"/>
    <w:rsid w:val="3E6447D3"/>
    <w:rsid w:val="3E6842C3"/>
    <w:rsid w:val="3E802591"/>
    <w:rsid w:val="3E8B7FB1"/>
    <w:rsid w:val="3E9926CE"/>
    <w:rsid w:val="3EA6303D"/>
    <w:rsid w:val="3EA84E5D"/>
    <w:rsid w:val="3EC11C25"/>
    <w:rsid w:val="3EC534C3"/>
    <w:rsid w:val="3ED43706"/>
    <w:rsid w:val="3ED50CA5"/>
    <w:rsid w:val="3ED5122D"/>
    <w:rsid w:val="3ED53549"/>
    <w:rsid w:val="3ED656D0"/>
    <w:rsid w:val="3EEB0A50"/>
    <w:rsid w:val="3F0E09A9"/>
    <w:rsid w:val="3F1104B7"/>
    <w:rsid w:val="3F2216AD"/>
    <w:rsid w:val="3F2D5E1C"/>
    <w:rsid w:val="3F4C14EF"/>
    <w:rsid w:val="3F52287D"/>
    <w:rsid w:val="3F5B7984"/>
    <w:rsid w:val="3F8F587F"/>
    <w:rsid w:val="3F93085A"/>
    <w:rsid w:val="3F9B5FD2"/>
    <w:rsid w:val="3FBB48C6"/>
    <w:rsid w:val="3FCD1DFE"/>
    <w:rsid w:val="3FCF2120"/>
    <w:rsid w:val="3FD15E98"/>
    <w:rsid w:val="401D7FC2"/>
    <w:rsid w:val="402A69BE"/>
    <w:rsid w:val="4044724E"/>
    <w:rsid w:val="404B5C4A"/>
    <w:rsid w:val="405A40DF"/>
    <w:rsid w:val="40833636"/>
    <w:rsid w:val="408B4299"/>
    <w:rsid w:val="408C16E3"/>
    <w:rsid w:val="409018AF"/>
    <w:rsid w:val="40B97058"/>
    <w:rsid w:val="40C652D1"/>
    <w:rsid w:val="40D07EFD"/>
    <w:rsid w:val="40DA0D7C"/>
    <w:rsid w:val="40E83499"/>
    <w:rsid w:val="414C1C7A"/>
    <w:rsid w:val="414C7ECC"/>
    <w:rsid w:val="416F7716"/>
    <w:rsid w:val="41805DAA"/>
    <w:rsid w:val="41A62A24"/>
    <w:rsid w:val="41AC44C7"/>
    <w:rsid w:val="41BE41FA"/>
    <w:rsid w:val="41BF069E"/>
    <w:rsid w:val="41C77552"/>
    <w:rsid w:val="41D35EF7"/>
    <w:rsid w:val="41D91034"/>
    <w:rsid w:val="41E9571B"/>
    <w:rsid w:val="41F91695"/>
    <w:rsid w:val="42263950"/>
    <w:rsid w:val="42415557"/>
    <w:rsid w:val="42417305"/>
    <w:rsid w:val="42426BD9"/>
    <w:rsid w:val="42507548"/>
    <w:rsid w:val="427663E1"/>
    <w:rsid w:val="427A45C5"/>
    <w:rsid w:val="429172CC"/>
    <w:rsid w:val="42B07FE6"/>
    <w:rsid w:val="42BB6E80"/>
    <w:rsid w:val="42CE0484"/>
    <w:rsid w:val="42F51FEF"/>
    <w:rsid w:val="42F73E67"/>
    <w:rsid w:val="42F9198D"/>
    <w:rsid w:val="43054933"/>
    <w:rsid w:val="430B16C1"/>
    <w:rsid w:val="431F54B9"/>
    <w:rsid w:val="432804C5"/>
    <w:rsid w:val="434370AD"/>
    <w:rsid w:val="43566DE0"/>
    <w:rsid w:val="436D4129"/>
    <w:rsid w:val="43811983"/>
    <w:rsid w:val="43866F99"/>
    <w:rsid w:val="43963680"/>
    <w:rsid w:val="43993170"/>
    <w:rsid w:val="439E42E3"/>
    <w:rsid w:val="43A14703"/>
    <w:rsid w:val="43B34232"/>
    <w:rsid w:val="43BC29BB"/>
    <w:rsid w:val="43EA39CC"/>
    <w:rsid w:val="43FA7D96"/>
    <w:rsid w:val="43FB1735"/>
    <w:rsid w:val="44366C11"/>
    <w:rsid w:val="443822C9"/>
    <w:rsid w:val="44472BCC"/>
    <w:rsid w:val="444C3D3F"/>
    <w:rsid w:val="44531571"/>
    <w:rsid w:val="445D5F4C"/>
    <w:rsid w:val="44775290"/>
    <w:rsid w:val="4484172B"/>
    <w:rsid w:val="4487121B"/>
    <w:rsid w:val="44957494"/>
    <w:rsid w:val="449C4CC6"/>
    <w:rsid w:val="44BA15F0"/>
    <w:rsid w:val="44CD4E80"/>
    <w:rsid w:val="44D0671E"/>
    <w:rsid w:val="44D3620E"/>
    <w:rsid w:val="44FE772F"/>
    <w:rsid w:val="4508235C"/>
    <w:rsid w:val="450B3BFA"/>
    <w:rsid w:val="451E56DB"/>
    <w:rsid w:val="451F670F"/>
    <w:rsid w:val="45356EC9"/>
    <w:rsid w:val="45521829"/>
    <w:rsid w:val="455F36F2"/>
    <w:rsid w:val="45617CBE"/>
    <w:rsid w:val="45667082"/>
    <w:rsid w:val="45717F01"/>
    <w:rsid w:val="457C0654"/>
    <w:rsid w:val="45A8769B"/>
    <w:rsid w:val="45B147A1"/>
    <w:rsid w:val="45B20519"/>
    <w:rsid w:val="45BE0C6C"/>
    <w:rsid w:val="45C60805"/>
    <w:rsid w:val="45D466E2"/>
    <w:rsid w:val="45DB7850"/>
    <w:rsid w:val="460F75B1"/>
    <w:rsid w:val="46224ADA"/>
    <w:rsid w:val="46445615"/>
    <w:rsid w:val="464F7B16"/>
    <w:rsid w:val="465810C1"/>
    <w:rsid w:val="46587D6C"/>
    <w:rsid w:val="465A0995"/>
    <w:rsid w:val="465C379B"/>
    <w:rsid w:val="4672373B"/>
    <w:rsid w:val="46731A57"/>
    <w:rsid w:val="468731C3"/>
    <w:rsid w:val="468D39EA"/>
    <w:rsid w:val="469F284C"/>
    <w:rsid w:val="46A63BDA"/>
    <w:rsid w:val="46A95479"/>
    <w:rsid w:val="46CA7B5A"/>
    <w:rsid w:val="46D16626"/>
    <w:rsid w:val="46D85D5E"/>
    <w:rsid w:val="46F8000E"/>
    <w:rsid w:val="47017063"/>
    <w:rsid w:val="4704295F"/>
    <w:rsid w:val="47064679"/>
    <w:rsid w:val="475E44B5"/>
    <w:rsid w:val="47777325"/>
    <w:rsid w:val="477C493B"/>
    <w:rsid w:val="47975C19"/>
    <w:rsid w:val="479A3013"/>
    <w:rsid w:val="47AD5B80"/>
    <w:rsid w:val="47B023EB"/>
    <w:rsid w:val="47CA7D9C"/>
    <w:rsid w:val="47EA7AF7"/>
    <w:rsid w:val="47F170D7"/>
    <w:rsid w:val="47F44E19"/>
    <w:rsid w:val="47FD5DF2"/>
    <w:rsid w:val="480908C5"/>
    <w:rsid w:val="481C13BF"/>
    <w:rsid w:val="488F68F0"/>
    <w:rsid w:val="48A0105D"/>
    <w:rsid w:val="48B00D40"/>
    <w:rsid w:val="48C77E38"/>
    <w:rsid w:val="48D35B86"/>
    <w:rsid w:val="48DD58AD"/>
    <w:rsid w:val="48EB1D78"/>
    <w:rsid w:val="4907292A"/>
    <w:rsid w:val="493556E9"/>
    <w:rsid w:val="493F3E72"/>
    <w:rsid w:val="494E1C53"/>
    <w:rsid w:val="495C2C76"/>
    <w:rsid w:val="4961028C"/>
    <w:rsid w:val="49757894"/>
    <w:rsid w:val="498F2A6E"/>
    <w:rsid w:val="49975A5C"/>
    <w:rsid w:val="49A5461D"/>
    <w:rsid w:val="49A62143"/>
    <w:rsid w:val="49BF133E"/>
    <w:rsid w:val="49C12AD9"/>
    <w:rsid w:val="49C36851"/>
    <w:rsid w:val="49CA4084"/>
    <w:rsid w:val="49D05807"/>
    <w:rsid w:val="49E905DC"/>
    <w:rsid w:val="49F42EAF"/>
    <w:rsid w:val="4A01097D"/>
    <w:rsid w:val="4A183615"/>
    <w:rsid w:val="4A1C3833"/>
    <w:rsid w:val="4A266DE0"/>
    <w:rsid w:val="4A3E05CE"/>
    <w:rsid w:val="4A4C6847"/>
    <w:rsid w:val="4A4F27DB"/>
    <w:rsid w:val="4A590F64"/>
    <w:rsid w:val="4A5B0554"/>
    <w:rsid w:val="4A5B1180"/>
    <w:rsid w:val="4A6873F9"/>
    <w:rsid w:val="4A6A13C3"/>
    <w:rsid w:val="4A8835F7"/>
    <w:rsid w:val="4A883874"/>
    <w:rsid w:val="4A8A55C1"/>
    <w:rsid w:val="4A8E6E5F"/>
    <w:rsid w:val="4A8F2BD7"/>
    <w:rsid w:val="4A8F4985"/>
    <w:rsid w:val="4A9F5E3B"/>
    <w:rsid w:val="4AB32D6A"/>
    <w:rsid w:val="4AC565F9"/>
    <w:rsid w:val="4AF74789"/>
    <w:rsid w:val="4B094738"/>
    <w:rsid w:val="4B11183E"/>
    <w:rsid w:val="4B202062"/>
    <w:rsid w:val="4B281394"/>
    <w:rsid w:val="4B2B6DA4"/>
    <w:rsid w:val="4B320132"/>
    <w:rsid w:val="4B3D0885"/>
    <w:rsid w:val="4B425E9C"/>
    <w:rsid w:val="4B4E43A6"/>
    <w:rsid w:val="4B7342A7"/>
    <w:rsid w:val="4B7F2792"/>
    <w:rsid w:val="4B7F49FA"/>
    <w:rsid w:val="4B8D7117"/>
    <w:rsid w:val="4BB156FA"/>
    <w:rsid w:val="4BB41A6E"/>
    <w:rsid w:val="4BB64397"/>
    <w:rsid w:val="4BC845F3"/>
    <w:rsid w:val="4BCE582C"/>
    <w:rsid w:val="4BDE7972"/>
    <w:rsid w:val="4BDF36EB"/>
    <w:rsid w:val="4BE13907"/>
    <w:rsid w:val="4BE156B5"/>
    <w:rsid w:val="4BE551A5"/>
    <w:rsid w:val="4C0849EF"/>
    <w:rsid w:val="4C0F2222"/>
    <w:rsid w:val="4C0F5D7E"/>
    <w:rsid w:val="4C15535E"/>
    <w:rsid w:val="4C290DCF"/>
    <w:rsid w:val="4C3C7499"/>
    <w:rsid w:val="4C4243A5"/>
    <w:rsid w:val="4C672C81"/>
    <w:rsid w:val="4C7D4327"/>
    <w:rsid w:val="4C820C46"/>
    <w:rsid w:val="4CAC181F"/>
    <w:rsid w:val="4CB952A0"/>
    <w:rsid w:val="4CC86CA3"/>
    <w:rsid w:val="4CCE3E8B"/>
    <w:rsid w:val="4CE30117"/>
    <w:rsid w:val="4CF84A64"/>
    <w:rsid w:val="4CFD207A"/>
    <w:rsid w:val="4D077263"/>
    <w:rsid w:val="4D084657"/>
    <w:rsid w:val="4D090A1F"/>
    <w:rsid w:val="4D096BD6"/>
    <w:rsid w:val="4D0E24D9"/>
    <w:rsid w:val="4D317F76"/>
    <w:rsid w:val="4D3B0DF4"/>
    <w:rsid w:val="4D3D2DBF"/>
    <w:rsid w:val="4D440B3B"/>
    <w:rsid w:val="4D44414D"/>
    <w:rsid w:val="4D5C1497"/>
    <w:rsid w:val="4D5C3245"/>
    <w:rsid w:val="4D6C0FAE"/>
    <w:rsid w:val="4D704F42"/>
    <w:rsid w:val="4D782049"/>
    <w:rsid w:val="4D7F0CE1"/>
    <w:rsid w:val="4D9B6609"/>
    <w:rsid w:val="4DA150FB"/>
    <w:rsid w:val="4DA7365D"/>
    <w:rsid w:val="4DAB5F7A"/>
    <w:rsid w:val="4DB841F3"/>
    <w:rsid w:val="4DC81616"/>
    <w:rsid w:val="4DCE104D"/>
    <w:rsid w:val="4DD454D1"/>
    <w:rsid w:val="4DD728CB"/>
    <w:rsid w:val="4DE44FE8"/>
    <w:rsid w:val="4DF53699"/>
    <w:rsid w:val="4DFC67D6"/>
    <w:rsid w:val="4E197388"/>
    <w:rsid w:val="4E1F4272"/>
    <w:rsid w:val="4E241889"/>
    <w:rsid w:val="4E2A3343"/>
    <w:rsid w:val="4E3E294A"/>
    <w:rsid w:val="4E50267E"/>
    <w:rsid w:val="4E715E0B"/>
    <w:rsid w:val="4E83505D"/>
    <w:rsid w:val="4E872543"/>
    <w:rsid w:val="4E8862BB"/>
    <w:rsid w:val="4E8A004E"/>
    <w:rsid w:val="4E93713A"/>
    <w:rsid w:val="4E992DD9"/>
    <w:rsid w:val="4E9E3E16"/>
    <w:rsid w:val="4EB47032"/>
    <w:rsid w:val="4EB86BA1"/>
    <w:rsid w:val="4ECD3CCE"/>
    <w:rsid w:val="4EDB0166"/>
    <w:rsid w:val="4EDF1230"/>
    <w:rsid w:val="4EE53D72"/>
    <w:rsid w:val="4EF13E61"/>
    <w:rsid w:val="4F457D08"/>
    <w:rsid w:val="4F4977F9"/>
    <w:rsid w:val="4F5E3B4E"/>
    <w:rsid w:val="4F691735"/>
    <w:rsid w:val="4F8545A9"/>
    <w:rsid w:val="4F9111A0"/>
    <w:rsid w:val="4F93316A"/>
    <w:rsid w:val="4FA233AD"/>
    <w:rsid w:val="4FA709C3"/>
    <w:rsid w:val="4FB07878"/>
    <w:rsid w:val="4FB21842"/>
    <w:rsid w:val="4FB31116"/>
    <w:rsid w:val="4FBD1F95"/>
    <w:rsid w:val="4FC11A85"/>
    <w:rsid w:val="4FCB46B2"/>
    <w:rsid w:val="4FCD042A"/>
    <w:rsid w:val="4FDB7693"/>
    <w:rsid w:val="4FEE03A0"/>
    <w:rsid w:val="4FF52BAA"/>
    <w:rsid w:val="4FF80565"/>
    <w:rsid w:val="4FF9121F"/>
    <w:rsid w:val="50025BF9"/>
    <w:rsid w:val="501716A5"/>
    <w:rsid w:val="501778F7"/>
    <w:rsid w:val="5028102C"/>
    <w:rsid w:val="50306C0B"/>
    <w:rsid w:val="503A5393"/>
    <w:rsid w:val="503F0BFC"/>
    <w:rsid w:val="505062AF"/>
    <w:rsid w:val="50526B81"/>
    <w:rsid w:val="50591CBD"/>
    <w:rsid w:val="50724B2D"/>
    <w:rsid w:val="509176A9"/>
    <w:rsid w:val="5099030C"/>
    <w:rsid w:val="50A0169A"/>
    <w:rsid w:val="50A218B6"/>
    <w:rsid w:val="50AD2009"/>
    <w:rsid w:val="50BB2978"/>
    <w:rsid w:val="50C64E79"/>
    <w:rsid w:val="50C934FD"/>
    <w:rsid w:val="50CD4459"/>
    <w:rsid w:val="50DF58C1"/>
    <w:rsid w:val="50E377D9"/>
    <w:rsid w:val="50F97A8C"/>
    <w:rsid w:val="51087240"/>
    <w:rsid w:val="510A120A"/>
    <w:rsid w:val="511D2CEB"/>
    <w:rsid w:val="512300E0"/>
    <w:rsid w:val="5128120B"/>
    <w:rsid w:val="513B7615"/>
    <w:rsid w:val="514A5AAA"/>
    <w:rsid w:val="514C1822"/>
    <w:rsid w:val="51510BE7"/>
    <w:rsid w:val="51516E38"/>
    <w:rsid w:val="515F5A90"/>
    <w:rsid w:val="51764AF1"/>
    <w:rsid w:val="51825244"/>
    <w:rsid w:val="5196418D"/>
    <w:rsid w:val="51980D4A"/>
    <w:rsid w:val="51A74CAA"/>
    <w:rsid w:val="51A81F9C"/>
    <w:rsid w:val="51CC4711"/>
    <w:rsid w:val="51D610EC"/>
    <w:rsid w:val="51D6733E"/>
    <w:rsid w:val="51DD3CF4"/>
    <w:rsid w:val="51F91887"/>
    <w:rsid w:val="52097713"/>
    <w:rsid w:val="520B348B"/>
    <w:rsid w:val="520C7CAB"/>
    <w:rsid w:val="520E39C4"/>
    <w:rsid w:val="521F646D"/>
    <w:rsid w:val="521F6F37"/>
    <w:rsid w:val="522B58DB"/>
    <w:rsid w:val="522D5360"/>
    <w:rsid w:val="52320A18"/>
    <w:rsid w:val="523A13C9"/>
    <w:rsid w:val="52691F60"/>
    <w:rsid w:val="526A6404"/>
    <w:rsid w:val="52750905"/>
    <w:rsid w:val="52770B21"/>
    <w:rsid w:val="52787340"/>
    <w:rsid w:val="528F7C18"/>
    <w:rsid w:val="52A35472"/>
    <w:rsid w:val="52A42F98"/>
    <w:rsid w:val="52A526FE"/>
    <w:rsid w:val="52A66D10"/>
    <w:rsid w:val="52B21B59"/>
    <w:rsid w:val="52D03D8D"/>
    <w:rsid w:val="52D27B05"/>
    <w:rsid w:val="52E15F9A"/>
    <w:rsid w:val="52E636C6"/>
    <w:rsid w:val="52F65EE9"/>
    <w:rsid w:val="5302048C"/>
    <w:rsid w:val="53035F10"/>
    <w:rsid w:val="53456529"/>
    <w:rsid w:val="53672943"/>
    <w:rsid w:val="537B0041"/>
    <w:rsid w:val="537B63EF"/>
    <w:rsid w:val="53B65679"/>
    <w:rsid w:val="53D224B3"/>
    <w:rsid w:val="53D40987"/>
    <w:rsid w:val="53D578AD"/>
    <w:rsid w:val="53DA3115"/>
    <w:rsid w:val="53EA0E7E"/>
    <w:rsid w:val="54060FA4"/>
    <w:rsid w:val="542A243C"/>
    <w:rsid w:val="542C153F"/>
    <w:rsid w:val="54413194"/>
    <w:rsid w:val="5451789C"/>
    <w:rsid w:val="546F7BE3"/>
    <w:rsid w:val="548B0DE9"/>
    <w:rsid w:val="548E5CAE"/>
    <w:rsid w:val="549A28A4"/>
    <w:rsid w:val="54AF6350"/>
    <w:rsid w:val="54CA13DC"/>
    <w:rsid w:val="54CE0F89"/>
    <w:rsid w:val="54F833D3"/>
    <w:rsid w:val="5507618C"/>
    <w:rsid w:val="55134FF8"/>
    <w:rsid w:val="551E34D6"/>
    <w:rsid w:val="552C5BF2"/>
    <w:rsid w:val="55314FB7"/>
    <w:rsid w:val="553D4864"/>
    <w:rsid w:val="55450A62"/>
    <w:rsid w:val="554566F2"/>
    <w:rsid w:val="554E3DBB"/>
    <w:rsid w:val="55570796"/>
    <w:rsid w:val="555D2250"/>
    <w:rsid w:val="55675466"/>
    <w:rsid w:val="556C2493"/>
    <w:rsid w:val="55711857"/>
    <w:rsid w:val="557D01FC"/>
    <w:rsid w:val="558477DD"/>
    <w:rsid w:val="55A25EB5"/>
    <w:rsid w:val="55AA4D69"/>
    <w:rsid w:val="55AC288F"/>
    <w:rsid w:val="55BD684B"/>
    <w:rsid w:val="55CE2806"/>
    <w:rsid w:val="55D63080"/>
    <w:rsid w:val="55F04E72"/>
    <w:rsid w:val="56024BA5"/>
    <w:rsid w:val="56156687"/>
    <w:rsid w:val="561A3C9D"/>
    <w:rsid w:val="562653FF"/>
    <w:rsid w:val="56332FB1"/>
    <w:rsid w:val="56383EDB"/>
    <w:rsid w:val="564209B4"/>
    <w:rsid w:val="56554CD5"/>
    <w:rsid w:val="56574EF1"/>
    <w:rsid w:val="567A0BDF"/>
    <w:rsid w:val="567D422C"/>
    <w:rsid w:val="568A7075"/>
    <w:rsid w:val="56941CA1"/>
    <w:rsid w:val="569752EE"/>
    <w:rsid w:val="56A25A40"/>
    <w:rsid w:val="56B23ED5"/>
    <w:rsid w:val="56BA0FDC"/>
    <w:rsid w:val="56DD22AA"/>
    <w:rsid w:val="56DF7CA4"/>
    <w:rsid w:val="56E12A0D"/>
    <w:rsid w:val="56E147BB"/>
    <w:rsid w:val="56EE0C86"/>
    <w:rsid w:val="57103F7B"/>
    <w:rsid w:val="571E1156"/>
    <w:rsid w:val="572A7F10"/>
    <w:rsid w:val="575256B8"/>
    <w:rsid w:val="57574A7D"/>
    <w:rsid w:val="57603931"/>
    <w:rsid w:val="577218B7"/>
    <w:rsid w:val="57764369"/>
    <w:rsid w:val="57771297"/>
    <w:rsid w:val="579730CB"/>
    <w:rsid w:val="579E08FE"/>
    <w:rsid w:val="57A83A08"/>
    <w:rsid w:val="57CF2DE7"/>
    <w:rsid w:val="57D165DD"/>
    <w:rsid w:val="57E83927"/>
    <w:rsid w:val="57F40CD0"/>
    <w:rsid w:val="5809221B"/>
    <w:rsid w:val="58296419"/>
    <w:rsid w:val="584414A5"/>
    <w:rsid w:val="584E7C2E"/>
    <w:rsid w:val="58535244"/>
    <w:rsid w:val="585B234B"/>
    <w:rsid w:val="586631C9"/>
    <w:rsid w:val="587C0C3F"/>
    <w:rsid w:val="5895585D"/>
    <w:rsid w:val="5899060A"/>
    <w:rsid w:val="589A168E"/>
    <w:rsid w:val="58A12453"/>
    <w:rsid w:val="58B008E9"/>
    <w:rsid w:val="58C93758"/>
    <w:rsid w:val="58CA527F"/>
    <w:rsid w:val="58F00CE5"/>
    <w:rsid w:val="59036C6A"/>
    <w:rsid w:val="590429E2"/>
    <w:rsid w:val="591C41D0"/>
    <w:rsid w:val="59262959"/>
    <w:rsid w:val="593037D7"/>
    <w:rsid w:val="595E20F3"/>
    <w:rsid w:val="596A6CE9"/>
    <w:rsid w:val="596D0588"/>
    <w:rsid w:val="596D2336"/>
    <w:rsid w:val="59777658"/>
    <w:rsid w:val="597838B3"/>
    <w:rsid w:val="59944FA9"/>
    <w:rsid w:val="59973856"/>
    <w:rsid w:val="59AA2C98"/>
    <w:rsid w:val="59AD6BD6"/>
    <w:rsid w:val="59BD150F"/>
    <w:rsid w:val="59D75B33"/>
    <w:rsid w:val="59E051FD"/>
    <w:rsid w:val="59EA7E2A"/>
    <w:rsid w:val="59F14D15"/>
    <w:rsid w:val="5A0342F6"/>
    <w:rsid w:val="5A0E1D6B"/>
    <w:rsid w:val="5A0F7891"/>
    <w:rsid w:val="5A13112F"/>
    <w:rsid w:val="5A1E62F5"/>
    <w:rsid w:val="5A2A6479"/>
    <w:rsid w:val="5A2C3F9F"/>
    <w:rsid w:val="5A4C30A3"/>
    <w:rsid w:val="5A574D33"/>
    <w:rsid w:val="5A706581"/>
    <w:rsid w:val="5A8E4C59"/>
    <w:rsid w:val="5A9B2ED2"/>
    <w:rsid w:val="5A9C7376"/>
    <w:rsid w:val="5AAC50E0"/>
    <w:rsid w:val="5AB53F94"/>
    <w:rsid w:val="5AD36B10"/>
    <w:rsid w:val="5ADD34EB"/>
    <w:rsid w:val="5B10566E"/>
    <w:rsid w:val="5B163769"/>
    <w:rsid w:val="5B1D417B"/>
    <w:rsid w:val="5B242EC8"/>
    <w:rsid w:val="5B2B6E12"/>
    <w:rsid w:val="5B2D7FCE"/>
    <w:rsid w:val="5B3255E5"/>
    <w:rsid w:val="5B345801"/>
    <w:rsid w:val="5B3550D5"/>
    <w:rsid w:val="5B3E21DC"/>
    <w:rsid w:val="5B435A44"/>
    <w:rsid w:val="5B5C08B4"/>
    <w:rsid w:val="5B6836FC"/>
    <w:rsid w:val="5B6D2AC1"/>
    <w:rsid w:val="5B845F39"/>
    <w:rsid w:val="5B9718EC"/>
    <w:rsid w:val="5BA74225"/>
    <w:rsid w:val="5BA858A7"/>
    <w:rsid w:val="5BC4185F"/>
    <w:rsid w:val="5BC67A99"/>
    <w:rsid w:val="5BCA1CC1"/>
    <w:rsid w:val="5BCF560E"/>
    <w:rsid w:val="5BDC37A3"/>
    <w:rsid w:val="5BE03293"/>
    <w:rsid w:val="5BF73773"/>
    <w:rsid w:val="5C0056E3"/>
    <w:rsid w:val="5C0F3B78"/>
    <w:rsid w:val="5C14118E"/>
    <w:rsid w:val="5C1B42CB"/>
    <w:rsid w:val="5C272945"/>
    <w:rsid w:val="5C2E0FC6"/>
    <w:rsid w:val="5C45397C"/>
    <w:rsid w:val="5C4A6E10"/>
    <w:rsid w:val="5C4F21C6"/>
    <w:rsid w:val="5C7B120D"/>
    <w:rsid w:val="5C902F0B"/>
    <w:rsid w:val="5C950521"/>
    <w:rsid w:val="5CB309A7"/>
    <w:rsid w:val="5CBF2236"/>
    <w:rsid w:val="5CC0462F"/>
    <w:rsid w:val="5CC04E72"/>
    <w:rsid w:val="5CD821BC"/>
    <w:rsid w:val="5CDC6150"/>
    <w:rsid w:val="5CEB0141"/>
    <w:rsid w:val="5CEE5E83"/>
    <w:rsid w:val="5CF979D4"/>
    <w:rsid w:val="5D221689"/>
    <w:rsid w:val="5D2673CB"/>
    <w:rsid w:val="5D4D6706"/>
    <w:rsid w:val="5D506A1D"/>
    <w:rsid w:val="5D5750F2"/>
    <w:rsid w:val="5D8E6B86"/>
    <w:rsid w:val="5D973E25"/>
    <w:rsid w:val="5DAA43BA"/>
    <w:rsid w:val="5DAF751F"/>
    <w:rsid w:val="5DB70023"/>
    <w:rsid w:val="5DB91FED"/>
    <w:rsid w:val="5DBD092A"/>
    <w:rsid w:val="5E113BD7"/>
    <w:rsid w:val="5E420235"/>
    <w:rsid w:val="5E435949"/>
    <w:rsid w:val="5E4D0988"/>
    <w:rsid w:val="5E5D6E1D"/>
    <w:rsid w:val="5E604B5F"/>
    <w:rsid w:val="5E6A32E8"/>
    <w:rsid w:val="5E7303EE"/>
    <w:rsid w:val="5E734892"/>
    <w:rsid w:val="5E736640"/>
    <w:rsid w:val="5E756687"/>
    <w:rsid w:val="5E7B7515"/>
    <w:rsid w:val="5E8819C0"/>
    <w:rsid w:val="5E8F0379"/>
    <w:rsid w:val="5E930A90"/>
    <w:rsid w:val="5E9568F5"/>
    <w:rsid w:val="5E9860A7"/>
    <w:rsid w:val="5EB629D1"/>
    <w:rsid w:val="5EC023C8"/>
    <w:rsid w:val="5ED510A9"/>
    <w:rsid w:val="5ED82947"/>
    <w:rsid w:val="5EDF13B1"/>
    <w:rsid w:val="5EDF7832"/>
    <w:rsid w:val="5EED5BDD"/>
    <w:rsid w:val="5EF64B7B"/>
    <w:rsid w:val="5EF84D97"/>
    <w:rsid w:val="5F011023"/>
    <w:rsid w:val="5F0C25F1"/>
    <w:rsid w:val="5F1F615A"/>
    <w:rsid w:val="5F201E20"/>
    <w:rsid w:val="5F225970"/>
    <w:rsid w:val="5F2711D9"/>
    <w:rsid w:val="5F2F2831"/>
    <w:rsid w:val="5F557AF4"/>
    <w:rsid w:val="5F5C0E82"/>
    <w:rsid w:val="5F61293D"/>
    <w:rsid w:val="5F6E0BB6"/>
    <w:rsid w:val="5F8108E9"/>
    <w:rsid w:val="5F88611B"/>
    <w:rsid w:val="5F8D3CAC"/>
    <w:rsid w:val="5F9D4C39"/>
    <w:rsid w:val="5FA12D39"/>
    <w:rsid w:val="5FB213EA"/>
    <w:rsid w:val="5FC133DB"/>
    <w:rsid w:val="5FC86518"/>
    <w:rsid w:val="5FCD7FD2"/>
    <w:rsid w:val="5FD24066"/>
    <w:rsid w:val="5FD96977"/>
    <w:rsid w:val="5FDA624B"/>
    <w:rsid w:val="602A5424"/>
    <w:rsid w:val="60543434"/>
    <w:rsid w:val="608A76DC"/>
    <w:rsid w:val="60932FCA"/>
    <w:rsid w:val="6098413C"/>
    <w:rsid w:val="609D5BF6"/>
    <w:rsid w:val="60B6140E"/>
    <w:rsid w:val="60C70EC5"/>
    <w:rsid w:val="60DF7FBD"/>
    <w:rsid w:val="60EA0C7D"/>
    <w:rsid w:val="610712C2"/>
    <w:rsid w:val="610C4B2A"/>
    <w:rsid w:val="610E08A2"/>
    <w:rsid w:val="611A0FF5"/>
    <w:rsid w:val="611B2C3C"/>
    <w:rsid w:val="611F2AAF"/>
    <w:rsid w:val="6122434D"/>
    <w:rsid w:val="6126799A"/>
    <w:rsid w:val="612754C0"/>
    <w:rsid w:val="612E4AA0"/>
    <w:rsid w:val="61354081"/>
    <w:rsid w:val="61475B62"/>
    <w:rsid w:val="614C4F26"/>
    <w:rsid w:val="61665FE8"/>
    <w:rsid w:val="61671D60"/>
    <w:rsid w:val="616B35FF"/>
    <w:rsid w:val="616E1341"/>
    <w:rsid w:val="6171498D"/>
    <w:rsid w:val="618F19E3"/>
    <w:rsid w:val="619568CD"/>
    <w:rsid w:val="61A42FB4"/>
    <w:rsid w:val="61B2122D"/>
    <w:rsid w:val="61C947C9"/>
    <w:rsid w:val="61D218D0"/>
    <w:rsid w:val="61D513C0"/>
    <w:rsid w:val="61DD0B9F"/>
    <w:rsid w:val="61E11B13"/>
    <w:rsid w:val="61E3588B"/>
    <w:rsid w:val="620C3034"/>
    <w:rsid w:val="62127F1E"/>
    <w:rsid w:val="621C0D9D"/>
    <w:rsid w:val="62215048"/>
    <w:rsid w:val="623C31ED"/>
    <w:rsid w:val="62414951"/>
    <w:rsid w:val="62426A55"/>
    <w:rsid w:val="624A0885"/>
    <w:rsid w:val="62685D90"/>
    <w:rsid w:val="62A50D92"/>
    <w:rsid w:val="62B40FD5"/>
    <w:rsid w:val="62B72874"/>
    <w:rsid w:val="62CC631F"/>
    <w:rsid w:val="62D90A3C"/>
    <w:rsid w:val="62E97BDC"/>
    <w:rsid w:val="62ED5AA7"/>
    <w:rsid w:val="62F53AC8"/>
    <w:rsid w:val="62F615EE"/>
    <w:rsid w:val="63051831"/>
    <w:rsid w:val="630755A9"/>
    <w:rsid w:val="63091321"/>
    <w:rsid w:val="631303F2"/>
    <w:rsid w:val="63424833"/>
    <w:rsid w:val="634B7B8C"/>
    <w:rsid w:val="6353259C"/>
    <w:rsid w:val="635A7DCF"/>
    <w:rsid w:val="636724EC"/>
    <w:rsid w:val="63952BB5"/>
    <w:rsid w:val="639A01CB"/>
    <w:rsid w:val="63B868A3"/>
    <w:rsid w:val="63D556A7"/>
    <w:rsid w:val="63D72461"/>
    <w:rsid w:val="63DC07E4"/>
    <w:rsid w:val="63ED479F"/>
    <w:rsid w:val="63F0428F"/>
    <w:rsid w:val="64002BE9"/>
    <w:rsid w:val="64181EC5"/>
    <w:rsid w:val="642F125B"/>
    <w:rsid w:val="643423CE"/>
    <w:rsid w:val="643F0D73"/>
    <w:rsid w:val="644A7E43"/>
    <w:rsid w:val="645E569D"/>
    <w:rsid w:val="648139C1"/>
    <w:rsid w:val="649015CE"/>
    <w:rsid w:val="64B71B62"/>
    <w:rsid w:val="64C44984"/>
    <w:rsid w:val="64DD4813"/>
    <w:rsid w:val="6502427A"/>
    <w:rsid w:val="650A75D2"/>
    <w:rsid w:val="653D1756"/>
    <w:rsid w:val="6540070B"/>
    <w:rsid w:val="65444892"/>
    <w:rsid w:val="6558033E"/>
    <w:rsid w:val="655F347A"/>
    <w:rsid w:val="65695A9D"/>
    <w:rsid w:val="657131AE"/>
    <w:rsid w:val="657659F9"/>
    <w:rsid w:val="65842F89"/>
    <w:rsid w:val="659375C8"/>
    <w:rsid w:val="65953340"/>
    <w:rsid w:val="65B65064"/>
    <w:rsid w:val="65E87914"/>
    <w:rsid w:val="65FF4C5D"/>
    <w:rsid w:val="66091638"/>
    <w:rsid w:val="661E1587"/>
    <w:rsid w:val="663522DE"/>
    <w:rsid w:val="66393956"/>
    <w:rsid w:val="664D37C1"/>
    <w:rsid w:val="66524D8D"/>
    <w:rsid w:val="666A0329"/>
    <w:rsid w:val="666B22F3"/>
    <w:rsid w:val="668E0232"/>
    <w:rsid w:val="668F5FE1"/>
    <w:rsid w:val="66925AD1"/>
    <w:rsid w:val="66941658"/>
    <w:rsid w:val="66973195"/>
    <w:rsid w:val="669B6734"/>
    <w:rsid w:val="66A01F9C"/>
    <w:rsid w:val="66B23A7E"/>
    <w:rsid w:val="66B26BFD"/>
    <w:rsid w:val="66C537B1"/>
    <w:rsid w:val="66C56213"/>
    <w:rsid w:val="66CB4B3F"/>
    <w:rsid w:val="66DC0AFB"/>
    <w:rsid w:val="66E55C01"/>
    <w:rsid w:val="66F347C2"/>
    <w:rsid w:val="66FE4F15"/>
    <w:rsid w:val="67000C8D"/>
    <w:rsid w:val="67010561"/>
    <w:rsid w:val="6707201B"/>
    <w:rsid w:val="670A1B0C"/>
    <w:rsid w:val="671958AB"/>
    <w:rsid w:val="6723497B"/>
    <w:rsid w:val="672E6309"/>
    <w:rsid w:val="67423054"/>
    <w:rsid w:val="67467314"/>
    <w:rsid w:val="675D1C3B"/>
    <w:rsid w:val="6779459B"/>
    <w:rsid w:val="677E1BB2"/>
    <w:rsid w:val="679F4002"/>
    <w:rsid w:val="67A27F96"/>
    <w:rsid w:val="67A91325"/>
    <w:rsid w:val="67D02912"/>
    <w:rsid w:val="67E7176C"/>
    <w:rsid w:val="6817628E"/>
    <w:rsid w:val="681A7B2C"/>
    <w:rsid w:val="684150B9"/>
    <w:rsid w:val="685079F2"/>
    <w:rsid w:val="686D4100"/>
    <w:rsid w:val="6871363F"/>
    <w:rsid w:val="687436E1"/>
    <w:rsid w:val="68817BAC"/>
    <w:rsid w:val="688356D2"/>
    <w:rsid w:val="68993147"/>
    <w:rsid w:val="689F0032"/>
    <w:rsid w:val="68A63855"/>
    <w:rsid w:val="68B23596"/>
    <w:rsid w:val="68B735CD"/>
    <w:rsid w:val="68B7537B"/>
    <w:rsid w:val="68BA4E6C"/>
    <w:rsid w:val="68BE495C"/>
    <w:rsid w:val="68C857DA"/>
    <w:rsid w:val="68CC52CB"/>
    <w:rsid w:val="68D423D1"/>
    <w:rsid w:val="68DC1286"/>
    <w:rsid w:val="68EA3793"/>
    <w:rsid w:val="68EE6D01"/>
    <w:rsid w:val="690802CD"/>
    <w:rsid w:val="691737EF"/>
    <w:rsid w:val="691A195A"/>
    <w:rsid w:val="691C1682"/>
    <w:rsid w:val="691C5D7F"/>
    <w:rsid w:val="691C78D4"/>
    <w:rsid w:val="693115D2"/>
    <w:rsid w:val="69313380"/>
    <w:rsid w:val="69331FB4"/>
    <w:rsid w:val="69366BE8"/>
    <w:rsid w:val="69431305"/>
    <w:rsid w:val="69584DB0"/>
    <w:rsid w:val="69644B5A"/>
    <w:rsid w:val="69666837"/>
    <w:rsid w:val="69731BEA"/>
    <w:rsid w:val="697E40EB"/>
    <w:rsid w:val="69847953"/>
    <w:rsid w:val="699B6A4B"/>
    <w:rsid w:val="699F653B"/>
    <w:rsid w:val="69A00505"/>
    <w:rsid w:val="69AA4EE0"/>
    <w:rsid w:val="69AE677E"/>
    <w:rsid w:val="69AF0748"/>
    <w:rsid w:val="69C75A92"/>
    <w:rsid w:val="6A0B1E23"/>
    <w:rsid w:val="6A1422BF"/>
    <w:rsid w:val="6A232095"/>
    <w:rsid w:val="6A3053E5"/>
    <w:rsid w:val="6A462E5B"/>
    <w:rsid w:val="6A731776"/>
    <w:rsid w:val="6A8A24F9"/>
    <w:rsid w:val="6AA67D9D"/>
    <w:rsid w:val="6ABA73A5"/>
    <w:rsid w:val="6AD42215"/>
    <w:rsid w:val="6ADE7537"/>
    <w:rsid w:val="6AF64881"/>
    <w:rsid w:val="6AF97ECD"/>
    <w:rsid w:val="6B085216"/>
    <w:rsid w:val="6B0B49BA"/>
    <w:rsid w:val="6B272C8C"/>
    <w:rsid w:val="6B362ECF"/>
    <w:rsid w:val="6B511AB7"/>
    <w:rsid w:val="6B7632CC"/>
    <w:rsid w:val="6B7C465A"/>
    <w:rsid w:val="6B80414A"/>
    <w:rsid w:val="6B824366"/>
    <w:rsid w:val="6B8C2AEF"/>
    <w:rsid w:val="6B8C40E1"/>
    <w:rsid w:val="6B8E4AB9"/>
    <w:rsid w:val="6B910106"/>
    <w:rsid w:val="6B947BF6"/>
    <w:rsid w:val="6B99520C"/>
    <w:rsid w:val="6BA51E03"/>
    <w:rsid w:val="6BBB33D4"/>
    <w:rsid w:val="6BBF2EC5"/>
    <w:rsid w:val="6BBF6778"/>
    <w:rsid w:val="6BC009EB"/>
    <w:rsid w:val="6BD6020E"/>
    <w:rsid w:val="6BF02FA5"/>
    <w:rsid w:val="6BF54B38"/>
    <w:rsid w:val="6C3311BD"/>
    <w:rsid w:val="6C450EF0"/>
    <w:rsid w:val="6C465394"/>
    <w:rsid w:val="6C467142"/>
    <w:rsid w:val="6C53185F"/>
    <w:rsid w:val="6C7146F7"/>
    <w:rsid w:val="6C7C2B64"/>
    <w:rsid w:val="6C9003BD"/>
    <w:rsid w:val="6C965C75"/>
    <w:rsid w:val="6C9F2CF6"/>
    <w:rsid w:val="6CA12577"/>
    <w:rsid w:val="6CB71DEE"/>
    <w:rsid w:val="6CD04C5E"/>
    <w:rsid w:val="6CDC3602"/>
    <w:rsid w:val="6CE95D1F"/>
    <w:rsid w:val="6CED1CB3"/>
    <w:rsid w:val="6CED5810"/>
    <w:rsid w:val="6CF52916"/>
    <w:rsid w:val="6CF7043C"/>
    <w:rsid w:val="6D016FE2"/>
    <w:rsid w:val="6D0D3798"/>
    <w:rsid w:val="6D0F39D8"/>
    <w:rsid w:val="6D1F7993"/>
    <w:rsid w:val="6D316543"/>
    <w:rsid w:val="6D325918"/>
    <w:rsid w:val="6D3A657B"/>
    <w:rsid w:val="6D401DE3"/>
    <w:rsid w:val="6D417909"/>
    <w:rsid w:val="6D454C6D"/>
    <w:rsid w:val="6D5C4743"/>
    <w:rsid w:val="6D723F67"/>
    <w:rsid w:val="6D934609"/>
    <w:rsid w:val="6DAA54AF"/>
    <w:rsid w:val="6DD53539"/>
    <w:rsid w:val="6DE2733E"/>
    <w:rsid w:val="6DEA1D4F"/>
    <w:rsid w:val="6DF332FA"/>
    <w:rsid w:val="6E072901"/>
    <w:rsid w:val="6E0E0133"/>
    <w:rsid w:val="6E1161F1"/>
    <w:rsid w:val="6E394AF1"/>
    <w:rsid w:val="6E6C09B6"/>
    <w:rsid w:val="6E71421E"/>
    <w:rsid w:val="6E8B7608"/>
    <w:rsid w:val="6EB1286D"/>
    <w:rsid w:val="6EB74CEA"/>
    <w:rsid w:val="6EE175F6"/>
    <w:rsid w:val="6EE42C42"/>
    <w:rsid w:val="6EE92007"/>
    <w:rsid w:val="6EF966EE"/>
    <w:rsid w:val="6F241291"/>
    <w:rsid w:val="6F2533C2"/>
    <w:rsid w:val="6F2968A7"/>
    <w:rsid w:val="6F3B4F58"/>
    <w:rsid w:val="6F5002D8"/>
    <w:rsid w:val="6F5C6C7D"/>
    <w:rsid w:val="6F655B31"/>
    <w:rsid w:val="6F89202D"/>
    <w:rsid w:val="6F8F4467"/>
    <w:rsid w:val="6FA702DC"/>
    <w:rsid w:val="6FBE7937"/>
    <w:rsid w:val="6FC84254"/>
    <w:rsid w:val="70052E70"/>
    <w:rsid w:val="7007308C"/>
    <w:rsid w:val="70310109"/>
    <w:rsid w:val="703D260A"/>
    <w:rsid w:val="70514307"/>
    <w:rsid w:val="707B1384"/>
    <w:rsid w:val="708422B7"/>
    <w:rsid w:val="7084648B"/>
    <w:rsid w:val="708741CD"/>
    <w:rsid w:val="708E10B8"/>
    <w:rsid w:val="70A94143"/>
    <w:rsid w:val="70B54732"/>
    <w:rsid w:val="70D25448"/>
    <w:rsid w:val="70D7566B"/>
    <w:rsid w:val="70DC1E23"/>
    <w:rsid w:val="70DF5DB7"/>
    <w:rsid w:val="70E471AF"/>
    <w:rsid w:val="70E60EF4"/>
    <w:rsid w:val="70F415B2"/>
    <w:rsid w:val="70F73101"/>
    <w:rsid w:val="70FC649E"/>
    <w:rsid w:val="71186BD3"/>
    <w:rsid w:val="71463740"/>
    <w:rsid w:val="714D2D21"/>
    <w:rsid w:val="714D4ACF"/>
    <w:rsid w:val="716562BC"/>
    <w:rsid w:val="71662C52"/>
    <w:rsid w:val="716A441A"/>
    <w:rsid w:val="717604C9"/>
    <w:rsid w:val="71777D9E"/>
    <w:rsid w:val="71810C1C"/>
    <w:rsid w:val="718801FD"/>
    <w:rsid w:val="71DB032D"/>
    <w:rsid w:val="71EF57F9"/>
    <w:rsid w:val="71F1168F"/>
    <w:rsid w:val="72005FE5"/>
    <w:rsid w:val="72084E9A"/>
    <w:rsid w:val="72086C48"/>
    <w:rsid w:val="722D066E"/>
    <w:rsid w:val="724A0232"/>
    <w:rsid w:val="72677E12"/>
    <w:rsid w:val="72825E07"/>
    <w:rsid w:val="72850298"/>
    <w:rsid w:val="729E2462"/>
    <w:rsid w:val="72A11576"/>
    <w:rsid w:val="72A9042B"/>
    <w:rsid w:val="72AB41A3"/>
    <w:rsid w:val="72C214EC"/>
    <w:rsid w:val="72D66D46"/>
    <w:rsid w:val="72E43211"/>
    <w:rsid w:val="72EB0A43"/>
    <w:rsid w:val="72EB27F1"/>
    <w:rsid w:val="730E533D"/>
    <w:rsid w:val="73131D48"/>
    <w:rsid w:val="7329331A"/>
    <w:rsid w:val="73520AC2"/>
    <w:rsid w:val="73536CF4"/>
    <w:rsid w:val="735A17EF"/>
    <w:rsid w:val="73722F12"/>
    <w:rsid w:val="738F5872"/>
    <w:rsid w:val="739D2CBD"/>
    <w:rsid w:val="739E1612"/>
    <w:rsid w:val="73BA21C4"/>
    <w:rsid w:val="73BA794D"/>
    <w:rsid w:val="73BC5F3C"/>
    <w:rsid w:val="73CD1EF7"/>
    <w:rsid w:val="73E57241"/>
    <w:rsid w:val="74082F2F"/>
    <w:rsid w:val="74100036"/>
    <w:rsid w:val="741F515C"/>
    <w:rsid w:val="742064CB"/>
    <w:rsid w:val="74312486"/>
    <w:rsid w:val="74463A57"/>
    <w:rsid w:val="745131DF"/>
    <w:rsid w:val="74582108"/>
    <w:rsid w:val="747405C4"/>
    <w:rsid w:val="74782557"/>
    <w:rsid w:val="747D391D"/>
    <w:rsid w:val="74842EFD"/>
    <w:rsid w:val="748E78D8"/>
    <w:rsid w:val="749016E6"/>
    <w:rsid w:val="74BF6E58"/>
    <w:rsid w:val="74C432FA"/>
    <w:rsid w:val="74D15A17"/>
    <w:rsid w:val="74DF0134"/>
    <w:rsid w:val="75096F5F"/>
    <w:rsid w:val="75243A0F"/>
    <w:rsid w:val="753A35BC"/>
    <w:rsid w:val="754B7577"/>
    <w:rsid w:val="75706FDE"/>
    <w:rsid w:val="75742F72"/>
    <w:rsid w:val="75750A98"/>
    <w:rsid w:val="75976C60"/>
    <w:rsid w:val="75B01AD0"/>
    <w:rsid w:val="75BF44B0"/>
    <w:rsid w:val="75C15A8B"/>
    <w:rsid w:val="75D43A11"/>
    <w:rsid w:val="75E35A02"/>
    <w:rsid w:val="75E43528"/>
    <w:rsid w:val="75EA4FE2"/>
    <w:rsid w:val="75FC2F67"/>
    <w:rsid w:val="75FE0A8D"/>
    <w:rsid w:val="76226699"/>
    <w:rsid w:val="76472434"/>
    <w:rsid w:val="764A5A81"/>
    <w:rsid w:val="76544B51"/>
    <w:rsid w:val="765B5EE0"/>
    <w:rsid w:val="765C63A7"/>
    <w:rsid w:val="766905FD"/>
    <w:rsid w:val="766C59F7"/>
    <w:rsid w:val="766E2873"/>
    <w:rsid w:val="76726D86"/>
    <w:rsid w:val="7678122F"/>
    <w:rsid w:val="769245DD"/>
    <w:rsid w:val="76C07AF1"/>
    <w:rsid w:val="76F105F2"/>
    <w:rsid w:val="76F8372F"/>
    <w:rsid w:val="76F93003"/>
    <w:rsid w:val="77020109"/>
    <w:rsid w:val="771147F0"/>
    <w:rsid w:val="772B3B04"/>
    <w:rsid w:val="77470212"/>
    <w:rsid w:val="77471FC0"/>
    <w:rsid w:val="774C3647"/>
    <w:rsid w:val="77562203"/>
    <w:rsid w:val="7776441B"/>
    <w:rsid w:val="77866F8C"/>
    <w:rsid w:val="778E7BEF"/>
    <w:rsid w:val="77B43AFA"/>
    <w:rsid w:val="77BC650A"/>
    <w:rsid w:val="77C81353"/>
    <w:rsid w:val="77C875A5"/>
    <w:rsid w:val="77D575CC"/>
    <w:rsid w:val="77EB5041"/>
    <w:rsid w:val="77F064F7"/>
    <w:rsid w:val="7808174F"/>
    <w:rsid w:val="781E71C5"/>
    <w:rsid w:val="78250553"/>
    <w:rsid w:val="782F13D2"/>
    <w:rsid w:val="783267CC"/>
    <w:rsid w:val="78342545"/>
    <w:rsid w:val="783E1615"/>
    <w:rsid w:val="78485FF0"/>
    <w:rsid w:val="784A1D68"/>
    <w:rsid w:val="785901FD"/>
    <w:rsid w:val="786077DD"/>
    <w:rsid w:val="7863107C"/>
    <w:rsid w:val="786F17CF"/>
    <w:rsid w:val="78743EEF"/>
    <w:rsid w:val="78880AE2"/>
    <w:rsid w:val="788C2381"/>
    <w:rsid w:val="78C82E8E"/>
    <w:rsid w:val="78CF226D"/>
    <w:rsid w:val="78DC45ED"/>
    <w:rsid w:val="78F148D9"/>
    <w:rsid w:val="78F30B09"/>
    <w:rsid w:val="78F41CD4"/>
    <w:rsid w:val="78F63C9E"/>
    <w:rsid w:val="79352A18"/>
    <w:rsid w:val="794A5D98"/>
    <w:rsid w:val="79534C4C"/>
    <w:rsid w:val="795D3D1D"/>
    <w:rsid w:val="79654980"/>
    <w:rsid w:val="79667075"/>
    <w:rsid w:val="79787F10"/>
    <w:rsid w:val="798474E4"/>
    <w:rsid w:val="799E680F"/>
    <w:rsid w:val="79A27982"/>
    <w:rsid w:val="79A731EA"/>
    <w:rsid w:val="79B3393D"/>
    <w:rsid w:val="79C124FE"/>
    <w:rsid w:val="79C30024"/>
    <w:rsid w:val="79D12015"/>
    <w:rsid w:val="79F77CCE"/>
    <w:rsid w:val="7A0643B5"/>
    <w:rsid w:val="7A124B07"/>
    <w:rsid w:val="7A1C5986"/>
    <w:rsid w:val="7A1E3999"/>
    <w:rsid w:val="7A256A27"/>
    <w:rsid w:val="7A2605B3"/>
    <w:rsid w:val="7A28257D"/>
    <w:rsid w:val="7A374D14"/>
    <w:rsid w:val="7A37631C"/>
    <w:rsid w:val="7A4153ED"/>
    <w:rsid w:val="7A4E7482"/>
    <w:rsid w:val="7A7255A6"/>
    <w:rsid w:val="7A772BBC"/>
    <w:rsid w:val="7A7C4677"/>
    <w:rsid w:val="7A7F5669"/>
    <w:rsid w:val="7A94551C"/>
    <w:rsid w:val="7A9478C2"/>
    <w:rsid w:val="7A990D85"/>
    <w:rsid w:val="7AA716F4"/>
    <w:rsid w:val="7AB932A6"/>
    <w:rsid w:val="7AD973D3"/>
    <w:rsid w:val="7AEE7323"/>
    <w:rsid w:val="7B09274F"/>
    <w:rsid w:val="7B095F0A"/>
    <w:rsid w:val="7B152B01"/>
    <w:rsid w:val="7B182646"/>
    <w:rsid w:val="7B352BF1"/>
    <w:rsid w:val="7B3D06D4"/>
    <w:rsid w:val="7B475FAB"/>
    <w:rsid w:val="7B4E7DC1"/>
    <w:rsid w:val="7B5D6256"/>
    <w:rsid w:val="7B607AF4"/>
    <w:rsid w:val="7B61392C"/>
    <w:rsid w:val="7B754F5D"/>
    <w:rsid w:val="7B7E331B"/>
    <w:rsid w:val="7B89704B"/>
    <w:rsid w:val="7B9E45DB"/>
    <w:rsid w:val="7BBE2AF8"/>
    <w:rsid w:val="7BC2430B"/>
    <w:rsid w:val="7BCD00F5"/>
    <w:rsid w:val="7BD76009"/>
    <w:rsid w:val="7BDA1655"/>
    <w:rsid w:val="7BE61DA8"/>
    <w:rsid w:val="7BF5023D"/>
    <w:rsid w:val="7C4E5B9F"/>
    <w:rsid w:val="7C514589"/>
    <w:rsid w:val="7C541407"/>
    <w:rsid w:val="7C6F6241"/>
    <w:rsid w:val="7C725D31"/>
    <w:rsid w:val="7C7C095E"/>
    <w:rsid w:val="7C947A56"/>
    <w:rsid w:val="7C9B7036"/>
    <w:rsid w:val="7C9C2DAE"/>
    <w:rsid w:val="7CA26617"/>
    <w:rsid w:val="7CAA54CB"/>
    <w:rsid w:val="7CCC5441"/>
    <w:rsid w:val="7CCF19CB"/>
    <w:rsid w:val="7CF624BE"/>
    <w:rsid w:val="7CFB7AD5"/>
    <w:rsid w:val="7D060228"/>
    <w:rsid w:val="7D0B583E"/>
    <w:rsid w:val="7D230DDA"/>
    <w:rsid w:val="7D2A660C"/>
    <w:rsid w:val="7D344D95"/>
    <w:rsid w:val="7D360B0D"/>
    <w:rsid w:val="7D3B25C7"/>
    <w:rsid w:val="7D494CE4"/>
    <w:rsid w:val="7D5B3117"/>
    <w:rsid w:val="7D6513F2"/>
    <w:rsid w:val="7D657644"/>
    <w:rsid w:val="7D676F18"/>
    <w:rsid w:val="7D9D4D8F"/>
    <w:rsid w:val="7DBB54B6"/>
    <w:rsid w:val="7DCC76C3"/>
    <w:rsid w:val="7DDB1BD7"/>
    <w:rsid w:val="7DE26D93"/>
    <w:rsid w:val="7DE63A7B"/>
    <w:rsid w:val="7DEC566F"/>
    <w:rsid w:val="7DF2712A"/>
    <w:rsid w:val="7DF30334"/>
    <w:rsid w:val="7E024E93"/>
    <w:rsid w:val="7E096221"/>
    <w:rsid w:val="7E0E1A8A"/>
    <w:rsid w:val="7E2C3CBE"/>
    <w:rsid w:val="7E2E5C88"/>
    <w:rsid w:val="7E462FD2"/>
    <w:rsid w:val="7E490D14"/>
    <w:rsid w:val="7E4B683A"/>
    <w:rsid w:val="7E607661"/>
    <w:rsid w:val="7E6C1230"/>
    <w:rsid w:val="7E6D2268"/>
    <w:rsid w:val="7E74183B"/>
    <w:rsid w:val="7E7F0292"/>
    <w:rsid w:val="7E834226"/>
    <w:rsid w:val="7E924469"/>
    <w:rsid w:val="7E9F0934"/>
    <w:rsid w:val="7EB30378"/>
    <w:rsid w:val="7EC3792E"/>
    <w:rsid w:val="7EE24B36"/>
    <w:rsid w:val="7F1555BA"/>
    <w:rsid w:val="7F171895"/>
    <w:rsid w:val="7F2826D7"/>
    <w:rsid w:val="7F453289"/>
    <w:rsid w:val="7F45772D"/>
    <w:rsid w:val="7F4F5EB6"/>
    <w:rsid w:val="7F517E80"/>
    <w:rsid w:val="7F580E55"/>
    <w:rsid w:val="7F5D4A77"/>
    <w:rsid w:val="7F673200"/>
    <w:rsid w:val="7F721BA4"/>
    <w:rsid w:val="7F8A5EFB"/>
    <w:rsid w:val="7FA02BB5"/>
    <w:rsid w:val="7FC44AF6"/>
    <w:rsid w:val="7FC9210C"/>
    <w:rsid w:val="7FCC5758"/>
    <w:rsid w:val="7FD559E2"/>
    <w:rsid w:val="7FDB599C"/>
    <w:rsid w:val="7FDD34C2"/>
    <w:rsid w:val="7FE842B1"/>
    <w:rsid w:val="7FEC39ED"/>
    <w:rsid w:val="7FF80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47"/>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48"/>
    <w:autoRedefine/>
    <w:qFormat/>
    <w:uiPriority w:val="0"/>
    <w:pPr>
      <w:keepNext/>
      <w:keepLines/>
      <w:spacing w:before="260" w:after="260" w:line="415" w:lineRule="auto"/>
      <w:ind w:firstLine="137" w:firstLineChars="49"/>
      <w:outlineLvl w:val="2"/>
    </w:pPr>
    <w:rPr>
      <w:rFonts w:ascii="黑体" w:hAnsi="宋体" w:eastAsia="黑体"/>
      <w:bCs/>
      <w:sz w:val="28"/>
      <w:szCs w:val="28"/>
    </w:rPr>
  </w:style>
  <w:style w:type="paragraph" w:styleId="5">
    <w:name w:val="heading 4"/>
    <w:basedOn w:val="1"/>
    <w:next w:val="1"/>
    <w:link w:val="49"/>
    <w:autoRedefine/>
    <w:qFormat/>
    <w:uiPriority w:val="0"/>
    <w:pPr>
      <w:keepNext/>
      <w:keepLines/>
      <w:spacing w:before="280" w:after="290" w:line="374" w:lineRule="auto"/>
      <w:outlineLvl w:val="3"/>
    </w:pPr>
    <w:rPr>
      <w:rFonts w:ascii="Arial" w:hAnsi="Arial" w:eastAsia="黑体"/>
      <w:b/>
      <w:bCs/>
      <w:sz w:val="28"/>
      <w:szCs w:val="28"/>
    </w:rPr>
  </w:style>
  <w:style w:type="paragraph" w:styleId="6">
    <w:name w:val="heading 6"/>
    <w:basedOn w:val="1"/>
    <w:next w:val="1"/>
    <w:autoRedefine/>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7">
    <w:name w:val="heading 7"/>
    <w:basedOn w:val="1"/>
    <w:next w:val="1"/>
    <w:autoRedefine/>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1"/>
    <w:next w:val="1"/>
    <w:autoRedefine/>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9">
    <w:name w:val="heading 9"/>
    <w:basedOn w:val="1"/>
    <w:next w:val="1"/>
    <w:autoRedefine/>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0"/>
    <w:pPr>
      <w:ind w:left="1260"/>
      <w:jc w:val="left"/>
    </w:pPr>
    <w:rPr>
      <w:sz w:val="18"/>
      <w:szCs w:val="18"/>
    </w:rPr>
  </w:style>
  <w:style w:type="paragraph" w:styleId="11">
    <w:name w:val="Normal Indent"/>
    <w:basedOn w:val="1"/>
    <w:autoRedefine/>
    <w:qFormat/>
    <w:uiPriority w:val="0"/>
    <w:pPr>
      <w:ind w:firstLine="420" w:firstLineChars="200"/>
    </w:pPr>
  </w:style>
  <w:style w:type="paragraph" w:styleId="12">
    <w:name w:val="Document Map"/>
    <w:basedOn w:val="1"/>
    <w:link w:val="50"/>
    <w:autoRedefine/>
    <w:qFormat/>
    <w:uiPriority w:val="0"/>
    <w:pPr>
      <w:shd w:val="clear" w:color="auto" w:fill="000080"/>
    </w:pPr>
  </w:style>
  <w:style w:type="paragraph" w:styleId="13">
    <w:name w:val="annotation text"/>
    <w:basedOn w:val="1"/>
    <w:link w:val="51"/>
    <w:autoRedefine/>
    <w:qFormat/>
    <w:uiPriority w:val="0"/>
    <w:pPr>
      <w:jc w:val="left"/>
    </w:pPr>
  </w:style>
  <w:style w:type="paragraph" w:styleId="14">
    <w:name w:val="Body Text 3"/>
    <w:basedOn w:val="1"/>
    <w:link w:val="52"/>
    <w:autoRedefine/>
    <w:qFormat/>
    <w:uiPriority w:val="0"/>
    <w:rPr>
      <w:rFonts w:ascii="宋体"/>
      <w:sz w:val="24"/>
      <w:szCs w:val="20"/>
    </w:rPr>
  </w:style>
  <w:style w:type="paragraph" w:styleId="15">
    <w:name w:val="Body Text"/>
    <w:basedOn w:val="1"/>
    <w:link w:val="53"/>
    <w:autoRedefine/>
    <w:qFormat/>
    <w:uiPriority w:val="0"/>
    <w:pPr>
      <w:spacing w:after="120"/>
    </w:pPr>
  </w:style>
  <w:style w:type="paragraph" w:styleId="16">
    <w:name w:val="Body Text Indent"/>
    <w:basedOn w:val="1"/>
    <w:autoRedefine/>
    <w:qFormat/>
    <w:uiPriority w:val="0"/>
    <w:pPr>
      <w:spacing w:after="120"/>
      <w:ind w:left="420" w:leftChars="200"/>
    </w:pPr>
  </w:style>
  <w:style w:type="paragraph" w:styleId="17">
    <w:name w:val="toc 5"/>
    <w:basedOn w:val="1"/>
    <w:next w:val="1"/>
    <w:autoRedefine/>
    <w:qFormat/>
    <w:uiPriority w:val="0"/>
    <w:pPr>
      <w:ind w:left="840"/>
      <w:jc w:val="left"/>
    </w:pPr>
    <w:rPr>
      <w:sz w:val="18"/>
      <w:szCs w:val="18"/>
    </w:rPr>
  </w:style>
  <w:style w:type="paragraph" w:styleId="18">
    <w:name w:val="toc 3"/>
    <w:basedOn w:val="1"/>
    <w:next w:val="1"/>
    <w:autoRedefine/>
    <w:qFormat/>
    <w:uiPriority w:val="39"/>
    <w:pPr>
      <w:ind w:left="420"/>
      <w:jc w:val="left"/>
    </w:pPr>
    <w:rPr>
      <w:iCs/>
      <w:sz w:val="20"/>
      <w:szCs w:val="20"/>
    </w:rPr>
  </w:style>
  <w:style w:type="paragraph" w:styleId="19">
    <w:name w:val="Plain Text"/>
    <w:basedOn w:val="1"/>
    <w:next w:val="1"/>
    <w:link w:val="54"/>
    <w:autoRedefine/>
    <w:qFormat/>
    <w:uiPriority w:val="0"/>
    <w:rPr>
      <w:rFonts w:ascii="等线" w:hAnsi="Courier New" w:eastAsia="等线"/>
      <w:szCs w:val="22"/>
    </w:rPr>
  </w:style>
  <w:style w:type="paragraph" w:styleId="20">
    <w:name w:val="toc 8"/>
    <w:basedOn w:val="1"/>
    <w:next w:val="1"/>
    <w:autoRedefine/>
    <w:qFormat/>
    <w:uiPriority w:val="0"/>
    <w:pPr>
      <w:ind w:left="1470"/>
      <w:jc w:val="left"/>
    </w:pPr>
    <w:rPr>
      <w:sz w:val="18"/>
      <w:szCs w:val="18"/>
    </w:rPr>
  </w:style>
  <w:style w:type="paragraph" w:styleId="21">
    <w:name w:val="Date"/>
    <w:basedOn w:val="1"/>
    <w:next w:val="1"/>
    <w:link w:val="55"/>
    <w:autoRedefine/>
    <w:qFormat/>
    <w:uiPriority w:val="0"/>
    <w:rPr>
      <w:sz w:val="24"/>
      <w:szCs w:val="20"/>
    </w:rPr>
  </w:style>
  <w:style w:type="paragraph" w:styleId="22">
    <w:name w:val="Balloon Text"/>
    <w:basedOn w:val="1"/>
    <w:autoRedefine/>
    <w:qFormat/>
    <w:uiPriority w:val="0"/>
    <w:rPr>
      <w:sz w:val="18"/>
      <w:szCs w:val="18"/>
    </w:rPr>
  </w:style>
  <w:style w:type="paragraph" w:styleId="23">
    <w:name w:val="footer"/>
    <w:basedOn w:val="1"/>
    <w:link w:val="56"/>
    <w:autoRedefine/>
    <w:qFormat/>
    <w:uiPriority w:val="0"/>
    <w:pPr>
      <w:tabs>
        <w:tab w:val="center" w:pos="4153"/>
        <w:tab w:val="right" w:pos="8306"/>
      </w:tabs>
      <w:snapToGrid w:val="0"/>
      <w:jc w:val="left"/>
    </w:pPr>
    <w:rPr>
      <w:sz w:val="18"/>
      <w:szCs w:val="18"/>
    </w:rPr>
  </w:style>
  <w:style w:type="paragraph" w:styleId="24">
    <w:name w:val="header"/>
    <w:basedOn w:val="1"/>
    <w:link w:val="57"/>
    <w:autoRedefine/>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pPr>
      <w:spacing w:before="120" w:after="120"/>
      <w:jc w:val="left"/>
    </w:pPr>
    <w:rPr>
      <w:b/>
      <w:bCs/>
      <w:caps/>
      <w:sz w:val="20"/>
      <w:szCs w:val="20"/>
    </w:rPr>
  </w:style>
  <w:style w:type="paragraph" w:styleId="26">
    <w:name w:val="toc 4"/>
    <w:basedOn w:val="1"/>
    <w:next w:val="1"/>
    <w:autoRedefine/>
    <w:qFormat/>
    <w:uiPriority w:val="0"/>
    <w:pPr>
      <w:ind w:left="630"/>
      <w:jc w:val="left"/>
    </w:pPr>
    <w:rPr>
      <w:sz w:val="18"/>
      <w:szCs w:val="18"/>
    </w:rPr>
  </w:style>
  <w:style w:type="paragraph" w:styleId="27">
    <w:name w:val="toc 6"/>
    <w:basedOn w:val="1"/>
    <w:next w:val="1"/>
    <w:autoRedefine/>
    <w:qFormat/>
    <w:uiPriority w:val="0"/>
    <w:pPr>
      <w:ind w:left="1050"/>
      <w:jc w:val="left"/>
    </w:pPr>
    <w:rPr>
      <w:sz w:val="18"/>
      <w:szCs w:val="18"/>
    </w:rPr>
  </w:style>
  <w:style w:type="paragraph" w:styleId="28">
    <w:name w:val="Body Text Indent 3"/>
    <w:basedOn w:val="1"/>
    <w:autoRedefine/>
    <w:qFormat/>
    <w:uiPriority w:val="0"/>
    <w:pPr>
      <w:spacing w:after="120"/>
      <w:ind w:left="420" w:leftChars="200"/>
    </w:pPr>
    <w:rPr>
      <w:sz w:val="16"/>
      <w:szCs w:val="16"/>
    </w:rPr>
  </w:style>
  <w:style w:type="paragraph" w:styleId="29">
    <w:name w:val="toc 2"/>
    <w:basedOn w:val="1"/>
    <w:next w:val="1"/>
    <w:autoRedefine/>
    <w:qFormat/>
    <w:uiPriority w:val="39"/>
    <w:pPr>
      <w:ind w:left="210"/>
      <w:jc w:val="left"/>
    </w:pPr>
    <w:rPr>
      <w:smallCaps/>
      <w:sz w:val="20"/>
      <w:szCs w:val="20"/>
    </w:rPr>
  </w:style>
  <w:style w:type="paragraph" w:styleId="30">
    <w:name w:val="toc 9"/>
    <w:basedOn w:val="1"/>
    <w:next w:val="1"/>
    <w:autoRedefine/>
    <w:qFormat/>
    <w:uiPriority w:val="0"/>
    <w:pPr>
      <w:ind w:left="1680"/>
      <w:jc w:val="left"/>
    </w:pPr>
    <w:rPr>
      <w:sz w:val="18"/>
      <w:szCs w:val="18"/>
    </w:rPr>
  </w:style>
  <w:style w:type="paragraph" w:styleId="31">
    <w:name w:val="Normal (Web)"/>
    <w:basedOn w:val="1"/>
    <w:autoRedefine/>
    <w:qFormat/>
    <w:uiPriority w:val="0"/>
    <w:pPr>
      <w:widowControl/>
      <w:spacing w:before="100" w:beforeAutospacing="1" w:after="100" w:afterAutospacing="1"/>
      <w:jc w:val="left"/>
    </w:pPr>
    <w:rPr>
      <w:rFonts w:ascii="宋体" w:hAnsi="宋体" w:eastAsia="楷体_GB2312" w:cs="宋体"/>
      <w:kern w:val="0"/>
      <w:sz w:val="24"/>
    </w:rPr>
  </w:style>
  <w:style w:type="paragraph" w:styleId="32">
    <w:name w:val="index 1"/>
    <w:basedOn w:val="1"/>
    <w:next w:val="1"/>
    <w:autoRedefine/>
    <w:qFormat/>
    <w:uiPriority w:val="0"/>
    <w:pPr>
      <w:spacing w:line="220" w:lineRule="exact"/>
      <w:jc w:val="center"/>
    </w:pPr>
    <w:rPr>
      <w:rFonts w:ascii="仿宋_GB2312" w:eastAsia="仿宋_GB2312"/>
      <w:szCs w:val="21"/>
    </w:rPr>
  </w:style>
  <w:style w:type="paragraph" w:styleId="33">
    <w:name w:val="Title"/>
    <w:basedOn w:val="1"/>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4">
    <w:name w:val="annotation subject"/>
    <w:basedOn w:val="13"/>
    <w:next w:val="13"/>
    <w:link w:val="58"/>
    <w:autoRedefine/>
    <w:qFormat/>
    <w:uiPriority w:val="0"/>
    <w:pPr>
      <w:jc w:val="both"/>
    </w:pPr>
    <w:rPr>
      <w:b/>
      <w:bCs/>
    </w:rPr>
  </w:style>
  <w:style w:type="paragraph" w:styleId="35">
    <w:name w:val="Body Text First Indent"/>
    <w:basedOn w:val="15"/>
    <w:link w:val="59"/>
    <w:qFormat/>
    <w:uiPriority w:val="0"/>
    <w:pPr>
      <w:spacing w:line="312" w:lineRule="auto"/>
      <w:ind w:firstLine="420"/>
    </w:pPr>
    <w:rPr>
      <w:kern w:val="0"/>
      <w:sz w:val="20"/>
      <w:szCs w:val="20"/>
    </w:rPr>
  </w:style>
  <w:style w:type="paragraph" w:styleId="36">
    <w:name w:val="Body Text First Indent 2"/>
    <w:basedOn w:val="16"/>
    <w:autoRedefine/>
    <w:unhideWhenUsed/>
    <w:qFormat/>
    <w:uiPriority w:val="0"/>
    <w:pPr>
      <w:ind w:firstLine="420" w:firstLineChars="200"/>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uiPriority w:val="22"/>
    <w:rPr>
      <w:b/>
      <w:bCs/>
    </w:rPr>
  </w:style>
  <w:style w:type="character" w:styleId="41">
    <w:name w:val="page number"/>
    <w:autoRedefine/>
    <w:qFormat/>
    <w:uiPriority w:val="0"/>
  </w:style>
  <w:style w:type="character" w:styleId="42">
    <w:name w:val="FollowedHyperlink"/>
    <w:autoRedefine/>
    <w:qFormat/>
    <w:uiPriority w:val="0"/>
    <w:rPr>
      <w:color w:val="800080"/>
      <w:u w:val="single"/>
    </w:rPr>
  </w:style>
  <w:style w:type="character" w:styleId="43">
    <w:name w:val="Hyperlink"/>
    <w:qFormat/>
    <w:uiPriority w:val="99"/>
    <w:rPr>
      <w:color w:val="0000FF"/>
      <w:u w:val="single"/>
    </w:rPr>
  </w:style>
  <w:style w:type="character" w:styleId="44">
    <w:name w:val="annotation reference"/>
    <w:qFormat/>
    <w:uiPriority w:val="0"/>
    <w:rPr>
      <w:sz w:val="21"/>
      <w:szCs w:val="21"/>
    </w:rPr>
  </w:style>
  <w:style w:type="character" w:styleId="45">
    <w:name w:val="footnote reference"/>
    <w:autoRedefine/>
    <w:qFormat/>
    <w:uiPriority w:val="0"/>
    <w:rPr>
      <w:vertAlign w:val="superscript"/>
    </w:rPr>
  </w:style>
  <w:style w:type="character" w:customStyle="1" w:styleId="46">
    <w:name w:val="标题 1 字符"/>
    <w:link w:val="2"/>
    <w:qFormat/>
    <w:uiPriority w:val="0"/>
    <w:rPr>
      <w:rFonts w:eastAsia="宋体"/>
      <w:b/>
      <w:bCs/>
      <w:kern w:val="44"/>
      <w:sz w:val="44"/>
      <w:szCs w:val="44"/>
      <w:lang w:val="en-US" w:eastAsia="zh-CN" w:bidi="ar-SA"/>
    </w:rPr>
  </w:style>
  <w:style w:type="character" w:customStyle="1" w:styleId="47">
    <w:name w:val="标题 2 字符"/>
    <w:link w:val="3"/>
    <w:qFormat/>
    <w:uiPriority w:val="0"/>
    <w:rPr>
      <w:rFonts w:ascii="Arial" w:hAnsi="Arial" w:eastAsia="黑体"/>
      <w:b/>
      <w:bCs/>
      <w:kern w:val="2"/>
      <w:sz w:val="32"/>
      <w:szCs w:val="32"/>
      <w:lang w:val="en-US" w:eastAsia="zh-CN" w:bidi="ar-SA"/>
    </w:rPr>
  </w:style>
  <w:style w:type="character" w:customStyle="1" w:styleId="48">
    <w:name w:val="标题 3 字符"/>
    <w:link w:val="4"/>
    <w:qFormat/>
    <w:uiPriority w:val="0"/>
    <w:rPr>
      <w:rFonts w:ascii="黑体" w:hAnsi="宋体" w:eastAsia="黑体"/>
      <w:bCs/>
      <w:kern w:val="2"/>
      <w:sz w:val="28"/>
      <w:szCs w:val="28"/>
      <w:lang w:val="en-US" w:eastAsia="zh-CN" w:bidi="ar-SA"/>
    </w:rPr>
  </w:style>
  <w:style w:type="character" w:customStyle="1" w:styleId="49">
    <w:name w:val="标题 4 字符"/>
    <w:link w:val="5"/>
    <w:autoRedefine/>
    <w:qFormat/>
    <w:uiPriority w:val="0"/>
    <w:rPr>
      <w:rFonts w:ascii="Arial" w:hAnsi="Arial" w:eastAsia="黑体"/>
      <w:b/>
      <w:bCs/>
      <w:kern w:val="2"/>
      <w:sz w:val="28"/>
      <w:szCs w:val="28"/>
      <w:lang w:val="en-US" w:eastAsia="zh-CN" w:bidi="ar-SA"/>
    </w:rPr>
  </w:style>
  <w:style w:type="character" w:customStyle="1" w:styleId="50">
    <w:name w:val="文档结构图 字符"/>
    <w:link w:val="12"/>
    <w:qFormat/>
    <w:uiPriority w:val="0"/>
    <w:rPr>
      <w:rFonts w:eastAsia="宋体"/>
      <w:kern w:val="2"/>
      <w:sz w:val="21"/>
      <w:szCs w:val="24"/>
      <w:lang w:val="en-US" w:eastAsia="zh-CN" w:bidi="ar-SA"/>
    </w:rPr>
  </w:style>
  <w:style w:type="character" w:customStyle="1" w:styleId="51">
    <w:name w:val="批注文字 字符"/>
    <w:link w:val="13"/>
    <w:autoRedefine/>
    <w:qFormat/>
    <w:uiPriority w:val="0"/>
    <w:rPr>
      <w:rFonts w:eastAsia="宋体"/>
      <w:kern w:val="2"/>
      <w:sz w:val="21"/>
      <w:szCs w:val="24"/>
      <w:lang w:val="en-US" w:eastAsia="zh-CN" w:bidi="ar-SA"/>
    </w:rPr>
  </w:style>
  <w:style w:type="character" w:customStyle="1" w:styleId="52">
    <w:name w:val="正文文本 3 字符"/>
    <w:link w:val="14"/>
    <w:autoRedefine/>
    <w:qFormat/>
    <w:uiPriority w:val="0"/>
    <w:rPr>
      <w:rFonts w:ascii="宋体"/>
      <w:kern w:val="2"/>
      <w:sz w:val="24"/>
    </w:rPr>
  </w:style>
  <w:style w:type="character" w:customStyle="1" w:styleId="53">
    <w:name w:val="正文文本 字符"/>
    <w:link w:val="15"/>
    <w:qFormat/>
    <w:uiPriority w:val="0"/>
    <w:rPr>
      <w:rFonts w:eastAsia="宋体"/>
      <w:kern w:val="2"/>
      <w:sz w:val="21"/>
      <w:szCs w:val="24"/>
      <w:lang w:val="en-US" w:eastAsia="zh-CN" w:bidi="ar-SA"/>
    </w:rPr>
  </w:style>
  <w:style w:type="character" w:customStyle="1" w:styleId="54">
    <w:name w:val="纯文本 字符"/>
    <w:link w:val="19"/>
    <w:autoRedefine/>
    <w:qFormat/>
    <w:uiPriority w:val="0"/>
    <w:rPr>
      <w:rFonts w:ascii="等线" w:hAnsi="Courier New" w:eastAsia="等线" w:cs="Courier New"/>
      <w:kern w:val="2"/>
      <w:sz w:val="21"/>
      <w:szCs w:val="22"/>
    </w:rPr>
  </w:style>
  <w:style w:type="character" w:customStyle="1" w:styleId="55">
    <w:name w:val="日期 字符"/>
    <w:link w:val="21"/>
    <w:qFormat/>
    <w:uiPriority w:val="0"/>
    <w:rPr>
      <w:kern w:val="2"/>
      <w:sz w:val="24"/>
    </w:rPr>
  </w:style>
  <w:style w:type="character" w:customStyle="1" w:styleId="56">
    <w:name w:val="页脚 字符"/>
    <w:link w:val="23"/>
    <w:qFormat/>
    <w:uiPriority w:val="0"/>
    <w:rPr>
      <w:rFonts w:eastAsia="宋体"/>
      <w:kern w:val="2"/>
      <w:sz w:val="18"/>
      <w:szCs w:val="18"/>
      <w:lang w:val="en-US" w:eastAsia="zh-CN" w:bidi="ar-SA"/>
    </w:rPr>
  </w:style>
  <w:style w:type="character" w:customStyle="1" w:styleId="57">
    <w:name w:val="页眉 字符"/>
    <w:link w:val="24"/>
    <w:autoRedefine/>
    <w:qFormat/>
    <w:uiPriority w:val="0"/>
    <w:rPr>
      <w:rFonts w:eastAsia="宋体"/>
      <w:kern w:val="2"/>
      <w:sz w:val="18"/>
      <w:szCs w:val="18"/>
      <w:lang w:val="en-US" w:eastAsia="zh-CN" w:bidi="ar-SA"/>
    </w:rPr>
  </w:style>
  <w:style w:type="character" w:customStyle="1" w:styleId="58">
    <w:name w:val="批注主题 字符"/>
    <w:link w:val="34"/>
    <w:autoRedefine/>
    <w:qFormat/>
    <w:uiPriority w:val="0"/>
    <w:rPr>
      <w:rFonts w:eastAsia="宋体"/>
      <w:b/>
      <w:bCs/>
      <w:kern w:val="2"/>
      <w:sz w:val="21"/>
      <w:szCs w:val="24"/>
      <w:lang w:val="en-US" w:eastAsia="zh-CN" w:bidi="ar-SA"/>
    </w:rPr>
  </w:style>
  <w:style w:type="character" w:customStyle="1" w:styleId="59">
    <w:name w:val="正文文本首行缩进 字符"/>
    <w:link w:val="35"/>
    <w:autoRedefine/>
    <w:qFormat/>
    <w:uiPriority w:val="0"/>
    <w:rPr>
      <w:lang w:val="en-US" w:eastAsia="zh-CN" w:bidi="ar-SA"/>
    </w:rPr>
  </w:style>
  <w:style w:type="character" w:customStyle="1" w:styleId="60">
    <w:name w:val="批注文字 Char1"/>
    <w:semiHidden/>
    <w:qFormat/>
    <w:locked/>
    <w:uiPriority w:val="0"/>
    <w:rPr>
      <w:kern w:val="2"/>
      <w:sz w:val="21"/>
      <w:szCs w:val="22"/>
    </w:rPr>
  </w:style>
  <w:style w:type="character" w:customStyle="1" w:styleId="61">
    <w:name w:val="font161"/>
    <w:qFormat/>
    <w:uiPriority w:val="0"/>
    <w:rPr>
      <w:b/>
      <w:bCs/>
      <w:sz w:val="32"/>
      <w:szCs w:val="32"/>
    </w:rPr>
  </w:style>
  <w:style w:type="character" w:customStyle="1" w:styleId="62">
    <w:name w:val="font11"/>
    <w:qFormat/>
    <w:uiPriority w:val="0"/>
    <w:rPr>
      <w:rFonts w:hint="eastAsia" w:ascii="仿宋" w:hAnsi="仿宋" w:eastAsia="仿宋" w:cs="仿宋"/>
      <w:color w:val="000000"/>
      <w:sz w:val="28"/>
      <w:szCs w:val="28"/>
      <w:u w:val="none"/>
    </w:rPr>
  </w:style>
  <w:style w:type="character" w:customStyle="1" w:styleId="63">
    <w:name w:val="font21"/>
    <w:autoRedefine/>
    <w:qFormat/>
    <w:uiPriority w:val="0"/>
    <w:rPr>
      <w:rFonts w:hint="eastAsia" w:ascii="仿宋" w:hAnsi="仿宋" w:eastAsia="仿宋" w:cs="仿宋"/>
      <w:b/>
      <w:color w:val="000000"/>
      <w:sz w:val="28"/>
      <w:szCs w:val="28"/>
      <w:u w:val="none"/>
    </w:rPr>
  </w:style>
  <w:style w:type="character" w:customStyle="1" w:styleId="64">
    <w:name w:val="文一 Char Char"/>
    <w:link w:val="65"/>
    <w:autoRedefine/>
    <w:qFormat/>
    <w:uiPriority w:val="0"/>
    <w:rPr>
      <w:rFonts w:ascii="等线" w:hAnsi="等线" w:eastAsia="等线"/>
      <w:spacing w:val="4"/>
      <w:sz w:val="24"/>
      <w:szCs w:val="24"/>
    </w:rPr>
  </w:style>
  <w:style w:type="paragraph" w:customStyle="1" w:styleId="65">
    <w:name w:val="文一"/>
    <w:basedOn w:val="1"/>
    <w:link w:val="64"/>
    <w:qFormat/>
    <w:uiPriority w:val="0"/>
    <w:pPr>
      <w:topLinePunct/>
      <w:adjustRightInd w:val="0"/>
      <w:snapToGrid w:val="0"/>
      <w:spacing w:line="360" w:lineRule="auto"/>
      <w:ind w:firstLine="200" w:firstLineChars="200"/>
    </w:pPr>
    <w:rPr>
      <w:rFonts w:ascii="等线" w:hAnsi="等线" w:eastAsia="等线"/>
      <w:spacing w:val="4"/>
      <w:kern w:val="0"/>
      <w:sz w:val="24"/>
    </w:rPr>
  </w:style>
  <w:style w:type="character" w:customStyle="1" w:styleId="66">
    <w:name w:val="fontstyle01"/>
    <w:autoRedefine/>
    <w:qFormat/>
    <w:uiPriority w:val="0"/>
    <w:rPr>
      <w:rFonts w:hint="eastAsia" w:ascii="宋体" w:hAnsi="宋体" w:eastAsia="宋体"/>
      <w:color w:val="000000"/>
      <w:sz w:val="22"/>
      <w:szCs w:val="22"/>
    </w:rPr>
  </w:style>
  <w:style w:type="character" w:customStyle="1" w:styleId="67">
    <w:name w:val="纯文本 Char"/>
    <w:autoRedefine/>
    <w:qFormat/>
    <w:uiPriority w:val="0"/>
    <w:rPr>
      <w:rFonts w:ascii="等线" w:hAnsi="Courier New" w:eastAsia="等线"/>
      <w:kern w:val="2"/>
      <w:sz w:val="21"/>
      <w:szCs w:val="22"/>
      <w:lang w:bidi="ar-SA"/>
    </w:rPr>
  </w:style>
  <w:style w:type="character" w:customStyle="1" w:styleId="68">
    <w:name w:val="批注文字 Char2"/>
    <w:autoRedefine/>
    <w:qFormat/>
    <w:uiPriority w:val="0"/>
  </w:style>
  <w:style w:type="paragraph" w:styleId="69">
    <w:name w:val="List Paragraph"/>
    <w:basedOn w:val="1"/>
    <w:qFormat/>
    <w:uiPriority w:val="99"/>
    <w:pPr>
      <w:ind w:firstLine="420" w:firstLineChars="200"/>
    </w:pPr>
    <w:rPr>
      <w:szCs w:val="20"/>
    </w:rPr>
  </w:style>
  <w:style w:type="paragraph" w:customStyle="1" w:styleId="70">
    <w:name w:val="样式 标题 3 + (中文) 黑体 小四 非加粗 段前: 7.8 磅 段后: 0 磅 行距: 固定值 20 磅"/>
    <w:basedOn w:val="4"/>
    <w:autoRedefine/>
    <w:qFormat/>
    <w:uiPriority w:val="0"/>
    <w:pPr>
      <w:spacing w:before="0" w:after="0" w:line="400" w:lineRule="exact"/>
    </w:pPr>
    <w:rPr>
      <w:rFonts w:cs="宋体"/>
      <w:bCs w:val="0"/>
      <w:sz w:val="24"/>
      <w:szCs w:val="20"/>
    </w:rPr>
  </w:style>
  <w:style w:type="paragraph" w:customStyle="1" w:styleId="71">
    <w:name w:val="修订1"/>
    <w:autoRedefine/>
    <w:semiHidden/>
    <w:qFormat/>
    <w:uiPriority w:val="99"/>
    <w:rPr>
      <w:rFonts w:ascii="Times New Roman" w:hAnsi="Times New Roman" w:eastAsia="宋体" w:cs="Times New Roman"/>
      <w:kern w:val="2"/>
      <w:sz w:val="21"/>
      <w:szCs w:val="24"/>
      <w:lang w:val="en-US" w:eastAsia="zh-CN" w:bidi="ar-SA"/>
    </w:rPr>
  </w:style>
  <w:style w:type="paragraph" w:customStyle="1" w:styleId="72">
    <w:name w:val="章节三"/>
    <w:basedOn w:val="1"/>
    <w:next w:val="1"/>
    <w:autoRedefine/>
    <w:qFormat/>
    <w:uiPriority w:val="0"/>
    <w:pPr>
      <w:topLinePunct/>
      <w:adjustRightInd w:val="0"/>
      <w:snapToGrid w:val="0"/>
      <w:spacing w:beforeLines="50" w:afterLines="50"/>
      <w:jc w:val="left"/>
      <w:outlineLvl w:val="2"/>
    </w:pPr>
    <w:rPr>
      <w:rFonts w:ascii="黑体" w:hAnsi="宋体" w:eastAsia="黑体"/>
      <w:b/>
      <w:spacing w:val="4"/>
      <w:sz w:val="24"/>
    </w:rPr>
  </w:style>
  <w:style w:type="paragraph" w:customStyle="1" w:styleId="73">
    <w:name w:val="表头"/>
    <w:basedOn w:val="1"/>
    <w:autoRedefine/>
    <w:qFormat/>
    <w:uiPriority w:val="0"/>
    <w:pPr>
      <w:spacing w:line="360" w:lineRule="auto"/>
      <w:jc w:val="center"/>
    </w:pPr>
    <w:rPr>
      <w:rFonts w:ascii="黑体" w:eastAsia="黑体"/>
      <w:kern w:val="0"/>
      <w:sz w:val="24"/>
      <w:szCs w:val="20"/>
    </w:rPr>
  </w:style>
  <w:style w:type="paragraph" w:customStyle="1" w:styleId="74">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75">
    <w:name w:val="Other|1"/>
    <w:basedOn w:val="1"/>
    <w:autoRedefine/>
    <w:qFormat/>
    <w:uiPriority w:val="0"/>
    <w:pPr>
      <w:spacing w:line="228" w:lineRule="exact"/>
    </w:pPr>
    <w:rPr>
      <w:rFonts w:ascii="宋体" w:hAnsi="宋体" w:cs="宋体"/>
      <w:sz w:val="17"/>
      <w:szCs w:val="17"/>
      <w:lang w:val="zh-TW" w:eastAsia="zh-TW" w:bidi="zh-TW"/>
    </w:rPr>
  </w:style>
  <w:style w:type="paragraph" w:customStyle="1" w:styleId="76">
    <w:name w:val="修订11"/>
    <w:qFormat/>
    <w:uiPriority w:val="0"/>
    <w:rPr>
      <w:rFonts w:ascii="Times New Roman" w:hAnsi="Times New Roman" w:eastAsia="宋体" w:cs="Times New Roman"/>
      <w:kern w:val="2"/>
      <w:sz w:val="21"/>
      <w:szCs w:val="24"/>
      <w:lang w:val="en-US" w:eastAsia="zh-CN" w:bidi="ar-SA"/>
    </w:rPr>
  </w:style>
  <w:style w:type="paragraph" w:customStyle="1" w:styleId="77">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8">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79">
    <w:name w:val="样式2"/>
    <w:basedOn w:val="4"/>
    <w:qFormat/>
    <w:uiPriority w:val="0"/>
    <w:rPr>
      <w:i/>
    </w:rPr>
  </w:style>
  <w:style w:type="paragraph" w:customStyle="1" w:styleId="80">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81">
    <w:name w:val="表格文字"/>
    <w:basedOn w:val="1"/>
    <w:autoRedefine/>
    <w:qFormat/>
    <w:uiPriority w:val="0"/>
    <w:pPr>
      <w:adjustRightInd w:val="0"/>
      <w:spacing w:line="420" w:lineRule="atLeast"/>
      <w:jc w:val="left"/>
      <w:textAlignment w:val="baseline"/>
    </w:pPr>
    <w:rPr>
      <w:kern w:val="0"/>
      <w:szCs w:val="20"/>
    </w:rPr>
  </w:style>
  <w:style w:type="paragraph" w:customStyle="1" w:styleId="82">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83">
    <w:name w:val="Char1"/>
    <w:basedOn w:val="1"/>
    <w:autoRedefine/>
    <w:qFormat/>
    <w:uiPriority w:val="0"/>
    <w:pPr>
      <w:tabs>
        <w:tab w:val="left" w:pos="360"/>
      </w:tabs>
    </w:pPr>
    <w:rPr>
      <w:sz w:val="24"/>
    </w:rPr>
  </w:style>
  <w:style w:type="paragraph" w:customStyle="1" w:styleId="84">
    <w:name w:val="发文落款"/>
    <w:basedOn w:val="80"/>
    <w:autoRedefine/>
    <w:qFormat/>
    <w:uiPriority w:val="0"/>
    <w:pPr>
      <w:ind w:left="4094" w:right="607" w:firstLine="0"/>
      <w:jc w:val="center"/>
    </w:pPr>
  </w:style>
  <w:style w:type="paragraph" w:customStyle="1" w:styleId="85">
    <w:name w:val="1"/>
    <w:basedOn w:val="1"/>
    <w:autoRedefine/>
    <w:qFormat/>
    <w:uiPriority w:val="0"/>
  </w:style>
  <w:style w:type="paragraph" w:customStyle="1" w:styleId="86">
    <w:name w:val="样式1"/>
    <w:basedOn w:val="1"/>
    <w:qFormat/>
    <w:uiPriority w:val="0"/>
    <w:pPr>
      <w:spacing w:line="360" w:lineRule="auto"/>
      <w:ind w:firstLine="420" w:firstLineChars="200"/>
    </w:pPr>
    <w:rPr>
      <w:rFonts w:ascii="宋体" w:hAnsi="宋体"/>
      <w:szCs w:val="21"/>
    </w:rPr>
  </w:style>
  <w:style w:type="paragraph" w:customStyle="1" w:styleId="87">
    <w:name w:val="正题"/>
    <w:basedOn w:val="65"/>
    <w:next w:val="65"/>
    <w:autoRedefine/>
    <w:qFormat/>
    <w:uiPriority w:val="0"/>
    <w:pPr>
      <w:ind w:firstLine="0" w:firstLineChars="0"/>
      <w:jc w:val="center"/>
    </w:pPr>
    <w:rPr>
      <w:rFonts w:eastAsia="黑体"/>
      <w:b/>
      <w:sz w:val="36"/>
      <w:szCs w:val="36"/>
    </w:rPr>
  </w:style>
  <w:style w:type="paragraph" w:customStyle="1" w:styleId="88">
    <w:name w:val="Char"/>
    <w:basedOn w:val="1"/>
    <w:autoRedefine/>
    <w:qFormat/>
    <w:uiPriority w:val="0"/>
    <w:pPr>
      <w:tabs>
        <w:tab w:val="left" w:pos="360"/>
      </w:tabs>
    </w:pPr>
    <w:rPr>
      <w:sz w:val="24"/>
    </w:rPr>
  </w:style>
  <w:style w:type="paragraph" w:customStyle="1" w:styleId="89">
    <w:name w:val="Body text|3"/>
    <w:basedOn w:val="1"/>
    <w:autoRedefine/>
    <w:qFormat/>
    <w:uiPriority w:val="0"/>
    <w:rPr>
      <w:rFonts w:ascii="宋体" w:hAnsi="宋体" w:cs="宋体"/>
      <w:sz w:val="20"/>
      <w:szCs w:val="20"/>
      <w:lang w:val="zh-TW" w:eastAsia="zh-TW" w:bidi="zh-TW"/>
    </w:rPr>
  </w:style>
  <w:style w:type="paragraph" w:customStyle="1" w:styleId="90">
    <w:name w:val="表格"/>
    <w:basedOn w:val="1"/>
    <w:qFormat/>
    <w:uiPriority w:val="0"/>
    <w:pPr>
      <w:jc w:val="center"/>
      <w:textAlignment w:val="center"/>
    </w:pPr>
    <w:rPr>
      <w:rFonts w:ascii="华文细黑" w:hAnsi="华文细黑"/>
      <w:kern w:val="0"/>
      <w:szCs w:val="20"/>
    </w:rPr>
  </w:style>
  <w:style w:type="paragraph" w:customStyle="1" w:styleId="9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92">
    <w:name w:val="font81"/>
    <w:autoRedefine/>
    <w:qFormat/>
    <w:uiPriority w:val="0"/>
    <w:rPr>
      <w:rFonts w:hint="eastAsia" w:ascii="宋体" w:hAnsi="宋体" w:eastAsia="宋体" w:cs="宋体"/>
      <w:color w:val="000000"/>
      <w:sz w:val="21"/>
      <w:szCs w:val="21"/>
      <w:u w:val="none"/>
    </w:rPr>
  </w:style>
  <w:style w:type="table" w:customStyle="1" w:styleId="9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33771</Words>
  <Characters>35443</Characters>
  <Lines>275</Lines>
  <Paragraphs>77</Paragraphs>
  <TotalTime>8</TotalTime>
  <ScaleCrop>false</ScaleCrop>
  <LinksUpToDate>false</LinksUpToDate>
  <CharactersWithSpaces>37471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2022-08-11T08:10:00Z</dcterms:created>
  <dc:creator>GCB-YJ</dc:creator>
  <cp:lastModifiedBy>利记</cp:lastModifiedBy>
  <cp:lastPrinted>2021-05-28T03:28:00Z</cp:lastPrinted>
  <dcterms:modified xsi:type="dcterms:W3CDTF">2024-12-05T07:38:47Z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18810A9FF34F4F6ABDEC8B786FB1F7B6_13</vt:lpwstr>
  </property>
</Properties>
</file>