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B1BE8">
      <w:pPr>
        <w:shd w:val="clear"/>
        <w:spacing w:line="360" w:lineRule="auto"/>
        <w:jc w:val="center"/>
        <w:rPr>
          <w:rFonts w:hint="default" w:ascii="宋体" w:hAnsi="宋体" w:eastAsia="宋体" w:cs="宋体"/>
          <w:color w:val="auto"/>
          <w:highlight w:val="none"/>
          <w:lang w:eastAsia="zh-CN"/>
        </w:rPr>
      </w:pPr>
      <w:bookmarkStart w:id="0" w:name="_Toc183682338"/>
      <w:bookmarkStart w:id="1" w:name="_Toc217446030"/>
      <w:r>
        <w:rPr>
          <w:rFonts w:hint="eastAsia" w:ascii="宋体" w:hAnsi="宋体" w:eastAsia="宋体" w:cs="宋体"/>
          <w:b/>
          <w:color w:val="auto"/>
          <w:sz w:val="36"/>
          <w:highlight w:val="none"/>
        </w:rPr>
        <w:t>项目编号：MB0U671141711417122329-2024082907</w:t>
      </w:r>
    </w:p>
    <w:p w14:paraId="5AC62449">
      <w:pPr>
        <w:shd w:val="clear"/>
        <w:spacing w:line="360" w:lineRule="auto"/>
        <w:jc w:val="cente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采购项目备案编号： SCXB-GZ-2024-32</w:t>
      </w:r>
    </w:p>
    <w:p w14:paraId="610CB0E6">
      <w:pPr>
        <w:shd w:val="clear"/>
        <w:spacing w:line="360" w:lineRule="auto"/>
        <w:rPr>
          <w:rFonts w:hint="eastAsia" w:ascii="宋体" w:hAnsi="宋体" w:eastAsia="宋体" w:cs="宋体"/>
          <w:b/>
          <w:color w:val="auto"/>
          <w:sz w:val="36"/>
          <w:szCs w:val="36"/>
          <w:highlight w:val="none"/>
        </w:rPr>
      </w:pPr>
    </w:p>
    <w:p w14:paraId="54E16798">
      <w:pPr>
        <w:shd w:val="clear"/>
        <w:spacing w:line="360" w:lineRule="auto"/>
        <w:ind w:right="-158" w:rightChars="-75"/>
        <w:jc w:val="center"/>
        <w:rPr>
          <w:rFonts w:hint="eastAsia" w:ascii="宋体" w:hAnsi="宋体" w:cs="宋体"/>
          <w:b/>
          <w:color w:val="auto"/>
          <w:spacing w:val="-20"/>
          <w:sz w:val="52"/>
          <w:szCs w:val="52"/>
          <w:highlight w:val="none"/>
          <w:lang w:val="en-US" w:eastAsia="zh-CN" w:bidi="en-US"/>
        </w:rPr>
      </w:pPr>
      <w:bookmarkStart w:id="2" w:name="OLE_LINK1"/>
      <w:r>
        <w:rPr>
          <w:rFonts w:hint="eastAsia" w:ascii="宋体" w:hAnsi="宋体" w:cs="宋体"/>
          <w:b/>
          <w:color w:val="auto"/>
          <w:spacing w:val="-20"/>
          <w:sz w:val="52"/>
          <w:szCs w:val="52"/>
          <w:highlight w:val="none"/>
          <w:lang w:val="en-US" w:eastAsia="zh-CN" w:bidi="en-US"/>
        </w:rPr>
        <w:t>四川省消防救援总队训练与战勤保障支队“十四五”消防车辆装备项目（消防装备部分）</w:t>
      </w:r>
      <w:bookmarkEnd w:id="2"/>
    </w:p>
    <w:p w14:paraId="0EC5B463">
      <w:pPr>
        <w:shd w:val="clear"/>
        <w:spacing w:line="360" w:lineRule="auto"/>
        <w:ind w:right="-158" w:rightChars="-75"/>
        <w:jc w:val="center"/>
        <w:rPr>
          <w:rFonts w:hint="default" w:ascii="宋体" w:hAnsi="宋体" w:eastAsia="宋体" w:cs="宋体"/>
          <w:b/>
          <w:color w:val="auto"/>
          <w:sz w:val="36"/>
          <w:highlight w:val="none"/>
          <w:lang w:val="en-US" w:eastAsia="zh-CN"/>
        </w:rPr>
      </w:pPr>
      <w:r>
        <w:rPr>
          <w:rFonts w:hint="eastAsia" w:ascii="宋体" w:hAnsi="宋体" w:cs="宋体"/>
          <w:b/>
          <w:color w:val="auto"/>
          <w:spacing w:val="-20"/>
          <w:sz w:val="52"/>
          <w:szCs w:val="52"/>
          <w:highlight w:val="none"/>
          <w:lang w:val="en-US" w:eastAsia="zh-CN" w:bidi="en-US"/>
        </w:rPr>
        <w:t>第2、3包第二次</w:t>
      </w:r>
    </w:p>
    <w:p w14:paraId="1F74CF85">
      <w:pPr>
        <w:shd w:val="clear"/>
        <w:spacing w:line="360" w:lineRule="auto"/>
        <w:ind w:right="-158" w:rightChars="-75"/>
        <w:jc w:val="center"/>
        <w:rPr>
          <w:rFonts w:hint="eastAsia" w:ascii="宋体" w:hAnsi="宋体" w:eastAsia="宋体" w:cs="宋体"/>
          <w:b/>
          <w:color w:val="auto"/>
          <w:sz w:val="36"/>
          <w:highlight w:val="none"/>
        </w:rPr>
      </w:pPr>
    </w:p>
    <w:p w14:paraId="4EB7B3B9">
      <w:pPr>
        <w:shd w:val="clear"/>
        <w:spacing w:line="360" w:lineRule="auto"/>
        <w:ind w:right="-158" w:rightChars="-75"/>
        <w:jc w:val="center"/>
        <w:rPr>
          <w:rFonts w:hint="eastAsia" w:ascii="宋体" w:hAnsi="宋体" w:eastAsia="宋体" w:cs="宋体"/>
          <w:b/>
          <w:color w:val="auto"/>
          <w:sz w:val="36"/>
          <w:highlight w:val="none"/>
        </w:rPr>
      </w:pPr>
    </w:p>
    <w:p w14:paraId="5C6DFBF5">
      <w:pPr>
        <w:pStyle w:val="23"/>
        <w:shd w:val="clear"/>
        <w:rPr>
          <w:rFonts w:hint="eastAsia" w:ascii="宋体" w:hAnsi="宋体" w:eastAsia="宋体" w:cs="宋体"/>
          <w:color w:val="auto"/>
          <w:highlight w:val="none"/>
        </w:rPr>
      </w:pPr>
    </w:p>
    <w:p w14:paraId="5567FB10">
      <w:pPr>
        <w:shd w:val="clear"/>
        <w:spacing w:line="360" w:lineRule="auto"/>
        <w:jc w:val="center"/>
        <w:rPr>
          <w:rFonts w:hint="eastAsia" w:ascii="宋体" w:hAnsi="宋体" w:eastAsia="宋体" w:cs="宋体"/>
          <w:color w:val="auto"/>
          <w:sz w:val="84"/>
          <w:szCs w:val="84"/>
          <w:highlight w:val="none"/>
        </w:rPr>
      </w:pPr>
      <w:bookmarkStart w:id="3" w:name="_Toc426648194"/>
      <w:bookmarkStart w:id="4" w:name="_Toc426648098"/>
      <w:bookmarkStart w:id="5" w:name="_Toc426647987"/>
      <w:r>
        <w:rPr>
          <w:rFonts w:hint="eastAsia" w:ascii="宋体" w:hAnsi="宋体" w:eastAsia="宋体" w:cs="宋体"/>
          <w:b/>
          <w:color w:val="auto"/>
          <w:sz w:val="84"/>
          <w:szCs w:val="84"/>
          <w:highlight w:val="none"/>
        </w:rPr>
        <w:t>招 标 文 件</w:t>
      </w:r>
      <w:bookmarkEnd w:id="3"/>
      <w:bookmarkEnd w:id="4"/>
      <w:bookmarkEnd w:id="5"/>
    </w:p>
    <w:p w14:paraId="138F8E62">
      <w:pPr>
        <w:shd w:val="clear"/>
        <w:spacing w:line="360" w:lineRule="auto"/>
        <w:jc w:val="center"/>
        <w:rPr>
          <w:rFonts w:hint="eastAsia" w:ascii="宋体" w:hAnsi="宋体" w:eastAsia="宋体" w:cs="宋体"/>
          <w:color w:val="auto"/>
          <w:sz w:val="44"/>
          <w:szCs w:val="44"/>
          <w:highlight w:val="none"/>
        </w:rPr>
      </w:pPr>
    </w:p>
    <w:p w14:paraId="0F860639">
      <w:pPr>
        <w:shd w:val="clear"/>
        <w:spacing w:line="360" w:lineRule="auto"/>
        <w:rPr>
          <w:rFonts w:hint="eastAsia" w:ascii="宋体" w:hAnsi="宋体" w:eastAsia="宋体" w:cs="宋体"/>
          <w:color w:val="auto"/>
          <w:sz w:val="44"/>
          <w:szCs w:val="44"/>
          <w:highlight w:val="none"/>
        </w:rPr>
      </w:pPr>
    </w:p>
    <w:p w14:paraId="0F444BBD">
      <w:pPr>
        <w:shd w:val="clear"/>
        <w:spacing w:line="360" w:lineRule="auto"/>
        <w:rPr>
          <w:rFonts w:hint="eastAsia" w:ascii="宋体" w:hAnsi="宋体" w:eastAsia="宋体" w:cs="宋体"/>
          <w:color w:val="auto"/>
          <w:sz w:val="44"/>
          <w:szCs w:val="44"/>
          <w:highlight w:val="none"/>
        </w:rPr>
      </w:pPr>
    </w:p>
    <w:p w14:paraId="3341F656">
      <w:pPr>
        <w:shd w:val="clear"/>
        <w:spacing w:line="360" w:lineRule="auto"/>
        <w:jc w:val="center"/>
        <w:rPr>
          <w:rFonts w:hint="eastAsia" w:ascii="宋体" w:hAnsi="宋体" w:eastAsia="宋体" w:cs="宋体"/>
          <w:b/>
          <w:color w:val="auto"/>
          <w:sz w:val="52"/>
          <w:szCs w:val="52"/>
          <w:highlight w:val="none"/>
          <w:lang w:eastAsia="zh-CN"/>
        </w:rPr>
      </w:pPr>
      <w:bookmarkStart w:id="6" w:name="_Hlt101233737"/>
      <w:bookmarkEnd w:id="6"/>
      <w:bookmarkStart w:id="7" w:name="_Hlt101843627"/>
      <w:bookmarkEnd w:id="7"/>
      <w:r>
        <w:rPr>
          <w:rFonts w:hint="eastAsia" w:ascii="宋体" w:hAnsi="宋体" w:eastAsia="宋体" w:cs="宋体"/>
          <w:b/>
          <w:color w:val="auto"/>
          <w:sz w:val="36"/>
          <w:szCs w:val="36"/>
          <w:highlight w:val="none"/>
        </w:rPr>
        <w:t>采购人：</w:t>
      </w:r>
      <w:r>
        <w:rPr>
          <w:rFonts w:hint="eastAsia" w:ascii="宋体" w:hAnsi="宋体" w:cs="宋体"/>
          <w:b/>
          <w:color w:val="auto"/>
          <w:sz w:val="36"/>
          <w:szCs w:val="36"/>
          <w:highlight w:val="none"/>
          <w:lang w:eastAsia="zh-CN"/>
        </w:rPr>
        <w:t xml:space="preserve">四川省消防救援总队训练与战勤保障支队 </w:t>
      </w:r>
    </w:p>
    <w:p w14:paraId="4647B160">
      <w:pPr>
        <w:shd w:val="clear"/>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采购代理机构：</w:t>
      </w:r>
      <w:r>
        <w:rPr>
          <w:rFonts w:hint="eastAsia" w:ascii="宋体" w:hAnsi="宋体" w:cs="宋体"/>
          <w:b/>
          <w:color w:val="auto"/>
          <w:sz w:val="36"/>
          <w:szCs w:val="36"/>
          <w:highlight w:val="none"/>
          <w:lang w:eastAsia="zh-CN"/>
        </w:rPr>
        <w:t>四川铭信工程招标咨询有限公司</w:t>
      </w:r>
    </w:p>
    <w:p w14:paraId="2E47284C">
      <w:pPr>
        <w:pStyle w:val="23"/>
        <w:shd w:val="clea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共同编制</w:t>
      </w:r>
    </w:p>
    <w:p w14:paraId="6741C841">
      <w:pPr>
        <w:shd w:val="clea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2024</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11</w:t>
      </w:r>
      <w:r>
        <w:rPr>
          <w:rFonts w:hint="eastAsia" w:ascii="宋体" w:hAnsi="宋体" w:eastAsia="宋体" w:cs="宋体"/>
          <w:b/>
          <w:color w:val="auto"/>
          <w:sz w:val="36"/>
          <w:szCs w:val="36"/>
          <w:highlight w:val="none"/>
        </w:rPr>
        <w:t>月</w:t>
      </w:r>
    </w:p>
    <w:p w14:paraId="362B42B7">
      <w:pPr>
        <w:spacing w:line="360" w:lineRule="auto"/>
        <w:jc w:val="center"/>
        <w:rPr>
          <w:rFonts w:hint="eastAsia" w:ascii="宋体" w:hAnsi="宋体"/>
          <w:b/>
          <w:color w:val="auto"/>
          <w:sz w:val="36"/>
          <w:szCs w:val="36"/>
          <w:highlight w:val="none"/>
        </w:rPr>
      </w:pPr>
    </w:p>
    <w:p w14:paraId="367CFB23">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温馨提示</w:t>
      </w:r>
    </w:p>
    <w:p w14:paraId="0F1959E7">
      <w:pPr>
        <w:spacing w:line="336" w:lineRule="auto"/>
        <w:rPr>
          <w:rFonts w:hint="eastAsia" w:ascii="宋体" w:hAnsi="宋体" w:cs="宋体"/>
          <w:color w:val="auto"/>
          <w:sz w:val="24"/>
          <w:highlight w:val="none"/>
        </w:rPr>
      </w:pPr>
      <w:r>
        <w:rPr>
          <w:rFonts w:hint="eastAsia" w:ascii="宋体" w:hAnsi="宋体" w:cs="宋体"/>
          <w:color w:val="auto"/>
          <w:sz w:val="24"/>
          <w:highlight w:val="none"/>
        </w:rPr>
        <w:t>各供应商：</w:t>
      </w:r>
    </w:p>
    <w:p w14:paraId="0E43D812">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欢迎参与本次采购活动，为优化采购营商环境，减少供应商参加采购活动成本，温馨提示如下：</w:t>
      </w:r>
    </w:p>
    <w:p w14:paraId="609712FF">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一、报名：注意报名的截止时间、报名的方式以及需要提供的资料，任何一项不满足的将拒绝接收。</w:t>
      </w:r>
    </w:p>
    <w:p w14:paraId="406A575E">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保证金：如项目收取保证金，供应商应在规定截止时间前足额交纳，以到账时间为准。未中标（成交）供应商的保证金将在结果公告后5个工作日内原路径退还，中标（成交）供应商应凭借采购合同复印件办理保证金退还，我司将在5个工作日内原路径退还。</w:t>
      </w:r>
    </w:p>
    <w:p w14:paraId="2D463AB6">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三、制作投标（响应）文件：注意</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中的资格要求和实质性要求，任何一条不满足的将作无效处理。注意</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中的评分要求，未按要求提供证明材料的将不予认可。</w:t>
      </w:r>
    </w:p>
    <w:p w14:paraId="73368CA0">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四、投标（响应）：注意投标（响应）截止时间和递交文件的地点，未按要求密封或逾期送达的将拒绝接收。</w:t>
      </w:r>
    </w:p>
    <w:p w14:paraId="6A90C9C7">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五、结果查询：结果公告将在发布采购公告的同一网站进行公布，供应商应自行关注，任何询问项目评审情况和中标（成交）情况的行为都将被拒绝。</w:t>
      </w:r>
    </w:p>
    <w:p w14:paraId="5F175F1C">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六、服务费：中标（成交）结果公布后，中标（成交）人应及时足额缴纳服务费，我司在收到服务费后才可开具发票。</w:t>
      </w:r>
    </w:p>
    <w:p w14:paraId="4F47FB0A">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中标（成交）通知书：我司工作人员将在项目结果公告发布时通知中标（成交）的供应商领取中标（成交）通知书，中标（成交）人应携带单位介绍信原件及领取人身份证复印件（原件备查）前往我司办理领手续。</w:t>
      </w:r>
    </w:p>
    <w:p w14:paraId="3C34DADB">
      <w:pPr>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八、采购合同：中标（成交）人应在招标文件规定的期限内凭中标（成交）通知书与采购人签订采购合同。</w:t>
      </w:r>
    </w:p>
    <w:p w14:paraId="33FF735F">
      <w:pPr>
        <w:spacing w:line="336" w:lineRule="auto"/>
        <w:ind w:firstLine="480" w:firstLineChars="200"/>
        <w:rPr>
          <w:rFonts w:hint="eastAsia" w:ascii="宋体" w:hAnsi="宋体" w:cs="宋体"/>
          <w:color w:val="auto"/>
          <w:sz w:val="24"/>
          <w:highlight w:val="none"/>
        </w:rPr>
      </w:pPr>
    </w:p>
    <w:p w14:paraId="5ADF23FA">
      <w:pPr>
        <w:spacing w:line="360" w:lineRule="auto"/>
        <w:jc w:val="center"/>
        <w:rPr>
          <w:rFonts w:hint="eastAsia" w:ascii="宋体" w:hAnsi="宋体"/>
          <w:b/>
          <w:color w:val="auto"/>
          <w:sz w:val="36"/>
          <w:szCs w:val="36"/>
          <w:highlight w:val="none"/>
        </w:rPr>
        <w:sectPr>
          <w:footerReference r:id="rId3" w:type="default"/>
          <w:pgSz w:w="11920" w:h="16840"/>
          <w:pgMar w:top="1440" w:right="1080" w:bottom="1440" w:left="1080" w:header="799" w:footer="1184" w:gutter="0"/>
          <w:pgNumType w:fmt="numberInDash"/>
          <w:cols w:space="720" w:num="1"/>
        </w:sectPr>
      </w:pPr>
    </w:p>
    <w:p w14:paraId="717E0153">
      <w:pPr>
        <w:shd w:val="clear"/>
        <w:rPr>
          <w:rFonts w:hint="eastAsia" w:ascii="宋体" w:hAnsi="宋体" w:eastAsia="宋体" w:cs="宋体"/>
          <w:color w:val="auto"/>
          <w:highlight w:val="none"/>
        </w:rPr>
      </w:pPr>
    </w:p>
    <w:p w14:paraId="05A0EA2C">
      <w:pPr>
        <w:pStyle w:val="40"/>
        <w:shd w:val="clear"/>
        <w:tabs>
          <w:tab w:val="right" w:leader="dot" w:pos="9355"/>
        </w:tabs>
        <w:spacing w:before="0" w:after="0" w:line="360" w:lineRule="auto"/>
        <w:jc w:val="center"/>
        <w:rPr>
          <w:rFonts w:hint="eastAsia" w:ascii="宋体" w:hAnsi="宋体" w:eastAsia="宋体" w:cs="宋体"/>
          <w:color w:val="auto"/>
          <w:sz w:val="36"/>
          <w:szCs w:val="36"/>
          <w:highlight w:val="none"/>
        </w:rPr>
      </w:pPr>
      <w:bookmarkStart w:id="8" w:name="_Toc426657528"/>
      <w:bookmarkStart w:id="9" w:name="_Toc14931"/>
      <w:bookmarkStart w:id="10" w:name="_Toc20071"/>
      <w:r>
        <w:rPr>
          <w:rFonts w:hint="eastAsia" w:ascii="宋体" w:hAnsi="宋体" w:eastAsia="宋体" w:cs="宋体"/>
          <w:color w:val="auto"/>
          <w:sz w:val="36"/>
          <w:szCs w:val="36"/>
          <w:highlight w:val="none"/>
        </w:rPr>
        <w:t>目录</w:t>
      </w:r>
    </w:p>
    <w:p w14:paraId="1088C289">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8"/>
          <w:highlight w:val="none"/>
        </w:rPr>
        <w:t>第一章  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324FDF">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8"/>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969FBB">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_Toc5456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4"/>
          <w:highlight w:val="none"/>
        </w:rPr>
        <w:t>第三章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200C9B">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4"/>
          <w:highlight w:val="none"/>
        </w:rPr>
        <w:t>第四章  投标人应当提供的资格、资质性及其他类似效力要求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E340F2">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4"/>
          <w:highlight w:val="none"/>
        </w:rPr>
        <w:t>第五章  投标人应当提供的资格、资质性及其他类似效力要求的</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4"/>
          <w:highlight w:val="none"/>
        </w:rPr>
        <w:t>相关证明材料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5FEF9C">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4"/>
          <w:highlight w:val="none"/>
        </w:rPr>
        <w:t xml:space="preserve">第六章  </w:t>
      </w:r>
      <w:r>
        <w:rPr>
          <w:rFonts w:hint="eastAsia" w:ascii="宋体" w:hAnsi="宋体" w:cs="宋体"/>
          <w:color w:val="auto"/>
          <w:sz w:val="24"/>
          <w:szCs w:val="44"/>
          <w:highlight w:val="none"/>
          <w:lang w:eastAsia="zh-CN"/>
        </w:rPr>
        <w:t>采购项目</w:t>
      </w:r>
      <w:r>
        <w:rPr>
          <w:rFonts w:hint="eastAsia" w:ascii="宋体" w:hAnsi="宋体" w:eastAsia="宋体" w:cs="宋体"/>
          <w:color w:val="auto"/>
          <w:sz w:val="24"/>
          <w:szCs w:val="44"/>
          <w:highlight w:val="none"/>
        </w:rPr>
        <w:t>技术、商务及其他要求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807B3E">
      <w:pPr>
        <w:pStyle w:val="40"/>
        <w:shd w:val="clear"/>
        <w:tabs>
          <w:tab w:val="right" w:leader="dot" w:pos="9355"/>
        </w:tabs>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4"/>
          <w:highlight w:val="none"/>
        </w:rPr>
        <w:t>第七章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_Toc7747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B98F09">
      <w:pPr>
        <w:pStyle w:val="40"/>
        <w:shd w:val="clear"/>
        <w:tabs>
          <w:tab w:val="right" w:leader="dot" w:pos="9355"/>
        </w:tabs>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_Toc23800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8"/>
          <w:highlight w:val="none"/>
        </w:rPr>
        <w:t>第八章  政府采购合同（样例）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r>
        <w:rPr>
          <w:rFonts w:hint="eastAsia" w:ascii="宋体" w:hAnsi="宋体" w:eastAsia="宋体" w:cs="宋体"/>
          <w:color w:val="auto"/>
          <w:highlight w:val="none"/>
        </w:rPr>
        <w:fldChar w:fldCharType="end"/>
      </w:r>
    </w:p>
    <w:p w14:paraId="6AD6F8EB">
      <w:pPr>
        <w:pStyle w:val="2"/>
        <w:shd w:val="clear"/>
        <w:spacing w:before="0" w:after="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bookmarkStart w:id="11" w:name="_Toc21261"/>
      <w:r>
        <w:rPr>
          <w:rFonts w:hint="eastAsia" w:ascii="宋体" w:hAnsi="宋体" w:eastAsia="宋体" w:cs="宋体"/>
          <w:color w:val="auto"/>
          <w:sz w:val="36"/>
          <w:szCs w:val="36"/>
          <w:highlight w:val="none"/>
        </w:rPr>
        <w:t>第一章  投标邀请</w:t>
      </w:r>
      <w:bookmarkEnd w:id="0"/>
      <w:bookmarkEnd w:id="1"/>
      <w:bookmarkEnd w:id="8"/>
      <w:bookmarkEnd w:id="9"/>
      <w:bookmarkEnd w:id="10"/>
      <w:bookmarkEnd w:id="11"/>
    </w:p>
    <w:p w14:paraId="3A60CC20">
      <w:pPr>
        <w:keepNext w:val="0"/>
        <w:keepLines w:val="0"/>
        <w:pageBreakBefore w:val="0"/>
        <w:shd w:val="clear"/>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四川铭信工程招标咨询有限公司</w:t>
      </w:r>
      <w:r>
        <w:rPr>
          <w:rFonts w:hint="eastAsia" w:ascii="宋体" w:hAnsi="宋体" w:eastAsia="宋体" w:cs="宋体"/>
          <w:color w:val="auto"/>
          <w:sz w:val="24"/>
          <w:szCs w:val="24"/>
          <w:highlight w:val="none"/>
        </w:rPr>
        <w:t>受</w:t>
      </w:r>
      <w:r>
        <w:rPr>
          <w:rFonts w:hint="eastAsia" w:ascii="宋体" w:hAnsi="宋体" w:cs="宋体"/>
          <w:bCs/>
          <w:color w:val="auto"/>
          <w:sz w:val="24"/>
          <w:szCs w:val="24"/>
          <w:highlight w:val="none"/>
          <w:u w:val="single"/>
          <w:lang w:eastAsia="zh-CN"/>
        </w:rPr>
        <w:t xml:space="preserve">四川省消防救援总队训练与战勤保障支队 </w:t>
      </w:r>
      <w:r>
        <w:rPr>
          <w:rFonts w:hint="eastAsia" w:ascii="宋体" w:hAnsi="宋体" w:eastAsia="宋体" w:cs="宋体"/>
          <w:color w:val="auto"/>
          <w:sz w:val="24"/>
          <w:szCs w:val="24"/>
          <w:highlight w:val="none"/>
        </w:rPr>
        <w:t>委托，拟对“</w:t>
      </w:r>
      <w:r>
        <w:rPr>
          <w:rFonts w:hint="eastAsia" w:ascii="宋体" w:hAnsi="宋体" w:cs="宋体"/>
          <w:color w:val="auto"/>
          <w:sz w:val="24"/>
          <w:szCs w:val="24"/>
          <w:highlight w:val="none"/>
          <w:u w:val="single"/>
          <w:lang w:val="en-US" w:eastAsia="zh-CN"/>
        </w:rPr>
        <w:t>四川省消防救援总队训练与战勤保障支队“十四五”消防车辆装备项目（消防装备部分）第2、3包第二次</w:t>
      </w:r>
      <w:r>
        <w:rPr>
          <w:rFonts w:hint="eastAsia" w:ascii="宋体" w:hAnsi="宋体" w:eastAsia="宋体" w:cs="宋体"/>
          <w:color w:val="auto"/>
          <w:sz w:val="24"/>
          <w:szCs w:val="24"/>
          <w:highlight w:val="none"/>
        </w:rPr>
        <w:t>”进行国内公开招标，兹邀请符合本次招标要求的投标人参加投标。</w:t>
      </w:r>
    </w:p>
    <w:p w14:paraId="20400BB7">
      <w:pPr>
        <w:keepNext w:val="0"/>
        <w:keepLines w:val="0"/>
        <w:pageBreakBefore w:val="0"/>
        <w:numPr>
          <w:ilvl w:val="0"/>
          <w:numId w:val="4"/>
        </w:numPr>
        <w:shd w:val="clear"/>
        <w:kinsoku/>
        <w:wordWrap/>
        <w:overflowPunct/>
        <w:topLinePunct w:val="0"/>
        <w:autoSpaceDE/>
        <w:autoSpaceDN/>
        <w:bidi w:val="0"/>
        <w:adjustRightInd/>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采购编号：MB0U671141711417122329-2024082907</w:t>
      </w:r>
    </w:p>
    <w:p w14:paraId="1F75A767">
      <w:pPr>
        <w:keepNext w:val="0"/>
        <w:keepLines w:val="0"/>
        <w:pageBreakBefore w:val="0"/>
        <w:numPr>
          <w:ilvl w:val="0"/>
          <w:numId w:val="4"/>
        </w:numPr>
        <w:shd w:val="clear"/>
        <w:kinsoku/>
        <w:wordWrap/>
        <w:overflowPunct/>
        <w:topLinePunct w:val="0"/>
        <w:autoSpaceDE/>
        <w:autoSpaceDN/>
        <w:bidi w:val="0"/>
        <w:adjustRightInd/>
        <w:spacing w:line="360" w:lineRule="auto"/>
        <w:rPr>
          <w:rFonts w:hint="eastAsia" w:ascii="宋体" w:hAnsi="宋体" w:eastAsia="宋体" w:cs="宋体"/>
          <w:b w:val="0"/>
          <w:bCs/>
          <w:color w:val="auto"/>
          <w:sz w:val="24"/>
          <w:szCs w:val="24"/>
          <w:highlight w:val="none"/>
          <w:lang w:eastAsia="zh-CN"/>
        </w:rPr>
      </w:pPr>
      <w:r>
        <w:rPr>
          <w:rFonts w:hint="eastAsia" w:ascii="宋体" w:hAnsi="宋体" w:cs="宋体"/>
          <w:b/>
          <w:color w:val="auto"/>
          <w:sz w:val="24"/>
          <w:szCs w:val="24"/>
          <w:highlight w:val="none"/>
          <w:lang w:eastAsia="zh-CN"/>
        </w:rPr>
        <w:t>采购项目</w:t>
      </w:r>
      <w:r>
        <w:rPr>
          <w:rFonts w:hint="eastAsia" w:ascii="宋体" w:hAnsi="宋体" w:eastAsia="宋体" w:cs="宋体"/>
          <w:b/>
          <w:color w:val="auto"/>
          <w:sz w:val="24"/>
          <w:szCs w:val="24"/>
          <w:highlight w:val="none"/>
        </w:rPr>
        <w:t>：</w:t>
      </w:r>
      <w:r>
        <w:rPr>
          <w:rFonts w:hint="eastAsia" w:ascii="宋体" w:hAnsi="宋体" w:eastAsia="宋体" w:cs="宋体"/>
          <w:b w:val="0"/>
          <w:bCs/>
          <w:color w:val="auto"/>
          <w:sz w:val="24"/>
          <w:szCs w:val="24"/>
          <w:highlight w:val="none"/>
          <w:lang w:val="en-US" w:eastAsia="zh-CN"/>
        </w:rPr>
        <w:t>四川省消防救援总队训练与战勤保障支队“十四五”消防车辆装备项目（消防装备部分）第2、3包第二次</w:t>
      </w:r>
    </w:p>
    <w:p w14:paraId="4DAFE26A">
      <w:pPr>
        <w:keepNext w:val="0"/>
        <w:keepLines w:val="0"/>
        <w:pageBreakBefore w:val="0"/>
        <w:shd w:val="clear"/>
        <w:kinsoku/>
        <w:wordWrap/>
        <w:overflowPunct/>
        <w:topLinePunct w:val="0"/>
        <w:autoSpaceDE/>
        <w:autoSpaceDN/>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三、资金来源：</w:t>
      </w:r>
      <w:r>
        <w:rPr>
          <w:rFonts w:hint="eastAsia" w:ascii="宋体" w:hAnsi="宋体" w:eastAsia="宋体" w:cs="宋体"/>
          <w:color w:val="auto"/>
          <w:sz w:val="24"/>
          <w:szCs w:val="24"/>
          <w:highlight w:val="none"/>
        </w:rPr>
        <w:t>财政性资金</w:t>
      </w:r>
    </w:p>
    <w:p w14:paraId="05FC651B">
      <w:pPr>
        <w:keepNext w:val="0"/>
        <w:keepLines w:val="0"/>
        <w:pageBreakBefore w:val="0"/>
        <w:shd w:val="clear"/>
        <w:kinsoku/>
        <w:wordWrap/>
        <w:overflowPunct/>
        <w:topLinePunct w:val="0"/>
        <w:autoSpaceDE/>
        <w:autoSpaceDN/>
        <w:bidi w:val="0"/>
        <w:adjustRightInd/>
        <w:spacing w:line="360" w:lineRule="auto"/>
        <w:ind w:right="31" w:rightChars="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四、项目简介：</w:t>
      </w:r>
    </w:p>
    <w:p w14:paraId="55131A8B">
      <w:pPr>
        <w:keepNext w:val="0"/>
        <w:keepLines w:val="0"/>
        <w:pageBreakBefore w:val="0"/>
        <w:shd w:val="clear"/>
        <w:kinsoku/>
        <w:wordWrap/>
        <w:overflowPunct/>
        <w:topLinePunct w:val="0"/>
        <w:autoSpaceDE/>
        <w:autoSpaceDN/>
        <w:bidi w:val="0"/>
        <w:adjustRightInd/>
        <w:spacing w:line="360" w:lineRule="auto"/>
        <w:ind w:right="31" w:rightChars="15" w:firstLine="374" w:firstLineChars="15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bookmarkStart w:id="12" w:name="OLE_LINK2"/>
      <w:r>
        <w:rPr>
          <w:rFonts w:hint="eastAsia" w:ascii="宋体" w:hAnsi="宋体" w:cs="宋体"/>
          <w:b w:val="0"/>
          <w:bCs/>
          <w:color w:val="auto"/>
          <w:sz w:val="24"/>
          <w:szCs w:val="24"/>
          <w:highlight w:val="none"/>
          <w:lang w:val="en-US" w:eastAsia="zh-CN"/>
        </w:rPr>
        <w:t>四川省消防救援总队训练与战勤保障支队</w:t>
      </w:r>
      <w:bookmarkEnd w:id="12"/>
      <w:r>
        <w:rPr>
          <w:rFonts w:hint="eastAsia" w:ascii="宋体" w:hAnsi="宋体" w:cs="宋体"/>
          <w:b w:val="0"/>
          <w:bCs/>
          <w:color w:val="auto"/>
          <w:sz w:val="24"/>
          <w:szCs w:val="24"/>
          <w:highlight w:val="none"/>
          <w:lang w:val="en-US" w:eastAsia="zh-CN"/>
        </w:rPr>
        <w:t>“十四五”消防车辆装备项目（消防装备部分）</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具体标包明细如下：</w:t>
      </w:r>
    </w:p>
    <w:tbl>
      <w:tblPr>
        <w:tblStyle w:val="59"/>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3"/>
        <w:gridCol w:w="2759"/>
        <w:gridCol w:w="1266"/>
        <w:gridCol w:w="1549"/>
        <w:gridCol w:w="1134"/>
        <w:gridCol w:w="1050"/>
        <w:gridCol w:w="1196"/>
      </w:tblGrid>
      <w:tr w14:paraId="559A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tcBorders>
              <w:tl2br w:val="nil"/>
              <w:tr2bl w:val="nil"/>
            </w:tcBorders>
            <w:noWrap/>
            <w:vAlign w:val="center"/>
          </w:tcPr>
          <w:p w14:paraId="653CBD10">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标包号</w:t>
            </w:r>
          </w:p>
        </w:tc>
        <w:tc>
          <w:tcPr>
            <w:tcW w:w="1384" w:type="pct"/>
            <w:tcBorders>
              <w:tl2br w:val="nil"/>
              <w:tr2bl w:val="nil"/>
            </w:tcBorders>
            <w:noWrap w:val="0"/>
            <w:vAlign w:val="center"/>
          </w:tcPr>
          <w:p w14:paraId="296AFEBB">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cs="宋体"/>
                <w:b/>
                <w:bCs/>
                <w:i w:val="0"/>
                <w:iCs w:val="0"/>
                <w:snapToGrid w:val="0"/>
                <w:color w:val="auto"/>
                <w:kern w:val="0"/>
                <w:sz w:val="24"/>
                <w:szCs w:val="24"/>
                <w:highlight w:val="none"/>
                <w:u w:val="none"/>
                <w:lang w:val="en-US" w:eastAsia="zh-CN" w:bidi="ar"/>
              </w:rPr>
              <w:t>产品</w:t>
            </w:r>
            <w:r>
              <w:rPr>
                <w:rFonts w:hint="eastAsia" w:ascii="宋体" w:hAnsi="宋体" w:eastAsia="宋体" w:cs="宋体"/>
                <w:b/>
                <w:bCs/>
                <w:i w:val="0"/>
                <w:iCs w:val="0"/>
                <w:snapToGrid w:val="0"/>
                <w:color w:val="auto"/>
                <w:kern w:val="0"/>
                <w:sz w:val="24"/>
                <w:szCs w:val="24"/>
                <w:highlight w:val="none"/>
                <w:u w:val="none"/>
                <w:lang w:val="en-US" w:eastAsia="zh-CN" w:bidi="ar"/>
              </w:rPr>
              <w:t>名称</w:t>
            </w:r>
          </w:p>
        </w:tc>
        <w:tc>
          <w:tcPr>
            <w:tcW w:w="635" w:type="pct"/>
            <w:tcBorders>
              <w:tl2br w:val="nil"/>
              <w:tr2bl w:val="nil"/>
            </w:tcBorders>
            <w:noWrap w:val="0"/>
            <w:vAlign w:val="center"/>
          </w:tcPr>
          <w:p w14:paraId="02DD30CD">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数量</w:t>
            </w:r>
          </w:p>
        </w:tc>
        <w:tc>
          <w:tcPr>
            <w:tcW w:w="777" w:type="pct"/>
            <w:tcBorders>
              <w:tl2br w:val="nil"/>
              <w:tr2bl w:val="nil"/>
            </w:tcBorders>
            <w:noWrap w:val="0"/>
            <w:vAlign w:val="center"/>
          </w:tcPr>
          <w:p w14:paraId="26C2423B">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w:t>
            </w:r>
            <w:r>
              <w:rPr>
                <w:rFonts w:hint="eastAsia" w:ascii="宋体" w:hAnsi="宋体" w:cs="宋体"/>
                <w:b/>
                <w:bCs/>
                <w:i w:val="0"/>
                <w:iCs w:val="0"/>
                <w:snapToGrid w:val="0"/>
                <w:color w:val="auto"/>
                <w:kern w:val="0"/>
                <w:sz w:val="24"/>
                <w:szCs w:val="24"/>
                <w:highlight w:val="none"/>
                <w:u w:val="none"/>
                <w:lang w:val="en-US" w:eastAsia="zh-CN" w:bidi="ar"/>
              </w:rPr>
              <w:t>价</w:t>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568" w:type="pct"/>
            <w:tcBorders>
              <w:tl2br w:val="nil"/>
              <w:tr2bl w:val="nil"/>
            </w:tcBorders>
            <w:noWrap w:val="0"/>
            <w:vAlign w:val="center"/>
          </w:tcPr>
          <w:p w14:paraId="2E34AFB8">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标包限价（元）</w:t>
            </w:r>
          </w:p>
        </w:tc>
        <w:tc>
          <w:tcPr>
            <w:tcW w:w="526" w:type="pct"/>
            <w:tcBorders>
              <w:tl2br w:val="nil"/>
              <w:tr2bl w:val="nil"/>
            </w:tcBorders>
            <w:noWrap w:val="0"/>
            <w:vAlign w:val="center"/>
          </w:tcPr>
          <w:p w14:paraId="0E79860C">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交货期</w:t>
            </w:r>
          </w:p>
        </w:tc>
        <w:tc>
          <w:tcPr>
            <w:tcW w:w="599" w:type="pct"/>
            <w:tcBorders>
              <w:tl2br w:val="nil"/>
              <w:tr2bl w:val="nil"/>
            </w:tcBorders>
            <w:noWrap w:val="0"/>
            <w:vAlign w:val="center"/>
          </w:tcPr>
          <w:p w14:paraId="44F9AE86">
            <w:pPr>
              <w:keepNext w:val="0"/>
              <w:keepLines w:val="0"/>
              <w:widowControl/>
              <w:suppressLineNumbers w:val="0"/>
              <w:shd w:val="clear"/>
              <w:spacing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是否为核心产品</w:t>
            </w:r>
          </w:p>
        </w:tc>
      </w:tr>
      <w:tr w14:paraId="49B2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restart"/>
            <w:tcBorders>
              <w:tl2br w:val="nil"/>
              <w:tr2bl w:val="nil"/>
            </w:tcBorders>
            <w:noWrap/>
            <w:vAlign w:val="center"/>
          </w:tcPr>
          <w:p w14:paraId="7ECA77B9">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bookmarkStart w:id="13" w:name="OLE_LINK6" w:colFirst="4" w:colLast="4"/>
            <w:r>
              <w:rPr>
                <w:rFonts w:hint="eastAsia" w:ascii="宋体" w:hAnsi="宋体" w:eastAsia="宋体" w:cs="宋体"/>
                <w:i w:val="0"/>
                <w:iCs w:val="0"/>
                <w:snapToGrid w:val="0"/>
                <w:color w:val="auto"/>
                <w:kern w:val="0"/>
                <w:sz w:val="24"/>
                <w:szCs w:val="24"/>
                <w:highlight w:val="none"/>
                <w:u w:val="none"/>
                <w:lang w:val="en-US" w:eastAsia="zh-CN" w:bidi="ar"/>
              </w:rPr>
              <w:t>第二包</w:t>
            </w:r>
          </w:p>
        </w:tc>
        <w:tc>
          <w:tcPr>
            <w:tcW w:w="1384" w:type="pct"/>
            <w:tcBorders>
              <w:tl2br w:val="nil"/>
              <w:tr2bl w:val="nil"/>
            </w:tcBorders>
            <w:noWrap w:val="0"/>
            <w:vAlign w:val="center"/>
          </w:tcPr>
          <w:p w14:paraId="7A8A04C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过滤式综合防毒面具</w:t>
            </w:r>
          </w:p>
        </w:tc>
        <w:tc>
          <w:tcPr>
            <w:tcW w:w="635" w:type="pct"/>
            <w:tcBorders>
              <w:tl2br w:val="nil"/>
              <w:tr2bl w:val="nil"/>
            </w:tcBorders>
            <w:noWrap/>
            <w:vAlign w:val="center"/>
          </w:tcPr>
          <w:p w14:paraId="2BF9003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777" w:type="pct"/>
            <w:tcBorders>
              <w:tl2br w:val="nil"/>
              <w:tr2bl w:val="nil"/>
            </w:tcBorders>
            <w:noWrap/>
            <w:vAlign w:val="center"/>
          </w:tcPr>
          <w:p w14:paraId="3E5252D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300</w:t>
            </w:r>
          </w:p>
        </w:tc>
        <w:tc>
          <w:tcPr>
            <w:tcW w:w="568" w:type="pct"/>
            <w:vMerge w:val="restart"/>
            <w:tcBorders>
              <w:tl2br w:val="nil"/>
              <w:tr2bl w:val="nil"/>
            </w:tcBorders>
            <w:noWrap/>
            <w:vAlign w:val="center"/>
          </w:tcPr>
          <w:p w14:paraId="47324A6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600500</w:t>
            </w:r>
          </w:p>
        </w:tc>
        <w:tc>
          <w:tcPr>
            <w:tcW w:w="526" w:type="pct"/>
            <w:vMerge w:val="restart"/>
            <w:tcBorders>
              <w:tl2br w:val="nil"/>
              <w:tr2bl w:val="nil"/>
            </w:tcBorders>
            <w:noWrap/>
            <w:vAlign w:val="center"/>
          </w:tcPr>
          <w:p w14:paraId="25BAA93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合同签订后60天内</w:t>
            </w:r>
          </w:p>
        </w:tc>
        <w:tc>
          <w:tcPr>
            <w:tcW w:w="599" w:type="pct"/>
            <w:tcBorders>
              <w:tl2br w:val="nil"/>
              <w:tr2bl w:val="nil"/>
            </w:tcBorders>
            <w:noWrap/>
            <w:vAlign w:val="center"/>
          </w:tcPr>
          <w:p w14:paraId="76A97C4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1A91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4635754F">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58D619D2">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二级化学防护服</w:t>
            </w:r>
          </w:p>
        </w:tc>
        <w:tc>
          <w:tcPr>
            <w:tcW w:w="635" w:type="pct"/>
            <w:tcBorders>
              <w:tl2br w:val="nil"/>
              <w:tr2bl w:val="nil"/>
            </w:tcBorders>
            <w:noWrap/>
            <w:vAlign w:val="center"/>
          </w:tcPr>
          <w:p w14:paraId="615449CB">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777" w:type="pct"/>
            <w:tcBorders>
              <w:tl2br w:val="nil"/>
              <w:tr2bl w:val="nil"/>
            </w:tcBorders>
            <w:noWrap/>
            <w:vAlign w:val="center"/>
          </w:tcPr>
          <w:p w14:paraId="73B000A2">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700</w:t>
            </w:r>
          </w:p>
        </w:tc>
        <w:tc>
          <w:tcPr>
            <w:tcW w:w="568" w:type="pct"/>
            <w:vMerge w:val="continue"/>
            <w:tcBorders>
              <w:tl2br w:val="nil"/>
              <w:tr2bl w:val="nil"/>
            </w:tcBorders>
            <w:noWrap/>
            <w:vAlign w:val="center"/>
          </w:tcPr>
          <w:p w14:paraId="784611C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1E4C88D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15E04015">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1050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28CD09E7">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6B3AE959">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一级化学防护服</w:t>
            </w:r>
          </w:p>
        </w:tc>
        <w:tc>
          <w:tcPr>
            <w:tcW w:w="635" w:type="pct"/>
            <w:tcBorders>
              <w:tl2br w:val="nil"/>
              <w:tr2bl w:val="nil"/>
            </w:tcBorders>
            <w:noWrap/>
            <w:vAlign w:val="center"/>
          </w:tcPr>
          <w:p w14:paraId="6F4A58D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777" w:type="pct"/>
            <w:tcBorders>
              <w:tl2br w:val="nil"/>
              <w:tr2bl w:val="nil"/>
            </w:tcBorders>
            <w:noWrap/>
            <w:vAlign w:val="center"/>
          </w:tcPr>
          <w:p w14:paraId="5D08119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3800</w:t>
            </w:r>
          </w:p>
        </w:tc>
        <w:tc>
          <w:tcPr>
            <w:tcW w:w="568" w:type="pct"/>
            <w:vMerge w:val="continue"/>
            <w:tcBorders>
              <w:tl2br w:val="nil"/>
              <w:tr2bl w:val="nil"/>
            </w:tcBorders>
            <w:noWrap/>
            <w:vAlign w:val="center"/>
          </w:tcPr>
          <w:p w14:paraId="1B37DD2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30EBA265">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0C5BDC9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bookmarkStart w:id="14" w:name="OLE_LINK4"/>
            <w:r>
              <w:rPr>
                <w:rFonts w:hint="eastAsia" w:ascii="宋体" w:hAnsi="宋体" w:eastAsia="宋体" w:cs="宋体"/>
                <w:i w:val="0"/>
                <w:iCs w:val="0"/>
                <w:snapToGrid w:val="0"/>
                <w:color w:val="auto"/>
                <w:kern w:val="0"/>
                <w:sz w:val="24"/>
                <w:szCs w:val="24"/>
                <w:highlight w:val="none"/>
                <w:u w:val="none"/>
                <w:lang w:val="en-US" w:eastAsia="zh-CN" w:bidi="ar"/>
              </w:rPr>
              <w:t>是</w:t>
            </w:r>
            <w:bookmarkEnd w:id="14"/>
          </w:p>
        </w:tc>
      </w:tr>
      <w:tr w14:paraId="3329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79D13F33">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695BF71B">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防高温手套</w:t>
            </w:r>
          </w:p>
        </w:tc>
        <w:tc>
          <w:tcPr>
            <w:tcW w:w="635" w:type="pct"/>
            <w:tcBorders>
              <w:tl2br w:val="nil"/>
              <w:tr2bl w:val="nil"/>
            </w:tcBorders>
            <w:noWrap/>
            <w:vAlign w:val="center"/>
          </w:tcPr>
          <w:p w14:paraId="369D595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777" w:type="pct"/>
            <w:tcBorders>
              <w:tl2br w:val="nil"/>
              <w:tr2bl w:val="nil"/>
            </w:tcBorders>
            <w:noWrap/>
            <w:vAlign w:val="center"/>
          </w:tcPr>
          <w:p w14:paraId="390FA15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568" w:type="pct"/>
            <w:vMerge w:val="continue"/>
            <w:tcBorders>
              <w:tl2br w:val="nil"/>
              <w:tr2bl w:val="nil"/>
            </w:tcBorders>
            <w:noWrap/>
            <w:vAlign w:val="center"/>
          </w:tcPr>
          <w:p w14:paraId="3A691B2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139D8C5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461AC4D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706F1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76C90E3D">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5DC4286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水域救援防水背包</w:t>
            </w:r>
          </w:p>
        </w:tc>
        <w:tc>
          <w:tcPr>
            <w:tcW w:w="635" w:type="pct"/>
            <w:tcBorders>
              <w:tl2br w:val="nil"/>
              <w:tr2bl w:val="nil"/>
            </w:tcBorders>
            <w:noWrap/>
            <w:vAlign w:val="center"/>
          </w:tcPr>
          <w:p w14:paraId="5F54E7CB">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777" w:type="pct"/>
            <w:tcBorders>
              <w:tl2br w:val="nil"/>
              <w:tr2bl w:val="nil"/>
            </w:tcBorders>
            <w:noWrap/>
            <w:vAlign w:val="center"/>
          </w:tcPr>
          <w:p w14:paraId="3374587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568" w:type="pct"/>
            <w:vMerge w:val="continue"/>
            <w:tcBorders>
              <w:tl2br w:val="nil"/>
              <w:tr2bl w:val="nil"/>
            </w:tcBorders>
            <w:noWrap/>
            <w:vAlign w:val="center"/>
          </w:tcPr>
          <w:p w14:paraId="2B95D65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7C66C95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29BAC2D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56D81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71757D63">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22AC1A4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防静电服</w:t>
            </w:r>
          </w:p>
        </w:tc>
        <w:tc>
          <w:tcPr>
            <w:tcW w:w="635" w:type="pct"/>
            <w:tcBorders>
              <w:tl2br w:val="nil"/>
              <w:tr2bl w:val="nil"/>
            </w:tcBorders>
            <w:noWrap/>
            <w:vAlign w:val="center"/>
          </w:tcPr>
          <w:p w14:paraId="3CB6D9D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777" w:type="pct"/>
            <w:tcBorders>
              <w:tl2br w:val="nil"/>
              <w:tr2bl w:val="nil"/>
            </w:tcBorders>
            <w:noWrap/>
            <w:vAlign w:val="center"/>
          </w:tcPr>
          <w:p w14:paraId="5D2EE44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568" w:type="pct"/>
            <w:vMerge w:val="continue"/>
            <w:tcBorders>
              <w:tl2br w:val="nil"/>
              <w:tr2bl w:val="nil"/>
            </w:tcBorders>
            <w:noWrap/>
            <w:vAlign w:val="center"/>
          </w:tcPr>
          <w:p w14:paraId="78D2769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7F0A4F7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48416ED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7DCFD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7E3B10FA">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22BC00E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消防阻燃毛衣</w:t>
            </w:r>
          </w:p>
        </w:tc>
        <w:tc>
          <w:tcPr>
            <w:tcW w:w="635" w:type="pct"/>
            <w:tcBorders>
              <w:tl2br w:val="nil"/>
              <w:tr2bl w:val="nil"/>
            </w:tcBorders>
            <w:noWrap/>
            <w:vAlign w:val="center"/>
          </w:tcPr>
          <w:p w14:paraId="1A82608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777" w:type="pct"/>
            <w:tcBorders>
              <w:tl2br w:val="nil"/>
              <w:tr2bl w:val="nil"/>
            </w:tcBorders>
            <w:noWrap/>
            <w:vAlign w:val="center"/>
          </w:tcPr>
          <w:p w14:paraId="51AB90A9">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300</w:t>
            </w:r>
          </w:p>
        </w:tc>
        <w:tc>
          <w:tcPr>
            <w:tcW w:w="568" w:type="pct"/>
            <w:vMerge w:val="continue"/>
            <w:tcBorders>
              <w:tl2br w:val="nil"/>
              <w:tr2bl w:val="nil"/>
            </w:tcBorders>
            <w:noWrap/>
            <w:vAlign w:val="center"/>
          </w:tcPr>
          <w:p w14:paraId="647581EC">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59644B2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44778E5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4BFC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3BDACA15">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2D256AA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消防员隔热防护服</w:t>
            </w:r>
          </w:p>
        </w:tc>
        <w:tc>
          <w:tcPr>
            <w:tcW w:w="635" w:type="pct"/>
            <w:tcBorders>
              <w:tl2br w:val="nil"/>
              <w:tr2bl w:val="nil"/>
            </w:tcBorders>
            <w:noWrap/>
            <w:vAlign w:val="center"/>
          </w:tcPr>
          <w:p w14:paraId="1772DCA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777" w:type="pct"/>
            <w:tcBorders>
              <w:tl2br w:val="nil"/>
              <w:tr2bl w:val="nil"/>
            </w:tcBorders>
            <w:noWrap/>
            <w:vAlign w:val="center"/>
          </w:tcPr>
          <w:p w14:paraId="2B003B35">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1200</w:t>
            </w:r>
          </w:p>
        </w:tc>
        <w:tc>
          <w:tcPr>
            <w:tcW w:w="568" w:type="pct"/>
            <w:vMerge w:val="continue"/>
            <w:tcBorders>
              <w:tl2br w:val="nil"/>
              <w:tr2bl w:val="nil"/>
            </w:tcBorders>
            <w:noWrap/>
            <w:vAlign w:val="center"/>
          </w:tcPr>
          <w:p w14:paraId="3B814322">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7F895E1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70D398F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6884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restart"/>
            <w:tcBorders>
              <w:tl2br w:val="nil"/>
              <w:tr2bl w:val="nil"/>
            </w:tcBorders>
            <w:noWrap/>
            <w:vAlign w:val="center"/>
          </w:tcPr>
          <w:p w14:paraId="7CB1540A">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第三包</w:t>
            </w:r>
          </w:p>
        </w:tc>
        <w:tc>
          <w:tcPr>
            <w:tcW w:w="1384" w:type="pct"/>
            <w:tcBorders>
              <w:tl2br w:val="nil"/>
              <w:tr2bl w:val="nil"/>
            </w:tcBorders>
            <w:noWrap w:val="0"/>
            <w:vAlign w:val="center"/>
          </w:tcPr>
          <w:p w14:paraId="02019425">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泡沫枪</w:t>
            </w:r>
          </w:p>
        </w:tc>
        <w:tc>
          <w:tcPr>
            <w:tcW w:w="635" w:type="pct"/>
            <w:tcBorders>
              <w:tl2br w:val="nil"/>
              <w:tr2bl w:val="nil"/>
            </w:tcBorders>
            <w:noWrap/>
            <w:vAlign w:val="center"/>
          </w:tcPr>
          <w:p w14:paraId="17FD3CB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777" w:type="pct"/>
            <w:tcBorders>
              <w:tl2br w:val="nil"/>
              <w:tr2bl w:val="nil"/>
            </w:tcBorders>
            <w:noWrap/>
            <w:vAlign w:val="center"/>
          </w:tcPr>
          <w:p w14:paraId="6C74066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580</w:t>
            </w:r>
          </w:p>
        </w:tc>
        <w:tc>
          <w:tcPr>
            <w:tcW w:w="568" w:type="pct"/>
            <w:vMerge w:val="restart"/>
            <w:tcBorders>
              <w:tl2br w:val="nil"/>
              <w:tr2bl w:val="nil"/>
            </w:tcBorders>
            <w:noWrap/>
            <w:vAlign w:val="center"/>
          </w:tcPr>
          <w:p w14:paraId="555EBA8A">
            <w:pPr>
              <w:keepNext w:val="0"/>
              <w:keepLines w:val="0"/>
              <w:widowControl/>
              <w:suppressLineNumbers w:val="0"/>
              <w:shd w:val="clear"/>
              <w:spacing w:line="360" w:lineRule="auto"/>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1436225</w:t>
            </w:r>
          </w:p>
        </w:tc>
        <w:tc>
          <w:tcPr>
            <w:tcW w:w="526" w:type="pct"/>
            <w:vMerge w:val="restart"/>
            <w:tcBorders>
              <w:tl2br w:val="nil"/>
              <w:tr2bl w:val="nil"/>
            </w:tcBorders>
            <w:noWrap/>
            <w:vAlign w:val="center"/>
          </w:tcPr>
          <w:p w14:paraId="46E948A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合同签订后60天内</w:t>
            </w:r>
          </w:p>
        </w:tc>
        <w:tc>
          <w:tcPr>
            <w:tcW w:w="599" w:type="pct"/>
            <w:tcBorders>
              <w:tl2br w:val="nil"/>
              <w:tr2bl w:val="nil"/>
            </w:tcBorders>
            <w:noWrap/>
            <w:vAlign w:val="center"/>
          </w:tcPr>
          <w:p w14:paraId="627450E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bookmarkEnd w:id="13"/>
      <w:tr w14:paraId="78947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718FB21A">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112F29E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止水器</w:t>
            </w:r>
          </w:p>
        </w:tc>
        <w:tc>
          <w:tcPr>
            <w:tcW w:w="635" w:type="pct"/>
            <w:tcBorders>
              <w:tl2br w:val="nil"/>
              <w:tr2bl w:val="nil"/>
            </w:tcBorders>
            <w:noWrap/>
            <w:vAlign w:val="center"/>
          </w:tcPr>
          <w:p w14:paraId="4867139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777" w:type="pct"/>
            <w:tcBorders>
              <w:tl2br w:val="nil"/>
              <w:tr2bl w:val="nil"/>
            </w:tcBorders>
            <w:noWrap/>
            <w:vAlign w:val="center"/>
          </w:tcPr>
          <w:p w14:paraId="1EED2112">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600</w:t>
            </w:r>
          </w:p>
        </w:tc>
        <w:tc>
          <w:tcPr>
            <w:tcW w:w="568" w:type="pct"/>
            <w:vMerge w:val="continue"/>
            <w:tcBorders>
              <w:tl2br w:val="nil"/>
              <w:tr2bl w:val="nil"/>
            </w:tcBorders>
            <w:noWrap/>
            <w:vAlign w:val="center"/>
          </w:tcPr>
          <w:p w14:paraId="5EBF0E3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70FB54B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5A9237A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4942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18BE9E5F">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4FD4236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水带（65-25）</w:t>
            </w:r>
          </w:p>
        </w:tc>
        <w:tc>
          <w:tcPr>
            <w:tcW w:w="635" w:type="pct"/>
            <w:tcBorders>
              <w:tl2br w:val="nil"/>
              <w:tr2bl w:val="nil"/>
            </w:tcBorders>
            <w:noWrap/>
            <w:vAlign w:val="center"/>
          </w:tcPr>
          <w:p w14:paraId="08CC9C4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950</w:t>
            </w:r>
          </w:p>
        </w:tc>
        <w:tc>
          <w:tcPr>
            <w:tcW w:w="777" w:type="pct"/>
            <w:tcBorders>
              <w:tl2br w:val="nil"/>
              <w:tr2bl w:val="nil"/>
            </w:tcBorders>
            <w:noWrap/>
            <w:vAlign w:val="center"/>
          </w:tcPr>
          <w:p w14:paraId="2E0CE1D4">
            <w:pPr>
              <w:keepNext w:val="0"/>
              <w:keepLines w:val="0"/>
              <w:widowControl/>
              <w:suppressLineNumbers w:val="0"/>
              <w:shd w:val="clear"/>
              <w:spacing w:line="360" w:lineRule="auto"/>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395</w:t>
            </w:r>
          </w:p>
        </w:tc>
        <w:tc>
          <w:tcPr>
            <w:tcW w:w="568" w:type="pct"/>
            <w:vMerge w:val="continue"/>
            <w:tcBorders>
              <w:tl2br w:val="nil"/>
              <w:tr2bl w:val="nil"/>
            </w:tcBorders>
            <w:noWrap/>
            <w:vAlign w:val="center"/>
          </w:tcPr>
          <w:p w14:paraId="291955A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0BAED01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336F764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6C59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6657510C">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42D67FC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水带（80-25）</w:t>
            </w:r>
          </w:p>
        </w:tc>
        <w:tc>
          <w:tcPr>
            <w:tcW w:w="635" w:type="pct"/>
            <w:tcBorders>
              <w:tl2br w:val="nil"/>
              <w:tr2bl w:val="nil"/>
            </w:tcBorders>
            <w:noWrap/>
            <w:vAlign w:val="center"/>
          </w:tcPr>
          <w:p w14:paraId="70F310E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1050</w:t>
            </w:r>
          </w:p>
        </w:tc>
        <w:tc>
          <w:tcPr>
            <w:tcW w:w="777" w:type="pct"/>
            <w:tcBorders>
              <w:tl2br w:val="nil"/>
              <w:tr2bl w:val="nil"/>
            </w:tcBorders>
            <w:noWrap/>
            <w:vAlign w:val="center"/>
          </w:tcPr>
          <w:p w14:paraId="78F0CFA7">
            <w:pPr>
              <w:keepNext w:val="0"/>
              <w:keepLines w:val="0"/>
              <w:widowControl/>
              <w:suppressLineNumbers w:val="0"/>
              <w:shd w:val="clear"/>
              <w:spacing w:line="360" w:lineRule="auto"/>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500</w:t>
            </w:r>
          </w:p>
        </w:tc>
        <w:tc>
          <w:tcPr>
            <w:tcW w:w="568" w:type="pct"/>
            <w:vMerge w:val="continue"/>
            <w:tcBorders>
              <w:tl2br w:val="nil"/>
              <w:tr2bl w:val="nil"/>
            </w:tcBorders>
            <w:noWrap/>
            <w:vAlign w:val="center"/>
          </w:tcPr>
          <w:p w14:paraId="5C78006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3638F0D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3EB8C145">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是</w:t>
            </w:r>
          </w:p>
        </w:tc>
      </w:tr>
      <w:tr w14:paraId="3607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5DD58134">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6B68107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水幕水带</w:t>
            </w:r>
          </w:p>
        </w:tc>
        <w:tc>
          <w:tcPr>
            <w:tcW w:w="635" w:type="pct"/>
            <w:tcBorders>
              <w:tl2br w:val="nil"/>
              <w:tr2bl w:val="nil"/>
            </w:tcBorders>
            <w:noWrap/>
            <w:vAlign w:val="center"/>
          </w:tcPr>
          <w:p w14:paraId="29DFA12C">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777" w:type="pct"/>
            <w:tcBorders>
              <w:tl2br w:val="nil"/>
              <w:tr2bl w:val="nil"/>
            </w:tcBorders>
            <w:noWrap/>
            <w:vAlign w:val="center"/>
          </w:tcPr>
          <w:p w14:paraId="2D3A9C77">
            <w:pPr>
              <w:keepNext w:val="0"/>
              <w:keepLines w:val="0"/>
              <w:widowControl/>
              <w:suppressLineNumbers w:val="0"/>
              <w:shd w:val="clear"/>
              <w:spacing w:line="360" w:lineRule="auto"/>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450</w:t>
            </w:r>
          </w:p>
        </w:tc>
        <w:tc>
          <w:tcPr>
            <w:tcW w:w="568" w:type="pct"/>
            <w:vMerge w:val="continue"/>
            <w:tcBorders>
              <w:tl2br w:val="nil"/>
              <w:tr2bl w:val="nil"/>
            </w:tcBorders>
            <w:noWrap/>
            <w:vAlign w:val="center"/>
          </w:tcPr>
          <w:p w14:paraId="4483B8D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4A16B9F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710CDFDB">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1F7D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5F12B039">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5AB6923C">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高压水带80mm-40型</w:t>
            </w:r>
          </w:p>
        </w:tc>
        <w:tc>
          <w:tcPr>
            <w:tcW w:w="635" w:type="pct"/>
            <w:tcBorders>
              <w:tl2br w:val="nil"/>
              <w:tr2bl w:val="nil"/>
            </w:tcBorders>
            <w:noWrap/>
            <w:vAlign w:val="center"/>
          </w:tcPr>
          <w:p w14:paraId="4EFE6B2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777" w:type="pct"/>
            <w:tcBorders>
              <w:tl2br w:val="nil"/>
              <w:tr2bl w:val="nil"/>
            </w:tcBorders>
            <w:noWrap/>
            <w:vAlign w:val="center"/>
          </w:tcPr>
          <w:p w14:paraId="221AE8B0">
            <w:pPr>
              <w:keepNext w:val="0"/>
              <w:keepLines w:val="0"/>
              <w:widowControl/>
              <w:suppressLineNumbers w:val="0"/>
              <w:shd w:val="clear"/>
              <w:spacing w:line="360" w:lineRule="auto"/>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cs="宋体"/>
                <w:i w:val="0"/>
                <w:iCs w:val="0"/>
                <w:snapToGrid w:val="0"/>
                <w:color w:val="auto"/>
                <w:kern w:val="0"/>
                <w:sz w:val="24"/>
                <w:szCs w:val="24"/>
                <w:highlight w:val="none"/>
                <w:u w:val="none"/>
                <w:lang w:val="en-US" w:eastAsia="zh-CN" w:bidi="ar"/>
              </w:rPr>
              <w:t>715</w:t>
            </w:r>
          </w:p>
        </w:tc>
        <w:tc>
          <w:tcPr>
            <w:tcW w:w="568" w:type="pct"/>
            <w:vMerge w:val="continue"/>
            <w:tcBorders>
              <w:tl2br w:val="nil"/>
              <w:tr2bl w:val="nil"/>
            </w:tcBorders>
            <w:noWrap/>
            <w:vAlign w:val="center"/>
          </w:tcPr>
          <w:p w14:paraId="6F726EE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63C92FD2">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0B96A445">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6D99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35ECBF76">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525997D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消防移动储水装置（水囊）10000L</w:t>
            </w:r>
          </w:p>
        </w:tc>
        <w:tc>
          <w:tcPr>
            <w:tcW w:w="635" w:type="pct"/>
            <w:tcBorders>
              <w:tl2br w:val="nil"/>
              <w:tr2bl w:val="nil"/>
            </w:tcBorders>
            <w:noWrap/>
            <w:vAlign w:val="center"/>
          </w:tcPr>
          <w:p w14:paraId="2F39FD39">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777" w:type="pct"/>
            <w:tcBorders>
              <w:tl2br w:val="nil"/>
              <w:tr2bl w:val="nil"/>
            </w:tcBorders>
            <w:noWrap/>
            <w:vAlign w:val="center"/>
          </w:tcPr>
          <w:p w14:paraId="5AC0966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2500</w:t>
            </w:r>
          </w:p>
        </w:tc>
        <w:tc>
          <w:tcPr>
            <w:tcW w:w="568" w:type="pct"/>
            <w:vMerge w:val="continue"/>
            <w:tcBorders>
              <w:tl2br w:val="nil"/>
              <w:tr2bl w:val="nil"/>
            </w:tcBorders>
            <w:noWrap/>
            <w:vAlign w:val="center"/>
          </w:tcPr>
          <w:p w14:paraId="47A2EA12">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36A8795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1A4C8F6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058B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335100A8">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17696D3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分水器</w:t>
            </w:r>
          </w:p>
        </w:tc>
        <w:tc>
          <w:tcPr>
            <w:tcW w:w="635" w:type="pct"/>
            <w:tcBorders>
              <w:tl2br w:val="nil"/>
              <w:tr2bl w:val="nil"/>
            </w:tcBorders>
            <w:noWrap/>
            <w:vAlign w:val="center"/>
          </w:tcPr>
          <w:p w14:paraId="5DCFD04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777" w:type="pct"/>
            <w:tcBorders>
              <w:tl2br w:val="nil"/>
              <w:tr2bl w:val="nil"/>
            </w:tcBorders>
            <w:noWrap/>
            <w:vAlign w:val="center"/>
          </w:tcPr>
          <w:p w14:paraId="79B52B6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525</w:t>
            </w:r>
          </w:p>
        </w:tc>
        <w:tc>
          <w:tcPr>
            <w:tcW w:w="568" w:type="pct"/>
            <w:vMerge w:val="continue"/>
            <w:tcBorders>
              <w:tl2br w:val="nil"/>
              <w:tr2bl w:val="nil"/>
            </w:tcBorders>
            <w:noWrap/>
            <w:vAlign w:val="center"/>
          </w:tcPr>
          <w:p w14:paraId="13B79E89">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6C2DDD39">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074E9DC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223B0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7179D06D">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5A15C81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直流开关水枪</w:t>
            </w:r>
          </w:p>
        </w:tc>
        <w:tc>
          <w:tcPr>
            <w:tcW w:w="635" w:type="pct"/>
            <w:tcBorders>
              <w:tl2br w:val="nil"/>
              <w:tr2bl w:val="nil"/>
            </w:tcBorders>
            <w:noWrap/>
            <w:vAlign w:val="center"/>
          </w:tcPr>
          <w:p w14:paraId="76A84E5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777" w:type="pct"/>
            <w:tcBorders>
              <w:tl2br w:val="nil"/>
              <w:tr2bl w:val="nil"/>
            </w:tcBorders>
            <w:noWrap/>
            <w:vAlign w:val="center"/>
          </w:tcPr>
          <w:p w14:paraId="49C2E16E">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568" w:type="pct"/>
            <w:vMerge w:val="continue"/>
            <w:tcBorders>
              <w:tl2br w:val="nil"/>
              <w:tr2bl w:val="nil"/>
            </w:tcBorders>
            <w:noWrap/>
            <w:vAlign w:val="center"/>
          </w:tcPr>
          <w:p w14:paraId="5FEFE86B">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3FC1547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536311D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4C06F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1B61F06D">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331F3E1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水带护桥（橡胶）</w:t>
            </w:r>
          </w:p>
        </w:tc>
        <w:tc>
          <w:tcPr>
            <w:tcW w:w="635" w:type="pct"/>
            <w:tcBorders>
              <w:tl2br w:val="nil"/>
              <w:tr2bl w:val="nil"/>
            </w:tcBorders>
            <w:noWrap/>
            <w:vAlign w:val="center"/>
          </w:tcPr>
          <w:p w14:paraId="4CCE623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777" w:type="pct"/>
            <w:tcBorders>
              <w:tl2br w:val="nil"/>
              <w:tr2bl w:val="nil"/>
            </w:tcBorders>
            <w:noWrap/>
            <w:vAlign w:val="center"/>
          </w:tcPr>
          <w:p w14:paraId="55A3211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700</w:t>
            </w:r>
          </w:p>
        </w:tc>
        <w:tc>
          <w:tcPr>
            <w:tcW w:w="568" w:type="pct"/>
            <w:vMerge w:val="continue"/>
            <w:tcBorders>
              <w:tl2br w:val="nil"/>
              <w:tr2bl w:val="nil"/>
            </w:tcBorders>
            <w:noWrap/>
            <w:vAlign w:val="center"/>
          </w:tcPr>
          <w:p w14:paraId="5CAD5A74">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0039A51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55C14C11">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2D1AA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0AB2A54F">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41580AA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泡沫输转泵</w:t>
            </w:r>
          </w:p>
        </w:tc>
        <w:tc>
          <w:tcPr>
            <w:tcW w:w="635" w:type="pct"/>
            <w:tcBorders>
              <w:tl2br w:val="nil"/>
              <w:tr2bl w:val="nil"/>
            </w:tcBorders>
            <w:noWrap/>
            <w:vAlign w:val="center"/>
          </w:tcPr>
          <w:p w14:paraId="5B3AEA8D">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777" w:type="pct"/>
            <w:tcBorders>
              <w:tl2br w:val="nil"/>
              <w:tr2bl w:val="nil"/>
            </w:tcBorders>
            <w:noWrap/>
            <w:vAlign w:val="center"/>
          </w:tcPr>
          <w:p w14:paraId="022BE519">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30000</w:t>
            </w:r>
          </w:p>
        </w:tc>
        <w:tc>
          <w:tcPr>
            <w:tcW w:w="568" w:type="pct"/>
            <w:vMerge w:val="continue"/>
            <w:tcBorders>
              <w:tl2br w:val="nil"/>
              <w:tr2bl w:val="nil"/>
            </w:tcBorders>
            <w:noWrap/>
            <w:vAlign w:val="center"/>
          </w:tcPr>
          <w:p w14:paraId="45B9F970">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0C38304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60F687CF">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r w14:paraId="5F5A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8" w:type="pct"/>
            <w:vMerge w:val="continue"/>
            <w:tcBorders>
              <w:tl2br w:val="nil"/>
              <w:tr2bl w:val="nil"/>
            </w:tcBorders>
            <w:noWrap/>
            <w:vAlign w:val="center"/>
          </w:tcPr>
          <w:p w14:paraId="552BD986">
            <w:pPr>
              <w:keepNext w:val="0"/>
              <w:keepLines w:val="0"/>
              <w:widowControl/>
              <w:suppressLineNumbers w:val="0"/>
              <w:shd w:val="clear"/>
              <w:spacing w:line="360" w:lineRule="auto"/>
              <w:jc w:val="left"/>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1384" w:type="pct"/>
            <w:tcBorders>
              <w:tl2br w:val="nil"/>
              <w:tr2bl w:val="nil"/>
            </w:tcBorders>
            <w:noWrap w:val="0"/>
            <w:vAlign w:val="center"/>
          </w:tcPr>
          <w:p w14:paraId="72638C8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防爆输转泵</w:t>
            </w:r>
          </w:p>
        </w:tc>
        <w:tc>
          <w:tcPr>
            <w:tcW w:w="635" w:type="pct"/>
            <w:tcBorders>
              <w:tl2br w:val="nil"/>
              <w:tr2bl w:val="nil"/>
            </w:tcBorders>
            <w:noWrap/>
            <w:vAlign w:val="center"/>
          </w:tcPr>
          <w:p w14:paraId="2A975257">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777" w:type="pct"/>
            <w:tcBorders>
              <w:tl2br w:val="nil"/>
              <w:tr2bl w:val="nil"/>
            </w:tcBorders>
            <w:noWrap/>
            <w:vAlign w:val="center"/>
          </w:tcPr>
          <w:p w14:paraId="0BB5DCF3">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15000</w:t>
            </w:r>
          </w:p>
        </w:tc>
        <w:tc>
          <w:tcPr>
            <w:tcW w:w="568" w:type="pct"/>
            <w:vMerge w:val="continue"/>
            <w:tcBorders>
              <w:tl2br w:val="nil"/>
              <w:tr2bl w:val="nil"/>
            </w:tcBorders>
            <w:noWrap/>
            <w:vAlign w:val="center"/>
          </w:tcPr>
          <w:p w14:paraId="2A0F3C46">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26" w:type="pct"/>
            <w:vMerge w:val="continue"/>
            <w:tcBorders>
              <w:tl2br w:val="nil"/>
              <w:tr2bl w:val="nil"/>
            </w:tcBorders>
            <w:noWrap/>
            <w:vAlign w:val="center"/>
          </w:tcPr>
          <w:p w14:paraId="4BEA72CA">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c>
          <w:tcPr>
            <w:tcW w:w="599" w:type="pct"/>
            <w:tcBorders>
              <w:tl2br w:val="nil"/>
              <w:tr2bl w:val="nil"/>
            </w:tcBorders>
            <w:noWrap/>
            <w:vAlign w:val="center"/>
          </w:tcPr>
          <w:p w14:paraId="324B4FA8">
            <w:pPr>
              <w:keepNext w:val="0"/>
              <w:keepLines w:val="0"/>
              <w:widowControl/>
              <w:suppressLineNumbers w:val="0"/>
              <w:shd w:val="clear"/>
              <w:spacing w:line="360" w:lineRule="auto"/>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bl>
    <w:p w14:paraId="0E7D801F">
      <w:pPr>
        <w:spacing w:line="360" w:lineRule="auto"/>
        <w:rPr>
          <w:rFonts w:hint="eastAsia"/>
          <w:sz w:val="24"/>
          <w:szCs w:val="24"/>
        </w:rPr>
      </w:pPr>
    </w:p>
    <w:p w14:paraId="384A74AF">
      <w:pPr>
        <w:keepNext w:val="0"/>
        <w:keepLines w:val="0"/>
        <w:pageBreakBefore w:val="0"/>
        <w:shd w:val="clear"/>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kern w:val="0"/>
          <w:sz w:val="24"/>
          <w:szCs w:val="24"/>
          <w:highlight w:val="none"/>
        </w:rPr>
        <w:t>本项目采购</w:t>
      </w:r>
      <w:r>
        <w:rPr>
          <w:rFonts w:hint="eastAsia" w:ascii="宋体" w:hAnsi="宋体" w:cs="宋体"/>
          <w:color w:val="auto"/>
          <w:sz w:val="24"/>
          <w:szCs w:val="24"/>
          <w:highlight w:val="none"/>
          <w:lang w:val="en-US" w:eastAsia="zh-CN"/>
        </w:rPr>
        <w:t>预算总金</w:t>
      </w:r>
      <w:r>
        <w:rPr>
          <w:rFonts w:hint="eastAsia" w:ascii="宋体" w:hAnsi="宋体" w:eastAsia="宋体" w:cs="宋体"/>
          <w:color w:val="auto"/>
          <w:sz w:val="24"/>
          <w:szCs w:val="24"/>
          <w:highlight w:val="none"/>
          <w:lang w:val="en-US" w:eastAsia="zh-CN"/>
        </w:rPr>
        <w:t>额为214.5725</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招标限价总金额为</w:t>
      </w:r>
      <w:r>
        <w:rPr>
          <w:rFonts w:hint="eastAsia" w:ascii="宋体" w:hAnsi="宋体" w:cs="宋体"/>
          <w:color w:val="auto"/>
          <w:sz w:val="24"/>
          <w:szCs w:val="24"/>
          <w:highlight w:val="none"/>
          <w:lang w:val="en-US" w:eastAsia="zh-CN"/>
        </w:rPr>
        <w:t>203.6725</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w:t>
      </w:r>
    </w:p>
    <w:p w14:paraId="21BC124E">
      <w:pPr>
        <w:keepNext w:val="0"/>
        <w:keepLines w:val="0"/>
        <w:pageBreakBefore w:val="0"/>
        <w:shd w:val="clear"/>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3、交货地点：</w:t>
      </w:r>
      <w:r>
        <w:rPr>
          <w:rFonts w:hint="eastAsia" w:ascii="宋体" w:hAnsi="宋体" w:cs="宋体"/>
          <w:b w:val="0"/>
          <w:bCs/>
          <w:color w:val="auto"/>
          <w:sz w:val="24"/>
          <w:szCs w:val="24"/>
          <w:highlight w:val="none"/>
          <w:lang w:val="en-US" w:eastAsia="zh-CN"/>
        </w:rPr>
        <w:t>四川省消防救援总队训练与战勤保障支队指定地点</w:t>
      </w:r>
      <w:r>
        <w:rPr>
          <w:rFonts w:hint="eastAsia" w:ascii="宋体" w:hAnsi="宋体" w:eastAsia="宋体" w:cs="宋体"/>
          <w:color w:val="auto"/>
          <w:sz w:val="24"/>
          <w:szCs w:val="24"/>
          <w:highlight w:val="none"/>
        </w:rPr>
        <w:t>；</w:t>
      </w:r>
    </w:p>
    <w:p w14:paraId="184B1B63">
      <w:pPr>
        <w:keepNext w:val="0"/>
        <w:keepLines w:val="0"/>
        <w:pageBreakBefore w:val="0"/>
        <w:shd w:val="clear"/>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、本项目需要落实的政府采购政策：政府采购促进中小企业发展政策、政府采购支持监狱企业发展政策、促进残疾人就业政府采购政策、</w:t>
      </w:r>
      <w:r>
        <w:rPr>
          <w:rFonts w:hint="eastAsia" w:ascii="宋体" w:hAnsi="宋体" w:eastAsia="宋体" w:cs="宋体"/>
          <w:color w:val="auto"/>
          <w:sz w:val="24"/>
          <w:szCs w:val="24"/>
          <w:highlight w:val="none"/>
          <w:lang w:val="zh-CN"/>
        </w:rPr>
        <w:t>扶持不发达地区和少数民族地区</w:t>
      </w:r>
      <w:r>
        <w:rPr>
          <w:rFonts w:hint="eastAsia" w:ascii="宋体" w:hAnsi="宋体" w:eastAsia="宋体" w:cs="宋体"/>
          <w:color w:val="auto"/>
          <w:sz w:val="24"/>
          <w:szCs w:val="24"/>
          <w:highlight w:val="none"/>
        </w:rPr>
        <w:t>政府采购政策、政府采购优先购买节能产品政策、政府采购优先购买环境标志产品政策；</w:t>
      </w:r>
    </w:p>
    <w:p w14:paraId="37BF8E94">
      <w:pPr>
        <w:keepNext w:val="0"/>
        <w:keepLines w:val="0"/>
        <w:pageBreakBefore w:val="0"/>
        <w:shd w:val="clear"/>
        <w:kinsoku/>
        <w:wordWrap/>
        <w:overflowPunct/>
        <w:topLinePunct w:val="0"/>
        <w:autoSpaceDE/>
        <w:autoSpaceDN/>
        <w:bidi w:val="0"/>
        <w:adjustRightInd/>
        <w:spacing w:line="360" w:lineRule="auto"/>
        <w:ind w:left="42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、具体技术需求及要求详见招标文件第六章。</w:t>
      </w:r>
    </w:p>
    <w:p w14:paraId="016017FB">
      <w:pPr>
        <w:keepNext w:val="0"/>
        <w:keepLines w:val="0"/>
        <w:pageBreakBefore w:val="0"/>
        <w:shd w:val="clear"/>
        <w:kinsoku/>
        <w:wordWrap/>
        <w:overflowPunct/>
        <w:topLinePunct w:val="0"/>
        <w:autoSpaceDE/>
        <w:autoSpaceDN/>
        <w:bidi w:val="0"/>
        <w:adjustRightInd/>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bCs/>
          <w:color w:val="auto"/>
          <w:sz w:val="24"/>
          <w:szCs w:val="24"/>
          <w:highlight w:val="none"/>
        </w:rPr>
        <w:t>、投标人参加本次政府采购活动应具备下列条件：</w:t>
      </w:r>
    </w:p>
    <w:p w14:paraId="0F9692B2">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bookmarkStart w:id="15" w:name="OLE_LINK18"/>
      <w:r>
        <w:rPr>
          <w:rFonts w:hint="eastAsia" w:ascii="宋体" w:hAnsi="宋体" w:eastAsia="宋体" w:cs="宋体"/>
          <w:color w:val="auto"/>
          <w:sz w:val="24"/>
          <w:szCs w:val="24"/>
          <w:highlight w:val="none"/>
        </w:rPr>
        <w:t>1.满足《中华人民共和国政府采购法》第二十二条规定；</w:t>
      </w:r>
    </w:p>
    <w:p w14:paraId="4D0D221E">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260AD8A4">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本次两个包</w:t>
      </w:r>
      <w:r>
        <w:rPr>
          <w:rFonts w:hint="eastAsia" w:ascii="宋体" w:hAnsi="宋体" w:eastAsia="宋体" w:cs="宋体"/>
          <w:color w:val="auto"/>
          <w:sz w:val="24"/>
          <w:szCs w:val="24"/>
          <w:highlight w:val="none"/>
        </w:rPr>
        <w:t>门面向中小企业采购，</w:t>
      </w:r>
      <w:bookmarkStart w:id="16" w:name="OLE_LINK19"/>
      <w:r>
        <w:rPr>
          <w:rFonts w:hint="eastAsia" w:ascii="宋体" w:hAnsi="宋体" w:eastAsia="宋体" w:cs="宋体"/>
          <w:color w:val="auto"/>
          <w:sz w:val="24"/>
          <w:szCs w:val="24"/>
          <w:highlight w:val="none"/>
        </w:rPr>
        <w:t>投标人所投产品制造厂商须为《政府采购促进中小企业发展管理办法》 （ 财库 [2020]46 号）中所述中小企业或《关于政府采购支持监狱企业发展有关问 题的通知》 （财库 [2014]68 号） 中所述监狱企业或《关于促进残疾人就业政府采 购政策的通知》 （财库 〔 2017 〕 141 号） 中所述残疾人福利性单位。</w:t>
      </w:r>
      <w:bookmarkEnd w:id="16"/>
    </w:p>
    <w:p w14:paraId="6854F91B">
      <w:pPr>
        <w:keepNext w:val="0"/>
        <w:keepLines w:val="0"/>
        <w:pageBreakBefore w:val="0"/>
        <w:numPr>
          <w:ilvl w:val="0"/>
          <w:numId w:val="5"/>
        </w:numPr>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 (1)供应商及其现任法定代表人（非法人机构则为主要负责人）不得具有行贿犯罪记录； (2)投标人截止至本项目投标截止时间未被列入“信用中国”网站(www.creditchina.gov.cn)、“中国政府采购网”网站(www.ccgp.gov.cn) 中任一网站的失信被执行人名单或重大税收违法失信主体名单或政府采购严重违法失信行为记录名单；</w:t>
      </w:r>
    </w:p>
    <w:p w14:paraId="22538C18">
      <w:pPr>
        <w:shd w:val="clear"/>
        <w:tabs>
          <w:tab w:val="left" w:pos="900"/>
        </w:tabs>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本项目不接受联合体投标。</w:t>
      </w:r>
      <w:bookmarkEnd w:id="15"/>
    </w:p>
    <w:p w14:paraId="3F2A1E80">
      <w:pPr>
        <w:keepNext w:val="0"/>
        <w:keepLines w:val="0"/>
        <w:pageBreakBefore w:val="0"/>
        <w:shd w:val="clear"/>
        <w:tabs>
          <w:tab w:val="left" w:pos="900"/>
        </w:tabs>
        <w:kinsoku/>
        <w:wordWrap/>
        <w:overflowPunct/>
        <w:topLinePunct w:val="0"/>
        <w:autoSpaceDE/>
        <w:autoSpaceDN/>
        <w:bidi w:val="0"/>
        <w:adjustRightInd/>
        <w:snapToGrid w:val="0"/>
        <w:spacing w:line="360" w:lineRule="auto"/>
        <w:ind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六、禁止参加本次采购活动的投标人</w:t>
      </w:r>
    </w:p>
    <w:p w14:paraId="7388DA68">
      <w:pPr>
        <w:keepNext w:val="0"/>
        <w:keepLines w:val="0"/>
        <w:pageBreakBefore w:val="0"/>
        <w:widowControl/>
        <w:shd w:val="clear"/>
        <w:kinsoku/>
        <w:wordWrap/>
        <w:overflowPunct/>
        <w:topLinePunct w:val="0"/>
        <w:autoSpaceDE/>
        <w:autoSpaceDN/>
        <w:bidi w:val="0"/>
        <w:adjustRightIn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关于在政府采购活动中查询及使用信用记录有关问题的通知》（财库〔2016〕125号）的要求，采购代理机构将通过“信用中国”网站（www.creditchina.gov.cn）、“中国政府采购网”网站（www.ccgp.gov.cn）等渠道查询投标人在采购公告发布之日前的信用记录并保存信用记录结果网页截图，拒绝列入失信被执行人名单、重大税收违法案件当事人名单、政府采购严重违法失信行为记录名单中的投标人报名参加本项目的采购活动（以联合体形式参加本项目采购活动，联合体成员存在不良信用记录的，视同联合体存在不良信用记录）。</w:t>
      </w:r>
    </w:p>
    <w:p w14:paraId="37C04BE9">
      <w:pPr>
        <w:keepNext w:val="0"/>
        <w:keepLines w:val="0"/>
        <w:pageBreakBefore w:val="0"/>
        <w:shd w:val="clear"/>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项目提供整体设计、规范编制或者项目管理、监理、检测等服务的投标人，不得参加本采购项目。投标人为采购人、采购代理机构在确定采购需求、编制招标文件过程中提供咨询论证，其提供的咨询论证意见成为招标文件中规定的投标人资格条件、技术服务商务要求、评审因素和标准、采购合同等实质性内容条款的，视同为采购项目提供规范编制。</w:t>
      </w:r>
    </w:p>
    <w:p w14:paraId="03FA5681">
      <w:pPr>
        <w:keepNext w:val="0"/>
        <w:keepLines w:val="0"/>
        <w:pageBreakBefore w:val="0"/>
        <w:shd w:val="clear"/>
        <w:kinsoku/>
        <w:wordWrap/>
        <w:overflowPunct/>
        <w:topLinePunct w:val="0"/>
        <w:autoSpaceDE/>
        <w:autoSpaceDN/>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七、招标文件发售时间、地点：</w:t>
      </w:r>
    </w:p>
    <w:p w14:paraId="5FC68674">
      <w:pPr>
        <w:keepNext w:val="0"/>
        <w:keepLines w:val="0"/>
        <w:pageBreakBefore w:val="0"/>
        <w:shd w:val="clear"/>
        <w:kinsoku/>
        <w:wordWrap/>
        <w:overflowPunct/>
        <w:topLinePunct w:val="0"/>
        <w:autoSpaceDE/>
        <w:autoSpaceDN/>
        <w:bidi w:val="0"/>
        <w:adjustRightInd/>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招标文件自</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lang w:val="zh-CN"/>
        </w:rPr>
        <w:t>年</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lang w:val="zh-CN"/>
        </w:rPr>
        <w:t>日至</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lang w:val="zh-CN"/>
        </w:rPr>
        <w:t>年</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zh-CN"/>
        </w:rPr>
        <w:t>日</w:t>
      </w:r>
      <w:r>
        <w:rPr>
          <w:rFonts w:hint="eastAsia" w:ascii="宋体" w:hAnsi="宋体" w:eastAsia="宋体" w:cs="宋体"/>
          <w:bCs/>
          <w:color w:val="auto"/>
          <w:sz w:val="24"/>
          <w:szCs w:val="24"/>
          <w:highlight w:val="none"/>
          <w:lang w:val="zh-CN"/>
        </w:rPr>
        <w:t>，每天</w:t>
      </w:r>
      <w:r>
        <w:rPr>
          <w:rFonts w:hint="eastAsia" w:ascii="宋体" w:hAnsi="宋体" w:eastAsia="宋体" w:cs="宋体"/>
          <w:bCs/>
          <w:color w:val="auto"/>
          <w:sz w:val="24"/>
          <w:szCs w:val="24"/>
          <w:highlight w:val="none"/>
        </w:rPr>
        <w:t>09:00</w:t>
      </w:r>
      <w:r>
        <w:rPr>
          <w:rFonts w:hint="eastAsia" w:ascii="宋体" w:hAnsi="宋体" w:eastAsia="宋体" w:cs="宋体"/>
          <w:bCs/>
          <w:color w:val="auto"/>
          <w:sz w:val="24"/>
          <w:szCs w:val="24"/>
          <w:highlight w:val="none"/>
          <w:lang w:val="zh-CN"/>
        </w:rPr>
        <w:t>～12:00；1</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:00～17:00（节假日除外）在</w:t>
      </w:r>
      <w:r>
        <w:rPr>
          <w:rFonts w:hint="eastAsia" w:ascii="宋体" w:hAnsi="宋体" w:cs="宋体"/>
          <w:bCs/>
          <w:color w:val="auto"/>
          <w:sz w:val="24"/>
          <w:szCs w:val="24"/>
          <w:highlight w:val="none"/>
          <w:lang w:val="zh-CN"/>
        </w:rPr>
        <w:t>四川铭信工程招标咨询有限公司</w:t>
      </w:r>
      <w:r>
        <w:rPr>
          <w:rFonts w:hint="eastAsia" w:ascii="宋体" w:hAnsi="宋体" w:eastAsia="宋体" w:cs="宋体"/>
          <w:bCs/>
          <w:color w:val="auto"/>
          <w:sz w:val="24"/>
          <w:szCs w:val="24"/>
          <w:highlight w:val="none"/>
          <w:lang w:val="zh-CN"/>
        </w:rPr>
        <w:t>购买（</w:t>
      </w:r>
      <w:r>
        <w:rPr>
          <w:rFonts w:hint="eastAsia" w:ascii="宋体" w:hAnsi="宋体" w:eastAsia="宋体" w:cs="宋体"/>
          <w:bCs/>
          <w:color w:val="auto"/>
          <w:sz w:val="24"/>
          <w:szCs w:val="24"/>
          <w:highlight w:val="none"/>
        </w:rPr>
        <w:t>或</w:t>
      </w:r>
      <w:r>
        <w:rPr>
          <w:rFonts w:hint="eastAsia" w:ascii="宋体" w:hAnsi="宋体" w:cs="宋体"/>
          <w:bCs/>
          <w:color w:val="auto"/>
          <w:sz w:val="24"/>
          <w:szCs w:val="24"/>
          <w:highlight w:val="none"/>
          <w:lang w:val="en-US" w:eastAsia="zh-CN"/>
        </w:rPr>
        <w:t>邮寄</w:t>
      </w:r>
      <w:r>
        <w:rPr>
          <w:rFonts w:hint="eastAsia" w:ascii="宋体" w:hAnsi="宋体" w:eastAsia="宋体" w:cs="宋体"/>
          <w:bCs/>
          <w:color w:val="auto"/>
          <w:sz w:val="24"/>
          <w:szCs w:val="24"/>
          <w:highlight w:val="none"/>
          <w:lang w:val="zh-CN"/>
        </w:rPr>
        <w:t>）。</w:t>
      </w:r>
    </w:p>
    <w:p w14:paraId="75E5E829">
      <w:pPr>
        <w:keepNext w:val="0"/>
        <w:keepLines w:val="0"/>
        <w:pageBreakBefore w:val="0"/>
        <w:shd w:val="clear"/>
        <w:kinsoku/>
        <w:wordWrap/>
        <w:overflowPunct/>
        <w:topLinePunct w:val="0"/>
        <w:autoSpaceDE/>
        <w:autoSpaceDN/>
        <w:bidi w:val="0"/>
        <w:adjustRightInd/>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招标文件售价</w:t>
      </w:r>
      <w:r>
        <w:rPr>
          <w:rFonts w:hint="eastAsia" w:ascii="宋体" w:hAnsi="宋体" w:eastAsia="宋体" w:cs="宋体"/>
          <w:bCs/>
          <w:color w:val="auto"/>
          <w:spacing w:val="-20"/>
          <w:sz w:val="24"/>
          <w:szCs w:val="24"/>
          <w:highlight w:val="none"/>
          <w:lang w:val="zh-CN"/>
        </w:rPr>
        <w:t>：人</w:t>
      </w:r>
      <w:r>
        <w:rPr>
          <w:rFonts w:hint="eastAsia" w:ascii="宋体" w:hAnsi="宋体" w:eastAsia="宋体" w:cs="宋体"/>
          <w:color w:val="auto"/>
          <w:sz w:val="24"/>
          <w:szCs w:val="24"/>
          <w:highlight w:val="none"/>
          <w:lang w:val="zh-CN"/>
        </w:rPr>
        <w:t>民币</w:t>
      </w:r>
      <w:r>
        <w:rPr>
          <w:rFonts w:hint="eastAsia" w:ascii="宋体" w:hAnsi="宋体" w:eastAsia="宋体" w:cs="宋体"/>
          <w:color w:val="auto"/>
          <w:sz w:val="24"/>
          <w:szCs w:val="24"/>
          <w:highlight w:val="none"/>
        </w:rPr>
        <w:t>300</w:t>
      </w:r>
      <w:r>
        <w:rPr>
          <w:rFonts w:hint="eastAsia" w:ascii="宋体" w:hAnsi="宋体" w:eastAsia="宋体" w:cs="宋体"/>
          <w:color w:val="auto"/>
          <w:sz w:val="24"/>
          <w:szCs w:val="24"/>
          <w:highlight w:val="none"/>
          <w:lang w:val="zh-CN"/>
        </w:rPr>
        <w:t>元/包</w:t>
      </w:r>
      <w:r>
        <w:rPr>
          <w:rFonts w:hint="eastAsia" w:ascii="宋体" w:hAnsi="宋体" w:eastAsia="宋体" w:cs="宋体"/>
          <w:bCs/>
          <w:color w:val="auto"/>
          <w:sz w:val="24"/>
          <w:szCs w:val="24"/>
          <w:highlight w:val="none"/>
          <w:lang w:val="zh-CN"/>
        </w:rPr>
        <w:t>（招标文件售后不退, 投标资格不能转让）。</w:t>
      </w:r>
    </w:p>
    <w:p w14:paraId="3748F209">
      <w:pPr>
        <w:keepNext w:val="0"/>
        <w:keepLines w:val="0"/>
        <w:pageBreakBefore w:val="0"/>
        <w:shd w:val="clear"/>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选择现场方式报名的投标人购买招标文件必须携带以下资料：1、投标人为法人或者其他组织的，只需提供单位介绍信（需注明项目名称、项目编号及购买包号）、经办人身份证明；注：单位介绍信及经办人身份证复印件须加盖单位鲜章。2、投标人为自然人的，只需提供本人身份证明；</w:t>
      </w:r>
    </w:p>
    <w:p w14:paraId="506D8B7F">
      <w:pPr>
        <w:keepNext w:val="0"/>
        <w:keepLines w:val="0"/>
        <w:pageBreakBefore w:val="0"/>
        <w:shd w:val="clear"/>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（2）投标人选择</w:t>
      </w:r>
      <w:r>
        <w:rPr>
          <w:rFonts w:hint="eastAsia" w:ascii="宋体" w:hAnsi="宋体" w:cs="宋体"/>
          <w:color w:val="auto"/>
          <w:sz w:val="24"/>
          <w:szCs w:val="24"/>
          <w:highlight w:val="none"/>
          <w:lang w:val="en-US" w:eastAsia="zh-CN"/>
        </w:rPr>
        <w:t>邮寄</w:t>
      </w:r>
      <w:r>
        <w:rPr>
          <w:rFonts w:hint="eastAsia" w:ascii="宋体" w:hAnsi="宋体" w:eastAsia="宋体" w:cs="宋体"/>
          <w:color w:val="auto"/>
          <w:sz w:val="24"/>
          <w:szCs w:val="24"/>
          <w:highlight w:val="none"/>
        </w:rPr>
        <w:t>办理投标报名的：1、请先自行下载附件中的《供应商报名信息登记表》，并按相关要求填写信息(单位名称、经办人姓名、经办人手机号、单位座机、电子邮箱等)。2、将已填写的《供应商报名信息登记表》、《介绍信》(附经办人身份证复印件)及报名费支付成功的截图加盖投标人单位公章后的扫描件发送至电子邮箱：</w:t>
      </w:r>
      <w:r>
        <w:rPr>
          <w:rFonts w:hint="eastAsia" w:ascii="宋体" w:hAnsi="宋体" w:eastAsia="宋体" w:cs="宋体"/>
          <w:color w:val="auto"/>
          <w:sz w:val="24"/>
          <w:szCs w:val="24"/>
          <w:highlight w:val="none"/>
          <w:lang w:val="en-US" w:eastAsia="zh-CN"/>
        </w:rPr>
        <w:t>2488533760</w:t>
      </w:r>
      <w:r>
        <w:rPr>
          <w:rFonts w:hint="eastAsia" w:ascii="宋体" w:hAnsi="宋体" w:eastAsia="宋体" w:cs="宋体"/>
          <w:color w:val="auto"/>
          <w:sz w:val="24"/>
          <w:szCs w:val="24"/>
          <w:highlight w:val="none"/>
        </w:rPr>
        <w:t>@qq.com；报名成功后，采购代理机构将招标文件</w:t>
      </w:r>
      <w:r>
        <w:rPr>
          <w:rFonts w:hint="eastAsia" w:ascii="宋体" w:hAnsi="宋体" w:cs="宋体"/>
          <w:color w:val="auto"/>
          <w:sz w:val="24"/>
          <w:szCs w:val="24"/>
          <w:highlight w:val="none"/>
          <w:lang w:val="en-US" w:eastAsia="zh-CN"/>
        </w:rPr>
        <w:t>邮寄</w:t>
      </w:r>
      <w:r>
        <w:rPr>
          <w:rFonts w:hint="eastAsia" w:ascii="宋体" w:hAnsi="宋体" w:eastAsia="宋体" w:cs="宋体"/>
          <w:color w:val="auto"/>
          <w:sz w:val="24"/>
          <w:szCs w:val="24"/>
          <w:highlight w:val="none"/>
        </w:rPr>
        <w:t>至供应商报名信息登记表</w:t>
      </w:r>
      <w:r>
        <w:rPr>
          <w:rFonts w:hint="eastAsia" w:ascii="宋体" w:hAnsi="宋体" w:cs="宋体"/>
          <w:color w:val="auto"/>
          <w:sz w:val="24"/>
          <w:szCs w:val="24"/>
          <w:highlight w:val="none"/>
          <w:lang w:val="en-US" w:eastAsia="zh-CN"/>
        </w:rPr>
        <w:t>上</w:t>
      </w:r>
      <w:r>
        <w:rPr>
          <w:rFonts w:hint="eastAsia" w:ascii="宋体" w:hAnsi="宋体" w:eastAsia="宋体" w:cs="宋体"/>
          <w:color w:val="auto"/>
          <w:sz w:val="24"/>
          <w:szCs w:val="24"/>
          <w:highlight w:val="none"/>
        </w:rPr>
        <w:t>载明的</w:t>
      </w:r>
      <w:r>
        <w:rPr>
          <w:rFonts w:hint="eastAsia" w:ascii="宋体" w:hAnsi="宋体" w:cs="宋体"/>
          <w:color w:val="auto"/>
          <w:sz w:val="24"/>
          <w:szCs w:val="24"/>
          <w:highlight w:val="none"/>
          <w:lang w:val="en-US" w:eastAsia="zh-CN"/>
        </w:rPr>
        <w:t>地址</w:t>
      </w:r>
      <w:r>
        <w:rPr>
          <w:rFonts w:hint="eastAsia" w:ascii="宋体" w:hAnsi="宋体" w:eastAsia="宋体" w:cs="宋体"/>
          <w:color w:val="auto"/>
          <w:sz w:val="24"/>
          <w:szCs w:val="24"/>
          <w:highlight w:val="none"/>
        </w:rPr>
        <w:t>。</w:t>
      </w:r>
    </w:p>
    <w:p w14:paraId="786FC500">
      <w:pPr>
        <w:keepNext w:val="0"/>
        <w:keepLines w:val="0"/>
        <w:pageBreakBefore w:val="0"/>
        <w:shd w:val="clear"/>
        <w:tabs>
          <w:tab w:val="left" w:pos="540"/>
          <w:tab w:val="left" w:pos="780"/>
          <w:tab w:val="left" w:pos="3480"/>
        </w:tabs>
        <w:kinsoku/>
        <w:wordWrap/>
        <w:overflowPunct/>
        <w:topLinePunct w:val="0"/>
        <w:autoSpaceDE/>
        <w:autoSpaceDN/>
        <w:bidi w:val="0"/>
        <w:adjustRightInd/>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八、投标截止时间和开标时间：</w:t>
      </w:r>
      <w:r>
        <w:rPr>
          <w:rFonts w:hint="eastAsia" w:ascii="宋体" w:hAnsi="宋体" w:eastAsia="宋体" w:cs="宋体"/>
          <w:b w:val="0"/>
          <w:bCs/>
          <w:color w:val="auto"/>
          <w:sz w:val="24"/>
          <w:szCs w:val="24"/>
          <w:highlight w:val="none"/>
          <w:u w:val="single"/>
        </w:rPr>
        <w:t>202</w:t>
      </w:r>
      <w:r>
        <w:rPr>
          <w:rFonts w:hint="eastAsia" w:ascii="宋体" w:hAnsi="宋体" w:eastAsia="宋体" w:cs="宋体"/>
          <w:b w:val="0"/>
          <w:bCs/>
          <w:color w:val="auto"/>
          <w:sz w:val="24"/>
          <w:szCs w:val="24"/>
          <w:highlight w:val="none"/>
          <w:u w:val="single"/>
          <w:lang w:val="en-US" w:eastAsia="zh-CN"/>
        </w:rPr>
        <w:t>4</w:t>
      </w:r>
      <w:r>
        <w:rPr>
          <w:rFonts w:hint="eastAsia" w:ascii="宋体" w:hAnsi="宋体" w:eastAsia="宋体" w:cs="宋体"/>
          <w:b w:val="0"/>
          <w:bCs/>
          <w:color w:val="auto"/>
          <w:sz w:val="24"/>
          <w:szCs w:val="24"/>
          <w:highlight w:val="none"/>
          <w:u w:val="single"/>
        </w:rPr>
        <w:t>年</w:t>
      </w:r>
      <w:r>
        <w:rPr>
          <w:rFonts w:hint="eastAsia" w:ascii="宋体" w:hAnsi="宋体" w:cs="宋体"/>
          <w:b w:val="0"/>
          <w:bCs/>
          <w:color w:val="auto"/>
          <w:sz w:val="24"/>
          <w:szCs w:val="24"/>
          <w:highlight w:val="none"/>
          <w:u w:val="single"/>
          <w:lang w:val="en-US" w:eastAsia="zh-CN"/>
        </w:rPr>
        <w:t>12</w:t>
      </w:r>
      <w:r>
        <w:rPr>
          <w:rFonts w:hint="eastAsia" w:ascii="宋体" w:hAnsi="宋体" w:eastAsia="宋体" w:cs="宋体"/>
          <w:b w:val="0"/>
          <w:bCs/>
          <w:color w:val="auto"/>
          <w:sz w:val="24"/>
          <w:szCs w:val="24"/>
          <w:highlight w:val="none"/>
          <w:u w:val="single"/>
        </w:rPr>
        <w:t>月</w:t>
      </w:r>
      <w:r>
        <w:rPr>
          <w:rFonts w:hint="eastAsia" w:ascii="宋体" w:hAnsi="宋体" w:cs="宋体"/>
          <w:b w:val="0"/>
          <w:bCs/>
          <w:color w:val="auto"/>
          <w:sz w:val="24"/>
          <w:szCs w:val="24"/>
          <w:highlight w:val="none"/>
          <w:u w:val="single"/>
          <w:lang w:val="en-US" w:eastAsia="zh-CN"/>
        </w:rPr>
        <w:t>17</w:t>
      </w:r>
      <w:r>
        <w:rPr>
          <w:rFonts w:hint="eastAsia" w:ascii="宋体" w:hAnsi="宋体" w:eastAsia="宋体" w:cs="宋体"/>
          <w:b w:val="0"/>
          <w:bCs/>
          <w:color w:val="auto"/>
          <w:sz w:val="24"/>
          <w:szCs w:val="24"/>
          <w:highlight w:val="none"/>
          <w:u w:val="single"/>
        </w:rPr>
        <w:t>日上午</w:t>
      </w:r>
      <w:r>
        <w:rPr>
          <w:rFonts w:hint="eastAsia" w:ascii="宋体" w:hAnsi="宋体" w:eastAsia="宋体" w:cs="宋体"/>
          <w:b w:val="0"/>
          <w:bCs/>
          <w:color w:val="auto"/>
          <w:sz w:val="24"/>
          <w:szCs w:val="24"/>
          <w:highlight w:val="none"/>
          <w:u w:val="single"/>
          <w:lang w:val="en-US" w:eastAsia="zh-CN"/>
        </w:rPr>
        <w:t>1</w:t>
      </w:r>
      <w:r>
        <w:rPr>
          <w:rFonts w:hint="eastAsia" w:ascii="宋体" w:hAnsi="宋体" w:cs="宋体"/>
          <w:b w:val="0"/>
          <w:bCs/>
          <w:color w:val="auto"/>
          <w:sz w:val="24"/>
          <w:szCs w:val="24"/>
          <w:highlight w:val="none"/>
          <w:u w:val="single"/>
          <w:lang w:val="en-US" w:eastAsia="zh-CN"/>
        </w:rPr>
        <w:t>0</w:t>
      </w:r>
      <w:r>
        <w:rPr>
          <w:rFonts w:hint="eastAsia" w:ascii="宋体" w:hAnsi="宋体" w:eastAsia="宋体" w:cs="宋体"/>
          <w:b w:val="0"/>
          <w:bCs/>
          <w:color w:val="auto"/>
          <w:sz w:val="24"/>
          <w:szCs w:val="24"/>
          <w:highlight w:val="none"/>
          <w:u w:val="single"/>
        </w:rPr>
        <w:t>:</w:t>
      </w:r>
      <w:r>
        <w:rPr>
          <w:rFonts w:hint="eastAsia" w:ascii="宋体" w:hAnsi="宋体" w:cs="宋体"/>
          <w:b w:val="0"/>
          <w:bCs/>
          <w:color w:val="auto"/>
          <w:sz w:val="24"/>
          <w:szCs w:val="24"/>
          <w:highlight w:val="none"/>
          <w:u w:val="single"/>
          <w:lang w:val="en-US" w:eastAsia="zh-CN"/>
        </w:rPr>
        <w:t>3</w:t>
      </w:r>
      <w:r>
        <w:rPr>
          <w:rFonts w:hint="eastAsia" w:ascii="宋体" w:hAnsi="宋体" w:eastAsia="宋体" w:cs="宋体"/>
          <w:b w:val="0"/>
          <w:bCs/>
          <w:color w:val="auto"/>
          <w:sz w:val="24"/>
          <w:szCs w:val="24"/>
          <w:highlight w:val="none"/>
          <w:u w:val="single"/>
        </w:rPr>
        <w:t>0（北京时间）</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rPr>
        <w:t>投标文件必须在投标截止时间前送达开标地点。逾期送达或密封和标注不符合招标文件规定的投标文件恕不接受。本次招标不接受邮寄的投标文件。</w:t>
      </w:r>
    </w:p>
    <w:p w14:paraId="3E39FC54">
      <w:pPr>
        <w:keepNext w:val="0"/>
        <w:keepLines w:val="0"/>
        <w:pageBreakBefore w:val="0"/>
        <w:shd w:val="clear"/>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九、开标地点：</w:t>
      </w:r>
      <w:r>
        <w:rPr>
          <w:rFonts w:hint="eastAsia" w:ascii="宋体" w:hAnsi="宋体" w:cs="宋体"/>
          <w:b/>
          <w:color w:val="auto"/>
          <w:sz w:val="24"/>
          <w:szCs w:val="24"/>
          <w:highlight w:val="none"/>
          <w:lang w:eastAsia="zh-CN"/>
        </w:rPr>
        <w:t>四川铭信工程招标咨询有限公司</w:t>
      </w:r>
      <w:r>
        <w:rPr>
          <w:rFonts w:hint="eastAsia" w:ascii="宋体" w:hAnsi="宋体" w:eastAsia="宋体" w:cs="宋体"/>
          <w:b/>
          <w:color w:val="auto"/>
          <w:sz w:val="24"/>
          <w:szCs w:val="24"/>
          <w:highlight w:val="none"/>
        </w:rPr>
        <w:t>开标厅（地址：</w:t>
      </w:r>
      <w:r>
        <w:rPr>
          <w:rFonts w:hint="eastAsia" w:ascii="宋体" w:hAnsi="宋体" w:cs="宋体"/>
          <w:b/>
          <w:color w:val="auto"/>
          <w:sz w:val="24"/>
          <w:szCs w:val="24"/>
          <w:highlight w:val="none"/>
          <w:lang w:eastAsia="zh-CN"/>
        </w:rPr>
        <w:t>成都高新区高朋大道21号海特集团综合楼3楼本项目开标室</w:t>
      </w:r>
      <w:r>
        <w:rPr>
          <w:rFonts w:hint="eastAsia" w:ascii="宋体" w:hAnsi="宋体" w:eastAsia="宋体" w:cs="宋体"/>
          <w:b/>
          <w:color w:val="auto"/>
          <w:sz w:val="24"/>
          <w:szCs w:val="24"/>
          <w:highlight w:val="none"/>
        </w:rPr>
        <w:t>）。</w:t>
      </w:r>
    </w:p>
    <w:p w14:paraId="47FAD3B7">
      <w:pPr>
        <w:keepNext w:val="0"/>
        <w:keepLines w:val="0"/>
        <w:pageBreakBefore w:val="0"/>
        <w:shd w:val="clear"/>
        <w:kinsoku/>
        <w:wordWrap/>
        <w:overflowPunct/>
        <w:topLinePunct w:val="0"/>
        <w:autoSpaceDE/>
        <w:autoSpaceDN/>
        <w:bidi w:val="0"/>
        <w:adjustRightInd/>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color w:val="auto"/>
          <w:sz w:val="24"/>
          <w:szCs w:val="24"/>
          <w:highlight w:val="none"/>
        </w:rPr>
        <w:t>本投标邀请在中国政府采购网（http://www.ccgp.gov.cn/）上以公告形式发布，公告期限为发布之日起5个工作日。</w:t>
      </w:r>
    </w:p>
    <w:p w14:paraId="214E20F3">
      <w:pPr>
        <w:pStyle w:val="435"/>
        <w:keepNext w:val="0"/>
        <w:keepLines w:val="0"/>
        <w:pageBreakBefore w:val="0"/>
        <w:shd w:val="clear"/>
        <w:kinsoku/>
        <w:wordWrap/>
        <w:overflowPunct/>
        <w:topLinePunct w:val="0"/>
        <w:autoSpaceDE/>
        <w:autoSpaceDN/>
        <w:bidi w:val="0"/>
        <w:adjustRightInd/>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、联系方式</w:t>
      </w:r>
    </w:p>
    <w:p w14:paraId="661ECA04">
      <w:pPr>
        <w:pStyle w:val="435"/>
        <w:keepNext w:val="0"/>
        <w:keepLines w:val="0"/>
        <w:pageBreakBefore w:val="0"/>
        <w:widowControl w:val="0"/>
        <w:kinsoku/>
        <w:wordWrap/>
        <w:overflowPunct/>
        <w:topLinePunct w:val="0"/>
        <w:autoSpaceDE/>
        <w:autoSpaceDN/>
        <w:bidi w:val="0"/>
        <w:adjustRightInd/>
        <w:snapToGrid/>
        <w:spacing w:beforeAutospacing="0" w:line="360" w:lineRule="auto"/>
        <w:ind w:firstLine="954" w:firstLineChars="396"/>
        <w:textAlignment w:val="auto"/>
        <w:rPr>
          <w:rFonts w:hint="eastAsia" w:ascii="宋体" w:hAnsi="宋体" w:eastAsia="宋体"/>
          <w:b/>
          <w:bCs/>
          <w:color w:val="auto"/>
          <w:sz w:val="24"/>
          <w:szCs w:val="24"/>
          <w:highlight w:val="none"/>
          <w:lang w:eastAsia="zh-CN"/>
        </w:rPr>
      </w:pPr>
      <w:r>
        <w:rPr>
          <w:rFonts w:hint="eastAsia"/>
          <w:b/>
          <w:color w:val="auto"/>
          <w:sz w:val="24"/>
          <w:szCs w:val="24"/>
          <w:highlight w:val="none"/>
        </w:rPr>
        <w:t>采购人：</w:t>
      </w:r>
      <w:r>
        <w:rPr>
          <w:rFonts w:hint="eastAsia" w:ascii="宋体" w:hAnsi="宋体"/>
          <w:b/>
          <w:bCs/>
          <w:color w:val="auto"/>
          <w:sz w:val="24"/>
          <w:szCs w:val="24"/>
          <w:highlight w:val="none"/>
          <w:lang w:eastAsia="zh-CN"/>
        </w:rPr>
        <w:t>四川省消防救援总队训练与战勤保障支队</w:t>
      </w:r>
    </w:p>
    <w:p w14:paraId="0144282B">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址：成都市温江区永宁镇芙蓉路119号</w:t>
      </w:r>
    </w:p>
    <w:p w14:paraId="4E9BBF19">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 系 人：喻老师</w:t>
      </w:r>
    </w:p>
    <w:p w14:paraId="6CC99C8B">
      <w:pPr>
        <w:pStyle w:val="435"/>
        <w:keepNext w:val="0"/>
        <w:keepLines w:val="0"/>
        <w:pageBreakBefore w:val="0"/>
        <w:widowControl w:val="0"/>
        <w:kinsoku/>
        <w:wordWrap/>
        <w:overflowPunct/>
        <w:topLinePunct w:val="0"/>
        <w:autoSpaceDE/>
        <w:autoSpaceDN/>
        <w:bidi w:val="0"/>
        <w:adjustRightInd/>
        <w:snapToGrid/>
        <w:spacing w:line="360" w:lineRule="auto"/>
        <w:ind w:firstLine="950" w:firstLineChars="396"/>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t xml:space="preserve">联系电话：028-61656939 </w:t>
      </w:r>
    </w:p>
    <w:p w14:paraId="60A6093E">
      <w:pPr>
        <w:pStyle w:val="435"/>
        <w:keepNext w:val="0"/>
        <w:keepLines w:val="0"/>
        <w:pageBreakBefore w:val="0"/>
        <w:widowControl w:val="0"/>
        <w:kinsoku/>
        <w:wordWrap/>
        <w:overflowPunct/>
        <w:topLinePunct w:val="0"/>
        <w:autoSpaceDE/>
        <w:autoSpaceDN/>
        <w:bidi w:val="0"/>
        <w:adjustRightInd/>
        <w:snapToGrid/>
        <w:spacing w:line="360" w:lineRule="auto"/>
        <w:ind w:firstLine="954" w:firstLineChars="396"/>
        <w:textAlignment w:val="auto"/>
        <w:rPr>
          <w:rFonts w:hint="eastAsia" w:ascii="宋体" w:hAnsi="宋体" w:eastAsia="宋体" w:cs="宋体"/>
          <w:b/>
          <w:color w:val="auto"/>
          <w:sz w:val="24"/>
          <w:szCs w:val="24"/>
          <w:highlight w:val="none"/>
        </w:rPr>
      </w:pPr>
    </w:p>
    <w:p w14:paraId="79FBB28C">
      <w:pPr>
        <w:pStyle w:val="435"/>
        <w:keepNext w:val="0"/>
        <w:keepLines w:val="0"/>
        <w:pageBreakBefore w:val="0"/>
        <w:widowControl w:val="0"/>
        <w:kinsoku/>
        <w:wordWrap/>
        <w:overflowPunct/>
        <w:topLinePunct w:val="0"/>
        <w:autoSpaceDE/>
        <w:autoSpaceDN/>
        <w:bidi w:val="0"/>
        <w:adjustRightInd/>
        <w:snapToGrid/>
        <w:spacing w:line="360" w:lineRule="auto"/>
        <w:ind w:firstLine="954" w:firstLineChars="396"/>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采购代理机构：</w:t>
      </w:r>
      <w:r>
        <w:rPr>
          <w:rFonts w:hint="eastAsia" w:ascii="宋体" w:hAnsi="宋体" w:eastAsia="宋体" w:cs="宋体"/>
          <w:b/>
          <w:color w:val="auto"/>
          <w:sz w:val="24"/>
          <w:szCs w:val="24"/>
          <w:highlight w:val="none"/>
          <w:lang w:eastAsia="zh-CN"/>
        </w:rPr>
        <w:t>四川铭信工程招标咨询有限公司</w:t>
      </w:r>
    </w:p>
    <w:p w14:paraId="39409A44">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林</w:t>
      </w:r>
      <w:r>
        <w:rPr>
          <w:rFonts w:hint="eastAsia" w:ascii="宋体" w:hAnsi="宋体" w:eastAsia="宋体" w:cs="宋体"/>
          <w:color w:val="auto"/>
          <w:sz w:val="24"/>
          <w:szCs w:val="24"/>
          <w:highlight w:val="none"/>
        </w:rPr>
        <w:t xml:space="preserve">老师      </w:t>
      </w:r>
    </w:p>
    <w:p w14:paraId="43287176">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18628331682</w:t>
      </w:r>
    </w:p>
    <w:p w14:paraId="6B363BF7">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val="zh-CN"/>
        </w:rPr>
        <w:t>四川省成都市武侯区成都市高新区高朋大道21号</w:t>
      </w:r>
    </w:p>
    <w:p w14:paraId="3386F0C1">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auto"/>
          <w:sz w:val="24"/>
          <w:szCs w:val="28"/>
          <w:highlight w:val="none"/>
          <w:lang w:val="zh-CN"/>
        </w:rPr>
      </w:pPr>
    </w:p>
    <w:p w14:paraId="6E419B21">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auto"/>
          <w:sz w:val="24"/>
          <w:szCs w:val="28"/>
          <w:highlight w:val="none"/>
          <w:lang w:val="zh-CN"/>
        </w:rPr>
      </w:pPr>
    </w:p>
    <w:p w14:paraId="0D4F2F5A">
      <w:pPr>
        <w:pStyle w:val="435"/>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auto"/>
          <w:sz w:val="24"/>
          <w:szCs w:val="28"/>
          <w:highlight w:val="none"/>
          <w:lang w:val="zh-CN"/>
        </w:rPr>
        <w:sectPr>
          <w:footerReference r:id="rId4" w:type="default"/>
          <w:pgSz w:w="11920" w:h="16840"/>
          <w:pgMar w:top="1440" w:right="1080" w:bottom="1440" w:left="1080" w:header="799" w:footer="1184" w:gutter="0"/>
          <w:pgNumType w:fmt="decimal"/>
          <w:cols w:space="720" w:num="1"/>
        </w:sectPr>
      </w:pPr>
    </w:p>
    <w:p w14:paraId="6F98CD0C">
      <w:pPr>
        <w:pStyle w:val="2"/>
        <w:shd w:val="clear"/>
        <w:spacing w:before="0" w:after="0" w:line="360" w:lineRule="auto"/>
        <w:jc w:val="center"/>
        <w:rPr>
          <w:rFonts w:hint="eastAsia" w:ascii="宋体" w:hAnsi="宋体" w:eastAsia="宋体" w:cs="宋体"/>
          <w:color w:val="auto"/>
          <w:sz w:val="36"/>
          <w:szCs w:val="36"/>
          <w:highlight w:val="none"/>
        </w:rPr>
      </w:pPr>
      <w:bookmarkStart w:id="17" w:name="_Toc217446031"/>
      <w:bookmarkStart w:id="18" w:name="_Toc22569"/>
      <w:bookmarkStart w:id="19" w:name="_Toc213396945"/>
      <w:bookmarkStart w:id="20" w:name="_Toc3750"/>
      <w:bookmarkStart w:id="21" w:name="_Toc213496267"/>
      <w:bookmarkStart w:id="22" w:name="_Toc213396759"/>
      <w:bookmarkStart w:id="23" w:name="_Toc426657529"/>
      <w:bookmarkStart w:id="24" w:name="_Toc9194"/>
      <w:bookmarkStart w:id="25" w:name="_Toc213397009"/>
      <w:bookmarkStart w:id="26" w:name="_Toc13078"/>
      <w:bookmarkStart w:id="27" w:name="_Toc183582202"/>
      <w:bookmarkStart w:id="28" w:name="_Toc89075871"/>
      <w:bookmarkStart w:id="29" w:name="_Toc183682339"/>
      <w:bookmarkStart w:id="30" w:name="_Toc77400776"/>
      <w:r>
        <w:rPr>
          <w:rFonts w:hint="eastAsia" w:ascii="宋体" w:hAnsi="宋体" w:eastAsia="宋体" w:cs="宋体"/>
          <w:color w:val="auto"/>
          <w:sz w:val="36"/>
          <w:szCs w:val="36"/>
          <w:highlight w:val="none"/>
        </w:rPr>
        <w:t>第二章  投标人须知</w:t>
      </w:r>
      <w:bookmarkEnd w:id="17"/>
      <w:bookmarkEnd w:id="18"/>
      <w:bookmarkEnd w:id="19"/>
      <w:bookmarkEnd w:id="20"/>
      <w:bookmarkEnd w:id="21"/>
      <w:bookmarkEnd w:id="22"/>
      <w:bookmarkEnd w:id="23"/>
      <w:bookmarkEnd w:id="24"/>
      <w:bookmarkEnd w:id="25"/>
      <w:bookmarkEnd w:id="26"/>
      <w:bookmarkStart w:id="31" w:name="_Toc184283909"/>
      <w:bookmarkStart w:id="32" w:name="_Toc184274915"/>
    </w:p>
    <w:p w14:paraId="27DB9CF5">
      <w:pPr>
        <w:pStyle w:val="3"/>
        <w:shd w:val="clear"/>
        <w:spacing w:before="0" w:after="0" w:line="360" w:lineRule="auto"/>
        <w:jc w:val="center"/>
        <w:rPr>
          <w:rFonts w:hint="eastAsia" w:ascii="宋体" w:hAnsi="宋体" w:eastAsia="宋体" w:cs="宋体"/>
          <w:color w:val="auto"/>
          <w:highlight w:val="none"/>
        </w:rPr>
      </w:pPr>
      <w:bookmarkStart w:id="33" w:name="_Toc1364"/>
      <w:bookmarkStart w:id="34" w:name="_Toc213496268"/>
      <w:bookmarkStart w:id="35" w:name="_Toc189727030"/>
      <w:bookmarkStart w:id="36" w:name="_Toc213396760"/>
      <w:bookmarkStart w:id="37" w:name="_Toc426657530"/>
      <w:bookmarkStart w:id="38" w:name="_Toc26183"/>
      <w:bookmarkStart w:id="39" w:name="_Toc217446032"/>
      <w:bookmarkStart w:id="40" w:name="_Toc213396946"/>
      <w:bookmarkStart w:id="41" w:name="_Toc213397010"/>
      <w:r>
        <w:rPr>
          <w:rFonts w:hint="eastAsia" w:ascii="宋体" w:hAnsi="宋体" w:eastAsia="宋体" w:cs="宋体"/>
          <w:color w:val="auto"/>
          <w:highlight w:val="none"/>
        </w:rPr>
        <w:t>一、投标人须知前附表</w:t>
      </w:r>
      <w:bookmarkEnd w:id="31"/>
      <w:bookmarkEnd w:id="32"/>
      <w:bookmarkEnd w:id="33"/>
      <w:bookmarkEnd w:id="34"/>
      <w:bookmarkEnd w:id="35"/>
      <w:bookmarkEnd w:id="36"/>
      <w:bookmarkEnd w:id="37"/>
      <w:bookmarkEnd w:id="38"/>
      <w:bookmarkEnd w:id="39"/>
      <w:bookmarkEnd w:id="40"/>
      <w:bookmarkEnd w:id="41"/>
    </w:p>
    <w:p w14:paraId="5AB9D2F9">
      <w:pPr>
        <w:shd w:val="clear"/>
        <w:rPr>
          <w:rFonts w:hint="eastAsia" w:ascii="宋体" w:hAnsi="宋体" w:eastAsia="宋体" w:cs="宋体"/>
          <w:color w:val="auto"/>
          <w:highlight w:val="none"/>
        </w:rPr>
      </w:pPr>
    </w:p>
    <w:tbl>
      <w:tblPr>
        <w:tblStyle w:val="59"/>
        <w:tblW w:w="10441"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autofit"/>
        <w:tblCellMar>
          <w:top w:w="0" w:type="dxa"/>
          <w:left w:w="0" w:type="dxa"/>
          <w:bottom w:w="0" w:type="dxa"/>
          <w:right w:w="0" w:type="dxa"/>
        </w:tblCellMar>
      </w:tblPr>
      <w:tblGrid>
        <w:gridCol w:w="601"/>
        <w:gridCol w:w="1967"/>
        <w:gridCol w:w="7873"/>
      </w:tblGrid>
      <w:tr w14:paraId="2AFE283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00" w:hRule="exact"/>
          <w:tblHeader/>
          <w:jc w:val="center"/>
        </w:trPr>
        <w:tc>
          <w:tcPr>
            <w:tcW w:w="601" w:type="dxa"/>
            <w:noWrap w:val="0"/>
            <w:vAlign w:val="center"/>
          </w:tcPr>
          <w:p w14:paraId="5F966400">
            <w:pPr>
              <w:pStyle w:val="464"/>
              <w:shd w:val="clea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 xml:space="preserve">序号 </w:t>
            </w:r>
          </w:p>
        </w:tc>
        <w:tc>
          <w:tcPr>
            <w:tcW w:w="1967" w:type="dxa"/>
            <w:noWrap w:val="0"/>
            <w:vAlign w:val="center"/>
          </w:tcPr>
          <w:p w14:paraId="00076896">
            <w:pPr>
              <w:pStyle w:val="464"/>
              <w:shd w:val="clea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条款名称</w:t>
            </w:r>
          </w:p>
        </w:tc>
        <w:tc>
          <w:tcPr>
            <w:tcW w:w="7873" w:type="dxa"/>
            <w:noWrap w:val="0"/>
            <w:vAlign w:val="center"/>
          </w:tcPr>
          <w:p w14:paraId="6877CA45">
            <w:pPr>
              <w:pStyle w:val="464"/>
              <w:shd w:val="clea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说明和要求</w:t>
            </w:r>
          </w:p>
        </w:tc>
      </w:tr>
      <w:tr w14:paraId="60B6CE2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601" w:type="dxa"/>
            <w:noWrap w:val="0"/>
            <w:vAlign w:val="center"/>
          </w:tcPr>
          <w:p w14:paraId="2B877978">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p>
        </w:tc>
        <w:tc>
          <w:tcPr>
            <w:tcW w:w="1967" w:type="dxa"/>
            <w:noWrap w:val="0"/>
            <w:vAlign w:val="center"/>
          </w:tcPr>
          <w:p w14:paraId="1E812876">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采购人</w:t>
            </w:r>
          </w:p>
        </w:tc>
        <w:tc>
          <w:tcPr>
            <w:tcW w:w="7873" w:type="dxa"/>
            <w:noWrap w:val="0"/>
            <w:vAlign w:val="center"/>
          </w:tcPr>
          <w:p w14:paraId="3DEA5616">
            <w:pPr>
              <w:pStyle w:val="464"/>
              <w:shd w:val="clear"/>
              <w:spacing w:afterAutospacing="0" w:line="360" w:lineRule="auto"/>
              <w:ind w:firstLine="240" w:firstLineChars="100"/>
              <w:jc w:val="both"/>
              <w:rPr>
                <w:rFonts w:hint="eastAsia" w:ascii="宋体" w:hAnsi="宋体" w:eastAsia="宋体" w:cs="宋体"/>
                <w:color w:val="auto"/>
                <w:highlight w:val="none"/>
                <w:lang w:val="zh-CN"/>
              </w:rPr>
            </w:pPr>
            <w:r>
              <w:rPr>
                <w:rFonts w:hint="eastAsia" w:cs="宋体"/>
                <w:color w:val="auto"/>
                <w:highlight w:val="none"/>
                <w:lang w:val="zh-CN"/>
              </w:rPr>
              <w:t xml:space="preserve">四川省消防救援总队训练与战勤保障支队 </w:t>
            </w:r>
          </w:p>
        </w:tc>
      </w:tr>
      <w:tr w14:paraId="50071C0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601" w:type="dxa"/>
            <w:noWrap w:val="0"/>
            <w:vAlign w:val="center"/>
          </w:tcPr>
          <w:p w14:paraId="0D27729D">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p>
        </w:tc>
        <w:tc>
          <w:tcPr>
            <w:tcW w:w="1967" w:type="dxa"/>
            <w:noWrap w:val="0"/>
            <w:vAlign w:val="center"/>
          </w:tcPr>
          <w:p w14:paraId="781EC2D2">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招标代理机构</w:t>
            </w:r>
          </w:p>
        </w:tc>
        <w:tc>
          <w:tcPr>
            <w:tcW w:w="7873" w:type="dxa"/>
            <w:noWrap w:val="0"/>
            <w:vAlign w:val="center"/>
          </w:tcPr>
          <w:p w14:paraId="43DD3B17">
            <w:pPr>
              <w:pStyle w:val="464"/>
              <w:shd w:val="clear"/>
              <w:spacing w:line="360" w:lineRule="auto"/>
              <w:ind w:firstLine="240" w:firstLineChars="100"/>
              <w:jc w:val="both"/>
              <w:rPr>
                <w:rFonts w:hint="eastAsia" w:ascii="宋体" w:hAnsi="宋体" w:eastAsia="宋体" w:cs="宋体"/>
                <w:color w:val="auto"/>
                <w:highlight w:val="none"/>
                <w:lang w:val="zh-CN" w:eastAsia="zh-CN"/>
              </w:rPr>
            </w:pPr>
            <w:r>
              <w:rPr>
                <w:rFonts w:hint="eastAsia" w:cs="宋体"/>
                <w:color w:val="auto"/>
                <w:highlight w:val="none"/>
                <w:lang w:eastAsia="zh-CN"/>
              </w:rPr>
              <w:t>四川铭信工程招标咨询有限公司</w:t>
            </w:r>
          </w:p>
        </w:tc>
      </w:tr>
      <w:tr w14:paraId="5110EAA3">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601" w:type="dxa"/>
            <w:noWrap w:val="0"/>
            <w:vAlign w:val="center"/>
          </w:tcPr>
          <w:p w14:paraId="2A43F4C6">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p>
        </w:tc>
        <w:tc>
          <w:tcPr>
            <w:tcW w:w="1967" w:type="dxa"/>
            <w:noWrap w:val="0"/>
            <w:vAlign w:val="center"/>
          </w:tcPr>
          <w:p w14:paraId="0E105C95">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采购项目名称</w:t>
            </w:r>
          </w:p>
        </w:tc>
        <w:tc>
          <w:tcPr>
            <w:tcW w:w="7873" w:type="dxa"/>
            <w:noWrap w:val="0"/>
            <w:vAlign w:val="center"/>
          </w:tcPr>
          <w:p w14:paraId="2A073365">
            <w:pPr>
              <w:shd w:val="clea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四川省消防救援总队训练与战勤保障支队“十四五”消防车辆装备项目（消防装备部分）第2、3包第二次</w:t>
            </w:r>
          </w:p>
        </w:tc>
      </w:tr>
      <w:tr w14:paraId="56C0C07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601" w:type="dxa"/>
            <w:noWrap w:val="0"/>
            <w:vAlign w:val="center"/>
          </w:tcPr>
          <w:p w14:paraId="4B184038">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p>
        </w:tc>
        <w:tc>
          <w:tcPr>
            <w:tcW w:w="1967" w:type="dxa"/>
            <w:noWrap w:val="0"/>
            <w:vAlign w:val="center"/>
          </w:tcPr>
          <w:p w14:paraId="523BAAD0">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采购项目编号</w:t>
            </w:r>
          </w:p>
        </w:tc>
        <w:tc>
          <w:tcPr>
            <w:tcW w:w="7873" w:type="dxa"/>
            <w:noWrap w:val="0"/>
            <w:vAlign w:val="center"/>
          </w:tcPr>
          <w:p w14:paraId="7BF3279E">
            <w:pPr>
              <w:shd w:val="clear"/>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 </w:t>
            </w:r>
            <w:r>
              <w:rPr>
                <w:rFonts w:hint="eastAsia" w:ascii="宋体" w:hAnsi="宋体" w:cs="宋体"/>
                <w:b w:val="0"/>
                <w:bCs/>
                <w:color w:val="auto"/>
                <w:sz w:val="24"/>
                <w:highlight w:val="none"/>
                <w:lang w:val="en-US" w:eastAsia="zh-CN"/>
              </w:rPr>
              <w:t>MB0U671141711417122329-2024082907</w:t>
            </w:r>
          </w:p>
        </w:tc>
      </w:tr>
      <w:tr w14:paraId="5F761C5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601" w:type="dxa"/>
            <w:noWrap w:val="0"/>
            <w:vAlign w:val="center"/>
          </w:tcPr>
          <w:p w14:paraId="63E6318F">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p>
        </w:tc>
        <w:tc>
          <w:tcPr>
            <w:tcW w:w="1967" w:type="dxa"/>
            <w:noWrap w:val="0"/>
            <w:vAlign w:val="center"/>
          </w:tcPr>
          <w:p w14:paraId="5E6DD1ED">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采购方式</w:t>
            </w:r>
          </w:p>
        </w:tc>
        <w:tc>
          <w:tcPr>
            <w:tcW w:w="7873" w:type="dxa"/>
            <w:noWrap w:val="0"/>
            <w:vAlign w:val="center"/>
          </w:tcPr>
          <w:p w14:paraId="5AA93EE2">
            <w:pPr>
              <w:pStyle w:val="464"/>
              <w:shd w:val="clear"/>
              <w:spacing w:line="360" w:lineRule="auto"/>
              <w:ind w:firstLine="240" w:firstLineChars="100"/>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公开招标</w:t>
            </w:r>
          </w:p>
        </w:tc>
      </w:tr>
      <w:tr w14:paraId="1C28084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601" w:type="dxa"/>
            <w:noWrap w:val="0"/>
            <w:vAlign w:val="center"/>
          </w:tcPr>
          <w:p w14:paraId="4ADEC46E">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w:t>
            </w:r>
          </w:p>
        </w:tc>
        <w:tc>
          <w:tcPr>
            <w:tcW w:w="1967" w:type="dxa"/>
            <w:noWrap w:val="0"/>
            <w:vAlign w:val="center"/>
          </w:tcPr>
          <w:p w14:paraId="24ED1400">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评标方法</w:t>
            </w:r>
          </w:p>
        </w:tc>
        <w:tc>
          <w:tcPr>
            <w:tcW w:w="7873" w:type="dxa"/>
            <w:noWrap w:val="0"/>
            <w:vAlign w:val="center"/>
          </w:tcPr>
          <w:p w14:paraId="08A4B4FF">
            <w:pPr>
              <w:pStyle w:val="464"/>
              <w:shd w:val="clear"/>
              <w:spacing w:line="360" w:lineRule="auto"/>
              <w:ind w:firstLine="240" w:firstLineChars="100"/>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综合评分法</w:t>
            </w:r>
          </w:p>
        </w:tc>
      </w:tr>
      <w:tr w14:paraId="0C4A8D1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01" w:type="dxa"/>
            <w:vMerge w:val="restart"/>
            <w:noWrap w:val="0"/>
            <w:vAlign w:val="center"/>
          </w:tcPr>
          <w:p w14:paraId="5C459678">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w:t>
            </w:r>
          </w:p>
        </w:tc>
        <w:tc>
          <w:tcPr>
            <w:tcW w:w="1967" w:type="dxa"/>
            <w:noWrap w:val="0"/>
            <w:vAlign w:val="center"/>
          </w:tcPr>
          <w:p w14:paraId="00887E41">
            <w:pPr>
              <w:shd w:val="clear"/>
              <w:spacing w:line="360" w:lineRule="auto"/>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p>
        </w:tc>
        <w:tc>
          <w:tcPr>
            <w:tcW w:w="7873" w:type="dxa"/>
            <w:noWrap w:val="0"/>
            <w:vAlign w:val="center"/>
          </w:tcPr>
          <w:p w14:paraId="3F9B76FC">
            <w:pPr>
              <w:shd w:val="clear"/>
              <w:spacing w:line="360" w:lineRule="auto"/>
              <w:ind w:firstLine="240" w:firstLineChars="100"/>
              <w:jc w:val="left"/>
              <w:outlineLvl w:val="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采购总预算：</w:t>
            </w:r>
            <w:r>
              <w:rPr>
                <w:rFonts w:hint="eastAsia" w:ascii="宋体" w:hAnsi="宋体" w:cs="宋体"/>
                <w:bCs/>
                <w:color w:val="auto"/>
                <w:kern w:val="0"/>
                <w:sz w:val="24"/>
                <w:szCs w:val="24"/>
                <w:highlight w:val="none"/>
                <w:lang w:val="en-US" w:eastAsia="zh-CN"/>
              </w:rPr>
              <w:t>214.5725</w:t>
            </w:r>
            <w:r>
              <w:rPr>
                <w:rFonts w:hint="eastAsia" w:ascii="宋体" w:hAnsi="宋体" w:eastAsia="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其中各标包的</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金额如下：</w:t>
            </w:r>
          </w:p>
          <w:tbl>
            <w:tblPr>
              <w:tblStyle w:val="59"/>
              <w:tblW w:w="44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575"/>
              <w:gridCol w:w="4482"/>
            </w:tblGrid>
            <w:tr w14:paraId="7658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jc w:val="center"/>
              </w:trPr>
              <w:tc>
                <w:tcPr>
                  <w:tcW w:w="1824" w:type="pct"/>
                  <w:noWrap w:val="0"/>
                  <w:vAlign w:val="center"/>
                </w:tcPr>
                <w:p w14:paraId="31D29AA3">
                  <w:pPr>
                    <w:shd w:val="clear"/>
                    <w:spacing w:line="360" w:lineRule="auto"/>
                    <w:jc w:val="center"/>
                    <w:textAlignment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标包号</w:t>
                  </w:r>
                </w:p>
              </w:tc>
              <w:tc>
                <w:tcPr>
                  <w:tcW w:w="3175" w:type="pct"/>
                  <w:tcBorders>
                    <w:right w:val="single" w:color="auto" w:sz="4" w:space="0"/>
                  </w:tcBorders>
                  <w:noWrap w:val="0"/>
                  <w:vAlign w:val="center"/>
                </w:tcPr>
                <w:p w14:paraId="0D8612CF">
                  <w:pPr>
                    <w:shd w:val="clear"/>
                    <w:spacing w:line="360" w:lineRule="auto"/>
                    <w:jc w:val="center"/>
                    <w:textAlignment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预算</w:t>
                  </w:r>
                  <w:r>
                    <w:rPr>
                      <w:rFonts w:hint="eastAsia" w:ascii="宋体" w:hAnsi="宋体" w:eastAsia="宋体" w:cs="宋体"/>
                      <w:b/>
                      <w:bCs w:val="0"/>
                      <w:color w:val="auto"/>
                      <w:kern w:val="0"/>
                      <w:sz w:val="24"/>
                      <w:szCs w:val="24"/>
                      <w:highlight w:val="none"/>
                    </w:rPr>
                    <w:t>金额（元）</w:t>
                  </w:r>
                </w:p>
              </w:tc>
            </w:tr>
            <w:tr w14:paraId="663E2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4" w:hRule="atLeast"/>
                <w:jc w:val="center"/>
              </w:trPr>
              <w:tc>
                <w:tcPr>
                  <w:tcW w:w="1824" w:type="pct"/>
                  <w:noWrap w:val="0"/>
                  <w:vAlign w:val="center"/>
                </w:tcPr>
                <w:p w14:paraId="2916122B">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
                    </w:rPr>
                  </w:pPr>
                  <w:bookmarkStart w:id="42" w:name="OLE_LINK8" w:colFirst="0" w:colLast="0"/>
                  <w:r>
                    <w:rPr>
                      <w:rFonts w:hint="eastAsia" w:ascii="宋体" w:hAnsi="宋体" w:eastAsia="宋体" w:cs="宋体"/>
                      <w:color w:val="auto"/>
                      <w:kern w:val="0"/>
                      <w:sz w:val="24"/>
                      <w:szCs w:val="24"/>
                      <w:highlight w:val="none"/>
                      <w:lang w:val="en-US" w:eastAsia="zh-CN" w:bidi="ar"/>
                    </w:rPr>
                    <w:t>第二包</w:t>
                  </w:r>
                </w:p>
              </w:tc>
              <w:tc>
                <w:tcPr>
                  <w:tcW w:w="3175" w:type="pct"/>
                  <w:tcBorders>
                    <w:right w:val="single" w:color="auto" w:sz="4" w:space="0"/>
                  </w:tcBorders>
                  <w:noWrap w:val="0"/>
                  <w:vAlign w:val="center"/>
                </w:tcPr>
                <w:p w14:paraId="609CC955">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default" w:ascii="宋体" w:hAnsi="宋体" w:eastAsia="宋体" w:cs="宋体"/>
                      <w:bCs/>
                      <w:color w:val="auto"/>
                      <w:kern w:val="0"/>
                      <w:sz w:val="24"/>
                      <w:szCs w:val="24"/>
                      <w:highlight w:val="none"/>
                      <w:lang w:val="en-US" w:eastAsia="zh-CN"/>
                    </w:rPr>
                  </w:pPr>
                  <w:r>
                    <w:rPr>
                      <w:rFonts w:hint="default" w:ascii="宋体" w:hAnsi="宋体" w:eastAsia="宋体" w:cs="宋体"/>
                      <w:bCs/>
                      <w:color w:val="auto"/>
                      <w:kern w:val="0"/>
                      <w:sz w:val="24"/>
                      <w:szCs w:val="24"/>
                      <w:highlight w:val="none"/>
                      <w:lang w:val="en-US" w:eastAsia="zh-CN"/>
                    </w:rPr>
                    <w:t>611500</w:t>
                  </w:r>
                </w:p>
              </w:tc>
            </w:tr>
            <w:tr w14:paraId="76C5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4" w:hRule="atLeast"/>
                <w:jc w:val="center"/>
              </w:trPr>
              <w:tc>
                <w:tcPr>
                  <w:tcW w:w="1824" w:type="pct"/>
                  <w:noWrap w:val="0"/>
                  <w:vAlign w:val="center"/>
                </w:tcPr>
                <w:p w14:paraId="313F9645">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第三包</w:t>
                  </w:r>
                </w:p>
              </w:tc>
              <w:tc>
                <w:tcPr>
                  <w:tcW w:w="3175" w:type="pct"/>
                  <w:tcBorders>
                    <w:right w:val="single" w:color="auto" w:sz="4" w:space="0"/>
                  </w:tcBorders>
                  <w:noWrap w:val="0"/>
                  <w:vAlign w:val="center"/>
                </w:tcPr>
                <w:p w14:paraId="7FF90418">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default" w:ascii="宋体" w:hAnsi="宋体" w:eastAsia="宋体" w:cs="宋体"/>
                      <w:bCs/>
                      <w:color w:val="auto"/>
                      <w:kern w:val="0"/>
                      <w:sz w:val="24"/>
                      <w:szCs w:val="24"/>
                      <w:highlight w:val="none"/>
                      <w:lang w:val="en-US" w:eastAsia="zh-CN"/>
                    </w:rPr>
                  </w:pPr>
                  <w:r>
                    <w:rPr>
                      <w:rFonts w:hint="default" w:ascii="宋体" w:hAnsi="宋体" w:eastAsia="宋体" w:cs="宋体"/>
                      <w:bCs/>
                      <w:color w:val="auto"/>
                      <w:kern w:val="0"/>
                      <w:sz w:val="24"/>
                      <w:szCs w:val="24"/>
                      <w:highlight w:val="none"/>
                      <w:lang w:val="en-US" w:eastAsia="zh-CN"/>
                    </w:rPr>
                    <w:t>1534225</w:t>
                  </w:r>
                </w:p>
              </w:tc>
            </w:tr>
            <w:bookmarkEnd w:id="42"/>
          </w:tbl>
          <w:p w14:paraId="01319C72">
            <w:pPr>
              <w:pStyle w:val="23"/>
              <w:rPr>
                <w:rFonts w:hint="eastAsia"/>
                <w:lang w:val="zh-CN"/>
              </w:rPr>
            </w:pPr>
          </w:p>
        </w:tc>
      </w:tr>
      <w:tr w14:paraId="3E385B3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333" w:hRule="atLeast"/>
          <w:jc w:val="center"/>
        </w:trPr>
        <w:tc>
          <w:tcPr>
            <w:tcW w:w="601" w:type="dxa"/>
            <w:vMerge w:val="continue"/>
            <w:noWrap w:val="0"/>
            <w:vAlign w:val="center"/>
          </w:tcPr>
          <w:p w14:paraId="1891C89B">
            <w:pPr>
              <w:pStyle w:val="464"/>
              <w:shd w:val="clear"/>
              <w:spacing w:line="360" w:lineRule="auto"/>
              <w:jc w:val="center"/>
              <w:rPr>
                <w:rFonts w:hint="eastAsia" w:ascii="宋体" w:hAnsi="宋体" w:eastAsia="宋体" w:cs="宋体"/>
                <w:color w:val="auto"/>
                <w:highlight w:val="none"/>
                <w:lang w:val="zh-CN"/>
              </w:rPr>
            </w:pPr>
          </w:p>
        </w:tc>
        <w:tc>
          <w:tcPr>
            <w:tcW w:w="1967" w:type="dxa"/>
            <w:noWrap w:val="0"/>
            <w:vAlign w:val="center"/>
          </w:tcPr>
          <w:p w14:paraId="6088A17B">
            <w:pPr>
              <w:shd w:val="clear"/>
              <w:spacing w:line="360" w:lineRule="auto"/>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最高限价</w:t>
            </w:r>
          </w:p>
          <w:p w14:paraId="736CE8D6">
            <w:pPr>
              <w:shd w:val="clear"/>
              <w:spacing w:line="360" w:lineRule="auto"/>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（实质性要求）</w:t>
            </w:r>
          </w:p>
        </w:tc>
        <w:tc>
          <w:tcPr>
            <w:tcW w:w="7873" w:type="dxa"/>
            <w:noWrap w:val="0"/>
            <w:vAlign w:val="top"/>
          </w:tcPr>
          <w:p w14:paraId="7A65951E">
            <w:pPr>
              <w:shd w:val="clear"/>
              <w:spacing w:line="360" w:lineRule="auto"/>
              <w:ind w:firstLine="240" w:firstLineChars="100"/>
              <w:jc w:val="left"/>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最高总限价：</w:t>
            </w:r>
            <w:r>
              <w:rPr>
                <w:rFonts w:hint="eastAsia" w:ascii="宋体" w:hAnsi="宋体" w:eastAsia="宋体" w:cs="宋体"/>
                <w:color w:val="auto"/>
                <w:sz w:val="24"/>
                <w:szCs w:val="24"/>
                <w:highlight w:val="none"/>
                <w:lang w:val="en-US" w:eastAsia="zh-CN"/>
              </w:rPr>
              <w:t>203.6725</w:t>
            </w:r>
            <w:r>
              <w:rPr>
                <w:rFonts w:hint="eastAsia" w:ascii="宋体" w:hAnsi="宋体" w:eastAsia="宋体" w:cs="宋体"/>
                <w:color w:val="auto"/>
                <w:sz w:val="24"/>
                <w:szCs w:val="24"/>
                <w:highlight w:val="none"/>
                <w:lang w:val="zh-CN" w:eastAsia="zh-Hans"/>
              </w:rPr>
              <w:t>万元</w:t>
            </w:r>
            <w:r>
              <w:rPr>
                <w:rFonts w:hint="eastAsia" w:ascii="宋体" w:hAnsi="宋体" w:eastAsia="宋体" w:cs="宋体"/>
                <w:color w:val="auto"/>
                <w:sz w:val="24"/>
                <w:szCs w:val="24"/>
                <w:highlight w:val="none"/>
                <w:lang w:val="zh-CN"/>
              </w:rPr>
              <w:t>；</w:t>
            </w:r>
            <w:bookmarkStart w:id="43" w:name="OLE_LINK7"/>
            <w:r>
              <w:rPr>
                <w:rFonts w:hint="eastAsia" w:ascii="宋体" w:hAnsi="宋体" w:eastAsia="宋体" w:cs="宋体"/>
                <w:color w:val="auto"/>
                <w:sz w:val="24"/>
                <w:szCs w:val="24"/>
                <w:highlight w:val="none"/>
                <w:lang w:val="zh-CN"/>
              </w:rPr>
              <w:t>其中各标包的</w:t>
            </w:r>
            <w:r>
              <w:rPr>
                <w:rFonts w:hint="eastAsia" w:ascii="宋体" w:hAnsi="宋体" w:eastAsia="宋体" w:cs="宋体"/>
                <w:color w:val="auto"/>
                <w:sz w:val="24"/>
                <w:szCs w:val="24"/>
                <w:highlight w:val="none"/>
                <w:lang w:val="en-US" w:eastAsia="zh-CN"/>
              </w:rPr>
              <w:t>标包</w:t>
            </w:r>
            <w:r>
              <w:rPr>
                <w:rFonts w:hint="eastAsia" w:ascii="宋体" w:hAnsi="宋体" w:eastAsia="宋体" w:cs="宋体"/>
                <w:color w:val="auto"/>
                <w:sz w:val="24"/>
                <w:szCs w:val="24"/>
                <w:highlight w:val="none"/>
                <w:lang w:val="zh-CN"/>
              </w:rPr>
              <w:t>限价金额如下：</w:t>
            </w:r>
            <w:bookmarkEnd w:id="43"/>
          </w:p>
          <w:tbl>
            <w:tblPr>
              <w:tblStyle w:val="59"/>
              <w:tblW w:w="45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627"/>
              <w:gridCol w:w="4570"/>
            </w:tblGrid>
            <w:tr w14:paraId="737CC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jc w:val="center"/>
              </w:trPr>
              <w:tc>
                <w:tcPr>
                  <w:tcW w:w="1825" w:type="pct"/>
                  <w:noWrap w:val="0"/>
                  <w:vAlign w:val="center"/>
                </w:tcPr>
                <w:p w14:paraId="0321EA72">
                  <w:pPr>
                    <w:shd w:val="clear"/>
                    <w:spacing w:line="360" w:lineRule="auto"/>
                    <w:ind w:firstLine="241" w:firstLineChars="100"/>
                    <w:jc w:val="center"/>
                    <w:outlineLvl w:val="5"/>
                    <w:rPr>
                      <w:rFonts w:hint="eastAsia" w:ascii="宋体" w:hAnsi="宋体" w:eastAsia="宋体" w:cs="宋体"/>
                      <w:b/>
                      <w:bCs/>
                      <w:color w:val="auto"/>
                      <w:sz w:val="24"/>
                      <w:szCs w:val="24"/>
                      <w:highlight w:val="none"/>
                      <w:lang w:val="zh-CN"/>
                    </w:rPr>
                  </w:pPr>
                  <w:bookmarkStart w:id="44" w:name="OLE_LINK5"/>
                  <w:r>
                    <w:rPr>
                      <w:rFonts w:hint="eastAsia" w:ascii="宋体" w:hAnsi="宋体" w:eastAsia="宋体" w:cs="宋体"/>
                      <w:b/>
                      <w:bCs/>
                      <w:color w:val="auto"/>
                      <w:sz w:val="24"/>
                      <w:szCs w:val="24"/>
                      <w:highlight w:val="none"/>
                      <w:lang w:val="zh-CN"/>
                    </w:rPr>
                    <w:t>标包号</w:t>
                  </w:r>
                </w:p>
              </w:tc>
              <w:tc>
                <w:tcPr>
                  <w:tcW w:w="3174" w:type="pct"/>
                  <w:tcBorders>
                    <w:right w:val="single" w:color="auto" w:sz="4" w:space="0"/>
                  </w:tcBorders>
                  <w:noWrap w:val="0"/>
                  <w:vAlign w:val="center"/>
                </w:tcPr>
                <w:p w14:paraId="41D0575D">
                  <w:pPr>
                    <w:shd w:val="clear"/>
                    <w:spacing w:line="360" w:lineRule="auto"/>
                    <w:ind w:firstLine="241" w:firstLineChars="100"/>
                    <w:jc w:val="center"/>
                    <w:outlineLvl w:val="5"/>
                    <w:rPr>
                      <w:rFonts w:hint="eastAsia" w:ascii="宋体" w:hAnsi="宋体" w:eastAsia="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标包</w:t>
                  </w:r>
                  <w:r>
                    <w:rPr>
                      <w:rFonts w:hint="eastAsia" w:ascii="宋体" w:hAnsi="宋体" w:eastAsia="宋体" w:cs="宋体"/>
                      <w:b/>
                      <w:bCs/>
                      <w:color w:val="auto"/>
                      <w:sz w:val="24"/>
                      <w:szCs w:val="24"/>
                      <w:highlight w:val="none"/>
                      <w:lang w:val="zh-CN"/>
                    </w:rPr>
                    <w:t>限价金额（元）</w:t>
                  </w:r>
                </w:p>
              </w:tc>
            </w:tr>
            <w:tr w14:paraId="36FA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jc w:val="center"/>
              </w:trPr>
              <w:tc>
                <w:tcPr>
                  <w:tcW w:w="1825" w:type="pct"/>
                  <w:noWrap w:val="0"/>
                  <w:vAlign w:val="center"/>
                </w:tcPr>
                <w:p w14:paraId="72FFFF18">
                  <w:pPr>
                    <w:shd w:val="clear"/>
                    <w:spacing w:line="360" w:lineRule="auto"/>
                    <w:ind w:firstLine="240" w:firstLineChars="100"/>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第二包</w:t>
                  </w:r>
                </w:p>
              </w:tc>
              <w:tc>
                <w:tcPr>
                  <w:tcW w:w="3174" w:type="pct"/>
                  <w:tcBorders>
                    <w:right w:val="single" w:color="auto" w:sz="4" w:space="0"/>
                  </w:tcBorders>
                  <w:noWrap w:val="0"/>
                  <w:vAlign w:val="center"/>
                </w:tcPr>
                <w:p w14:paraId="3E9FF20C">
                  <w:pPr>
                    <w:shd w:val="clear"/>
                    <w:spacing w:line="360" w:lineRule="auto"/>
                    <w:ind w:firstLine="240" w:firstLineChars="100"/>
                    <w:jc w:val="center"/>
                    <w:outlineLvl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600500</w:t>
                  </w:r>
                </w:p>
              </w:tc>
            </w:tr>
            <w:tr w14:paraId="6F5B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jc w:val="center"/>
              </w:trPr>
              <w:tc>
                <w:tcPr>
                  <w:tcW w:w="1825" w:type="pct"/>
                  <w:noWrap w:val="0"/>
                  <w:vAlign w:val="center"/>
                </w:tcPr>
                <w:p w14:paraId="019EA44D">
                  <w:pPr>
                    <w:shd w:val="clear"/>
                    <w:spacing w:line="360" w:lineRule="auto"/>
                    <w:ind w:firstLine="240" w:firstLineChars="100"/>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第三包</w:t>
                  </w:r>
                </w:p>
              </w:tc>
              <w:tc>
                <w:tcPr>
                  <w:tcW w:w="3174" w:type="pct"/>
                  <w:tcBorders>
                    <w:right w:val="single" w:color="auto" w:sz="4" w:space="0"/>
                  </w:tcBorders>
                  <w:noWrap w:val="0"/>
                  <w:vAlign w:val="center"/>
                </w:tcPr>
                <w:p w14:paraId="415156B0">
                  <w:pPr>
                    <w:shd w:val="clear"/>
                    <w:spacing w:line="360" w:lineRule="auto"/>
                    <w:ind w:firstLine="240" w:firstLineChars="100"/>
                    <w:jc w:val="center"/>
                    <w:outlineLvl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1436225</w:t>
                  </w:r>
                </w:p>
              </w:tc>
            </w:tr>
            <w:bookmarkEnd w:id="44"/>
          </w:tbl>
          <w:p w14:paraId="6368FAC0">
            <w:pPr>
              <w:shd w:val="clear"/>
              <w:spacing w:line="360" w:lineRule="auto"/>
              <w:ind w:firstLine="240" w:firstLineChars="100"/>
              <w:jc w:val="left"/>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投标人的</w:t>
            </w:r>
            <w:r>
              <w:rPr>
                <w:rFonts w:hint="eastAsia" w:ascii="宋体" w:hAnsi="宋体" w:cs="宋体"/>
                <w:color w:val="auto"/>
                <w:sz w:val="24"/>
                <w:szCs w:val="24"/>
                <w:highlight w:val="none"/>
                <w:lang w:val="en-US" w:eastAsia="zh-CN"/>
              </w:rPr>
              <w:t>各标包的</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lang w:val="zh-CN"/>
              </w:rPr>
              <w:t>超过</w:t>
            </w:r>
            <w:r>
              <w:rPr>
                <w:rFonts w:hint="eastAsia" w:ascii="宋体" w:hAnsi="宋体" w:eastAsia="宋体" w:cs="宋体"/>
                <w:color w:val="auto"/>
                <w:sz w:val="24"/>
                <w:szCs w:val="24"/>
                <w:highlight w:val="none"/>
                <w:lang w:val="en-US" w:eastAsia="zh-CN"/>
              </w:rPr>
              <w:t>各标包的标包</w:t>
            </w:r>
            <w:r>
              <w:rPr>
                <w:rFonts w:hint="eastAsia" w:ascii="宋体" w:hAnsi="宋体" w:eastAsia="宋体" w:cs="宋体"/>
                <w:color w:val="auto"/>
                <w:sz w:val="24"/>
                <w:szCs w:val="24"/>
                <w:highlight w:val="none"/>
                <w:lang w:val="zh-CN"/>
              </w:rPr>
              <w:t>限价</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所投</w:t>
            </w:r>
            <w:r>
              <w:rPr>
                <w:rFonts w:hint="eastAsia" w:ascii="宋体" w:hAnsi="宋体" w:eastAsia="宋体" w:cs="宋体"/>
                <w:color w:val="auto"/>
                <w:sz w:val="24"/>
                <w:szCs w:val="24"/>
                <w:highlight w:val="none"/>
                <w:lang w:val="en-US" w:eastAsia="zh-CN"/>
              </w:rPr>
              <w:t>产品单价报价超过</w:t>
            </w:r>
            <w:r>
              <w:rPr>
                <w:rFonts w:hint="eastAsia" w:ascii="宋体" w:hAnsi="宋体" w:eastAsia="宋体" w:cs="宋体"/>
                <w:color w:val="auto"/>
                <w:sz w:val="24"/>
                <w:szCs w:val="24"/>
                <w:highlight w:val="none"/>
                <w:lang w:val="zh-CN"/>
              </w:rPr>
              <w:t>第一章</w:t>
            </w:r>
            <w:r>
              <w:rPr>
                <w:rFonts w:hint="eastAsia" w:ascii="宋体" w:hAnsi="宋体" w:cs="宋体"/>
                <w:color w:val="auto"/>
                <w:sz w:val="24"/>
                <w:szCs w:val="24"/>
                <w:highlight w:val="none"/>
                <w:lang w:val="en-US" w:eastAsia="zh-CN"/>
              </w:rPr>
              <w:t>产品单价限价</w:t>
            </w:r>
            <w:r>
              <w:rPr>
                <w:rFonts w:hint="eastAsia" w:ascii="宋体" w:hAnsi="宋体" w:eastAsia="宋体" w:cs="宋体"/>
                <w:color w:val="auto"/>
                <w:sz w:val="24"/>
                <w:szCs w:val="24"/>
                <w:highlight w:val="none"/>
                <w:lang w:val="zh-CN"/>
              </w:rPr>
              <w:t>的报价</w:t>
            </w:r>
            <w:r>
              <w:rPr>
                <w:rFonts w:hint="eastAsia" w:ascii="宋体" w:hAnsi="宋体" w:cs="宋体"/>
                <w:color w:val="auto"/>
                <w:sz w:val="24"/>
                <w:szCs w:val="24"/>
                <w:highlight w:val="none"/>
                <w:lang w:val="en-US" w:eastAsia="zh-CN"/>
              </w:rPr>
              <w:t>均</w:t>
            </w:r>
            <w:r>
              <w:rPr>
                <w:rFonts w:hint="eastAsia" w:ascii="宋体" w:hAnsi="宋体" w:eastAsia="宋体" w:cs="宋体"/>
                <w:color w:val="auto"/>
                <w:sz w:val="24"/>
                <w:szCs w:val="24"/>
                <w:highlight w:val="none"/>
                <w:lang w:val="zh-CN"/>
              </w:rPr>
              <w:t>为无效投标。</w:t>
            </w:r>
          </w:p>
        </w:tc>
      </w:tr>
      <w:tr w14:paraId="5C5E2DBE">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341" w:hRule="atLeast"/>
          <w:jc w:val="center"/>
        </w:trPr>
        <w:tc>
          <w:tcPr>
            <w:tcW w:w="601" w:type="dxa"/>
            <w:noWrap w:val="0"/>
            <w:vAlign w:val="center"/>
          </w:tcPr>
          <w:p w14:paraId="2F16E40B">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p>
        </w:tc>
        <w:tc>
          <w:tcPr>
            <w:tcW w:w="1967" w:type="dxa"/>
            <w:noWrap w:val="0"/>
            <w:vAlign w:val="center"/>
          </w:tcPr>
          <w:p w14:paraId="1B51655C">
            <w:pPr>
              <w:shd w:val="clear"/>
              <w:spacing w:line="360" w:lineRule="auto"/>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低于成本价不正当竞争预防措施</w:t>
            </w:r>
          </w:p>
          <w:p w14:paraId="49DBFAC8">
            <w:pPr>
              <w:shd w:val="clear"/>
              <w:spacing w:line="360" w:lineRule="auto"/>
              <w:jc w:val="center"/>
              <w:outlineLvl w:val="5"/>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（实质性要求）</w:t>
            </w:r>
          </w:p>
        </w:tc>
        <w:tc>
          <w:tcPr>
            <w:tcW w:w="7873" w:type="dxa"/>
            <w:noWrap w:val="0"/>
            <w:vAlign w:val="center"/>
          </w:tcPr>
          <w:p w14:paraId="5FD84FD7">
            <w:pPr>
              <w:shd w:val="clear"/>
              <w:spacing w:line="360" w:lineRule="auto"/>
              <w:ind w:firstLine="240" w:firstLineChars="100"/>
              <w:jc w:val="left"/>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评标过程中，评审委员认为投标人的报价明显低于其他有效投标人的报价，有可能影响产品质量或者不能诚信履约的，评标委员会应当要求其在评标现场合理的时间内提供成本构成书面说明，并提供能正常履约的书面承诺。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1D74FD0E">
            <w:pPr>
              <w:shd w:val="clear"/>
              <w:spacing w:line="360" w:lineRule="auto"/>
              <w:jc w:val="left"/>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6C8478B5">
            <w:pPr>
              <w:shd w:val="clear"/>
              <w:spacing w:line="360" w:lineRule="auto"/>
              <w:jc w:val="left"/>
              <w:outlineLvl w:val="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14:paraId="691E991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601" w:type="dxa"/>
            <w:noWrap w:val="0"/>
            <w:vAlign w:val="center"/>
          </w:tcPr>
          <w:p w14:paraId="43505DCF">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p>
        </w:tc>
        <w:tc>
          <w:tcPr>
            <w:tcW w:w="1967" w:type="dxa"/>
            <w:noWrap w:val="0"/>
            <w:vAlign w:val="center"/>
          </w:tcPr>
          <w:p w14:paraId="70DEF569">
            <w:pPr>
              <w:pStyle w:val="464"/>
              <w:shd w:val="clear"/>
              <w:spacing w:line="360" w:lineRule="auto"/>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政策性奖励与惩戒</w:t>
            </w:r>
          </w:p>
        </w:tc>
        <w:tc>
          <w:tcPr>
            <w:tcW w:w="7873" w:type="dxa"/>
            <w:noWrap w:val="0"/>
            <w:vAlign w:val="center"/>
          </w:tcPr>
          <w:p w14:paraId="28DDCD9B">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一、小微企业（监狱企业视同小微企业）价格扣除</w:t>
            </w:r>
            <w:bookmarkStart w:id="45" w:name="OLE_LINK17"/>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第一包适用，本次第二包、第三包为专门面向中小采购</w:t>
            </w:r>
            <w:bookmarkStart w:id="392" w:name="_GoBack"/>
            <w:bookmarkEnd w:id="392"/>
            <w:r>
              <w:rPr>
                <w:rFonts w:hint="eastAsia" w:ascii="宋体" w:hAnsi="宋体" w:cs="宋体"/>
                <w:color w:val="auto"/>
                <w:sz w:val="24"/>
                <w:szCs w:val="24"/>
                <w:highlight w:val="none"/>
                <w:lang w:val="en-US" w:eastAsia="zh-CN"/>
              </w:rPr>
              <w:t>，不执行价格扣除）</w:t>
            </w:r>
            <w:bookmarkEnd w:id="45"/>
            <w:r>
              <w:rPr>
                <w:rFonts w:hint="eastAsia" w:ascii="宋体" w:hAnsi="宋体" w:eastAsia="宋体" w:cs="宋体"/>
                <w:color w:val="auto"/>
                <w:sz w:val="24"/>
                <w:szCs w:val="24"/>
                <w:highlight w:val="none"/>
              </w:rPr>
              <w:t>：</w:t>
            </w:r>
          </w:p>
          <w:p w14:paraId="402B4C46">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w:t>
            </w:r>
            <w:r>
              <w:rPr>
                <w:rFonts w:hint="eastAsia" w:ascii="宋体" w:hAnsi="宋体" w:cs="宋体"/>
                <w:color w:val="auto"/>
                <w:sz w:val="24"/>
                <w:szCs w:val="24"/>
                <w:highlight w:val="none"/>
                <w:lang w:eastAsia="zh-CN"/>
              </w:rPr>
              <w:t>政府采购促进中小企业发展管理办法</w:t>
            </w:r>
            <w:r>
              <w:rPr>
                <w:rFonts w:hint="eastAsia" w:ascii="宋体" w:hAnsi="宋体" w:eastAsia="宋体" w:cs="宋体"/>
                <w:color w:val="auto"/>
                <w:sz w:val="24"/>
                <w:szCs w:val="24"/>
                <w:highlight w:val="none"/>
              </w:rPr>
              <w:t>》（财库[2020]46号）的规定，对小型和微型企业产品的价格给予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w:t>
            </w:r>
          </w:p>
          <w:p w14:paraId="6AAE0F01">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2、接受大中型企业与小微企业组成联合体或者允许大中型企业向一家或者多家小微企业分包的采购项目，对于联合协议或者分包意向协议约定小微企业的合同份额占到合同总金额30%以上的，对联合体或者</w:t>
            </w:r>
            <w:r>
              <w:rPr>
                <w:rFonts w:hint="eastAsia" w:ascii="宋体" w:hAnsi="宋体" w:cs="宋体"/>
                <w:color w:val="auto"/>
                <w:sz w:val="24"/>
                <w:szCs w:val="24"/>
                <w:highlight w:val="none"/>
                <w:lang w:eastAsia="zh-CN"/>
              </w:rPr>
              <w:t>大中型企业的报价给予6%</w:t>
            </w:r>
            <w:r>
              <w:rPr>
                <w:rFonts w:hint="eastAsia" w:ascii="宋体" w:hAnsi="宋体" w:eastAsia="宋体" w:cs="宋体"/>
                <w:color w:val="auto"/>
                <w:sz w:val="24"/>
                <w:szCs w:val="24"/>
                <w:highlight w:val="none"/>
              </w:rPr>
              <w:t>的扣除，用扣除后的价格参加评审组成联合体或者接受分包的小微企业与联合体内其他企业、分包企业之间存在直接控股、管理关系的，不享受价格扣除优惠政策。</w:t>
            </w:r>
          </w:p>
          <w:p w14:paraId="05DE2143">
            <w:pPr>
              <w:shd w:val="clear"/>
              <w:spacing w:afterAutospacing="0"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3、参加政府采购活动的中小企业应当提供《中小企业声明函》原件。</w:t>
            </w:r>
          </w:p>
          <w:p w14:paraId="6CB6C3B6">
            <w:pPr>
              <w:pStyle w:val="2"/>
              <w:shd w:val="clear"/>
              <w:spacing w:before="0" w:beforeLines="0" w:beforeAutospacing="0" w:after="0" w:afterLines="0" w:afterAutospacing="0" w:line="360" w:lineRule="auto"/>
              <w:ind w:firstLine="240" w:firstLineChars="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zh-CN" w:eastAsia="zh-CN" w:bidi="ar-SA"/>
              </w:rPr>
              <w:t>根据财库〔2014〕68号《财政部</w:t>
            </w:r>
            <w:r>
              <w:rPr>
                <w:rFonts w:hint="eastAsia" w:ascii="宋体" w:hAnsi="宋体" w:eastAsia="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zh-CN" w:eastAsia="zh-CN" w:bidi="ar-SA"/>
              </w:rPr>
              <w:t>司法部关于政府采购支持监狱企业发展有关问题的通知》，监狱企业视同小微企业。监狱企业投标时，提供由省级以上监狱管理局、戒毒管理局（含新疆生产建设兵团）出具的属于监狱企业的证明文件。</w:t>
            </w:r>
          </w:p>
          <w:p w14:paraId="1A59706D">
            <w:pPr>
              <w:shd w:val="clear"/>
              <w:spacing w:beforeAutospacing="0"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二、符合促进残疾人就业条件投标人的价格扣除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第一包适用）</w:t>
            </w:r>
            <w:r>
              <w:rPr>
                <w:rFonts w:hint="eastAsia" w:ascii="宋体" w:hAnsi="宋体" w:eastAsia="宋体" w:cs="宋体"/>
                <w:color w:val="auto"/>
                <w:sz w:val="24"/>
                <w:szCs w:val="24"/>
                <w:highlight w:val="none"/>
              </w:rPr>
              <w:t>：</w:t>
            </w:r>
          </w:p>
          <w:p w14:paraId="4E44C71F">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1、根据《关于促进残疾人就业政府采购政策的通知》（财库〔2017〕141号）的规定，同时满足以下条件的残疾人福利性单位可享受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①安置的残疾人占本单位在职职工人数的比例不低于25%（含25%），并且安置的残疾人人数不少于10人（含10人）；②依法与安置的每位残疾人签订了一年以上（含一年）的劳动合同或服务协议；③为安置的每位残疾人按月足额缴纳了基本养老保险、基本医疗保险、失业保险、工伤保险和生育保险等社会保险费；④通过银行等金融机构向安置的每位残疾人，按月支付了不低于单位所在区县适用的经省级人民政府批准的月最低工资标准的工资；⑤提供本单位制造的货物、承担的工程或者服务（以下简称产品），或者提供其他残疾人福利性单位制造的货物（不包括使用非残疾人福利性单位注册商标的货物）。⑥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409432C">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2、参加政府采购活动的残疾人福利性单位应当提供《残疾人福利性单位声明函》原件。</w:t>
            </w:r>
          </w:p>
          <w:p w14:paraId="4498481B">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【注】残疾人福利性单位属于小型、微型企业的，不重复享受政策。</w:t>
            </w:r>
          </w:p>
          <w:p w14:paraId="1D67BC3E">
            <w:pPr>
              <w:numPr>
                <w:ilvl w:val="0"/>
                <w:numId w:val="6"/>
              </w:num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扶持不发达地区和少数民族地区（如涉及）：</w:t>
            </w:r>
          </w:p>
          <w:p w14:paraId="5E8D2CDF">
            <w:pPr>
              <w:shd w:val="clear"/>
              <w:spacing w:line="360" w:lineRule="auto"/>
              <w:ind w:right="105" w:rightChars="5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扶持不发达地区和少数民族地区政策，按现行有效政策执行。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符合扶持不发达地区和少数民族地区政策条件的，在同等条件下享有优先中标的机会。</w:t>
            </w:r>
          </w:p>
        </w:tc>
      </w:tr>
      <w:tr w14:paraId="4172E6C1">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601" w:type="dxa"/>
            <w:noWrap w:val="0"/>
            <w:vAlign w:val="center"/>
          </w:tcPr>
          <w:p w14:paraId="38B9B0BC">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67" w:type="dxa"/>
            <w:noWrap w:val="0"/>
            <w:vAlign w:val="center"/>
          </w:tcPr>
          <w:p w14:paraId="038A2A40">
            <w:pPr>
              <w:shd w:val="clear"/>
              <w:spacing w:line="360" w:lineRule="auto"/>
              <w:ind w:left="105" w:leftChars="50"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评标情况公告</w:t>
            </w:r>
          </w:p>
        </w:tc>
        <w:tc>
          <w:tcPr>
            <w:tcW w:w="7873" w:type="dxa"/>
            <w:noWrap w:val="0"/>
            <w:vAlign w:val="center"/>
          </w:tcPr>
          <w:p w14:paraId="18AEADCE">
            <w:pPr>
              <w:widowControl/>
              <w:shd w:val="clea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所有投标人投标文件资格性、符合性检查情况、采用综合评分法时的总得分情况、评标结果等将在中国政府采购网上采购结果公告栏中予以公告。</w:t>
            </w:r>
          </w:p>
        </w:tc>
      </w:tr>
      <w:tr w14:paraId="4D4FE45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47" w:hRule="exact"/>
          <w:jc w:val="center"/>
        </w:trPr>
        <w:tc>
          <w:tcPr>
            <w:tcW w:w="601" w:type="dxa"/>
            <w:noWrap w:val="0"/>
            <w:vAlign w:val="center"/>
          </w:tcPr>
          <w:p w14:paraId="1C854764">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67" w:type="dxa"/>
            <w:noWrap w:val="0"/>
            <w:vAlign w:val="center"/>
          </w:tcPr>
          <w:p w14:paraId="27E159B9">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联合体投标</w:t>
            </w:r>
          </w:p>
        </w:tc>
        <w:tc>
          <w:tcPr>
            <w:tcW w:w="7873" w:type="dxa"/>
            <w:noWrap w:val="0"/>
            <w:vAlign w:val="center"/>
          </w:tcPr>
          <w:p w14:paraId="1A53594B">
            <w:pPr>
              <w:shd w:val="clea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tc>
      </w:tr>
      <w:tr w14:paraId="4E59F29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601" w:type="dxa"/>
            <w:noWrap w:val="0"/>
            <w:vAlign w:val="center"/>
          </w:tcPr>
          <w:p w14:paraId="58E121E9">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967" w:type="dxa"/>
            <w:noWrap w:val="0"/>
            <w:vAlign w:val="center"/>
          </w:tcPr>
          <w:p w14:paraId="0D41F245">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考察现场、标前答</w:t>
            </w:r>
          </w:p>
          <w:p w14:paraId="3E6A7EE7">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疑会</w:t>
            </w:r>
          </w:p>
        </w:tc>
        <w:tc>
          <w:tcPr>
            <w:tcW w:w="7873" w:type="dxa"/>
            <w:noWrap w:val="0"/>
            <w:vAlign w:val="center"/>
          </w:tcPr>
          <w:p w14:paraId="5FDBB47D">
            <w:pPr>
              <w:pStyle w:val="464"/>
              <w:shd w:val="clear"/>
              <w:spacing w:line="360" w:lineRule="auto"/>
              <w:ind w:firstLine="240" w:firstLineChars="100"/>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招标采购单位认为有必要，另行书面通知。</w:t>
            </w:r>
          </w:p>
        </w:tc>
      </w:tr>
      <w:tr w14:paraId="6890704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601" w:type="dxa"/>
            <w:noWrap w:val="0"/>
            <w:vAlign w:val="center"/>
          </w:tcPr>
          <w:p w14:paraId="6D24BCD4">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967" w:type="dxa"/>
            <w:noWrap w:val="0"/>
            <w:vAlign w:val="center"/>
          </w:tcPr>
          <w:p w14:paraId="4D7615C0">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投标人对招标文件提出质疑的时间</w:t>
            </w:r>
          </w:p>
        </w:tc>
        <w:tc>
          <w:tcPr>
            <w:tcW w:w="7873" w:type="dxa"/>
            <w:noWrap w:val="0"/>
            <w:vAlign w:val="center"/>
          </w:tcPr>
          <w:p w14:paraId="010BA7B7">
            <w:pPr>
              <w:pStyle w:val="464"/>
              <w:shd w:val="clear"/>
              <w:spacing w:line="360" w:lineRule="auto"/>
              <w:ind w:firstLine="240" w:firstLineChars="100"/>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自投标人获得招标文件之日起的七个工作日内。</w:t>
            </w:r>
          </w:p>
        </w:tc>
      </w:tr>
      <w:tr w14:paraId="1EBD24F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14" w:hRule="atLeast"/>
          <w:jc w:val="center"/>
        </w:trPr>
        <w:tc>
          <w:tcPr>
            <w:tcW w:w="601" w:type="dxa"/>
            <w:noWrap w:val="0"/>
            <w:vAlign w:val="center"/>
          </w:tcPr>
          <w:p w14:paraId="73CEF6A6">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967" w:type="dxa"/>
            <w:noWrap w:val="0"/>
            <w:vAlign w:val="center"/>
          </w:tcPr>
          <w:p w14:paraId="7D142503">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构成招标文件的其他文件</w:t>
            </w:r>
          </w:p>
        </w:tc>
        <w:tc>
          <w:tcPr>
            <w:tcW w:w="7873" w:type="dxa"/>
            <w:noWrap w:val="0"/>
            <w:vAlign w:val="center"/>
          </w:tcPr>
          <w:p w14:paraId="2D76207B">
            <w:pPr>
              <w:pStyle w:val="464"/>
              <w:shd w:val="clear"/>
              <w:spacing w:line="360" w:lineRule="auto"/>
              <w:ind w:left="239" w:leftChars="114"/>
              <w:jc w:val="both"/>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招标文件的澄清</w:t>
            </w:r>
            <w:r>
              <w:rPr>
                <w:rFonts w:hint="eastAsia" w:ascii="宋体" w:hAnsi="宋体" w:eastAsia="宋体" w:cs="宋体"/>
                <w:color w:val="auto"/>
                <w:highlight w:val="none"/>
              </w:rPr>
              <w:t>、修改书及有关补充通知为招标文件的有效组成部分。</w:t>
            </w:r>
          </w:p>
        </w:tc>
      </w:tr>
      <w:tr w14:paraId="76448984">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94" w:hRule="exact"/>
          <w:jc w:val="center"/>
        </w:trPr>
        <w:tc>
          <w:tcPr>
            <w:tcW w:w="601" w:type="dxa"/>
            <w:noWrap w:val="0"/>
            <w:vAlign w:val="center"/>
          </w:tcPr>
          <w:p w14:paraId="368957F1">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67" w:type="dxa"/>
            <w:noWrap w:val="0"/>
            <w:vAlign w:val="center"/>
          </w:tcPr>
          <w:p w14:paraId="61BC6AD9">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投标有效期</w:t>
            </w:r>
          </w:p>
        </w:tc>
        <w:tc>
          <w:tcPr>
            <w:tcW w:w="7873" w:type="dxa"/>
            <w:noWrap w:val="0"/>
            <w:vAlign w:val="center"/>
          </w:tcPr>
          <w:p w14:paraId="29E5721F">
            <w:pPr>
              <w:pStyle w:val="464"/>
              <w:shd w:val="clear"/>
              <w:spacing w:line="360" w:lineRule="auto"/>
              <w:ind w:firstLine="240" w:firstLineChars="100"/>
              <w:jc w:val="both"/>
              <w:rPr>
                <w:rFonts w:hint="eastAsia" w:ascii="宋体" w:hAnsi="宋体" w:eastAsia="宋体" w:cs="宋体"/>
                <w:color w:val="auto"/>
                <w:highlight w:val="none"/>
                <w:lang w:val="zh-CN"/>
              </w:rPr>
            </w:pPr>
            <w:r>
              <w:rPr>
                <w:rFonts w:hint="eastAsia" w:ascii="宋体" w:hAnsi="宋体" w:eastAsia="宋体" w:cs="宋体"/>
                <w:color w:val="auto"/>
                <w:highlight w:val="none"/>
              </w:rPr>
              <w:t>投标截止时间届满后90天。</w:t>
            </w:r>
          </w:p>
        </w:tc>
      </w:tr>
      <w:tr w14:paraId="0348583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620" w:hRule="atLeast"/>
          <w:jc w:val="center"/>
        </w:trPr>
        <w:tc>
          <w:tcPr>
            <w:tcW w:w="601" w:type="dxa"/>
            <w:noWrap w:val="0"/>
            <w:vAlign w:val="center"/>
          </w:tcPr>
          <w:p w14:paraId="64F296BB">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1967" w:type="dxa"/>
            <w:noWrap w:val="0"/>
            <w:vAlign w:val="center"/>
          </w:tcPr>
          <w:p w14:paraId="58A3C8E1">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投标保证金</w:t>
            </w:r>
          </w:p>
        </w:tc>
        <w:tc>
          <w:tcPr>
            <w:tcW w:w="7873" w:type="dxa"/>
            <w:noWrap w:val="0"/>
            <w:vAlign w:val="center"/>
          </w:tcPr>
          <w:p w14:paraId="13A1DC52">
            <w:pPr>
              <w:numPr>
                <w:ilvl w:val="0"/>
                <w:numId w:val="7"/>
              </w:numPr>
              <w:tabs>
                <w:tab w:val="left" w:leader="dot" w:pos="7560"/>
              </w:tabs>
              <w:spacing w:line="360" w:lineRule="auto"/>
              <w:ind w:firstLine="240"/>
              <w:rPr>
                <w:rFonts w:hint="eastAsia" w:ascii="宋体" w:hAnsi="宋体" w:cs="宋体"/>
                <w:sz w:val="24"/>
                <w:szCs w:val="24"/>
              </w:rPr>
            </w:pPr>
            <w:r>
              <w:rPr>
                <w:rFonts w:hint="eastAsia" w:ascii="宋体" w:hAnsi="宋体" w:eastAsia="宋体" w:cs="宋体"/>
                <w:color w:val="auto"/>
                <w:sz w:val="24"/>
                <w:szCs w:val="24"/>
                <w:highlight w:val="none"/>
              </w:rPr>
              <w:t>各标包投标保证金金额如下：</w:t>
            </w:r>
          </w:p>
          <w:tbl>
            <w:tblPr>
              <w:tblStyle w:val="59"/>
              <w:tblW w:w="44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679"/>
              <w:gridCol w:w="4358"/>
            </w:tblGrid>
            <w:tr w14:paraId="48D0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4" w:hRule="atLeast"/>
                <w:jc w:val="center"/>
              </w:trPr>
              <w:tc>
                <w:tcPr>
                  <w:tcW w:w="1903" w:type="pct"/>
                  <w:noWrap w:val="0"/>
                  <w:vAlign w:val="center"/>
                </w:tcPr>
                <w:p w14:paraId="66C4B636">
                  <w:pPr>
                    <w:shd w:val="clear"/>
                    <w:spacing w:line="360" w:lineRule="auto"/>
                    <w:jc w:val="center"/>
                    <w:textAlignment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标包号</w:t>
                  </w:r>
                </w:p>
              </w:tc>
              <w:tc>
                <w:tcPr>
                  <w:tcW w:w="3096" w:type="pct"/>
                  <w:tcBorders>
                    <w:right w:val="single" w:color="auto" w:sz="4" w:space="0"/>
                  </w:tcBorders>
                  <w:noWrap w:val="0"/>
                  <w:vAlign w:val="center"/>
                </w:tcPr>
                <w:p w14:paraId="69A28E51">
                  <w:pPr>
                    <w:shd w:val="clear"/>
                    <w:spacing w:line="360" w:lineRule="auto"/>
                    <w:jc w:val="center"/>
                    <w:textAlignment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金额（万元）</w:t>
                  </w:r>
                </w:p>
              </w:tc>
            </w:tr>
            <w:tr w14:paraId="0D293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4" w:hRule="atLeast"/>
                <w:jc w:val="center"/>
              </w:trPr>
              <w:tc>
                <w:tcPr>
                  <w:tcW w:w="1903" w:type="pct"/>
                  <w:noWrap w:val="0"/>
                  <w:vAlign w:val="center"/>
                </w:tcPr>
                <w:p w14:paraId="1A5DEDCA">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第二包</w:t>
                  </w:r>
                </w:p>
              </w:tc>
              <w:tc>
                <w:tcPr>
                  <w:tcW w:w="3096" w:type="pct"/>
                  <w:tcBorders>
                    <w:right w:val="single" w:color="auto" w:sz="4" w:space="0"/>
                  </w:tcBorders>
                  <w:noWrap w:val="0"/>
                  <w:vAlign w:val="center"/>
                </w:tcPr>
                <w:p w14:paraId="133D9279">
                  <w:pPr>
                    <w:shd w:val="clear"/>
                    <w:spacing w:line="360" w:lineRule="auto"/>
                    <w:jc w:val="center"/>
                    <w:textAlignment w:val="center"/>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1.2</w:t>
                  </w:r>
                </w:p>
              </w:tc>
            </w:tr>
            <w:tr w14:paraId="3E72D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4" w:hRule="atLeast"/>
                <w:jc w:val="center"/>
              </w:trPr>
              <w:tc>
                <w:tcPr>
                  <w:tcW w:w="1903" w:type="pct"/>
                  <w:noWrap w:val="0"/>
                  <w:vAlign w:val="center"/>
                </w:tcPr>
                <w:p w14:paraId="77509D8F">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第三包</w:t>
                  </w:r>
                </w:p>
              </w:tc>
              <w:tc>
                <w:tcPr>
                  <w:tcW w:w="3096" w:type="pct"/>
                  <w:tcBorders>
                    <w:right w:val="single" w:color="auto" w:sz="4" w:space="0"/>
                  </w:tcBorders>
                  <w:noWrap w:val="0"/>
                  <w:vAlign w:val="center"/>
                </w:tcPr>
                <w:p w14:paraId="37CF9CEC">
                  <w:pPr>
                    <w:shd w:val="clear"/>
                    <w:spacing w:line="360" w:lineRule="auto"/>
                    <w:jc w:val="center"/>
                    <w:textAlignment w:val="center"/>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1.3</w:t>
                  </w:r>
                </w:p>
              </w:tc>
            </w:tr>
          </w:tbl>
          <w:p w14:paraId="5D46B54E">
            <w:pPr>
              <w:pStyle w:val="23"/>
              <w:shd w:val="clear"/>
              <w:spacing w:line="240" w:lineRule="auto"/>
              <w:rPr>
                <w:rFonts w:hint="eastAsia" w:ascii="宋体" w:hAnsi="宋体" w:eastAsia="宋体" w:cs="宋体"/>
                <w:color w:val="auto"/>
                <w:highlight w:val="none"/>
              </w:rPr>
            </w:pPr>
          </w:p>
          <w:p w14:paraId="223B3EB4">
            <w:pPr>
              <w:shd w:val="clear"/>
              <w:tabs>
                <w:tab w:val="left" w:leader="dot" w:pos="7560"/>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2、交款方式：转账、支票、汇票、本票或者保函等非现金形式提交；投标人未按照招标文件要求提交投标保证金的，投标无效。</w:t>
            </w:r>
          </w:p>
          <w:p w14:paraId="20A9A8D9">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户名：四川铭信工程招标咨询有限公司</w:t>
            </w:r>
          </w:p>
          <w:p w14:paraId="51DECDB9">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税号：9151 0100 7774 8269 46</w:t>
            </w:r>
          </w:p>
          <w:p w14:paraId="7BF9A348">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单位地址：成都市高新区高朋大道21号</w:t>
            </w:r>
          </w:p>
          <w:p w14:paraId="71C02200">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电话：028_82965800</w:t>
            </w:r>
          </w:p>
          <w:p w14:paraId="10F8052B">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开户银行：成都银行玉林南路支行</w:t>
            </w:r>
          </w:p>
          <w:p w14:paraId="1D3E4E69">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银行账户：2102 2003 2154 9000 0015</w:t>
            </w:r>
          </w:p>
          <w:p w14:paraId="5AF2F998">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3、采用保函方式提交投标保证金的，保函必须符合以下规定：</w:t>
            </w:r>
          </w:p>
          <w:p w14:paraId="67961F0C">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a.保函应为</w:t>
            </w:r>
            <w:r>
              <w:rPr>
                <w:rFonts w:hint="eastAsia" w:cs="宋体"/>
                <w:color w:val="auto"/>
                <w:highlight w:val="none"/>
                <w:lang w:val="en-US" w:eastAsia="zh-CN" w:bidi="ar"/>
              </w:rPr>
              <w:t>担保机构</w:t>
            </w:r>
            <w:r>
              <w:rPr>
                <w:rFonts w:hint="eastAsia" w:ascii="宋体" w:hAnsi="宋体" w:eastAsia="宋体" w:cs="宋体"/>
                <w:color w:val="auto"/>
                <w:highlight w:val="none"/>
                <w:lang w:bidi="ar"/>
              </w:rPr>
              <w:t>出具的合法保函，且应为无条件保函，并有详细明显的验证方法；</w:t>
            </w:r>
          </w:p>
          <w:p w14:paraId="54C7375E">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b.保函的受益人为</w:t>
            </w:r>
            <w:r>
              <w:rPr>
                <w:rFonts w:hint="eastAsia" w:cs="宋体"/>
                <w:color w:val="auto"/>
                <w:highlight w:val="none"/>
                <w:lang w:eastAsia="zh-CN"/>
              </w:rPr>
              <w:t>四川铭信工程招标咨询有限公司</w:t>
            </w:r>
            <w:r>
              <w:rPr>
                <w:rFonts w:hint="eastAsia" w:ascii="宋体" w:hAnsi="宋体" w:eastAsia="宋体" w:cs="宋体"/>
                <w:color w:val="auto"/>
                <w:highlight w:val="none"/>
                <w:lang w:bidi="ar"/>
              </w:rPr>
              <w:t>；</w:t>
            </w:r>
          </w:p>
          <w:p w14:paraId="13F75AFB">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c.保函的内容包括但不限于</w:t>
            </w:r>
            <w:r>
              <w:rPr>
                <w:rFonts w:hint="eastAsia" w:cs="宋体"/>
                <w:color w:val="auto"/>
                <w:highlight w:val="none"/>
                <w:lang w:eastAsia="zh-CN" w:bidi="ar"/>
              </w:rPr>
              <w:t>投标人</w:t>
            </w:r>
            <w:r>
              <w:rPr>
                <w:rFonts w:hint="eastAsia" w:ascii="宋体" w:hAnsi="宋体" w:eastAsia="宋体" w:cs="宋体"/>
                <w:color w:val="auto"/>
                <w:highlight w:val="none"/>
                <w:lang w:bidi="ar"/>
              </w:rPr>
              <w:t>名称、项目名称（如有分包，载明分包号）、项目编号、投标保证金金额、保函的有效期、担保的内容（即：如因</w:t>
            </w:r>
            <w:r>
              <w:rPr>
                <w:rFonts w:hint="eastAsia" w:cs="宋体"/>
                <w:color w:val="auto"/>
                <w:highlight w:val="none"/>
                <w:lang w:eastAsia="zh-CN" w:bidi="ar"/>
              </w:rPr>
              <w:t>投标人</w:t>
            </w:r>
            <w:r>
              <w:rPr>
                <w:rFonts w:hint="eastAsia" w:ascii="宋体" w:hAnsi="宋体" w:eastAsia="宋体" w:cs="宋体"/>
                <w:color w:val="auto"/>
                <w:highlight w:val="none"/>
                <w:lang w:bidi="ar"/>
              </w:rPr>
              <w:t>原因发生法律法规或招标文件规定的投标保证金不予退还的情况，由</w:t>
            </w:r>
            <w:r>
              <w:rPr>
                <w:rFonts w:hint="eastAsia" w:cs="宋体"/>
                <w:color w:val="auto"/>
                <w:highlight w:val="none"/>
                <w:lang w:val="en-US" w:eastAsia="zh-CN" w:bidi="ar"/>
              </w:rPr>
              <w:t>担保机构</w:t>
            </w:r>
            <w:r>
              <w:rPr>
                <w:rFonts w:hint="eastAsia" w:ascii="宋体" w:hAnsi="宋体" w:eastAsia="宋体" w:cs="宋体"/>
                <w:color w:val="auto"/>
                <w:highlight w:val="none"/>
                <w:lang w:bidi="ar"/>
              </w:rPr>
              <w:t>向受益人足额支付投标保证金）；</w:t>
            </w:r>
          </w:p>
          <w:p w14:paraId="3DE8AA88">
            <w:pPr>
              <w:pStyle w:val="464"/>
              <w:shd w:val="clear"/>
              <w:spacing w:line="360" w:lineRule="auto"/>
              <w:ind w:firstLine="480" w:firstLineChars="200"/>
              <w:jc w:val="both"/>
              <w:rPr>
                <w:rFonts w:hint="eastAsia" w:ascii="宋体" w:hAnsi="宋体" w:eastAsia="宋体" w:cs="宋体"/>
                <w:color w:val="auto"/>
                <w:highlight w:val="none"/>
                <w:lang w:bidi="ar"/>
              </w:rPr>
            </w:pPr>
            <w:r>
              <w:rPr>
                <w:rFonts w:hint="eastAsia" w:ascii="宋体" w:hAnsi="宋体" w:eastAsia="宋体" w:cs="宋体"/>
                <w:color w:val="auto"/>
                <w:highlight w:val="none"/>
                <w:lang w:bidi="ar"/>
              </w:rPr>
              <w:t>d.保函中的投标保证金金额不少于本项目规定的投标保证金金额；</w:t>
            </w:r>
          </w:p>
          <w:p w14:paraId="4D94F31E">
            <w:pPr>
              <w:shd w:val="clea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e.保函有效期应不短于投标有效期；</w:t>
            </w:r>
          </w:p>
          <w:p w14:paraId="3A2793A3">
            <w:pPr>
              <w:shd w:val="clear"/>
              <w:spacing w:line="360" w:lineRule="auto"/>
              <w:ind w:firstLine="482" w:firstLineChars="200"/>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f.保函原件单独密封，与投标文件一起递交；</w:t>
            </w:r>
          </w:p>
          <w:p w14:paraId="347B6F48">
            <w:pPr>
              <w:shd w:val="clear"/>
              <w:spacing w:line="360" w:lineRule="auto"/>
              <w:ind w:firstLine="482" w:firstLineChars="200"/>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g.保函的彩色影印件或清晰可辨的复印件应装订在</w:t>
            </w:r>
            <w:r>
              <w:rPr>
                <w:rFonts w:hint="eastAsia" w:ascii="宋体" w:hAnsi="宋体" w:eastAsia="宋体" w:cs="宋体"/>
                <w:b/>
                <w:color w:val="auto"/>
                <w:sz w:val="24"/>
                <w:highlight w:val="none"/>
              </w:rPr>
              <w:t>资格性投标文件</w:t>
            </w:r>
            <w:r>
              <w:rPr>
                <w:rFonts w:hint="eastAsia" w:ascii="宋体" w:hAnsi="宋体" w:eastAsia="宋体" w:cs="宋体"/>
                <w:b/>
                <w:bCs/>
                <w:color w:val="auto"/>
                <w:sz w:val="24"/>
                <w:szCs w:val="24"/>
                <w:highlight w:val="none"/>
                <w:lang w:bidi="ar"/>
              </w:rPr>
              <w:t>正本中；</w:t>
            </w:r>
          </w:p>
          <w:p w14:paraId="0623A1EA">
            <w:pPr>
              <w:shd w:val="clear"/>
              <w:spacing w:line="360" w:lineRule="auto"/>
              <w:ind w:firstLine="480" w:firstLineChars="20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h.投标人应确保保函真实有效，提供虚假保函的，采购人将向上级和公安机关举报，将依法承担法律责任。</w:t>
            </w:r>
          </w:p>
          <w:p w14:paraId="1AC3699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4、投标保证金递交截止时间同投标文件递交截止时间。</w:t>
            </w:r>
          </w:p>
        </w:tc>
      </w:tr>
      <w:tr w14:paraId="1D84D1B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01" w:type="dxa"/>
            <w:noWrap w:val="0"/>
            <w:vAlign w:val="center"/>
          </w:tcPr>
          <w:p w14:paraId="2A602F2A">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7</w:t>
            </w:r>
          </w:p>
        </w:tc>
        <w:tc>
          <w:tcPr>
            <w:tcW w:w="1967" w:type="dxa"/>
            <w:noWrap w:val="0"/>
            <w:vAlign w:val="center"/>
          </w:tcPr>
          <w:p w14:paraId="07F622F1">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履约保证金</w:t>
            </w:r>
          </w:p>
        </w:tc>
        <w:tc>
          <w:tcPr>
            <w:tcW w:w="7873" w:type="dxa"/>
            <w:noWrap w:val="0"/>
            <w:vAlign w:val="center"/>
          </w:tcPr>
          <w:p w14:paraId="30F980CE">
            <w:pPr>
              <w:pStyle w:val="464"/>
              <w:shd w:val="clear"/>
              <w:adjustRightInd/>
              <w:spacing w:line="360" w:lineRule="auto"/>
              <w:ind w:left="53" w:leftChars="25" w:right="53" w:rightChars="25"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金    额：中标金额的</w:t>
            </w:r>
            <w:r>
              <w:rPr>
                <w:rFonts w:hint="eastAsia" w:ascii="宋体" w:hAnsi="宋体" w:eastAsia="宋体" w:cs="宋体"/>
                <w:color w:val="auto"/>
                <w:highlight w:val="none"/>
              </w:rPr>
              <w:t>3</w:t>
            </w:r>
            <w:r>
              <w:rPr>
                <w:rFonts w:hint="eastAsia" w:ascii="宋体" w:hAnsi="宋体" w:eastAsia="宋体" w:cs="宋体"/>
                <w:color w:val="auto"/>
                <w:highlight w:val="none"/>
                <w:lang w:val="zh-CN"/>
              </w:rPr>
              <w:t>%（建议履约保函）</w:t>
            </w:r>
          </w:p>
          <w:p w14:paraId="78C21BD9">
            <w:pPr>
              <w:pStyle w:val="464"/>
              <w:shd w:val="clear"/>
              <w:adjustRightInd/>
              <w:spacing w:line="360" w:lineRule="auto"/>
              <w:ind w:left="53" w:leftChars="25" w:right="53" w:rightChars="25"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以支票、汇票、本票或者担保机构出具的保函等非现金形式提交。</w:t>
            </w:r>
          </w:p>
          <w:p w14:paraId="283B2147">
            <w:pPr>
              <w:pStyle w:val="464"/>
              <w:shd w:val="clea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收款单位：</w:t>
            </w:r>
            <w:r>
              <w:rPr>
                <w:rFonts w:hint="eastAsia" w:cs="宋体"/>
                <w:color w:val="auto"/>
                <w:highlight w:val="none"/>
                <w:lang w:eastAsia="zh-CN"/>
              </w:rPr>
              <w:t xml:space="preserve">四川省消防救援总队训练与战勤保障支队 </w:t>
            </w:r>
            <w:r>
              <w:rPr>
                <w:rFonts w:hint="eastAsia" w:ascii="宋体" w:hAnsi="宋体" w:eastAsia="宋体" w:cs="宋体"/>
                <w:color w:val="auto"/>
                <w:highlight w:val="none"/>
              </w:rPr>
              <w:t>。</w:t>
            </w:r>
          </w:p>
          <w:p w14:paraId="64F5DE2F">
            <w:pPr>
              <w:pStyle w:val="464"/>
              <w:shd w:val="clear"/>
              <w:spacing w:line="360" w:lineRule="auto"/>
              <w:ind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交款时间：中标通知书发放后，政府采购合同签订前。</w:t>
            </w:r>
          </w:p>
          <w:p w14:paraId="6C2EAAD5">
            <w:pPr>
              <w:pStyle w:val="464"/>
              <w:shd w:val="clear"/>
              <w:spacing w:line="360" w:lineRule="auto"/>
              <w:ind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注：提供保函的担保机构必须是依法成立的具有相关资质和偿付能力的担保机构。</w:t>
            </w:r>
          </w:p>
          <w:p w14:paraId="7C582666">
            <w:pPr>
              <w:pStyle w:val="464"/>
              <w:shd w:val="clear"/>
              <w:spacing w:line="360" w:lineRule="auto"/>
              <w:ind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履约保证金退还方式：①以网银转账、电汇等方式提交的，履约保证金以网银转账、电汇等方式退至转款账户；②以保函方式提交的，退还保函原件。</w:t>
            </w:r>
          </w:p>
          <w:p w14:paraId="15BD8764">
            <w:pPr>
              <w:pStyle w:val="464"/>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履约保证金退还时间：验收合格后满18个月（考虑到交货、验收等不确定因素，采用保函形式提交履约保证金的，保函有效期应不短于2年），所投产品无质量问题，采购人根据中标人退还申请，于</w:t>
            </w:r>
            <w:r>
              <w:rPr>
                <w:rFonts w:hint="eastAsia" w:ascii="宋体" w:hAnsi="宋体" w:eastAsia="宋体" w:cs="宋体"/>
                <w:color w:val="auto"/>
                <w:highlight w:val="none"/>
              </w:rPr>
              <w:t>15</w:t>
            </w:r>
            <w:r>
              <w:rPr>
                <w:rFonts w:hint="eastAsia" w:ascii="宋体" w:hAnsi="宋体" w:eastAsia="宋体" w:cs="宋体"/>
                <w:color w:val="auto"/>
                <w:highlight w:val="none"/>
                <w:lang w:val="zh-CN"/>
              </w:rPr>
              <w:t>个工作日内无息退还中标人履约保证金。</w:t>
            </w:r>
          </w:p>
          <w:p w14:paraId="6D0B9CDB">
            <w:pPr>
              <w:pStyle w:val="464"/>
              <w:shd w:val="clear"/>
              <w:spacing w:line="360" w:lineRule="auto"/>
              <w:ind w:firstLine="24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履约保证金不予退还情形：出现合同约定的不予退还情形。</w:t>
            </w:r>
          </w:p>
          <w:p w14:paraId="42B647B9">
            <w:pPr>
              <w:pStyle w:val="464"/>
              <w:shd w:val="clea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lang w:val="zh-CN"/>
              </w:rPr>
              <w:t>履约保证金不予退还的，将按照有关规定上缴国库。逾期退还履约保证金的，</w:t>
            </w:r>
            <w:r>
              <w:rPr>
                <w:rFonts w:hint="eastAsia" w:ascii="宋体" w:hAnsi="宋体" w:eastAsia="宋体" w:cs="宋体"/>
                <w:color w:val="auto"/>
                <w:highlight w:val="none"/>
              </w:rPr>
              <w:t>采购人每逾期一天退还，将承担应退还金额</w:t>
            </w:r>
            <w:r>
              <w:rPr>
                <w:rFonts w:hint="eastAsia" w:cs="宋体"/>
                <w:color w:val="auto"/>
                <w:highlight w:val="none"/>
                <w:lang w:eastAsia="zh-CN"/>
              </w:rPr>
              <w:t>万分之一</w:t>
            </w:r>
            <w:r>
              <w:rPr>
                <w:rFonts w:hint="eastAsia" w:ascii="宋体" w:hAnsi="宋体" w:eastAsia="宋体" w:cs="宋体"/>
                <w:color w:val="auto"/>
                <w:highlight w:val="none"/>
              </w:rPr>
              <w:t>的违约金。若遇项目单位因财务结算等原因封账而导致无法支付相应价款的，顺延至具备支付条件之日起15个工作日内，且不视为采购人违约</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zh-CN"/>
              </w:rPr>
              <w:cr/>
            </w:r>
          </w:p>
        </w:tc>
      </w:tr>
      <w:tr w14:paraId="667BACB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41" w:hRule="atLeast"/>
          <w:jc w:val="center"/>
        </w:trPr>
        <w:tc>
          <w:tcPr>
            <w:tcW w:w="601" w:type="dxa"/>
            <w:noWrap w:val="0"/>
            <w:vAlign w:val="center"/>
          </w:tcPr>
          <w:p w14:paraId="42F63C8F">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8</w:t>
            </w:r>
          </w:p>
        </w:tc>
        <w:tc>
          <w:tcPr>
            <w:tcW w:w="1967" w:type="dxa"/>
            <w:noWrap w:val="0"/>
            <w:vAlign w:val="center"/>
          </w:tcPr>
          <w:p w14:paraId="03258876">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招标文件咨询、</w:t>
            </w:r>
          </w:p>
          <w:p w14:paraId="59217F7C">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开评标工作咨询</w:t>
            </w:r>
          </w:p>
        </w:tc>
        <w:tc>
          <w:tcPr>
            <w:tcW w:w="7873" w:type="dxa"/>
            <w:noWrap w:val="0"/>
            <w:vAlign w:val="center"/>
          </w:tcPr>
          <w:p w14:paraId="2D0FE377">
            <w:pPr>
              <w:pStyle w:val="464"/>
              <w:shd w:val="clear"/>
              <w:spacing w:line="360" w:lineRule="auto"/>
              <w:ind w:firstLine="240" w:firstLineChars="1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联系人：</w:t>
            </w:r>
            <w:r>
              <w:rPr>
                <w:rFonts w:hint="eastAsia" w:cs="宋体"/>
                <w:color w:val="auto"/>
                <w:highlight w:val="none"/>
                <w:lang w:val="en-US" w:eastAsia="zh-CN"/>
              </w:rPr>
              <w:t>林老师</w:t>
            </w:r>
            <w:r>
              <w:rPr>
                <w:rFonts w:hint="eastAsia" w:ascii="宋体" w:hAnsi="宋体" w:eastAsia="宋体" w:cs="宋体"/>
                <w:color w:val="auto"/>
                <w:highlight w:val="none"/>
                <w:lang w:val="zh-CN"/>
              </w:rPr>
              <w:t xml:space="preserve">   联系电话：</w:t>
            </w:r>
            <w:r>
              <w:rPr>
                <w:rFonts w:hint="eastAsia" w:cs="宋体"/>
                <w:color w:val="auto"/>
                <w:highlight w:val="none"/>
                <w:lang w:val="zh-CN" w:eastAsia="zh-CN"/>
              </w:rPr>
              <w:t>18628331682</w:t>
            </w:r>
          </w:p>
        </w:tc>
      </w:tr>
      <w:tr w14:paraId="4EE426BE">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810" w:hRule="atLeast"/>
          <w:jc w:val="center"/>
        </w:trPr>
        <w:tc>
          <w:tcPr>
            <w:tcW w:w="601" w:type="dxa"/>
            <w:noWrap w:val="0"/>
            <w:vAlign w:val="center"/>
          </w:tcPr>
          <w:p w14:paraId="6717CA25">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1967" w:type="dxa"/>
            <w:noWrap w:val="0"/>
            <w:vAlign w:val="center"/>
          </w:tcPr>
          <w:p w14:paraId="0AC884E7">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中标通知书领取</w:t>
            </w:r>
          </w:p>
        </w:tc>
        <w:tc>
          <w:tcPr>
            <w:tcW w:w="7873" w:type="dxa"/>
            <w:noWrap w:val="0"/>
            <w:vAlign w:val="center"/>
          </w:tcPr>
          <w:p w14:paraId="2BB8F700">
            <w:pPr>
              <w:pStyle w:val="464"/>
              <w:shd w:val="clear"/>
              <w:spacing w:line="360" w:lineRule="auto"/>
              <w:ind w:firstLine="240" w:firstLineChars="100"/>
              <w:jc w:val="both"/>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中标公告在中国政府采购网上</w:t>
            </w:r>
            <w:r>
              <w:rPr>
                <w:rFonts w:hint="eastAsia" w:ascii="宋体" w:hAnsi="宋体" w:eastAsia="宋体" w:cs="宋体"/>
                <w:color w:val="auto"/>
                <w:highlight w:val="none"/>
              </w:rPr>
              <w:t>发布</w:t>
            </w:r>
            <w:r>
              <w:rPr>
                <w:rFonts w:hint="eastAsia" w:ascii="宋体" w:hAnsi="宋体" w:eastAsia="宋体" w:cs="宋体"/>
                <w:color w:val="auto"/>
                <w:highlight w:val="none"/>
                <w:lang w:val="zh-CN"/>
              </w:rPr>
              <w:t>后，中标人凭有效身份证明（单位介绍信和个人身份证）到采购代理机构领取中标通知书。</w:t>
            </w:r>
          </w:p>
        </w:tc>
      </w:tr>
      <w:tr w14:paraId="08B6AD3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601" w:type="dxa"/>
            <w:noWrap w:val="0"/>
            <w:vAlign w:val="center"/>
          </w:tcPr>
          <w:p w14:paraId="6C6EDCB7">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0</w:t>
            </w:r>
          </w:p>
        </w:tc>
        <w:tc>
          <w:tcPr>
            <w:tcW w:w="1967" w:type="dxa"/>
            <w:noWrap w:val="0"/>
            <w:vAlign w:val="center"/>
          </w:tcPr>
          <w:p w14:paraId="0EBCD5F2">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kern w:val="2"/>
                <w:highlight w:val="none"/>
              </w:rPr>
              <w:t>投标人询问、质疑</w:t>
            </w:r>
          </w:p>
        </w:tc>
        <w:tc>
          <w:tcPr>
            <w:tcW w:w="7873" w:type="dxa"/>
            <w:noWrap w:val="0"/>
            <w:vAlign w:val="center"/>
          </w:tcPr>
          <w:p w14:paraId="2411B691">
            <w:pPr>
              <w:numPr>
                <w:ilvl w:val="0"/>
                <w:numId w:val="8"/>
              </w:numPr>
              <w:shd w:val="clear"/>
              <w:tabs>
                <w:tab w:val="left" w:pos="7665"/>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根据委托代理协议约定，</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询问由</w:t>
            </w:r>
            <w:r>
              <w:rPr>
                <w:rFonts w:hint="eastAsia" w:ascii="宋体" w:hAnsi="宋体" w:cs="宋体"/>
                <w:color w:val="auto"/>
                <w:sz w:val="24"/>
                <w:szCs w:val="24"/>
                <w:highlight w:val="none"/>
                <w:lang w:eastAsia="zh-CN"/>
              </w:rPr>
              <w:t>四川铭信工程招标咨询有限公司</w:t>
            </w:r>
            <w:r>
              <w:rPr>
                <w:rFonts w:hint="eastAsia" w:ascii="宋体" w:hAnsi="宋体" w:eastAsia="宋体" w:cs="宋体"/>
                <w:color w:val="auto"/>
                <w:sz w:val="24"/>
                <w:szCs w:val="24"/>
                <w:highlight w:val="none"/>
              </w:rPr>
              <w:t>负责答复。</w:t>
            </w:r>
          </w:p>
          <w:p w14:paraId="313A9074">
            <w:pPr>
              <w:pStyle w:val="464"/>
              <w:shd w:val="clea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根据委托代理协议约定，对</w:t>
            </w:r>
            <w:r>
              <w:rPr>
                <w:rFonts w:hint="eastAsia" w:cs="宋体"/>
                <w:color w:val="auto"/>
                <w:highlight w:val="none"/>
                <w:lang w:val="zh-CN"/>
              </w:rPr>
              <w:t>招标文件</w:t>
            </w:r>
            <w:r>
              <w:rPr>
                <w:rFonts w:hint="eastAsia" w:ascii="宋体" w:hAnsi="宋体" w:eastAsia="宋体" w:cs="宋体"/>
                <w:color w:val="auto"/>
                <w:highlight w:val="none"/>
                <w:lang w:val="zh-CN"/>
              </w:rPr>
              <w:t>除技术部分外的质疑由</w:t>
            </w:r>
            <w:r>
              <w:rPr>
                <w:rFonts w:hint="eastAsia" w:cs="宋体"/>
                <w:color w:val="auto"/>
                <w:highlight w:val="none"/>
                <w:lang w:eastAsia="zh-CN"/>
              </w:rPr>
              <w:t>四川铭信工程招标咨询有限公司</w:t>
            </w:r>
            <w:r>
              <w:rPr>
                <w:rFonts w:hint="eastAsia" w:ascii="宋体" w:hAnsi="宋体" w:eastAsia="宋体" w:cs="宋体"/>
                <w:color w:val="auto"/>
                <w:highlight w:val="none"/>
                <w:lang w:val="zh-CN"/>
              </w:rPr>
              <w:t>负责答复；对</w:t>
            </w:r>
            <w:r>
              <w:rPr>
                <w:rFonts w:hint="eastAsia" w:cs="宋体"/>
                <w:color w:val="auto"/>
                <w:highlight w:val="none"/>
                <w:lang w:val="zh-CN"/>
              </w:rPr>
              <w:t>招标文件</w:t>
            </w:r>
            <w:r>
              <w:rPr>
                <w:rFonts w:hint="eastAsia" w:ascii="宋体" w:hAnsi="宋体" w:eastAsia="宋体" w:cs="宋体"/>
                <w:color w:val="auto"/>
                <w:highlight w:val="none"/>
                <w:lang w:val="zh-CN"/>
              </w:rPr>
              <w:t>技术部分的质疑由</w:t>
            </w:r>
            <w:r>
              <w:rPr>
                <w:rFonts w:hint="eastAsia" w:cs="宋体"/>
                <w:color w:val="auto"/>
                <w:highlight w:val="none"/>
                <w:lang w:val="zh-CN"/>
              </w:rPr>
              <w:t xml:space="preserve">四川省消防救援总队训练与战勤保障支队 </w:t>
            </w:r>
            <w:r>
              <w:rPr>
                <w:rFonts w:hint="eastAsia" w:ascii="宋体" w:hAnsi="宋体" w:eastAsia="宋体" w:cs="宋体"/>
                <w:color w:val="auto"/>
                <w:highlight w:val="none"/>
                <w:lang w:val="zh-CN"/>
              </w:rPr>
              <w:t>负责答复；对采购过程的质疑由</w:t>
            </w:r>
            <w:r>
              <w:rPr>
                <w:rFonts w:hint="eastAsia" w:cs="宋体"/>
                <w:color w:val="auto"/>
                <w:highlight w:val="none"/>
                <w:lang w:eastAsia="zh-CN"/>
              </w:rPr>
              <w:t>四川铭信工程招标咨询有限公司</w:t>
            </w:r>
            <w:r>
              <w:rPr>
                <w:rFonts w:hint="eastAsia" w:ascii="宋体" w:hAnsi="宋体" w:eastAsia="宋体" w:cs="宋体"/>
                <w:color w:val="auto"/>
                <w:highlight w:val="none"/>
                <w:lang w:val="zh-CN"/>
              </w:rPr>
              <w:t>负责答复；对采购结果的质疑由</w:t>
            </w:r>
            <w:r>
              <w:rPr>
                <w:rFonts w:hint="eastAsia" w:cs="宋体"/>
                <w:color w:val="auto"/>
                <w:highlight w:val="none"/>
                <w:lang w:eastAsia="zh-CN"/>
              </w:rPr>
              <w:t>四川铭信工程招标咨询有限公司</w:t>
            </w:r>
            <w:r>
              <w:rPr>
                <w:rFonts w:hint="eastAsia" w:ascii="宋体" w:hAnsi="宋体" w:eastAsia="宋体" w:cs="宋体"/>
                <w:color w:val="auto"/>
                <w:highlight w:val="none"/>
                <w:lang w:val="zh-CN"/>
              </w:rPr>
              <w:t>负责答复。</w:t>
            </w:r>
          </w:p>
          <w:p w14:paraId="77DE00C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、采购过程、成交结果使自己的权益受到损害的，可以在知道或者应知权益受到损害之日起7个工作日内，提出质疑。且</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应当在法定质疑期内一次性提出针对同一采购程序环节的质疑。</w:t>
            </w:r>
          </w:p>
          <w:p w14:paraId="6DD637EC">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1、受理质疑方式：书面方式。</w:t>
            </w:r>
          </w:p>
          <w:p w14:paraId="6BFA952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w:t>
            </w:r>
          </w:p>
          <w:p w14:paraId="3E1B77C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的姓名或者名称、地址、邮编、联系人及联系电话；</w:t>
            </w:r>
          </w:p>
          <w:p w14:paraId="2A4648A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2.2质疑项目的名称、编号；</w:t>
            </w:r>
          </w:p>
          <w:p w14:paraId="250A728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2.3具体、明确的质疑事项和与质疑事项相关的请求；</w:t>
            </w:r>
          </w:p>
          <w:p w14:paraId="1431341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2.4事实依据；</w:t>
            </w:r>
          </w:p>
          <w:p w14:paraId="3F2D116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2.5必要的法律依据；</w:t>
            </w:r>
          </w:p>
          <w:p w14:paraId="4FF7F02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2.6提出质疑的日期。</w:t>
            </w:r>
          </w:p>
          <w:p w14:paraId="6697A74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为自然人的，质疑函应当由本人签字；</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为法人或者其他组织的，质疑函应当由法定代表人、主要负责人，或者其授权代表签字或者盖章，并加盖公章。</w:t>
            </w:r>
          </w:p>
          <w:p w14:paraId="59B0957E">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委托代理人递交质疑函的，应提供法定代表人授权委托书和代理人身份证复印件。授权委托书应当载明代理人的姓名、授权事项、具体权限、期限和相关事项。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为自然人的，授权委托书应当由本人签字；</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为法人或者其他组织的，授权委托书应当由法定代表人、主要负责人签字或者盖章，并加盖公章。</w:t>
            </w:r>
          </w:p>
          <w:p w14:paraId="296FB190">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3、受理部门：</w:t>
            </w:r>
            <w:r>
              <w:rPr>
                <w:rFonts w:hint="eastAsia" w:ascii="宋体" w:hAnsi="宋体" w:cs="宋体"/>
                <w:color w:val="auto"/>
                <w:sz w:val="24"/>
                <w:szCs w:val="24"/>
                <w:highlight w:val="none"/>
                <w:lang w:eastAsia="zh-CN"/>
              </w:rPr>
              <w:t>四川铭信工程招标咨询有限公司</w:t>
            </w:r>
            <w:r>
              <w:rPr>
                <w:rFonts w:hint="eastAsia" w:ascii="宋体" w:hAnsi="宋体" w:eastAsia="宋体" w:cs="宋体"/>
                <w:color w:val="auto"/>
                <w:sz w:val="24"/>
                <w:szCs w:val="24"/>
                <w:highlight w:val="none"/>
              </w:rPr>
              <w:t>项目部。</w:t>
            </w:r>
          </w:p>
          <w:p w14:paraId="3650833C">
            <w:pPr>
              <w:shd w:val="clear"/>
              <w:tabs>
                <w:tab w:val="left" w:pos="7665"/>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联 系 人：</w:t>
            </w:r>
            <w:r>
              <w:rPr>
                <w:rFonts w:hint="eastAsia" w:ascii="宋体" w:hAnsi="宋体" w:cs="宋体"/>
                <w:color w:val="auto"/>
                <w:sz w:val="24"/>
                <w:szCs w:val="24"/>
                <w:highlight w:val="none"/>
                <w:lang w:val="en-US" w:eastAsia="zh-CN"/>
              </w:rPr>
              <w:t>林老师</w:t>
            </w:r>
            <w:r>
              <w:rPr>
                <w:rFonts w:hint="eastAsia" w:ascii="宋体" w:hAnsi="宋体" w:eastAsia="宋体" w:cs="宋体"/>
                <w:color w:val="auto"/>
                <w:sz w:val="24"/>
                <w:szCs w:val="24"/>
                <w:highlight w:val="none"/>
                <w:lang w:eastAsia="zh-CN"/>
              </w:rPr>
              <w:t xml:space="preserve">  </w:t>
            </w:r>
          </w:p>
          <w:p w14:paraId="2FE3B86C">
            <w:pPr>
              <w:shd w:val="clear"/>
              <w:tabs>
                <w:tab w:val="left" w:pos="7665"/>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szCs w:val="24"/>
                <w:highlight w:val="none"/>
                <w:lang w:eastAsia="zh-CN"/>
              </w:rPr>
              <w:t>18628331682</w:t>
            </w:r>
          </w:p>
          <w:p w14:paraId="3B001B70">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6、地址：</w:t>
            </w:r>
            <w:r>
              <w:rPr>
                <w:rFonts w:ascii="宋体" w:hAnsi="宋体" w:cs="宋体"/>
                <w:color w:val="auto"/>
                <w:sz w:val="24"/>
                <w:szCs w:val="28"/>
                <w:highlight w:val="none"/>
              </w:rPr>
              <w:t>成都高新区高朋大道21号海特集团综合楼3楼</w:t>
            </w:r>
            <w:r>
              <w:rPr>
                <w:rFonts w:hint="eastAsia" w:ascii="宋体" w:hAnsi="宋体" w:eastAsia="宋体" w:cs="宋体"/>
                <w:color w:val="auto"/>
                <w:sz w:val="24"/>
                <w:szCs w:val="24"/>
                <w:highlight w:val="none"/>
              </w:rPr>
              <w:t>。</w:t>
            </w:r>
          </w:p>
          <w:p w14:paraId="74AC8768">
            <w:pPr>
              <w:shd w:val="clear"/>
              <w:tabs>
                <w:tab w:val="left" w:pos="766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注：根据《中华人民共和国政府采购法》的规定，</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质疑不得超出</w:t>
            </w:r>
            <w:r>
              <w:rPr>
                <w:rFonts w:hint="eastAsia" w:ascii="宋体" w:hAnsi="宋体" w:cs="宋体"/>
                <w:color w:val="auto"/>
                <w:sz w:val="24"/>
                <w:szCs w:val="24"/>
                <w:highlight w:val="none"/>
                <w:lang w:val="zh-CN"/>
              </w:rPr>
              <w:t>招标文件</w:t>
            </w:r>
            <w:r>
              <w:rPr>
                <w:rFonts w:hint="eastAsia" w:ascii="宋体" w:hAnsi="宋体" w:eastAsia="宋体" w:cs="宋体"/>
                <w:color w:val="auto"/>
                <w:sz w:val="24"/>
                <w:szCs w:val="24"/>
                <w:highlight w:val="none"/>
                <w:lang w:val="zh-CN"/>
              </w:rPr>
              <w:t>、采购过程、采购结果的范围。</w:t>
            </w:r>
          </w:p>
        </w:tc>
      </w:tr>
      <w:tr w14:paraId="7496D27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30" w:hRule="atLeast"/>
          <w:jc w:val="center"/>
        </w:trPr>
        <w:tc>
          <w:tcPr>
            <w:tcW w:w="601" w:type="dxa"/>
            <w:noWrap w:val="0"/>
            <w:vAlign w:val="center"/>
          </w:tcPr>
          <w:p w14:paraId="5BC3A5E6">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967" w:type="dxa"/>
            <w:noWrap w:val="0"/>
            <w:vAlign w:val="center"/>
          </w:tcPr>
          <w:p w14:paraId="07F8DE1B">
            <w:pPr>
              <w:shd w:val="clear"/>
              <w:tabs>
                <w:tab w:val="left" w:pos="7665"/>
              </w:tabs>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投诉</w:t>
            </w:r>
          </w:p>
        </w:tc>
        <w:tc>
          <w:tcPr>
            <w:tcW w:w="7873" w:type="dxa"/>
            <w:noWrap w:val="0"/>
            <w:vAlign w:val="center"/>
          </w:tcPr>
          <w:p w14:paraId="412655CC">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投诉受理单位：中华人民共和国财政部</w:t>
            </w:r>
          </w:p>
          <w:p w14:paraId="75E1A8B9">
            <w:pPr>
              <w:shd w:val="clear"/>
              <w:tabs>
                <w:tab w:val="left" w:pos="7665"/>
              </w:tabs>
              <w:spacing w:line="360" w:lineRule="auto"/>
              <w:ind w:firstLine="480" w:firstLineChars="200"/>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联系电话：010-68513070、010-68519967</w:t>
            </w:r>
          </w:p>
          <w:p w14:paraId="7944B44A">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TW" w:eastAsia="zh-TW"/>
              </w:rPr>
              <w:t>地址：北京市西城区月坛南街26号1号楼4014室</w:t>
            </w:r>
          </w:p>
        </w:tc>
      </w:tr>
      <w:tr w14:paraId="36E632C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83" w:hRule="atLeast"/>
          <w:jc w:val="center"/>
        </w:trPr>
        <w:tc>
          <w:tcPr>
            <w:tcW w:w="601" w:type="dxa"/>
            <w:noWrap w:val="0"/>
            <w:vAlign w:val="center"/>
          </w:tcPr>
          <w:p w14:paraId="71D1B82A">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1967" w:type="dxa"/>
            <w:noWrap w:val="0"/>
            <w:vAlign w:val="center"/>
          </w:tcPr>
          <w:p w14:paraId="530B117C">
            <w:pPr>
              <w:shd w:val="clear"/>
              <w:tabs>
                <w:tab w:val="left" w:pos="76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信用信息查询</w:t>
            </w:r>
          </w:p>
        </w:tc>
        <w:tc>
          <w:tcPr>
            <w:tcW w:w="7873" w:type="dxa"/>
            <w:noWrap w:val="0"/>
            <w:vAlign w:val="center"/>
          </w:tcPr>
          <w:p w14:paraId="7E6137DA">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投标人信用信息查询渠道：</w:t>
            </w:r>
            <w:r>
              <w:rPr>
                <w:rFonts w:hint="eastAsia" w:ascii="宋体" w:hAnsi="宋体" w:eastAsia="宋体" w:cs="宋体"/>
                <w:color w:val="auto"/>
                <w:sz w:val="24"/>
                <w:szCs w:val="24"/>
                <w:highlight w:val="none"/>
              </w:rPr>
              <w:t>“信用中国”网站(www.creditchina.gov.cn)、“中国政府采购网”网站(www.ccgp.gov.cn)。</w:t>
            </w:r>
          </w:p>
          <w:p w14:paraId="406D82F9">
            <w:pPr>
              <w:shd w:val="clear"/>
              <w:tabs>
                <w:tab w:val="left" w:pos="7665"/>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截止时点：</w:t>
            </w:r>
            <w:r>
              <w:rPr>
                <w:rFonts w:hint="eastAsia" w:ascii="宋体" w:hAnsi="宋体" w:eastAsia="宋体" w:cs="宋体"/>
                <w:color w:val="auto"/>
                <w:sz w:val="24"/>
                <w:szCs w:val="24"/>
                <w:highlight w:val="none"/>
              </w:rPr>
              <w:t>截止至本项目投标截止时间。</w:t>
            </w:r>
          </w:p>
          <w:p w14:paraId="4C7E9E5F">
            <w:pPr>
              <w:shd w:val="clear"/>
              <w:tabs>
                <w:tab w:val="left" w:pos="7665"/>
              </w:tabs>
              <w:spacing w:line="360" w:lineRule="auto"/>
              <w:ind w:firstLine="480" w:firstLineChars="200"/>
              <w:rPr>
                <w:rFonts w:hint="eastAsia" w:ascii="宋体" w:hAnsi="宋体" w:eastAsia="宋体" w:cs="宋体"/>
                <w:color w:val="auto"/>
                <w:sz w:val="24"/>
                <w:szCs w:val="24"/>
                <w:highlight w:val="none"/>
                <w:lang w:val="zh-TW" w:eastAsia="zh-TW"/>
              </w:rPr>
            </w:pPr>
            <w:r>
              <w:rPr>
                <w:rFonts w:hint="eastAsia" w:ascii="宋体" w:hAnsi="宋体" w:eastAsia="宋体" w:cs="宋体"/>
                <w:color w:val="auto"/>
                <w:kern w:val="0"/>
                <w:sz w:val="24"/>
                <w:szCs w:val="24"/>
                <w:highlight w:val="none"/>
              </w:rPr>
              <w:t>使用规则：列入以上任一网站</w:t>
            </w:r>
            <w:r>
              <w:rPr>
                <w:rFonts w:hint="eastAsia" w:ascii="宋体" w:hAnsi="宋体" w:eastAsia="宋体" w:cs="宋体"/>
                <w:color w:val="auto"/>
                <w:sz w:val="24"/>
                <w:szCs w:val="24"/>
                <w:highlight w:val="none"/>
              </w:rPr>
              <w:t>的失信被执行人名单或重大税收违法案件当事人名单或政府采购严重违法失信行为记录名单</w:t>
            </w:r>
            <w:r>
              <w:rPr>
                <w:rFonts w:hint="eastAsia" w:ascii="宋体" w:hAnsi="宋体" w:eastAsia="宋体" w:cs="宋体"/>
                <w:color w:val="auto"/>
                <w:kern w:val="0"/>
                <w:sz w:val="24"/>
                <w:szCs w:val="24"/>
                <w:highlight w:val="none"/>
              </w:rPr>
              <w:t>的投标人为无效投标人。</w:t>
            </w:r>
          </w:p>
        </w:tc>
      </w:tr>
      <w:tr w14:paraId="1D78F8C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601" w:type="dxa"/>
            <w:noWrap w:val="0"/>
            <w:vAlign w:val="center"/>
          </w:tcPr>
          <w:p w14:paraId="0AC39E22">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3</w:t>
            </w:r>
          </w:p>
        </w:tc>
        <w:tc>
          <w:tcPr>
            <w:tcW w:w="1967" w:type="dxa"/>
            <w:noWrap w:val="0"/>
            <w:vAlign w:val="center"/>
          </w:tcPr>
          <w:p w14:paraId="1E7B4DED">
            <w:pPr>
              <w:shd w:val="clea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强制认证产品/政府优先采购得节能、环保产品（实质性要求）</w:t>
            </w:r>
          </w:p>
        </w:tc>
        <w:tc>
          <w:tcPr>
            <w:tcW w:w="7873" w:type="dxa"/>
            <w:noWrap w:val="0"/>
            <w:vAlign w:val="center"/>
          </w:tcPr>
          <w:p w14:paraId="169A5D6A">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zh-CN"/>
              </w:rPr>
              <w:t>、节能、环保产品政府采购政策：</w:t>
            </w:r>
          </w:p>
          <w:p w14:paraId="6415CF73">
            <w:pPr>
              <w:shd w:val="clear"/>
              <w:tabs>
                <w:tab w:val="left" w:pos="7665"/>
              </w:tabs>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根据《财政部 发展改革委 生态环境部 市场监管总局关于调整优化节能产品、环境标志产品政府采购执行机制的通知》（财库〔2019〕9号）相关要求，依据品目清单和认证证书实施优先采购和强制采购。 本项目采购的产品属于品目清单范围的，依据国家确定的认证机构出具的、处于有效期之内的节能产品、环境标志产品认证证书，对获得证书的产品实施优先采购或强制采购。 </w:t>
            </w:r>
          </w:p>
          <w:p w14:paraId="1FD6A007">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本项目采购的产品属于品目清单强制采购范围的，供应商应按上述要求提供产品认证证书复印件并加盖投标供应商单位公章（鲜章），否则投标无效。（实质性要求）</w:t>
            </w:r>
          </w:p>
          <w:p w14:paraId="4627E044">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本项目采购的产品中，属于品目清单优先采购范围的，按照本项目 </w:t>
            </w:r>
          </w:p>
          <w:p w14:paraId="30E2E742">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综合评分法的规定进行加分。 </w:t>
            </w:r>
          </w:p>
          <w:p w14:paraId="1BF25302">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本项目采购标的属于品目清单强制采购范围的产品：无。 </w:t>
            </w:r>
          </w:p>
          <w:p w14:paraId="0173F503">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本项目采购标的属于品目清单优先采购范围的节能产品：无。 </w:t>
            </w:r>
          </w:p>
          <w:p w14:paraId="1899681B">
            <w:pPr>
              <w:shd w:val="clear"/>
              <w:tabs>
                <w:tab w:val="left" w:pos="7665"/>
              </w:tabs>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本项目采购标的属于品目清单优先采购范围的环境标志产品：无。</w:t>
            </w:r>
          </w:p>
        </w:tc>
      </w:tr>
      <w:tr w14:paraId="1EF4ED0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783" w:hRule="atLeast"/>
          <w:jc w:val="center"/>
        </w:trPr>
        <w:tc>
          <w:tcPr>
            <w:tcW w:w="601" w:type="dxa"/>
            <w:noWrap w:val="0"/>
            <w:vAlign w:val="center"/>
          </w:tcPr>
          <w:p w14:paraId="2DCB80AD">
            <w:pPr>
              <w:pStyle w:val="464"/>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1967" w:type="dxa"/>
            <w:noWrap w:val="0"/>
            <w:vAlign w:val="center"/>
          </w:tcPr>
          <w:p w14:paraId="5F7FD8C3">
            <w:pPr>
              <w:shd w:val="clear"/>
              <w:spacing w:line="360" w:lineRule="auto"/>
              <w:jc w:val="center"/>
              <w:rPr>
                <w:rFonts w:hint="eastAsia" w:ascii="宋体" w:hAnsi="宋体" w:eastAsia="宋体" w:cs="宋体"/>
                <w:color w:val="auto"/>
                <w:kern w:val="0"/>
                <w:sz w:val="24"/>
                <w:szCs w:val="24"/>
                <w:highlight w:val="none"/>
                <w:lang w:eastAsia="zh-Hans"/>
              </w:rPr>
            </w:pPr>
            <w:r>
              <w:rPr>
                <w:rFonts w:hint="eastAsia" w:ascii="宋体" w:hAnsi="宋体" w:eastAsia="宋体" w:cs="宋体"/>
                <w:color w:val="auto"/>
                <w:kern w:val="0"/>
                <w:sz w:val="24"/>
                <w:szCs w:val="24"/>
                <w:highlight w:val="none"/>
              </w:rPr>
              <w:t>其他重要事项</w:t>
            </w:r>
          </w:p>
        </w:tc>
        <w:tc>
          <w:tcPr>
            <w:tcW w:w="7873" w:type="dxa"/>
            <w:noWrap w:val="0"/>
            <w:vAlign w:val="center"/>
          </w:tcPr>
          <w:p w14:paraId="04AC859C">
            <w:pPr>
              <w:shd w:val="clear"/>
              <w:spacing w:line="360" w:lineRule="auto"/>
              <w:ind w:firstLine="482" w:firstLineChars="200"/>
              <w:rPr>
                <w:rFonts w:hint="eastAsia" w:ascii="宋体" w:hAnsi="宋体" w:eastAsia="宋体" w:cs="宋体"/>
                <w:color w:val="auto"/>
                <w:kern w:val="0"/>
                <w:sz w:val="24"/>
                <w:szCs w:val="24"/>
                <w:highlight w:val="none"/>
                <w:lang w:val="zh-CN"/>
              </w:rPr>
            </w:pPr>
            <w:r>
              <w:rPr>
                <w:rFonts w:hint="eastAsia" w:ascii="宋体" w:hAnsi="宋体" w:eastAsia="宋体" w:cs="宋体"/>
                <w:b/>
                <w:bCs/>
                <w:color w:val="auto"/>
                <w:kern w:val="0"/>
                <w:sz w:val="24"/>
                <w:szCs w:val="24"/>
                <w:highlight w:val="none"/>
              </w:rPr>
              <w:t>复印、扫描、证书类要求：</w:t>
            </w:r>
            <w:r>
              <w:rPr>
                <w:rFonts w:hint="eastAsia" w:ascii="宋体" w:hAnsi="宋体" w:eastAsia="宋体" w:cs="宋体"/>
                <w:color w:val="auto"/>
                <w:kern w:val="0"/>
                <w:sz w:val="24"/>
                <w:szCs w:val="24"/>
                <w:highlight w:val="none"/>
              </w:rPr>
              <w:t>按要求提供相关证书的标项，投标人须在投标文件电子档中提供扫描件，扫描件分辨率不得低于300dpi。投标文件中的打印稿必须是清晰、可辨认的，打印像素不低于2479×3508；投标人递交投标文件中所涉及到的所有外文资料，均须提供中文翻译文件</w:t>
            </w:r>
            <w:r>
              <w:rPr>
                <w:rFonts w:hint="eastAsia" w:ascii="宋体" w:hAnsi="宋体" w:eastAsia="宋体" w:cs="宋体"/>
                <w:color w:val="FF0000"/>
                <w:kern w:val="0"/>
                <w:sz w:val="24"/>
                <w:szCs w:val="24"/>
                <w:highlight w:val="none"/>
                <w:lang w:val="en-US" w:eastAsia="zh-CN"/>
              </w:rPr>
              <w:t>（投标人的法定代表人为外籍人士的，法定代表人的签字和护照除外）</w:t>
            </w:r>
            <w:r>
              <w:rPr>
                <w:rFonts w:hint="eastAsia" w:ascii="宋体" w:hAnsi="宋体" w:eastAsia="宋体" w:cs="宋体"/>
                <w:color w:val="auto"/>
                <w:kern w:val="0"/>
                <w:sz w:val="24"/>
                <w:szCs w:val="24"/>
                <w:highlight w:val="none"/>
              </w:rPr>
              <w:t>。若因证书资料无法识别、资料未翻译等，评标委员会有权认定为无效材料。</w:t>
            </w:r>
          </w:p>
        </w:tc>
      </w:tr>
      <w:tr w14:paraId="29BCB0E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4707" w:hRule="exact"/>
          <w:jc w:val="center"/>
        </w:trPr>
        <w:tc>
          <w:tcPr>
            <w:tcW w:w="601" w:type="dxa"/>
            <w:noWrap w:val="0"/>
            <w:vAlign w:val="center"/>
          </w:tcPr>
          <w:p w14:paraId="2D0C675F">
            <w:pPr>
              <w:pStyle w:val="464"/>
              <w:shd w:val="clear"/>
              <w:spacing w:line="360" w:lineRule="auto"/>
              <w:ind w:right="44" w:rightChars="21"/>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967" w:type="dxa"/>
            <w:noWrap w:val="0"/>
            <w:vAlign w:val="center"/>
          </w:tcPr>
          <w:p w14:paraId="3A95FE59">
            <w:pPr>
              <w:shd w:val="clear"/>
              <w:spacing w:line="360" w:lineRule="auto"/>
              <w:ind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国家规定的强制认证</w:t>
            </w:r>
          </w:p>
        </w:tc>
        <w:tc>
          <w:tcPr>
            <w:tcW w:w="7873" w:type="dxa"/>
            <w:noWrap w:val="0"/>
            <w:vAlign w:val="center"/>
          </w:tcPr>
          <w:p w14:paraId="450ED676">
            <w:pPr>
              <w:shd w:val="clear"/>
              <w:spacing w:line="360" w:lineRule="auto"/>
              <w:ind w:right="105" w:rightChars="50" w:firstLine="480" w:firstLineChars="200"/>
              <w:jc w:val="left"/>
              <w:rPr>
                <w:rFonts w:hint="eastAsia" w:ascii="宋体" w:hAnsi="宋体" w:eastAsia="宋体" w:cs="宋体"/>
                <w:color w:val="auto"/>
                <w:sz w:val="24"/>
                <w:szCs w:val="24"/>
                <w:highlight w:val="none"/>
              </w:rPr>
            </w:pPr>
            <w:bookmarkStart w:id="46" w:name="OLE_LINK10"/>
            <w:r>
              <w:rPr>
                <w:rFonts w:hint="eastAsia" w:ascii="宋体" w:hAnsi="宋体" w:eastAsia="宋体" w:cs="宋体"/>
                <w:color w:val="auto"/>
                <w:sz w:val="24"/>
                <w:szCs w:val="24"/>
                <w:highlight w:val="none"/>
              </w:rPr>
              <w:t>一、供应商所响应的产品若列入《网络关键设备和网络安全专用产品目录》的网络安全专用产品，应当按照《信息安全技术网络安全专用产品安全技术要求》等相关国家标准的强制性要求，供应商承诺在成交后、签订合同前提供具备资格的机构安全认证合格或者安全检测符合要求的相关证明或证书复印件，具体产品类别详见《网络关键设备和网络安全专用产品目录》(网信办(2023)2号)。(供应商须提供承诺函，格式自拟。)</w:t>
            </w:r>
          </w:p>
          <w:p w14:paraId="3547949C">
            <w:pPr>
              <w:shd w:val="clea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二、供应商所响应的产品若涉及CCC、进网许可证、无线电发射设备型号核准证、网络关键设备和网络安全专用产品等前置许可或认证的，供应商承诺在成交后、签订合同前提供对应产品证书</w:t>
            </w:r>
            <w:bookmarkEnd w:id="46"/>
            <w:r>
              <w:rPr>
                <w:rFonts w:hint="eastAsia" w:ascii="宋体" w:hAnsi="宋体" w:eastAsia="宋体" w:cs="宋体"/>
                <w:color w:val="auto"/>
                <w:sz w:val="24"/>
                <w:szCs w:val="24"/>
                <w:highlight w:val="none"/>
              </w:rPr>
              <w:t>。(供应商须提供承诺函，格式自拟。)</w:t>
            </w:r>
          </w:p>
        </w:tc>
      </w:tr>
      <w:tr w14:paraId="0086627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414" w:hRule="exact"/>
          <w:jc w:val="center"/>
        </w:trPr>
        <w:tc>
          <w:tcPr>
            <w:tcW w:w="601" w:type="dxa"/>
            <w:noWrap w:val="0"/>
            <w:vAlign w:val="center"/>
          </w:tcPr>
          <w:p w14:paraId="17D8975F">
            <w:pPr>
              <w:pStyle w:val="464"/>
              <w:shd w:val="clear"/>
              <w:spacing w:line="360" w:lineRule="auto"/>
              <w:ind w:right="44" w:rightChars="21"/>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p>
        </w:tc>
        <w:tc>
          <w:tcPr>
            <w:tcW w:w="1967" w:type="dxa"/>
            <w:noWrap w:val="0"/>
            <w:vAlign w:val="center"/>
          </w:tcPr>
          <w:p w14:paraId="7E616BE1">
            <w:pPr>
              <w:shd w:val="clear"/>
              <w:spacing w:line="360" w:lineRule="auto"/>
              <w:ind w:right="105" w:right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电子文档</w:t>
            </w:r>
          </w:p>
        </w:tc>
        <w:tc>
          <w:tcPr>
            <w:tcW w:w="7873" w:type="dxa"/>
            <w:noWrap w:val="0"/>
            <w:vAlign w:val="center"/>
          </w:tcPr>
          <w:p w14:paraId="08E29D28">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应当是已签字盖章、完整的最终定稿投标文件正本扫描件。</w:t>
            </w:r>
          </w:p>
          <w:p w14:paraId="071B6E5C">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2、电子文档应当是清晰、可辨认的图片或PDF，建议PDF。</w:t>
            </w:r>
          </w:p>
          <w:p w14:paraId="3B032C9C">
            <w:pPr>
              <w:shd w:val="clea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3、可采用U盘保存。</w:t>
            </w:r>
          </w:p>
        </w:tc>
      </w:tr>
      <w:tr w14:paraId="3F89C96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3653" w:hRule="exact"/>
          <w:jc w:val="center"/>
        </w:trPr>
        <w:tc>
          <w:tcPr>
            <w:tcW w:w="601" w:type="dxa"/>
            <w:noWrap w:val="0"/>
            <w:vAlign w:val="center"/>
          </w:tcPr>
          <w:p w14:paraId="5570A4A3">
            <w:pPr>
              <w:pStyle w:val="464"/>
              <w:shd w:val="clear"/>
              <w:spacing w:line="360" w:lineRule="auto"/>
              <w:ind w:right="44" w:rightChars="21"/>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967" w:type="dxa"/>
            <w:noWrap w:val="0"/>
            <w:vAlign w:val="center"/>
          </w:tcPr>
          <w:p w14:paraId="74561FAE">
            <w:pPr>
              <w:pStyle w:val="464"/>
              <w:shd w:val="clea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采购</w:t>
            </w:r>
            <w:r>
              <w:rPr>
                <w:rFonts w:hint="eastAsia" w:ascii="宋体" w:hAnsi="宋体" w:eastAsia="宋体" w:cs="宋体"/>
                <w:color w:val="auto"/>
                <w:highlight w:val="none"/>
                <w:lang w:val="zh-CN"/>
              </w:rPr>
              <w:t>代理服务费</w:t>
            </w:r>
          </w:p>
        </w:tc>
        <w:tc>
          <w:tcPr>
            <w:tcW w:w="7873" w:type="dxa"/>
            <w:noWrap w:val="0"/>
            <w:vAlign w:val="center"/>
          </w:tcPr>
          <w:p w14:paraId="1E596D73">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参考国家计委印发的《招标代理服务收费管理暂行办法》（计价格[2002]1980号）之附件《招标代理服务收费标准》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收取招标代理服务费。</w:t>
            </w:r>
          </w:p>
          <w:p w14:paraId="7B909494">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户名</w:t>
            </w:r>
            <w:r>
              <w:rPr>
                <w:rFonts w:hint="eastAsia" w:ascii="宋体" w:hAnsi="宋体" w:eastAsia="宋体" w:cs="宋体"/>
                <w:color w:val="auto"/>
                <w:sz w:val="24"/>
                <w:szCs w:val="24"/>
                <w:highlight w:val="none"/>
                <w:lang w:val="zh-TW" w:eastAsia="zh-TW"/>
              </w:rPr>
              <w:t>：四川铭信工程招标咨询有限公司</w:t>
            </w:r>
          </w:p>
          <w:p w14:paraId="2CD8A308">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税号：9151 0100 7774 8269 46</w:t>
            </w:r>
          </w:p>
          <w:p w14:paraId="1997A137">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单位地址：成都市高新区高朋大道21号</w:t>
            </w:r>
          </w:p>
          <w:p w14:paraId="5B198756">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电话：</w:t>
            </w:r>
            <w:r>
              <w:rPr>
                <w:rFonts w:hint="eastAsia" w:ascii="宋体" w:hAnsi="宋体" w:cs="宋体"/>
                <w:color w:val="auto"/>
                <w:sz w:val="24"/>
                <w:szCs w:val="24"/>
                <w:highlight w:val="none"/>
                <w:lang w:val="zh-TW" w:eastAsia="zh-CN"/>
              </w:rPr>
              <w:t>18628331682</w:t>
            </w:r>
          </w:p>
          <w:p w14:paraId="4CC91D7A">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开户银行：成都银行玉林南路支行</w:t>
            </w:r>
          </w:p>
          <w:p w14:paraId="4A85E5BE">
            <w:pPr>
              <w:numPr>
                <w:ilvl w:val="0"/>
                <w:numId w:val="0"/>
              </w:numPr>
              <w:shd w:val="clea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银行账户：2102 2003 2154 9000 0015</w:t>
            </w:r>
          </w:p>
        </w:tc>
      </w:tr>
      <w:tr w14:paraId="230626B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1108" w:hRule="exact"/>
          <w:jc w:val="center"/>
        </w:trPr>
        <w:tc>
          <w:tcPr>
            <w:tcW w:w="601" w:type="dxa"/>
            <w:noWrap w:val="0"/>
            <w:vAlign w:val="center"/>
          </w:tcPr>
          <w:p w14:paraId="56D9C742">
            <w:pPr>
              <w:pStyle w:val="464"/>
              <w:shd w:val="clear"/>
              <w:spacing w:line="360" w:lineRule="auto"/>
              <w:ind w:right="65"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1967" w:type="dxa"/>
            <w:noWrap w:val="0"/>
            <w:vAlign w:val="center"/>
          </w:tcPr>
          <w:p w14:paraId="2E5AE386">
            <w:pPr>
              <w:shd w:val="clear"/>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本项目中小企业划分标准所属行业</w:t>
            </w:r>
          </w:p>
        </w:tc>
        <w:tc>
          <w:tcPr>
            <w:tcW w:w="7873" w:type="dxa"/>
            <w:noWrap w:val="0"/>
            <w:vAlign w:val="center"/>
          </w:tcPr>
          <w:p w14:paraId="08809FE6">
            <w:pPr>
              <w:pStyle w:val="97"/>
              <w:numPr>
                <w:ilvl w:val="4"/>
                <w:numId w:val="0"/>
              </w:numPr>
              <w:shd w:val="clear"/>
              <w:spacing w:before="0" w:after="0" w:line="360" w:lineRule="auto"/>
              <w:ind w:left="0" w:leftChars="0" w:firstLine="480" w:firstLineChars="200"/>
              <w:jc w:val="both"/>
              <w:rPr>
                <w:rFonts w:hint="eastAsia" w:ascii="宋体" w:hAnsi="宋体" w:eastAsia="宋体" w:cs="宋体"/>
                <w:color w:val="auto"/>
                <w:highlight w:val="none"/>
                <w:lang w:val="zh-CN"/>
              </w:rPr>
            </w:pPr>
            <w:r>
              <w:rPr>
                <w:rFonts w:hint="eastAsia" w:ascii="宋体" w:hAnsi="宋体" w:eastAsia="宋体" w:cs="宋体"/>
                <w:b w:val="0"/>
                <w:color w:val="auto"/>
                <w:highlight w:val="none"/>
                <w:lang w:val="zh-CN"/>
              </w:rPr>
              <w:t>工业</w:t>
            </w:r>
          </w:p>
        </w:tc>
      </w:tr>
      <w:bookmarkEnd w:id="27"/>
      <w:bookmarkEnd w:id="28"/>
      <w:bookmarkEnd w:id="29"/>
      <w:bookmarkEnd w:id="30"/>
    </w:tbl>
    <w:p w14:paraId="0E7D7463">
      <w:pPr>
        <w:pStyle w:val="3"/>
        <w:shd w:val="clear"/>
        <w:spacing w:before="0" w:after="0" w:line="360" w:lineRule="auto"/>
        <w:jc w:val="center"/>
        <w:rPr>
          <w:rFonts w:hint="eastAsia" w:ascii="宋体" w:hAnsi="宋体" w:eastAsia="宋体" w:cs="宋体"/>
          <w:color w:val="auto"/>
          <w:highlight w:val="none"/>
        </w:rPr>
      </w:pPr>
      <w:bookmarkStart w:id="47" w:name="_Toc183682341"/>
      <w:bookmarkStart w:id="48" w:name="_Toc426657531"/>
      <w:bookmarkStart w:id="49" w:name="_Toc183582204"/>
      <w:bookmarkStart w:id="50" w:name="_Toc89075873"/>
      <w:bookmarkStart w:id="51" w:name="_Toc217446033"/>
      <w:bookmarkStart w:id="52" w:name="_Toc30058"/>
      <w:bookmarkStart w:id="53" w:name="_Toc9517"/>
      <w:bookmarkStart w:id="54" w:name="_Toc77400778"/>
    </w:p>
    <w:p w14:paraId="49D270AD">
      <w:pPr>
        <w:pStyle w:val="3"/>
        <w:shd w:val="clear"/>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二、总  则</w:t>
      </w:r>
      <w:bookmarkEnd w:id="47"/>
      <w:bookmarkEnd w:id="48"/>
      <w:bookmarkEnd w:id="49"/>
      <w:bookmarkEnd w:id="50"/>
      <w:bookmarkEnd w:id="51"/>
      <w:bookmarkEnd w:id="52"/>
      <w:bookmarkEnd w:id="53"/>
      <w:bookmarkEnd w:id="54"/>
    </w:p>
    <w:p w14:paraId="2FB97EA5">
      <w:pPr>
        <w:pStyle w:val="4"/>
        <w:shd w:val="clear"/>
        <w:spacing w:before="0" w:after="0" w:line="360" w:lineRule="auto"/>
        <w:ind w:firstLine="482" w:firstLineChars="200"/>
        <w:rPr>
          <w:rFonts w:hint="eastAsia" w:ascii="宋体" w:hAnsi="宋体" w:eastAsia="宋体" w:cs="宋体"/>
          <w:color w:val="auto"/>
          <w:sz w:val="24"/>
          <w:highlight w:val="none"/>
        </w:rPr>
      </w:pPr>
      <w:bookmarkStart w:id="55" w:name="_Toc183582205"/>
      <w:bookmarkStart w:id="56" w:name="_Toc183682342"/>
      <w:bookmarkStart w:id="57" w:name="_Toc217446034"/>
      <w:bookmarkStart w:id="58" w:name="_Toc426648200"/>
      <w:bookmarkStart w:id="59" w:name="_Toc426657532"/>
      <w:r>
        <w:rPr>
          <w:rFonts w:hint="eastAsia" w:ascii="宋体" w:hAnsi="宋体" w:eastAsia="宋体" w:cs="宋体"/>
          <w:color w:val="auto"/>
          <w:sz w:val="24"/>
          <w:highlight w:val="none"/>
        </w:rPr>
        <w:t>1</w:t>
      </w:r>
      <w:bookmarkEnd w:id="55"/>
      <w:bookmarkEnd w:id="56"/>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适用范围</w:t>
      </w:r>
      <w:bookmarkEnd w:id="57"/>
      <w:bookmarkEnd w:id="58"/>
      <w:bookmarkEnd w:id="59"/>
    </w:p>
    <w:p w14:paraId="38617B99">
      <w:pPr>
        <w:shd w:val="clear"/>
        <w:tabs>
          <w:tab w:val="left" w:pos="7665"/>
        </w:tabs>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本招标文件仅适用于本次公开招标采购项目。</w:t>
      </w:r>
    </w:p>
    <w:p w14:paraId="1E4B1D89">
      <w:pPr>
        <w:pStyle w:val="4"/>
        <w:shd w:val="clear"/>
        <w:spacing w:before="0" w:after="0" w:line="360" w:lineRule="auto"/>
        <w:ind w:firstLine="482" w:firstLineChars="200"/>
        <w:rPr>
          <w:rFonts w:hint="eastAsia" w:ascii="宋体" w:hAnsi="宋体" w:eastAsia="宋体" w:cs="宋体"/>
          <w:color w:val="auto"/>
          <w:sz w:val="24"/>
          <w:highlight w:val="none"/>
        </w:rPr>
      </w:pPr>
      <w:bookmarkStart w:id="60" w:name="_Toc183682343"/>
      <w:bookmarkStart w:id="61" w:name="_Toc183582206"/>
      <w:bookmarkStart w:id="62" w:name="_Toc426657533"/>
      <w:bookmarkStart w:id="63" w:name="_Toc426648201"/>
      <w:bookmarkStart w:id="64" w:name="_Toc217446035"/>
      <w:r>
        <w:rPr>
          <w:rFonts w:hint="eastAsia" w:ascii="宋体" w:hAnsi="宋体" w:eastAsia="宋体" w:cs="宋体"/>
          <w:color w:val="auto"/>
          <w:sz w:val="24"/>
          <w:highlight w:val="none"/>
        </w:rPr>
        <w:t>2</w:t>
      </w:r>
      <w:bookmarkEnd w:id="60"/>
      <w:bookmarkEnd w:id="61"/>
      <w:r>
        <w:rPr>
          <w:rFonts w:hint="eastAsia" w:ascii="宋体" w:hAnsi="宋体" w:eastAsia="宋体" w:cs="宋体"/>
          <w:color w:val="auto"/>
          <w:sz w:val="24"/>
          <w:highlight w:val="none"/>
        </w:rPr>
        <w:t>．有关</w:t>
      </w:r>
      <w:r>
        <w:rPr>
          <w:rFonts w:hint="eastAsia" w:ascii="宋体" w:hAnsi="宋体" w:eastAsia="宋体" w:cs="宋体"/>
          <w:color w:val="auto"/>
          <w:sz w:val="24"/>
          <w:szCs w:val="24"/>
          <w:highlight w:val="none"/>
        </w:rPr>
        <w:t>定义</w:t>
      </w:r>
      <w:bookmarkEnd w:id="62"/>
      <w:bookmarkEnd w:id="63"/>
      <w:bookmarkEnd w:id="64"/>
    </w:p>
    <w:p w14:paraId="294D28B7">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“采购人”系指依法进行政府采购的国家机关、事业单位、团体组织。本次招标的采购人是</w:t>
      </w:r>
      <w:r>
        <w:rPr>
          <w:rFonts w:hint="eastAsia" w:ascii="宋体" w:hAnsi="宋体" w:cs="宋体"/>
          <w:color w:val="auto"/>
          <w:sz w:val="24"/>
          <w:szCs w:val="24"/>
          <w:highlight w:val="none"/>
          <w:u w:val="single"/>
          <w:lang w:eastAsia="zh-CN"/>
        </w:rPr>
        <w:t xml:space="preserve">四川省消防救援总队训练与战勤保障支队 </w:t>
      </w:r>
      <w:r>
        <w:rPr>
          <w:rFonts w:hint="eastAsia" w:ascii="宋体" w:hAnsi="宋体" w:eastAsia="宋体" w:cs="宋体"/>
          <w:color w:val="auto"/>
          <w:sz w:val="24"/>
          <w:szCs w:val="24"/>
          <w:highlight w:val="none"/>
        </w:rPr>
        <w:t>。</w:t>
      </w:r>
    </w:p>
    <w:p w14:paraId="338D65A3">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 系指根据采购人的委托依法办理招标事宜的采购机构。本次招标的采购代理机构是</w:t>
      </w:r>
      <w:r>
        <w:rPr>
          <w:rFonts w:hint="eastAsia" w:ascii="宋体" w:hAnsi="宋体" w:cs="宋体"/>
          <w:color w:val="auto"/>
          <w:sz w:val="24"/>
          <w:szCs w:val="24"/>
          <w:highlight w:val="none"/>
          <w:u w:val="single"/>
          <w:lang w:eastAsia="zh-CN"/>
        </w:rPr>
        <w:t>四川铭信工程招标咨询有限公司</w:t>
      </w:r>
      <w:r>
        <w:rPr>
          <w:rFonts w:hint="eastAsia" w:ascii="宋体" w:hAnsi="宋体" w:eastAsia="宋体" w:cs="宋体"/>
          <w:color w:val="auto"/>
          <w:sz w:val="24"/>
          <w:szCs w:val="24"/>
          <w:highlight w:val="none"/>
        </w:rPr>
        <w:t>。</w:t>
      </w:r>
    </w:p>
    <w:p w14:paraId="6E353367">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“招标采购单位”系指“采购人”和“采购代理机构”的统称。</w:t>
      </w:r>
    </w:p>
    <w:p w14:paraId="5229E412">
      <w:pPr>
        <w:shd w:val="clear"/>
        <w:tabs>
          <w:tab w:val="left" w:pos="766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“投标人”系指购买了招标文件拟参加投标和向采购人提供货物及相应服务的投标人。</w:t>
      </w:r>
    </w:p>
    <w:p w14:paraId="2BCC2EE4">
      <w:pPr>
        <w:pStyle w:val="4"/>
        <w:shd w:val="clear"/>
        <w:spacing w:before="0" w:after="0" w:line="360" w:lineRule="auto"/>
        <w:ind w:firstLine="482" w:firstLineChars="200"/>
        <w:rPr>
          <w:rFonts w:hint="eastAsia" w:ascii="宋体" w:hAnsi="宋体" w:eastAsia="宋体" w:cs="宋体"/>
          <w:color w:val="auto"/>
          <w:sz w:val="24"/>
          <w:highlight w:val="none"/>
        </w:rPr>
      </w:pPr>
      <w:bookmarkStart w:id="65" w:name="_Toc183682344"/>
      <w:bookmarkStart w:id="66" w:name="_Toc426657534"/>
      <w:bookmarkStart w:id="67" w:name="_Toc217446036"/>
      <w:bookmarkStart w:id="68" w:name="_Toc426648202"/>
      <w:bookmarkStart w:id="69" w:name="_Toc217390843"/>
      <w:bookmarkStart w:id="70" w:name="_Toc183582207"/>
      <w:r>
        <w:rPr>
          <w:rFonts w:hint="eastAsia" w:ascii="宋体" w:hAnsi="宋体" w:eastAsia="宋体" w:cs="宋体"/>
          <w:color w:val="auto"/>
          <w:sz w:val="24"/>
          <w:highlight w:val="none"/>
        </w:rPr>
        <w:t>3．合格的投标人</w:t>
      </w:r>
      <w:bookmarkEnd w:id="65"/>
      <w:bookmarkEnd w:id="66"/>
      <w:bookmarkEnd w:id="67"/>
      <w:bookmarkEnd w:id="68"/>
      <w:bookmarkEnd w:id="69"/>
      <w:bookmarkEnd w:id="70"/>
      <w:r>
        <w:rPr>
          <w:rFonts w:hint="eastAsia" w:ascii="宋体" w:hAnsi="宋体" w:eastAsia="宋体" w:cs="宋体"/>
          <w:color w:val="auto"/>
          <w:sz w:val="24"/>
          <w:highlight w:val="none"/>
        </w:rPr>
        <w:t>（实质性要求）</w:t>
      </w:r>
    </w:p>
    <w:p w14:paraId="3112A7EA">
      <w:pPr>
        <w:shd w:val="clear"/>
        <w:tabs>
          <w:tab w:val="left" w:pos="7665"/>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合格的投标人应具备以下条件：</w:t>
      </w:r>
    </w:p>
    <w:p w14:paraId="79119FBC">
      <w:pPr>
        <w:shd w:val="clear"/>
        <w:tabs>
          <w:tab w:val="left" w:pos="7665"/>
        </w:tabs>
        <w:spacing w:line="360" w:lineRule="auto"/>
        <w:ind w:firstLine="480" w:firstLineChars="200"/>
        <w:rPr>
          <w:rFonts w:hint="eastAsia" w:ascii="宋体" w:hAnsi="宋体" w:eastAsia="宋体" w:cs="宋体"/>
          <w:color w:val="auto"/>
          <w:spacing w:val="-4"/>
          <w:sz w:val="24"/>
          <w:highlight w:val="none"/>
        </w:rPr>
      </w:pPr>
      <w:r>
        <w:rPr>
          <w:rFonts w:hint="eastAsia" w:ascii="宋体" w:hAnsi="宋体" w:eastAsia="宋体" w:cs="宋体"/>
          <w:color w:val="auto"/>
          <w:sz w:val="24"/>
          <w:highlight w:val="none"/>
        </w:rPr>
        <w:t>（1）本招标文件规定的投标人资格条件</w:t>
      </w:r>
      <w:r>
        <w:rPr>
          <w:rFonts w:hint="eastAsia" w:ascii="宋体" w:hAnsi="宋体" w:eastAsia="宋体" w:cs="宋体"/>
          <w:color w:val="auto"/>
          <w:spacing w:val="-4"/>
          <w:sz w:val="24"/>
          <w:highlight w:val="none"/>
        </w:rPr>
        <w:t>；</w:t>
      </w:r>
    </w:p>
    <w:p w14:paraId="39BF5A12">
      <w:pPr>
        <w:shd w:val="clear"/>
        <w:tabs>
          <w:tab w:val="left" w:pos="76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（2）向采购代理机构购买了招标文件并登记备案；</w:t>
      </w:r>
    </w:p>
    <w:p w14:paraId="6C64DC27">
      <w:pPr>
        <w:shd w:val="clear"/>
        <w:tabs>
          <w:tab w:val="left" w:pos="7665"/>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（3）遵守国家有关的法律、法规、规章和其他政策制度；</w:t>
      </w:r>
      <w:bookmarkStart w:id="71" w:name="_Toc183682345"/>
      <w:bookmarkStart w:id="72" w:name="_Toc183582208"/>
      <w:bookmarkStart w:id="73" w:name="_Toc426657535"/>
      <w:bookmarkStart w:id="74" w:name="_Toc426648203"/>
      <w:bookmarkStart w:id="75" w:name="_Toc217446037"/>
    </w:p>
    <w:p w14:paraId="1E8CB742">
      <w:pPr>
        <w:pStyle w:val="4"/>
        <w:shd w:val="clear"/>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4．投标费用</w:t>
      </w:r>
      <w:bookmarkEnd w:id="71"/>
      <w:bookmarkEnd w:id="72"/>
      <w:bookmarkEnd w:id="73"/>
      <w:bookmarkEnd w:id="74"/>
      <w:bookmarkEnd w:id="75"/>
      <w:r>
        <w:rPr>
          <w:rFonts w:hint="eastAsia" w:ascii="宋体" w:hAnsi="宋体" w:eastAsia="宋体" w:cs="宋体"/>
          <w:color w:val="auto"/>
          <w:sz w:val="24"/>
          <w:highlight w:val="none"/>
        </w:rPr>
        <w:t>（实质性要求）</w:t>
      </w:r>
    </w:p>
    <w:p w14:paraId="6A178490">
      <w:pPr>
        <w:shd w:val="clear"/>
        <w:tabs>
          <w:tab w:val="left" w:pos="7665"/>
        </w:tabs>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投标人参加投标的有关费用由投标人自行承担。</w:t>
      </w:r>
    </w:p>
    <w:p w14:paraId="223B5C20">
      <w:pPr>
        <w:pStyle w:val="4"/>
        <w:shd w:val="clear"/>
        <w:spacing w:before="0" w:after="0" w:line="360" w:lineRule="auto"/>
        <w:ind w:firstLine="482" w:firstLineChars="200"/>
        <w:rPr>
          <w:rFonts w:hint="eastAsia" w:ascii="宋体" w:hAnsi="宋体" w:eastAsia="宋体" w:cs="宋体"/>
          <w:color w:val="auto"/>
          <w:sz w:val="24"/>
          <w:highlight w:val="none"/>
        </w:rPr>
      </w:pPr>
      <w:bookmarkStart w:id="76" w:name="_Toc426657536"/>
      <w:bookmarkStart w:id="77" w:name="_Toc426648204"/>
      <w:r>
        <w:rPr>
          <w:rFonts w:hint="eastAsia" w:ascii="宋体" w:hAnsi="宋体" w:eastAsia="宋体" w:cs="宋体"/>
          <w:color w:val="auto"/>
          <w:sz w:val="24"/>
          <w:highlight w:val="none"/>
        </w:rPr>
        <w:t>5．充分、公平竞争保障措施</w:t>
      </w:r>
      <w:bookmarkEnd w:id="76"/>
      <w:bookmarkEnd w:id="77"/>
      <w:r>
        <w:rPr>
          <w:rFonts w:hint="eastAsia" w:ascii="宋体" w:hAnsi="宋体" w:eastAsia="宋体" w:cs="宋体"/>
          <w:color w:val="auto"/>
          <w:sz w:val="24"/>
          <w:highlight w:val="none"/>
        </w:rPr>
        <w:t>（实质性要求）</w:t>
      </w:r>
      <w:bookmarkStart w:id="78" w:name="_Toc183682346"/>
      <w:bookmarkStart w:id="79" w:name="_Toc77400779"/>
      <w:bookmarkStart w:id="80" w:name="_Toc183582209"/>
      <w:bookmarkStart w:id="81" w:name="_Toc217446038"/>
      <w:bookmarkStart w:id="82" w:name="_Toc89075875"/>
    </w:p>
    <w:p w14:paraId="01F00A3A">
      <w:pPr>
        <w:widowControl/>
        <w:shd w:val="clear"/>
        <w:autoSpaceDE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5.1提供相同品牌产品处理</w:t>
      </w:r>
      <w:r>
        <w:rPr>
          <w:rFonts w:hint="eastAsia" w:ascii="宋体" w:hAnsi="宋体" w:eastAsia="宋体" w:cs="宋体"/>
          <w:b/>
          <w:color w:val="auto"/>
          <w:sz w:val="24"/>
          <w:szCs w:val="24"/>
          <w:highlight w:val="none"/>
        </w:rPr>
        <w:t>。</w:t>
      </w:r>
      <w:r>
        <w:rPr>
          <w:rFonts w:hint="eastAsia" w:ascii="宋体" w:hAnsi="宋体" w:eastAsia="宋体" w:cs="宋体"/>
          <w:color w:val="auto"/>
          <w:kern w:val="0"/>
          <w:sz w:val="24"/>
          <w:highlight w:val="none"/>
        </w:rPr>
        <w:t>提供相同品牌产品且通过资格性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864D331">
      <w:pPr>
        <w:pStyle w:val="391"/>
        <w:shd w:val="clear"/>
        <w:spacing w:line="460" w:lineRule="exact"/>
        <w:ind w:left="1"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非单一产品采购项目中，多家投标人提供的部分或所有核心产品品牌相同的，视为提供相同品牌产品。</w:t>
      </w:r>
    </w:p>
    <w:p w14:paraId="2BCD4343">
      <w:pPr>
        <w:pStyle w:val="391"/>
        <w:shd w:val="clear"/>
        <w:spacing w:line="460" w:lineRule="exact"/>
        <w:ind w:left="1"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本采购项目核心产品为：</w:t>
      </w:r>
    </w:p>
    <w:tbl>
      <w:tblPr>
        <w:tblStyle w:val="5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4491"/>
        <w:gridCol w:w="4493"/>
      </w:tblGrid>
      <w:tr w14:paraId="1050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499" w:type="pct"/>
            <w:noWrap w:val="0"/>
            <w:vAlign w:val="center"/>
          </w:tcPr>
          <w:p w14:paraId="5BBA2B20">
            <w:pPr>
              <w:shd w:val="clear"/>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标包号</w:t>
            </w:r>
          </w:p>
        </w:tc>
        <w:tc>
          <w:tcPr>
            <w:tcW w:w="2500" w:type="pct"/>
            <w:tcBorders>
              <w:right w:val="single" w:color="auto" w:sz="4" w:space="0"/>
            </w:tcBorders>
            <w:noWrap w:val="0"/>
            <w:vAlign w:val="center"/>
          </w:tcPr>
          <w:p w14:paraId="2E44FD3A">
            <w:pPr>
              <w:shd w:val="clear"/>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核心产品</w:t>
            </w:r>
          </w:p>
        </w:tc>
      </w:tr>
      <w:tr w14:paraId="0B6D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499" w:type="pct"/>
            <w:tcBorders>
              <w:top w:val="single" w:color="auto" w:sz="4" w:space="0"/>
              <w:bottom w:val="single" w:color="auto" w:sz="4" w:space="0"/>
            </w:tcBorders>
            <w:noWrap w:val="0"/>
            <w:vAlign w:val="center"/>
          </w:tcPr>
          <w:p w14:paraId="36388964">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第二包</w:t>
            </w:r>
          </w:p>
        </w:tc>
        <w:tc>
          <w:tcPr>
            <w:tcW w:w="2500" w:type="pct"/>
            <w:tcBorders>
              <w:top w:val="single" w:color="auto" w:sz="4" w:space="0"/>
              <w:bottom w:val="single" w:color="auto" w:sz="4" w:space="0"/>
              <w:right w:val="single" w:color="auto" w:sz="4" w:space="0"/>
            </w:tcBorders>
            <w:noWrap w:val="0"/>
            <w:vAlign w:val="center"/>
          </w:tcPr>
          <w:p w14:paraId="23D8EE40">
            <w:pPr>
              <w:widowControl/>
              <w:shd w:val="clear"/>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一级化学防护服</w:t>
            </w:r>
          </w:p>
        </w:tc>
      </w:tr>
      <w:tr w14:paraId="6B381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2499" w:type="pct"/>
            <w:tcBorders>
              <w:top w:val="single" w:color="auto" w:sz="4" w:space="0"/>
            </w:tcBorders>
            <w:noWrap w:val="0"/>
            <w:vAlign w:val="center"/>
          </w:tcPr>
          <w:p w14:paraId="70A3ED13">
            <w:pPr>
              <w:keepNext w:val="0"/>
              <w:keepLines w:val="0"/>
              <w:pageBreakBefore w:val="0"/>
              <w:widowControl/>
              <w:shd w:val="clear"/>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第三包</w:t>
            </w:r>
          </w:p>
        </w:tc>
        <w:tc>
          <w:tcPr>
            <w:tcW w:w="2500" w:type="pct"/>
            <w:tcBorders>
              <w:top w:val="single" w:color="auto" w:sz="4" w:space="0"/>
              <w:right w:val="single" w:color="auto" w:sz="4" w:space="0"/>
            </w:tcBorders>
            <w:noWrap w:val="0"/>
            <w:vAlign w:val="center"/>
          </w:tcPr>
          <w:p w14:paraId="755BFC3C">
            <w:pPr>
              <w:widowControl/>
              <w:shd w:val="clear"/>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水带（80-25）</w:t>
            </w:r>
          </w:p>
        </w:tc>
      </w:tr>
    </w:tbl>
    <w:p w14:paraId="24A5F517">
      <w:pPr>
        <w:pStyle w:val="391"/>
        <w:shd w:val="clear"/>
        <w:spacing w:line="240" w:lineRule="auto"/>
        <w:rPr>
          <w:rFonts w:hint="eastAsia" w:ascii="宋体" w:hAnsi="宋体" w:eastAsia="宋体" w:cs="宋体"/>
          <w:b/>
          <w:bCs/>
          <w:color w:val="auto"/>
          <w:sz w:val="13"/>
          <w:szCs w:val="11"/>
          <w:highlight w:val="none"/>
        </w:rPr>
      </w:pPr>
    </w:p>
    <w:p w14:paraId="1AB4DE04">
      <w:pPr>
        <w:pStyle w:val="391"/>
        <w:shd w:val="clear"/>
        <w:spacing w:line="460" w:lineRule="exact"/>
        <w:ind w:left="1"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5.2利害关系投标人处理。</w:t>
      </w:r>
      <w:r>
        <w:rPr>
          <w:rFonts w:hint="eastAsia" w:ascii="宋体" w:hAnsi="宋体" w:eastAsia="宋体" w:cs="宋体"/>
          <w:color w:val="auto"/>
          <w:sz w:val="24"/>
          <w:highlight w:val="none"/>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p w14:paraId="11BDC875">
      <w:pPr>
        <w:pStyle w:val="391"/>
        <w:shd w:val="clear"/>
        <w:spacing w:line="460" w:lineRule="exact"/>
        <w:ind w:left="1"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5.3前期参与投标人处理。</w:t>
      </w:r>
      <w:r>
        <w:rPr>
          <w:rFonts w:hint="eastAsia" w:ascii="宋体" w:hAnsi="宋体" w:eastAsia="宋体" w:cs="宋体"/>
          <w:color w:val="auto"/>
          <w:sz w:val="24"/>
          <w:highlight w:val="none"/>
        </w:rPr>
        <w:t>为采购项目提供整体设计、规范编制或者项目管理、监理、检测等服务的投标人，不得再参加该采购项目的其他采购活动。投标人为采购人、采购代理机构在确定采购需求、编制招标文件过程中提供咨询论证，其提供的咨询论证意见成为招标文件中规定的投标人资格条件、技术服务商务要求、评标因素和标准、政府采购合同等实质性内容条款的，视同为采购项目提供规范编制。</w:t>
      </w:r>
    </w:p>
    <w:p w14:paraId="14E324A0">
      <w:pPr>
        <w:pStyle w:val="391"/>
        <w:shd w:val="clear"/>
        <w:spacing w:line="460" w:lineRule="exact"/>
        <w:ind w:left="1"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5.4 利害关系代理人处理。</w:t>
      </w:r>
      <w:r>
        <w:rPr>
          <w:rFonts w:hint="eastAsia" w:ascii="宋体" w:hAnsi="宋体" w:eastAsia="宋体" w:cs="宋体"/>
          <w:color w:val="auto"/>
          <w:sz w:val="24"/>
          <w:highlight w:val="none"/>
        </w:rPr>
        <w:t>2家以上的投标人不得在同一合同项下的采购项目中，同时委托同一个自然人、同一家庭的人员、同一单位的人员作为其代理人，否则，其投标文件作为无效处理。</w:t>
      </w:r>
    </w:p>
    <w:p w14:paraId="6DB92D1D">
      <w:pPr>
        <w:pStyle w:val="3"/>
        <w:shd w:val="clear"/>
        <w:spacing w:before="0" w:after="0" w:line="360" w:lineRule="auto"/>
        <w:jc w:val="center"/>
        <w:rPr>
          <w:rFonts w:hint="eastAsia" w:ascii="宋体" w:hAnsi="宋体" w:eastAsia="宋体" w:cs="宋体"/>
          <w:color w:val="auto"/>
          <w:highlight w:val="none"/>
        </w:rPr>
      </w:pPr>
      <w:bookmarkStart w:id="83" w:name="_Toc19834"/>
      <w:bookmarkStart w:id="84" w:name="_Toc426657537"/>
      <w:bookmarkStart w:id="85" w:name="_Toc31620"/>
      <w:r>
        <w:rPr>
          <w:rFonts w:hint="eastAsia" w:ascii="宋体" w:hAnsi="宋体" w:eastAsia="宋体" w:cs="宋体"/>
          <w:color w:val="auto"/>
          <w:highlight w:val="none"/>
        </w:rPr>
        <w:t>三、招标文件</w:t>
      </w:r>
      <w:bookmarkEnd w:id="78"/>
      <w:bookmarkEnd w:id="79"/>
      <w:bookmarkEnd w:id="80"/>
      <w:bookmarkEnd w:id="81"/>
      <w:bookmarkEnd w:id="82"/>
      <w:bookmarkEnd w:id="83"/>
      <w:bookmarkEnd w:id="84"/>
      <w:bookmarkEnd w:id="85"/>
      <w:bookmarkStart w:id="86" w:name="_Toc217446039"/>
      <w:bookmarkStart w:id="87" w:name="_Toc183582210"/>
      <w:bookmarkStart w:id="88" w:name="_Toc183682347"/>
      <w:bookmarkStart w:id="89" w:name="_Toc77400782"/>
      <w:bookmarkStart w:id="90" w:name="_Toc89075878"/>
      <w:bookmarkStart w:id="91" w:name="_Toc217446056"/>
      <w:bookmarkStart w:id="92" w:name="_Toc183582231"/>
      <w:bookmarkStart w:id="93" w:name="_Toc183682368"/>
      <w:bookmarkStart w:id="94" w:name="_Toc217446081"/>
    </w:p>
    <w:p w14:paraId="5F0B6221">
      <w:pPr>
        <w:pStyle w:val="4"/>
        <w:shd w:val="clear"/>
        <w:spacing w:before="0" w:after="0" w:line="400" w:lineRule="exact"/>
        <w:ind w:firstLine="482" w:firstLineChars="200"/>
        <w:rPr>
          <w:rFonts w:hint="eastAsia" w:ascii="宋体" w:hAnsi="宋体" w:eastAsia="宋体" w:cs="宋体"/>
          <w:color w:val="auto"/>
          <w:sz w:val="24"/>
          <w:highlight w:val="none"/>
        </w:rPr>
      </w:pPr>
      <w:bookmarkStart w:id="95" w:name="_Toc426648206"/>
      <w:bookmarkStart w:id="96" w:name="_Toc426657538"/>
      <w:r>
        <w:rPr>
          <w:rFonts w:hint="eastAsia" w:ascii="宋体" w:hAnsi="宋体" w:eastAsia="宋体" w:cs="宋体"/>
          <w:color w:val="auto"/>
          <w:sz w:val="24"/>
          <w:highlight w:val="none"/>
        </w:rPr>
        <w:t>6．招标文件的构成</w:t>
      </w:r>
      <w:bookmarkEnd w:id="86"/>
      <w:bookmarkEnd w:id="87"/>
      <w:bookmarkEnd w:id="88"/>
      <w:bookmarkEnd w:id="95"/>
      <w:bookmarkEnd w:id="96"/>
    </w:p>
    <w:p w14:paraId="4159101C">
      <w:pPr>
        <w:shd w:val="clear"/>
        <w:tabs>
          <w:tab w:val="left" w:pos="72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1 招标文件是投标人准备投标文件和参加投标的依据，同时也是评标的重要依据，具有准法律文件性质。招标文件用以阐明</w:t>
      </w:r>
      <w:r>
        <w:rPr>
          <w:rFonts w:hint="eastAsia" w:ascii="宋体" w:hAnsi="宋体" w:cs="宋体"/>
          <w:color w:val="auto"/>
          <w:sz w:val="24"/>
          <w:highlight w:val="none"/>
          <w:lang w:eastAsia="zh-CN"/>
        </w:rPr>
        <w:t>采购项目</w:t>
      </w:r>
      <w:r>
        <w:rPr>
          <w:rFonts w:hint="eastAsia" w:ascii="宋体" w:hAnsi="宋体" w:eastAsia="宋体" w:cs="宋体"/>
          <w:color w:val="auto"/>
          <w:sz w:val="24"/>
          <w:highlight w:val="none"/>
        </w:rPr>
        <w:t>所需的资质、技术、服务及报价等要求、招标投标程序、有关规定和注意事项以及合同主要条款等。本招标文件包括以下内容：</w:t>
      </w:r>
    </w:p>
    <w:p w14:paraId="6A4C74AD">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（一）投标邀请；</w:t>
      </w:r>
    </w:p>
    <w:p w14:paraId="709430CC">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（二）投标人须知；</w:t>
      </w:r>
    </w:p>
    <w:p w14:paraId="49D3FEF3">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（三）投标文件格式；</w:t>
      </w:r>
    </w:p>
    <w:p w14:paraId="6663D5AC">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（四）投标人的资格、资质性及其他类似效力要求；</w:t>
      </w:r>
    </w:p>
    <w:p w14:paraId="3F3A1851">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（五）投标人应当提供的资格、资质性及其他类似效力要求的相关证明材料；</w:t>
      </w:r>
    </w:p>
    <w:p w14:paraId="75E7C887">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w:t>
      </w:r>
      <w:r>
        <w:rPr>
          <w:rFonts w:hint="eastAsia" w:ascii="宋体" w:hAnsi="宋体" w:cs="宋体"/>
          <w:color w:val="auto"/>
          <w:sz w:val="24"/>
          <w:highlight w:val="none"/>
          <w:lang w:eastAsia="zh-CN"/>
        </w:rPr>
        <w:t>采购项目</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、商务及其他要求；</w:t>
      </w:r>
    </w:p>
    <w:p w14:paraId="512CC48A">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（七）评标办法；</w:t>
      </w:r>
    </w:p>
    <w:p w14:paraId="2EF2AE50">
      <w:pPr>
        <w:shd w:val="clear"/>
        <w:tabs>
          <w:tab w:val="left" w:pos="720"/>
        </w:tabs>
        <w:spacing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（八）政府采购合同（样例）</w:t>
      </w:r>
      <w:r>
        <w:rPr>
          <w:rFonts w:hint="eastAsia" w:ascii="宋体" w:hAnsi="宋体" w:cs="宋体"/>
          <w:b w:val="0"/>
          <w:bCs w:val="0"/>
          <w:color w:val="auto"/>
          <w:sz w:val="24"/>
          <w:highlight w:val="none"/>
          <w:lang w:val="en-US" w:eastAsia="zh-CN"/>
        </w:rPr>
        <w:t>。</w:t>
      </w:r>
    </w:p>
    <w:p w14:paraId="6B39D6CB">
      <w:pPr>
        <w:shd w:val="clear"/>
        <w:snapToGrid w:val="0"/>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投标人应认真阅读和充分理解招标文件中所有的事项、格式条款和规范要求。投标人没有对招标文件全面做出实质性响应是投标人的风险。没有按照招标文件要求作出实质性响应的投标文件将被拒绝。</w:t>
      </w:r>
    </w:p>
    <w:p w14:paraId="66577C55">
      <w:pPr>
        <w:shd w:val="clear"/>
        <w:snapToGrid w:val="0"/>
        <w:spacing w:line="360" w:lineRule="auto"/>
        <w:ind w:firstLine="482" w:firstLineChars="200"/>
        <w:outlineLvl w:val="5"/>
        <w:rPr>
          <w:rFonts w:hint="eastAsia" w:ascii="宋体" w:hAnsi="宋体" w:eastAsia="宋体" w:cs="宋体"/>
          <w:b/>
          <w:bCs/>
          <w:color w:val="auto"/>
          <w:sz w:val="24"/>
          <w:highlight w:val="none"/>
        </w:rPr>
      </w:pPr>
      <w:bookmarkStart w:id="97" w:name="_Toc183582211"/>
      <w:bookmarkStart w:id="98" w:name="_Toc183682348"/>
      <w:bookmarkStart w:id="99" w:name="_Toc426648207"/>
      <w:bookmarkStart w:id="100" w:name="_Toc426657539"/>
      <w:bookmarkStart w:id="101" w:name="_Toc217446040"/>
      <w:r>
        <w:rPr>
          <w:rFonts w:hint="eastAsia" w:ascii="宋体" w:hAnsi="宋体" w:eastAsia="宋体" w:cs="宋体"/>
          <w:b/>
          <w:bCs/>
          <w:color w:val="auto"/>
          <w:sz w:val="24"/>
          <w:highlight w:val="none"/>
        </w:rPr>
        <w:t>7．招标文件的澄清</w:t>
      </w:r>
      <w:bookmarkEnd w:id="97"/>
      <w:bookmarkEnd w:id="98"/>
      <w:r>
        <w:rPr>
          <w:rFonts w:hint="eastAsia" w:ascii="宋体" w:hAnsi="宋体" w:eastAsia="宋体" w:cs="宋体"/>
          <w:b/>
          <w:bCs/>
          <w:color w:val="auto"/>
          <w:sz w:val="24"/>
          <w:highlight w:val="none"/>
        </w:rPr>
        <w:t>和修改</w:t>
      </w:r>
      <w:bookmarkEnd w:id="99"/>
      <w:bookmarkEnd w:id="100"/>
      <w:bookmarkEnd w:id="101"/>
    </w:p>
    <w:p w14:paraId="2D8AFA50">
      <w:pPr>
        <w:shd w:val="clear"/>
        <w:snapToGrid w:val="0"/>
        <w:spacing w:line="360" w:lineRule="auto"/>
        <w:ind w:firstLine="480" w:firstLineChars="200"/>
        <w:outlineLvl w:val="5"/>
        <w:rPr>
          <w:rFonts w:hint="eastAsia" w:ascii="宋体" w:hAnsi="宋体" w:eastAsia="宋体" w:cs="宋体"/>
          <w:color w:val="auto"/>
          <w:sz w:val="24"/>
          <w:highlight w:val="none"/>
        </w:rPr>
      </w:pPr>
      <w:bookmarkStart w:id="102" w:name="_Toc426657540"/>
      <w:bookmarkStart w:id="103" w:name="_Toc426648208"/>
      <w:bookmarkStart w:id="104" w:name="_Toc217446041"/>
      <w:bookmarkStart w:id="105" w:name="_Toc208848971"/>
      <w:r>
        <w:rPr>
          <w:rFonts w:hint="eastAsia" w:ascii="宋体" w:hAnsi="宋体" w:eastAsia="宋体" w:cs="宋体"/>
          <w:color w:val="auto"/>
          <w:sz w:val="24"/>
          <w:highlight w:val="none"/>
        </w:rPr>
        <w:t>7.1招标采购单位可以依法对招标文件进行澄清或者修改。</w:t>
      </w:r>
    </w:p>
    <w:p w14:paraId="07F88511">
      <w:pPr>
        <w:shd w:val="clear"/>
        <w:snapToGrid w:val="0"/>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7.2招标采购单位对已发出的招标文件进行澄清或者修改，应当以书面形式将澄清或者修改的内容通知所有购买了招标文件的潜在投标人，同时在中国政府采购网上发布更正公告。该澄清或者修改的内容为招标文件的组成部分，澄清或者修改的内容可能影响投标文件、资格预审申请文件编制的，采购人或者采购代理机构发布公告并书面通知投标人的时间，应当在投标截止时间至少15日前、提交资格预审申请文件截止时间至少3日前；不足上述时间的，应当顺延提交投标文件、资格预审申请文件的截止时间。</w:t>
      </w:r>
    </w:p>
    <w:p w14:paraId="655C524A">
      <w:pPr>
        <w:shd w:val="clear"/>
        <w:snapToGrid w:val="0"/>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3 投标人认为需要对招标文件进行澄清或者修改的，可以以书面形式向招标采购单位提出申请，但招标采购单位可以决定是否采纳投标人的申请事项。</w:t>
      </w:r>
    </w:p>
    <w:p w14:paraId="73833F39">
      <w:pPr>
        <w:shd w:val="clear"/>
        <w:snapToGrid w:val="0"/>
        <w:spacing w:line="360" w:lineRule="auto"/>
        <w:ind w:firstLine="482" w:firstLineChars="200"/>
        <w:outlineLvl w:val="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8．答疑会和现场考察</w:t>
      </w:r>
      <w:bookmarkEnd w:id="102"/>
      <w:bookmarkEnd w:id="103"/>
      <w:bookmarkEnd w:id="104"/>
      <w:bookmarkEnd w:id="105"/>
    </w:p>
    <w:p w14:paraId="2524CDC0">
      <w:pPr>
        <w:shd w:val="clear"/>
        <w:snapToGrid w:val="0"/>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8.1 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60D8AD43">
      <w:pPr>
        <w:shd w:val="clear"/>
        <w:snapToGrid w:val="0"/>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投标人考察现场所发生的一切费用由投标人自己承担。</w:t>
      </w:r>
    </w:p>
    <w:p w14:paraId="218E3E1A">
      <w:pPr>
        <w:pStyle w:val="3"/>
        <w:shd w:val="clear"/>
        <w:spacing w:before="0" w:after="0" w:line="360" w:lineRule="auto"/>
        <w:jc w:val="center"/>
        <w:rPr>
          <w:rFonts w:hint="eastAsia" w:ascii="宋体" w:hAnsi="宋体" w:eastAsia="宋体" w:cs="宋体"/>
          <w:color w:val="auto"/>
          <w:highlight w:val="none"/>
        </w:rPr>
      </w:pPr>
      <w:bookmarkStart w:id="106" w:name="_Toc217446042"/>
      <w:bookmarkStart w:id="107" w:name="_Toc183582214"/>
      <w:bookmarkStart w:id="108" w:name="_Toc16722"/>
      <w:bookmarkStart w:id="109" w:name="_Toc77400780"/>
      <w:bookmarkStart w:id="110" w:name="_Toc89075876"/>
      <w:bookmarkStart w:id="111" w:name="_Toc4874"/>
      <w:bookmarkStart w:id="112" w:name="_Toc426657541"/>
      <w:bookmarkStart w:id="113" w:name="_Toc183682351"/>
      <w:r>
        <w:rPr>
          <w:rFonts w:hint="eastAsia" w:ascii="宋体" w:hAnsi="宋体" w:eastAsia="宋体" w:cs="宋体"/>
          <w:color w:val="auto"/>
          <w:highlight w:val="none"/>
        </w:rPr>
        <w:t>四、投标文件</w:t>
      </w:r>
      <w:bookmarkEnd w:id="106"/>
      <w:bookmarkEnd w:id="107"/>
      <w:bookmarkEnd w:id="108"/>
      <w:bookmarkEnd w:id="109"/>
      <w:bookmarkEnd w:id="110"/>
      <w:bookmarkEnd w:id="111"/>
      <w:bookmarkEnd w:id="112"/>
      <w:bookmarkEnd w:id="113"/>
    </w:p>
    <w:p w14:paraId="14A73F1C">
      <w:pPr>
        <w:pStyle w:val="4"/>
        <w:shd w:val="clear"/>
        <w:spacing w:before="0" w:after="0" w:line="360" w:lineRule="auto"/>
        <w:ind w:firstLine="482" w:firstLineChars="200"/>
        <w:rPr>
          <w:rFonts w:hint="eastAsia" w:ascii="宋体" w:hAnsi="宋体" w:eastAsia="宋体" w:cs="宋体"/>
          <w:bCs w:val="0"/>
          <w:color w:val="auto"/>
          <w:sz w:val="24"/>
          <w:highlight w:val="none"/>
        </w:rPr>
      </w:pPr>
      <w:bookmarkStart w:id="114" w:name="_Toc183582215"/>
      <w:bookmarkStart w:id="115" w:name="_Toc426657542"/>
      <w:bookmarkStart w:id="116" w:name="_Toc426648210"/>
      <w:bookmarkStart w:id="117" w:name="_Toc217446043"/>
      <w:bookmarkStart w:id="118" w:name="_Toc183682352"/>
      <w:r>
        <w:rPr>
          <w:rFonts w:hint="eastAsia" w:ascii="宋体" w:hAnsi="宋体" w:eastAsia="宋体" w:cs="宋体"/>
          <w:bCs w:val="0"/>
          <w:color w:val="auto"/>
          <w:sz w:val="24"/>
          <w:highlight w:val="none"/>
        </w:rPr>
        <w:t>9．投标文件的语言</w:t>
      </w:r>
      <w:bookmarkEnd w:id="114"/>
      <w:bookmarkEnd w:id="115"/>
      <w:bookmarkEnd w:id="116"/>
      <w:bookmarkEnd w:id="117"/>
      <w:bookmarkEnd w:id="118"/>
    </w:p>
    <w:p w14:paraId="6CFD9E9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 投标人提交的投标文件以及投标人与招标采购单位就有关投标的所有来往书面文件均须使用中文</w:t>
      </w:r>
      <w:r>
        <w:rPr>
          <w:rFonts w:hint="eastAsia" w:ascii="宋体" w:hAnsi="宋体" w:eastAsia="宋体" w:cs="宋体"/>
          <w:b/>
          <w:color w:val="auto"/>
          <w:sz w:val="24"/>
          <w:highlight w:val="none"/>
        </w:rPr>
        <w:t>（实质性要求）</w:t>
      </w:r>
      <w:r>
        <w:rPr>
          <w:rFonts w:hint="eastAsia" w:ascii="宋体" w:hAnsi="宋体" w:eastAsia="宋体" w:cs="宋体"/>
          <w:color w:val="auto"/>
          <w:sz w:val="24"/>
          <w:highlight w:val="none"/>
        </w:rPr>
        <w:t>。</w:t>
      </w:r>
    </w:p>
    <w:p w14:paraId="78F4842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9.2投标文件中如附有外文资料，应翻译成中文并加盖投标人公章后附在相关外文资料后面。（说明：投标人的法定代表人为外籍人士的，法定代表人的签字和护照除外。）</w:t>
      </w:r>
    </w:p>
    <w:p w14:paraId="252074E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9.3翻译的中文资料与外文资料如果出现差异和矛盾时，以中文为准。涉嫌虚假响应的按照相关法律法规处理。</w:t>
      </w:r>
    </w:p>
    <w:p w14:paraId="1C0E4B9A">
      <w:pPr>
        <w:pStyle w:val="4"/>
        <w:shd w:val="clear"/>
        <w:spacing w:before="0" w:after="0" w:line="360" w:lineRule="auto"/>
        <w:ind w:firstLine="482" w:firstLineChars="200"/>
        <w:rPr>
          <w:rFonts w:hint="eastAsia" w:ascii="宋体" w:hAnsi="宋体" w:eastAsia="宋体" w:cs="宋体"/>
          <w:color w:val="auto"/>
          <w:sz w:val="24"/>
          <w:highlight w:val="none"/>
        </w:rPr>
      </w:pPr>
      <w:bookmarkStart w:id="119" w:name="_Toc217446044"/>
      <w:bookmarkStart w:id="120" w:name="_Toc426648211"/>
      <w:bookmarkStart w:id="121" w:name="_Toc183682353"/>
      <w:bookmarkStart w:id="122" w:name="_Toc183582216"/>
      <w:bookmarkStart w:id="123" w:name="_Toc426657543"/>
      <w:r>
        <w:rPr>
          <w:rFonts w:hint="eastAsia" w:ascii="宋体" w:hAnsi="宋体" w:eastAsia="宋体" w:cs="宋体"/>
          <w:color w:val="auto"/>
          <w:sz w:val="24"/>
          <w:highlight w:val="none"/>
        </w:rPr>
        <w:t>10．计量单位</w:t>
      </w:r>
      <w:bookmarkEnd w:id="119"/>
      <w:bookmarkEnd w:id="120"/>
      <w:bookmarkEnd w:id="121"/>
      <w:bookmarkEnd w:id="122"/>
      <w:bookmarkEnd w:id="123"/>
      <w:r>
        <w:rPr>
          <w:rFonts w:hint="eastAsia" w:ascii="宋体" w:hAnsi="宋体" w:eastAsia="宋体" w:cs="宋体"/>
          <w:color w:val="auto"/>
          <w:sz w:val="24"/>
          <w:highlight w:val="none"/>
        </w:rPr>
        <w:t>（实质性要求）</w:t>
      </w:r>
    </w:p>
    <w:p w14:paraId="46AA8517">
      <w:pPr>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除招标文件中另有规定外，本次采购项目所有合同项下的投标均采用国家法定的计量单位。</w:t>
      </w:r>
    </w:p>
    <w:p w14:paraId="4A4B3EBF">
      <w:pPr>
        <w:pStyle w:val="4"/>
        <w:shd w:val="clear"/>
        <w:spacing w:before="0" w:after="0" w:line="360" w:lineRule="auto"/>
        <w:ind w:firstLine="482" w:firstLineChars="200"/>
        <w:rPr>
          <w:rFonts w:hint="eastAsia" w:ascii="宋体" w:hAnsi="宋体" w:eastAsia="宋体" w:cs="宋体"/>
          <w:color w:val="auto"/>
          <w:sz w:val="24"/>
          <w:highlight w:val="none"/>
        </w:rPr>
      </w:pPr>
      <w:bookmarkStart w:id="124" w:name="_Toc217446045"/>
      <w:bookmarkStart w:id="125" w:name="_Toc426648212"/>
      <w:bookmarkStart w:id="126" w:name="_Toc426657544"/>
      <w:r>
        <w:rPr>
          <w:rFonts w:hint="eastAsia" w:ascii="宋体" w:hAnsi="宋体" w:eastAsia="宋体" w:cs="宋体"/>
          <w:color w:val="auto"/>
          <w:sz w:val="24"/>
          <w:highlight w:val="none"/>
        </w:rPr>
        <w:t>11．投标货币</w:t>
      </w:r>
      <w:bookmarkEnd w:id="124"/>
      <w:bookmarkEnd w:id="125"/>
      <w:bookmarkEnd w:id="126"/>
      <w:r>
        <w:rPr>
          <w:rFonts w:hint="eastAsia" w:ascii="宋体" w:hAnsi="宋体" w:eastAsia="宋体" w:cs="宋体"/>
          <w:color w:val="auto"/>
          <w:sz w:val="24"/>
          <w:highlight w:val="none"/>
        </w:rPr>
        <w:t>（实质性要求）</w:t>
      </w:r>
    </w:p>
    <w:p w14:paraId="3815CD34">
      <w:pPr>
        <w:shd w:val="clear"/>
        <w:tabs>
          <w:tab w:val="left" w:pos="7665"/>
        </w:tabs>
        <w:spacing w:line="360" w:lineRule="auto"/>
        <w:ind w:left="13" w:hanging="118"/>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 xml:space="preserve"> 本次</w:t>
      </w:r>
      <w:r>
        <w:rPr>
          <w:rFonts w:hint="eastAsia" w:ascii="宋体" w:hAnsi="宋体" w:cs="宋体"/>
          <w:color w:val="auto"/>
          <w:sz w:val="24"/>
          <w:highlight w:val="none"/>
          <w:lang w:eastAsia="zh-CN"/>
        </w:rPr>
        <w:t>采购项目</w:t>
      </w:r>
      <w:r>
        <w:rPr>
          <w:rFonts w:hint="eastAsia" w:ascii="宋体" w:hAnsi="宋体" w:eastAsia="宋体" w:cs="宋体"/>
          <w:color w:val="auto"/>
          <w:sz w:val="24"/>
          <w:highlight w:val="none"/>
        </w:rPr>
        <w:t>的投标均以人民币报价。</w:t>
      </w:r>
    </w:p>
    <w:p w14:paraId="10B167A4">
      <w:pPr>
        <w:pStyle w:val="4"/>
        <w:shd w:val="clear"/>
        <w:spacing w:before="0" w:after="0" w:line="360" w:lineRule="auto"/>
        <w:ind w:firstLine="482" w:firstLineChars="200"/>
        <w:rPr>
          <w:rFonts w:hint="eastAsia" w:ascii="宋体" w:hAnsi="宋体" w:eastAsia="宋体" w:cs="宋体"/>
          <w:color w:val="auto"/>
          <w:sz w:val="24"/>
          <w:highlight w:val="none"/>
        </w:rPr>
      </w:pPr>
      <w:bookmarkStart w:id="127" w:name="_Toc217446046"/>
      <w:bookmarkStart w:id="128" w:name="_Toc426657545"/>
      <w:bookmarkStart w:id="129" w:name="_Toc426648213"/>
      <w:r>
        <w:rPr>
          <w:rFonts w:hint="eastAsia" w:ascii="宋体" w:hAnsi="宋体" w:eastAsia="宋体" w:cs="宋体"/>
          <w:color w:val="auto"/>
          <w:sz w:val="24"/>
          <w:highlight w:val="none"/>
        </w:rPr>
        <w:t>12．联合体投标</w:t>
      </w:r>
      <w:bookmarkEnd w:id="127"/>
      <w:bookmarkEnd w:id="128"/>
      <w:bookmarkEnd w:id="129"/>
      <w:r>
        <w:rPr>
          <w:rFonts w:hint="eastAsia" w:ascii="宋体" w:hAnsi="宋体" w:eastAsia="宋体" w:cs="宋体"/>
          <w:color w:val="auto"/>
          <w:sz w:val="24"/>
          <w:highlight w:val="none"/>
        </w:rPr>
        <w:t>（实质性要求）</w:t>
      </w:r>
    </w:p>
    <w:p w14:paraId="690A6E72">
      <w:pPr>
        <w:pStyle w:val="24"/>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4BE254F8">
      <w:pPr>
        <w:pStyle w:val="4"/>
        <w:shd w:val="clear"/>
        <w:spacing w:before="0" w:after="0" w:line="360" w:lineRule="auto"/>
        <w:ind w:firstLine="482" w:firstLineChars="200"/>
        <w:rPr>
          <w:rFonts w:hint="eastAsia" w:ascii="宋体" w:hAnsi="宋体" w:eastAsia="宋体" w:cs="宋体"/>
          <w:bCs w:val="0"/>
          <w:color w:val="auto"/>
          <w:sz w:val="24"/>
          <w:szCs w:val="24"/>
          <w:highlight w:val="none"/>
        </w:rPr>
      </w:pPr>
      <w:bookmarkStart w:id="130" w:name="_Toc426657546"/>
      <w:bookmarkStart w:id="131" w:name="_Toc426648214"/>
      <w:bookmarkStart w:id="132" w:name="_Toc217446047"/>
      <w:r>
        <w:rPr>
          <w:rFonts w:hint="eastAsia" w:ascii="宋体" w:hAnsi="宋体" w:eastAsia="宋体" w:cs="宋体"/>
          <w:bCs w:val="0"/>
          <w:color w:val="auto"/>
          <w:sz w:val="24"/>
          <w:szCs w:val="24"/>
          <w:highlight w:val="none"/>
        </w:rPr>
        <w:t>13</w:t>
      </w:r>
      <w:r>
        <w:rPr>
          <w:rFonts w:hint="eastAsia" w:ascii="宋体" w:hAnsi="宋体" w:eastAsia="宋体" w:cs="宋体"/>
          <w:color w:val="auto"/>
          <w:sz w:val="24"/>
          <w:highlight w:val="none"/>
        </w:rPr>
        <w:t>．</w:t>
      </w:r>
      <w:r>
        <w:rPr>
          <w:rFonts w:hint="eastAsia" w:ascii="宋体" w:hAnsi="宋体" w:eastAsia="宋体" w:cs="宋体"/>
          <w:bCs w:val="0"/>
          <w:color w:val="auto"/>
          <w:sz w:val="24"/>
          <w:szCs w:val="24"/>
          <w:highlight w:val="none"/>
        </w:rPr>
        <w:t>知识产权</w:t>
      </w:r>
      <w:bookmarkEnd w:id="130"/>
      <w:bookmarkEnd w:id="131"/>
      <w:bookmarkEnd w:id="132"/>
    </w:p>
    <w:p w14:paraId="2BD51C35">
      <w:pPr>
        <w:shd w:val="clea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3C96F85">
      <w:pPr>
        <w:pStyle w:val="4"/>
        <w:shd w:val="clear"/>
        <w:spacing w:before="0" w:after="0" w:line="360" w:lineRule="auto"/>
        <w:ind w:firstLine="482" w:firstLineChars="200"/>
        <w:rPr>
          <w:rFonts w:hint="eastAsia" w:ascii="宋体" w:hAnsi="宋体" w:eastAsia="宋体" w:cs="宋体"/>
          <w:color w:val="auto"/>
          <w:sz w:val="24"/>
          <w:highlight w:val="none"/>
        </w:rPr>
      </w:pPr>
      <w:bookmarkStart w:id="133" w:name="_Toc426657547"/>
      <w:bookmarkStart w:id="134" w:name="_Toc217446048"/>
      <w:bookmarkStart w:id="135" w:name="_Toc183682354"/>
      <w:bookmarkStart w:id="136" w:name="_Toc183582217"/>
      <w:bookmarkStart w:id="137" w:name="_Toc426648215"/>
      <w:r>
        <w:rPr>
          <w:rFonts w:hint="eastAsia" w:ascii="宋体" w:hAnsi="宋体" w:eastAsia="宋体" w:cs="宋体"/>
          <w:color w:val="auto"/>
          <w:sz w:val="24"/>
          <w:highlight w:val="none"/>
        </w:rPr>
        <w:t>14．投标文件的组成</w:t>
      </w:r>
      <w:bookmarkEnd w:id="133"/>
      <w:bookmarkEnd w:id="134"/>
      <w:bookmarkEnd w:id="135"/>
      <w:bookmarkEnd w:id="136"/>
      <w:bookmarkEnd w:id="137"/>
    </w:p>
    <w:p w14:paraId="44E4F94A">
      <w:pPr>
        <w:shd w:val="clear"/>
        <w:spacing w:line="360" w:lineRule="auto"/>
        <w:ind w:firstLine="411" w:firstLineChars="196"/>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投标人应按照招标文件的规定和要求编制投标文件。投标人拟在中标后将中标项目的非主体、非关键性工作交由他人完成的，应当在投标文件中载明。投标人编写的投标文件应包括下列两部分文件：</w:t>
      </w:r>
    </w:p>
    <w:p w14:paraId="01ECBC69">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szCs w:val="32"/>
          <w:highlight w:val="none"/>
        </w:rPr>
        <w:t xml:space="preserve">14.1 </w:t>
      </w:r>
      <w:r>
        <w:rPr>
          <w:rFonts w:hint="eastAsia" w:ascii="宋体" w:hAnsi="宋体" w:eastAsia="宋体" w:cs="宋体"/>
          <w:b/>
          <w:color w:val="auto"/>
          <w:sz w:val="24"/>
          <w:highlight w:val="none"/>
        </w:rPr>
        <w:t>文件一：资格性投标文件（用于资格审查）（同时投多个标包应分标包编制，分标包装订）</w:t>
      </w:r>
    </w:p>
    <w:p w14:paraId="252D09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严格按照招标文件第四、五章要求提供相关资格、资质性及其他类似效力要求的相关证明材料。</w:t>
      </w:r>
    </w:p>
    <w:p w14:paraId="7EDEBAE2">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sz w:val="24"/>
          <w:szCs w:val="32"/>
          <w:highlight w:val="none"/>
        </w:rPr>
        <w:t xml:space="preserve">14.2 </w:t>
      </w:r>
      <w:r>
        <w:rPr>
          <w:rFonts w:hint="eastAsia" w:ascii="宋体" w:hAnsi="宋体" w:eastAsia="宋体" w:cs="宋体"/>
          <w:b/>
          <w:color w:val="auto"/>
          <w:sz w:val="24"/>
          <w:highlight w:val="none"/>
        </w:rPr>
        <w:t>文件二：其它响应性投标文件（用于资格审查以外的评标）（同时投多个标包应分标包编制，分标包装订）</w:t>
      </w:r>
    </w:p>
    <w:p w14:paraId="30525CBC">
      <w:pPr>
        <w:shd w:val="clear"/>
        <w:spacing w:line="360" w:lineRule="auto"/>
        <w:ind w:firstLine="472" w:firstLineChars="196"/>
        <w:rPr>
          <w:rFonts w:hint="eastAsia" w:ascii="宋体" w:hAnsi="宋体" w:eastAsia="宋体" w:cs="宋体"/>
          <w:color w:val="auto"/>
          <w:sz w:val="24"/>
          <w:highlight w:val="none"/>
        </w:rPr>
      </w:pPr>
      <w:r>
        <w:rPr>
          <w:rFonts w:hint="eastAsia" w:ascii="宋体" w:hAnsi="宋体" w:eastAsia="宋体" w:cs="宋体"/>
          <w:b/>
          <w:color w:val="auto"/>
          <w:sz w:val="24"/>
          <w:highlight w:val="none"/>
        </w:rPr>
        <w:t>（一）报价部分。</w:t>
      </w:r>
      <w:r>
        <w:rPr>
          <w:rFonts w:hint="eastAsia" w:ascii="宋体" w:hAnsi="宋体" w:eastAsia="宋体" w:cs="宋体"/>
          <w:bCs/>
          <w:color w:val="auto"/>
          <w:sz w:val="24"/>
          <w:highlight w:val="none"/>
        </w:rPr>
        <w:t>投标人</w:t>
      </w:r>
      <w:r>
        <w:rPr>
          <w:rFonts w:hint="eastAsia" w:ascii="宋体" w:hAnsi="宋体" w:eastAsia="宋体" w:cs="宋体"/>
          <w:color w:val="auto"/>
          <w:sz w:val="24"/>
          <w:highlight w:val="none"/>
        </w:rPr>
        <w:t>按照招标文件要求填写的“开标一览表”。本次招标报价要求：</w:t>
      </w:r>
    </w:p>
    <w:p w14:paraId="6F97F37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（1）投标人的报价是投标人响应</w:t>
      </w:r>
      <w:r>
        <w:rPr>
          <w:rFonts w:hint="eastAsia" w:ascii="宋体" w:hAnsi="宋体" w:cs="宋体"/>
          <w:color w:val="auto"/>
          <w:sz w:val="24"/>
          <w:highlight w:val="none"/>
          <w:lang w:eastAsia="zh-CN"/>
        </w:rPr>
        <w:t>采购项目</w:t>
      </w:r>
      <w:r>
        <w:rPr>
          <w:rFonts w:hint="eastAsia" w:ascii="宋体" w:hAnsi="宋体" w:eastAsia="宋体" w:cs="宋体"/>
          <w:color w:val="auto"/>
          <w:sz w:val="24"/>
          <w:highlight w:val="none"/>
        </w:rPr>
        <w:t>要求的全部工作内容的价格体现，包括投标人完成本项目所需的一切费用。（实质性要求）</w:t>
      </w:r>
    </w:p>
    <w:p w14:paraId="040B84F0">
      <w:pPr>
        <w:shd w:val="clear"/>
        <w:spacing w:line="360" w:lineRule="auto"/>
        <w:ind w:left="2" w:firstLine="352" w:firstLineChars="14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（2）投标人每种货物只允许有一个报价，并且在合同履行过程中是固定不变的，任何有选择或可调整的报价将不予接受，并按无效投标处理。（实质性要求）</w:t>
      </w:r>
    </w:p>
    <w:p w14:paraId="604B210B">
      <w:pPr>
        <w:shd w:val="clear"/>
        <w:tabs>
          <w:tab w:val="left" w:pos="540"/>
        </w:tabs>
        <w:spacing w:line="360" w:lineRule="auto"/>
        <w:ind w:firstLine="472" w:firstLineChars="196"/>
        <w:rPr>
          <w:rFonts w:hint="eastAsia" w:ascii="宋体" w:hAnsi="宋体" w:eastAsia="宋体" w:cs="宋体"/>
          <w:color w:val="auto"/>
          <w:sz w:val="24"/>
          <w:szCs w:val="22"/>
          <w:highlight w:val="none"/>
        </w:rPr>
      </w:pPr>
      <w:r>
        <w:rPr>
          <w:rFonts w:hint="eastAsia" w:ascii="宋体" w:hAnsi="宋体" w:eastAsia="宋体" w:cs="宋体"/>
          <w:b/>
          <w:color w:val="auto"/>
          <w:sz w:val="24"/>
          <w:highlight w:val="none"/>
        </w:rPr>
        <w:t>（二）</w:t>
      </w:r>
      <w:r>
        <w:rPr>
          <w:rFonts w:hint="eastAsia" w:ascii="宋体" w:hAnsi="宋体" w:eastAsia="宋体" w:cs="宋体"/>
          <w:b/>
          <w:bCs/>
          <w:color w:val="auto"/>
          <w:sz w:val="24"/>
          <w:highlight w:val="none"/>
        </w:rPr>
        <w:t>技术（服务）部分。</w:t>
      </w:r>
      <w:r>
        <w:rPr>
          <w:rFonts w:hint="eastAsia" w:ascii="宋体" w:hAnsi="宋体" w:eastAsia="宋体" w:cs="宋体"/>
          <w:bCs/>
          <w:color w:val="auto"/>
          <w:sz w:val="24"/>
          <w:highlight w:val="none"/>
        </w:rPr>
        <w:t>投标人</w:t>
      </w:r>
      <w:r>
        <w:rPr>
          <w:rFonts w:hint="eastAsia" w:ascii="宋体" w:hAnsi="宋体" w:eastAsia="宋体" w:cs="宋体"/>
          <w:color w:val="auto"/>
          <w:sz w:val="24"/>
          <w:highlight w:val="none"/>
        </w:rPr>
        <w:t>按照招标文件要求做出的技术应答，主要是针对</w:t>
      </w:r>
      <w:r>
        <w:rPr>
          <w:rFonts w:hint="eastAsia" w:ascii="宋体" w:hAnsi="宋体" w:cs="宋体"/>
          <w:color w:val="auto"/>
          <w:sz w:val="24"/>
          <w:highlight w:val="none"/>
          <w:lang w:eastAsia="zh-CN"/>
        </w:rPr>
        <w:t>采购项目</w:t>
      </w:r>
      <w:r>
        <w:rPr>
          <w:rFonts w:hint="eastAsia" w:ascii="宋体" w:hAnsi="宋体" w:eastAsia="宋体" w:cs="宋体"/>
          <w:color w:val="auto"/>
          <w:sz w:val="24"/>
          <w:highlight w:val="none"/>
        </w:rPr>
        <w:t>的技术（服务）指标、参数和技术（服务）要求做出的实质性响应和满足。投标人的技术（服务）应答应包括下列内容：</w:t>
      </w:r>
    </w:p>
    <w:p w14:paraId="7C2E5CA7">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（1）技术（服务）应答表；</w:t>
      </w:r>
    </w:p>
    <w:p w14:paraId="2EB5D3EE">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（2）投标人本项目管理、技术、服务人员情况表；</w:t>
      </w:r>
    </w:p>
    <w:p w14:paraId="52992E3D">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（3）技术培训方案；</w:t>
      </w:r>
    </w:p>
    <w:p w14:paraId="767B1D91">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（4）售后服务方案；</w:t>
      </w:r>
    </w:p>
    <w:p w14:paraId="19ABFBDD">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（5）投标人认为需要提供的文件和资料。</w:t>
      </w:r>
    </w:p>
    <w:p w14:paraId="19FD2375">
      <w:pPr>
        <w:shd w:val="clear"/>
        <w:spacing w:line="360" w:lineRule="auto"/>
        <w:ind w:firstLine="352" w:firstLineChars="147"/>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（三）</w:t>
      </w:r>
      <w:r>
        <w:rPr>
          <w:rFonts w:hint="eastAsia" w:ascii="宋体" w:hAnsi="宋体" w:eastAsia="宋体" w:cs="宋体"/>
          <w:b/>
          <w:bCs/>
          <w:color w:val="auto"/>
          <w:sz w:val="24"/>
          <w:highlight w:val="none"/>
        </w:rPr>
        <w:t>商务部分。</w:t>
      </w:r>
      <w:r>
        <w:rPr>
          <w:rFonts w:hint="eastAsia" w:ascii="宋体" w:hAnsi="宋体" w:eastAsia="宋体" w:cs="宋体"/>
          <w:bCs/>
          <w:color w:val="auto"/>
          <w:sz w:val="24"/>
          <w:highlight w:val="none"/>
        </w:rPr>
        <w:t>投标人</w:t>
      </w:r>
      <w:r>
        <w:rPr>
          <w:rFonts w:hint="eastAsia" w:ascii="宋体" w:hAnsi="宋体" w:eastAsia="宋体" w:cs="宋体"/>
          <w:color w:val="auto"/>
          <w:sz w:val="24"/>
          <w:highlight w:val="none"/>
        </w:rPr>
        <w:t>按照招标文件要求提供的有关证明材料及优惠承诺，包括以下内容：</w:t>
      </w:r>
    </w:p>
    <w:p w14:paraId="4E44B44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w:t>
      </w:r>
    </w:p>
    <w:p w14:paraId="5362C69D">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（2）承诺函；</w:t>
      </w:r>
    </w:p>
    <w:p w14:paraId="1721E502">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2"/>
          <w:highlight w:val="none"/>
        </w:rPr>
        <w:t>（3）开标一览表；</w:t>
      </w:r>
    </w:p>
    <w:p w14:paraId="1DBC279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（4）分项报价明细表；</w:t>
      </w:r>
    </w:p>
    <w:p w14:paraId="4F097ABF">
      <w:pPr>
        <w:shd w:val="clear"/>
        <w:tabs>
          <w:tab w:val="left" w:pos="540"/>
        </w:tabs>
        <w:spacing w:line="360" w:lineRule="auto"/>
        <w:ind w:left="1201" w:leftChars="229"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（5）投标人基本情况表；</w:t>
      </w:r>
    </w:p>
    <w:p w14:paraId="649CBC02">
      <w:pPr>
        <w:shd w:val="clear"/>
        <w:tabs>
          <w:tab w:val="left" w:pos="540"/>
        </w:tabs>
        <w:spacing w:line="360" w:lineRule="auto"/>
        <w:ind w:left="1260" w:leftChars="257"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szCs w:val="22"/>
          <w:highlight w:val="none"/>
        </w:rPr>
        <w:t>投标人本项目管理、技术、服务人员情况表；</w:t>
      </w:r>
    </w:p>
    <w:p w14:paraId="14E95229">
      <w:pPr>
        <w:shd w:val="clear"/>
        <w:tabs>
          <w:tab w:val="left" w:pos="540"/>
        </w:tabs>
        <w:spacing w:line="360" w:lineRule="auto"/>
        <w:ind w:left="1260" w:leftChars="257"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（7）商务应答表；</w:t>
      </w:r>
    </w:p>
    <w:p w14:paraId="70C39DAC">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（8）中小企业声明函；</w:t>
      </w:r>
    </w:p>
    <w:p w14:paraId="647A29A3">
      <w:pPr>
        <w:pStyle w:val="23"/>
        <w:shd w:val="clear"/>
        <w:rPr>
          <w:rFonts w:hint="eastAsia" w:ascii="宋体" w:hAnsi="宋体" w:eastAsia="宋体" w:cs="宋体"/>
          <w:color w:val="auto"/>
          <w:highlight w:val="none"/>
        </w:rPr>
      </w:pPr>
      <w:r>
        <w:rPr>
          <w:rFonts w:hint="eastAsia" w:ascii="宋体" w:hAnsi="宋体" w:eastAsia="宋体" w:cs="宋体"/>
          <w:color w:val="auto"/>
          <w:sz w:val="24"/>
          <w:szCs w:val="22"/>
          <w:highlight w:val="none"/>
        </w:rPr>
        <w:t xml:space="preserve">    （9）监狱企业证明材料；</w:t>
      </w:r>
    </w:p>
    <w:p w14:paraId="6E0DAB94">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2"/>
          <w:highlight w:val="none"/>
        </w:rPr>
        <w:t>（10）残疾人福利性单位声明函；</w:t>
      </w:r>
    </w:p>
    <w:p w14:paraId="38547CAF">
      <w:pPr>
        <w:shd w:val="clear"/>
        <w:tabs>
          <w:tab w:val="left" w:pos="540"/>
        </w:tabs>
        <w:spacing w:line="360" w:lineRule="auto"/>
        <w:ind w:left="585" w:leftChars="257" w:hanging="45" w:hangingChars="19"/>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11）投标人承诺给予招标采购单位的各种优惠条件（优惠条件事项不能包括采购项目本身所包含的采购事项。投标人不能以“赠送、赠予”等任何名义提供货物和服务以规避招标文件的约束。否则，投标人提供的投标文件将作为无效投标处</w:t>
      </w:r>
      <w:r>
        <w:rPr>
          <w:rFonts w:hint="eastAsia" w:ascii="宋体" w:hAnsi="宋体" w:eastAsia="宋体" w:cs="宋体"/>
          <w:color w:val="auto"/>
          <w:sz w:val="24"/>
          <w:szCs w:val="22"/>
          <w:highlight w:val="none"/>
        </w:rPr>
        <w:t>理，即使中标也将取消中标资格）（实质性要求）；</w:t>
      </w:r>
    </w:p>
    <w:p w14:paraId="387E5452">
      <w:pPr>
        <w:shd w:val="clear"/>
        <w:tabs>
          <w:tab w:val="left" w:pos="540"/>
        </w:tabs>
        <w:spacing w:line="360" w:lineRule="auto"/>
        <w:ind w:left="1260" w:leftChars="257"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（12）证明投标人业绩和荣誉的有关材料复印件；</w:t>
      </w:r>
    </w:p>
    <w:p w14:paraId="6B4801F1">
      <w:pPr>
        <w:shd w:val="clear"/>
        <w:tabs>
          <w:tab w:val="left" w:pos="540"/>
        </w:tabs>
        <w:spacing w:line="360" w:lineRule="auto"/>
        <w:ind w:left="1260" w:leftChars="257"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（13）其他投标人认为需要提供的文件和资料。</w:t>
      </w:r>
    </w:p>
    <w:p w14:paraId="722540BF">
      <w:pPr>
        <w:shd w:val="clea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（四）</w:t>
      </w:r>
      <w:r>
        <w:rPr>
          <w:rFonts w:hint="eastAsia" w:ascii="宋体" w:hAnsi="宋体" w:eastAsia="宋体" w:cs="宋体"/>
          <w:b/>
          <w:bCs/>
          <w:color w:val="auto"/>
          <w:sz w:val="24"/>
          <w:highlight w:val="none"/>
        </w:rPr>
        <w:t>其他部分。</w:t>
      </w:r>
      <w:r>
        <w:rPr>
          <w:rFonts w:hint="eastAsia" w:ascii="宋体" w:hAnsi="宋体" w:eastAsia="宋体" w:cs="宋体"/>
          <w:bCs/>
          <w:color w:val="auto"/>
          <w:sz w:val="24"/>
          <w:highlight w:val="none"/>
        </w:rPr>
        <w:t>投标人按照招标文件要求作出的其他应答和承诺。</w:t>
      </w:r>
    </w:p>
    <w:p w14:paraId="6C2FE033">
      <w:pPr>
        <w:pStyle w:val="4"/>
        <w:shd w:val="clear"/>
        <w:tabs>
          <w:tab w:val="left" w:pos="3480"/>
        </w:tabs>
        <w:spacing w:before="0" w:after="0" w:line="360" w:lineRule="auto"/>
        <w:ind w:firstLine="482" w:firstLineChars="200"/>
        <w:rPr>
          <w:rFonts w:hint="eastAsia" w:ascii="宋体" w:hAnsi="宋体" w:eastAsia="宋体" w:cs="宋体"/>
          <w:color w:val="auto"/>
          <w:sz w:val="24"/>
          <w:highlight w:val="none"/>
        </w:rPr>
      </w:pPr>
      <w:bookmarkStart w:id="138" w:name="_Toc217446049"/>
      <w:bookmarkStart w:id="139" w:name="_Toc183682355"/>
      <w:bookmarkStart w:id="140" w:name="_Toc426657548"/>
      <w:bookmarkStart w:id="141" w:name="_Toc426648216"/>
      <w:bookmarkStart w:id="142" w:name="_Toc183582218"/>
      <w:r>
        <w:rPr>
          <w:rFonts w:hint="eastAsia" w:ascii="宋体" w:hAnsi="宋体" w:eastAsia="宋体" w:cs="宋体"/>
          <w:color w:val="auto"/>
          <w:sz w:val="24"/>
          <w:highlight w:val="none"/>
        </w:rPr>
        <w:t>15．投标文件格式</w:t>
      </w:r>
      <w:bookmarkEnd w:id="138"/>
      <w:bookmarkEnd w:id="139"/>
      <w:bookmarkEnd w:id="140"/>
      <w:bookmarkEnd w:id="141"/>
      <w:bookmarkEnd w:id="142"/>
      <w:r>
        <w:rPr>
          <w:rFonts w:hint="eastAsia" w:ascii="宋体" w:hAnsi="宋体" w:eastAsia="宋体" w:cs="宋体"/>
          <w:color w:val="auto"/>
          <w:sz w:val="24"/>
          <w:highlight w:val="none"/>
        </w:rPr>
        <w:tab/>
      </w:r>
    </w:p>
    <w:p w14:paraId="73A7DD0B">
      <w:pPr>
        <w:shd w:val="clear"/>
        <w:tabs>
          <w:tab w:val="left" w:pos="7665"/>
        </w:tabs>
        <w:spacing w:line="360" w:lineRule="auto"/>
        <w:ind w:left="13" w:leftChars="6" w:firstLine="480" w:firstLineChars="200"/>
        <w:rPr>
          <w:rFonts w:hint="eastAsia" w:ascii="宋体" w:hAnsi="宋体" w:eastAsia="宋体" w:cs="宋体"/>
          <w:color w:val="auto"/>
          <w:sz w:val="24"/>
          <w:highlight w:val="none"/>
        </w:rPr>
      </w:pPr>
      <w:bookmarkStart w:id="143" w:name="_Toc426657549"/>
      <w:bookmarkStart w:id="144" w:name="_Toc426648217"/>
      <w:bookmarkStart w:id="145" w:name="_Toc217446050"/>
      <w:bookmarkStart w:id="146" w:name="_Toc183682360"/>
      <w:bookmarkStart w:id="147" w:name="_Toc183582223"/>
      <w:r>
        <w:rPr>
          <w:rFonts w:hint="eastAsia" w:ascii="宋体" w:hAnsi="宋体" w:eastAsia="宋体" w:cs="宋体"/>
          <w:color w:val="auto"/>
          <w:sz w:val="24"/>
          <w:highlight w:val="none"/>
        </w:rPr>
        <w:t>15.1 投标人应执行招标文件第三章的规定要求。</w:t>
      </w:r>
    </w:p>
    <w:p w14:paraId="26805E39">
      <w:pPr>
        <w:shd w:val="clear"/>
        <w:tabs>
          <w:tab w:val="left" w:pos="7665"/>
        </w:tabs>
        <w:spacing w:line="360" w:lineRule="auto"/>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对于没有格式要求的投标文件由投标人自行编写。</w:t>
      </w:r>
    </w:p>
    <w:p w14:paraId="135EF1E3">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16．投标保证金</w:t>
      </w:r>
      <w:bookmarkEnd w:id="143"/>
      <w:bookmarkEnd w:id="144"/>
      <w:bookmarkEnd w:id="145"/>
      <w:bookmarkEnd w:id="146"/>
      <w:bookmarkEnd w:id="147"/>
      <w:r>
        <w:rPr>
          <w:rFonts w:hint="eastAsia" w:ascii="宋体" w:hAnsi="宋体" w:eastAsia="宋体" w:cs="宋体"/>
          <w:b/>
          <w:color w:val="auto"/>
          <w:sz w:val="24"/>
          <w:highlight w:val="none"/>
        </w:rPr>
        <w:t>：</w:t>
      </w:r>
    </w:p>
    <w:p w14:paraId="5BF8DE4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投标人投标时，应按招标文件规定的数额及方式提交投标保证金，并作为其投标的一部分。</w:t>
      </w:r>
    </w:p>
    <w:p w14:paraId="4F0CDA1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投标保证金交款方式：详见投标人须知前附表。</w:t>
      </w:r>
    </w:p>
    <w:p w14:paraId="7283791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未中标人的投标保证金，将在中标通知书发出后5个工作日内退还。中标人的投标保证金，在合同签订生效后5个工作日内退还（注：①因投标人自身原因造成的保证金延迟退还或者投标人和采购代理机构书面协商可以延迟退还的，采购代理机构不承担相应责任；②投标人因涉嫌违法违规，按照规定应当不予退还保证金的，有关部门处理认定违法违规行为期间不计入退还保证金时限之内）；</w:t>
      </w:r>
    </w:p>
    <w:p w14:paraId="5DC7F70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发生下列情形之一的，采购代理机构将不予退还投标保证金：</w:t>
      </w:r>
    </w:p>
    <w:p w14:paraId="6B3914C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在招标文件规定的投标截止时间后撤回投标的；</w:t>
      </w:r>
    </w:p>
    <w:p w14:paraId="071097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在采购人确定中标人以前放弃中标候选资格的；</w:t>
      </w:r>
    </w:p>
    <w:p w14:paraId="2E905A7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中标后放弃中标、不领取或者不接收中标通知书的；</w:t>
      </w:r>
    </w:p>
    <w:p w14:paraId="0475EDF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由于中标人的原因未能按照招标文件的规定与采购人签订合同的；</w:t>
      </w:r>
    </w:p>
    <w:p w14:paraId="2932B17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由于中标人的原因未能按照招标文件的规定交纳履约保证金的；</w:t>
      </w:r>
    </w:p>
    <w:p w14:paraId="0B12DDC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投标人提供虚假资料的；</w:t>
      </w:r>
    </w:p>
    <w:p w14:paraId="6BC699F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 投标有效期内，投标人在政府采购活动中有违法、违规、违纪行为</w:t>
      </w:r>
      <w:r>
        <w:rPr>
          <w:rFonts w:hint="eastAsia" w:ascii="宋体" w:hAnsi="宋体" w:eastAsia="宋体" w:cs="宋体"/>
          <w:bCs/>
          <w:color w:val="auto"/>
          <w:sz w:val="24"/>
          <w:highlight w:val="none"/>
        </w:rPr>
        <w:t>。</w:t>
      </w:r>
    </w:p>
    <w:p w14:paraId="74A4C60A">
      <w:pPr>
        <w:pStyle w:val="4"/>
        <w:shd w:val="clear"/>
        <w:spacing w:before="0" w:after="0" w:line="360" w:lineRule="auto"/>
        <w:ind w:firstLine="482" w:firstLineChars="200"/>
        <w:rPr>
          <w:rFonts w:hint="eastAsia" w:ascii="宋体" w:hAnsi="宋体" w:eastAsia="宋体" w:cs="宋体"/>
          <w:bCs w:val="0"/>
          <w:color w:val="auto"/>
          <w:sz w:val="24"/>
          <w:highlight w:val="none"/>
        </w:rPr>
      </w:pPr>
      <w:bookmarkStart w:id="148" w:name="_Toc183682361"/>
      <w:bookmarkStart w:id="149" w:name="_Toc426657550"/>
      <w:bookmarkStart w:id="150" w:name="_Toc217446051"/>
      <w:bookmarkStart w:id="151" w:name="_Toc183582224"/>
      <w:bookmarkStart w:id="152" w:name="_Toc426648218"/>
      <w:r>
        <w:rPr>
          <w:rFonts w:hint="eastAsia" w:ascii="宋体" w:hAnsi="宋体" w:eastAsia="宋体" w:cs="宋体"/>
          <w:bCs w:val="0"/>
          <w:color w:val="auto"/>
          <w:sz w:val="24"/>
          <w:highlight w:val="none"/>
        </w:rPr>
        <w:t>17．投标有效期</w:t>
      </w:r>
      <w:bookmarkEnd w:id="148"/>
      <w:bookmarkEnd w:id="149"/>
      <w:bookmarkEnd w:id="150"/>
      <w:bookmarkEnd w:id="151"/>
      <w:bookmarkEnd w:id="152"/>
      <w:r>
        <w:rPr>
          <w:rFonts w:hint="eastAsia" w:ascii="宋体" w:hAnsi="宋体" w:eastAsia="宋体" w:cs="宋体"/>
          <w:bCs w:val="0"/>
          <w:color w:val="auto"/>
          <w:sz w:val="24"/>
          <w:highlight w:val="none"/>
        </w:rPr>
        <w:t>（实质性要求）</w:t>
      </w:r>
    </w:p>
    <w:p w14:paraId="0DA82156">
      <w:pPr>
        <w:shd w:val="clear"/>
        <w:tabs>
          <w:tab w:val="left" w:pos="7665"/>
        </w:tabs>
        <w:spacing w:line="360" w:lineRule="auto"/>
        <w:ind w:firstLine="480" w:firstLineChars="200"/>
        <w:rPr>
          <w:rFonts w:hint="eastAsia" w:ascii="宋体" w:hAnsi="宋体" w:eastAsia="宋体" w:cs="宋体"/>
          <w:color w:val="auto"/>
          <w:sz w:val="24"/>
          <w:highlight w:val="none"/>
        </w:rPr>
      </w:pPr>
      <w:bookmarkStart w:id="153" w:name="_Toc183682362"/>
      <w:bookmarkStart w:id="154" w:name="_Toc217446052"/>
      <w:bookmarkStart w:id="155" w:name="_Toc426648219"/>
      <w:bookmarkStart w:id="156" w:name="_Toc426657551"/>
      <w:bookmarkStart w:id="157" w:name="_Toc183582225"/>
      <w:r>
        <w:rPr>
          <w:rFonts w:hint="eastAsia" w:ascii="宋体" w:hAnsi="宋体" w:eastAsia="宋体" w:cs="宋体"/>
          <w:color w:val="auto"/>
          <w:sz w:val="24"/>
          <w:highlight w:val="none"/>
        </w:rPr>
        <w:t>17.1投标有效期见投标人须知前附表。投标人投标文件中必须载明投标有效期，投标文件中载明的投标有效期可以长于招标文件规定的期限，但不得短于招标文件规定的期限。否则，其投标文件将作为无效投标处理。</w:t>
      </w:r>
    </w:p>
    <w:p w14:paraId="52D35D1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53F73F0D">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49CB68FF">
      <w:pPr>
        <w:pStyle w:val="4"/>
        <w:shd w:val="clear"/>
        <w:spacing w:before="0" w:after="0" w:line="360" w:lineRule="auto"/>
        <w:ind w:firstLine="482" w:firstLineChars="20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18．投标文件的印制和签署</w:t>
      </w:r>
      <w:bookmarkEnd w:id="153"/>
      <w:bookmarkEnd w:id="154"/>
      <w:bookmarkEnd w:id="155"/>
      <w:bookmarkEnd w:id="156"/>
      <w:bookmarkEnd w:id="157"/>
    </w:p>
    <w:p w14:paraId="50C59E1A">
      <w:pPr>
        <w:shd w:val="clear"/>
        <w:tabs>
          <w:tab w:val="left" w:pos="1080"/>
        </w:tabs>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投标人应当准备</w:t>
      </w:r>
      <w:r>
        <w:rPr>
          <w:rFonts w:hint="eastAsia" w:ascii="宋体" w:hAnsi="宋体" w:eastAsia="宋体" w:cs="宋体"/>
          <w:b/>
          <w:bCs/>
          <w:color w:val="auto"/>
          <w:sz w:val="24"/>
          <w:szCs w:val="24"/>
          <w:highlight w:val="none"/>
        </w:rPr>
        <w:t>资格性投标文件</w:t>
      </w:r>
      <w:r>
        <w:rPr>
          <w:rFonts w:hint="eastAsia" w:ascii="宋体" w:hAnsi="宋体" w:eastAsia="宋体" w:cs="宋体"/>
          <w:color w:val="auto"/>
          <w:sz w:val="24"/>
          <w:szCs w:val="24"/>
          <w:highlight w:val="none"/>
        </w:rPr>
        <w:t>正本1份、副本1份、</w:t>
      </w:r>
      <w:r>
        <w:rPr>
          <w:rFonts w:hint="eastAsia" w:ascii="宋体" w:hAnsi="宋体" w:eastAsia="宋体" w:cs="宋体"/>
          <w:b/>
          <w:bCs/>
          <w:color w:val="auto"/>
          <w:sz w:val="24"/>
          <w:szCs w:val="24"/>
          <w:highlight w:val="none"/>
        </w:rPr>
        <w:t>其它响应性投标文件</w:t>
      </w:r>
      <w:r>
        <w:rPr>
          <w:rFonts w:hint="eastAsia" w:ascii="宋体" w:hAnsi="宋体" w:eastAsia="宋体" w:cs="宋体"/>
          <w:color w:val="auto"/>
          <w:sz w:val="24"/>
          <w:szCs w:val="24"/>
          <w:highlight w:val="none"/>
        </w:rPr>
        <w:t>正本1份、副本1份和相应的</w:t>
      </w:r>
      <w:r>
        <w:rPr>
          <w:rFonts w:hint="eastAsia" w:ascii="宋体" w:hAnsi="宋体" w:eastAsia="宋体" w:cs="宋体"/>
          <w:b/>
          <w:bCs/>
          <w:color w:val="auto"/>
          <w:sz w:val="24"/>
          <w:szCs w:val="24"/>
          <w:highlight w:val="none"/>
        </w:rPr>
        <w:t>电子文档（U盘）</w:t>
      </w:r>
      <w:r>
        <w:rPr>
          <w:rFonts w:hint="eastAsia" w:ascii="宋体" w:hAnsi="宋体" w:eastAsia="宋体" w:cs="宋体"/>
          <w:color w:val="auto"/>
          <w:sz w:val="24"/>
          <w:szCs w:val="24"/>
          <w:highlight w:val="none"/>
        </w:rPr>
        <w:t>1份，以及用于开标唱标单独提交的</w:t>
      </w:r>
      <w:r>
        <w:rPr>
          <w:rFonts w:hint="eastAsia" w:ascii="宋体" w:hAnsi="宋体" w:eastAsia="宋体" w:cs="宋体"/>
          <w:b/>
          <w:bCs/>
          <w:color w:val="auto"/>
          <w:sz w:val="24"/>
          <w:szCs w:val="24"/>
          <w:highlight w:val="none"/>
        </w:rPr>
        <w:t>“开标一览表”</w:t>
      </w:r>
      <w:r>
        <w:rPr>
          <w:rFonts w:hint="eastAsia" w:ascii="宋体" w:hAnsi="宋体" w:eastAsia="宋体" w:cs="宋体"/>
          <w:color w:val="auto"/>
          <w:sz w:val="24"/>
          <w:szCs w:val="24"/>
          <w:highlight w:val="none"/>
        </w:rPr>
        <w:t>1份。投标文件的正本和副本应在其封面右上角清楚地标明“正本”或“副本”字样。若正本和副本有不一致的内容，以正本书面投标文件为准。</w:t>
      </w:r>
    </w:p>
    <w:p w14:paraId="76B10E92">
      <w:pPr>
        <w:shd w:val="clear"/>
        <w:tabs>
          <w:tab w:val="left" w:pos="1095"/>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18.2 投标文件的正本和副本均需打印或用不褪色、不变质的墨水书写，并由投标人的法定代表人或其授权代表在规定签章处签字和盖章。投标文件副本可采用正本的复印件，电子文档采用U盘制作。用于开标唱标单独提交的“开标一览表”应为原件。</w:t>
      </w:r>
    </w:p>
    <w:p w14:paraId="7B0EEB6D">
      <w:pPr>
        <w:shd w:val="clear"/>
        <w:tabs>
          <w:tab w:val="left" w:pos="1095"/>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18.3 投标文件的打印和书写应清楚工整，任何行间插字、涂改或增删，必须由投标人的法定代表人或其授权代表签字或盖个人印鉴。字迹潦草、表达不清或可能导致非唯一理解的投标文件可能视为无效投标。</w:t>
      </w:r>
    </w:p>
    <w:p w14:paraId="48047DD9">
      <w:pPr>
        <w:shd w:val="clea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18.4投标文件正本和副本应当采取胶装方式装订成册，不得散装或者合页装订。</w:t>
      </w:r>
    </w:p>
    <w:p w14:paraId="2B1328C3">
      <w:pPr>
        <w:shd w:val="clear"/>
        <w:tabs>
          <w:tab w:val="left" w:pos="1080"/>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18.5 投标文件应根据招标文件的要求制作，签署、盖章和内容应完整，如有遗漏，将被视为无效投标。</w:t>
      </w:r>
    </w:p>
    <w:p w14:paraId="2D088ABB">
      <w:pPr>
        <w:shd w:val="clear"/>
        <w:tabs>
          <w:tab w:val="left" w:pos="1080"/>
        </w:tabs>
        <w:spacing w:line="360" w:lineRule="auto"/>
        <w:ind w:firstLine="458" w:firstLineChars="191"/>
        <w:rPr>
          <w:rFonts w:hint="eastAsia" w:ascii="宋体" w:hAnsi="宋体" w:eastAsia="宋体" w:cs="宋体"/>
          <w:color w:val="auto"/>
          <w:sz w:val="24"/>
          <w:highlight w:val="none"/>
        </w:rPr>
      </w:pPr>
      <w:r>
        <w:rPr>
          <w:rFonts w:hint="eastAsia" w:ascii="宋体" w:hAnsi="宋体" w:eastAsia="宋体" w:cs="宋体"/>
          <w:color w:val="auto"/>
          <w:sz w:val="24"/>
          <w:highlight w:val="none"/>
        </w:rPr>
        <w:t>18.6 投标文件统一用A4幅面纸印制。（生产厂家的白皮书、宣传资料、彩页资料等除外）</w:t>
      </w:r>
    </w:p>
    <w:p w14:paraId="791F9180">
      <w:pPr>
        <w:pStyle w:val="4"/>
        <w:shd w:val="clear"/>
        <w:spacing w:before="0" w:after="0" w:line="360" w:lineRule="auto"/>
        <w:ind w:firstLine="482" w:firstLineChars="200"/>
        <w:rPr>
          <w:rFonts w:hint="eastAsia" w:ascii="宋体" w:hAnsi="宋体" w:eastAsia="宋体" w:cs="宋体"/>
          <w:color w:val="auto"/>
          <w:sz w:val="24"/>
          <w:szCs w:val="24"/>
          <w:highlight w:val="none"/>
        </w:rPr>
      </w:pPr>
      <w:bookmarkStart w:id="158" w:name="_Toc183582226"/>
      <w:bookmarkStart w:id="159" w:name="_Toc183682363"/>
      <w:bookmarkStart w:id="160" w:name="_Toc89075877"/>
      <w:bookmarkStart w:id="161" w:name="_Toc77400781"/>
      <w:bookmarkStart w:id="162" w:name="_Toc426648220"/>
      <w:bookmarkStart w:id="163" w:name="_Toc426657552"/>
      <w:bookmarkStart w:id="164" w:name="_Toc217446053"/>
      <w:r>
        <w:rPr>
          <w:rFonts w:hint="eastAsia" w:ascii="宋体" w:hAnsi="宋体" w:eastAsia="宋体" w:cs="宋体"/>
          <w:bCs w:val="0"/>
          <w:color w:val="auto"/>
          <w:sz w:val="24"/>
          <w:szCs w:val="24"/>
          <w:highlight w:val="none"/>
        </w:rPr>
        <w:t xml:space="preserve">19. </w:t>
      </w:r>
      <w:r>
        <w:rPr>
          <w:rFonts w:hint="eastAsia" w:ascii="宋体" w:hAnsi="宋体" w:eastAsia="宋体" w:cs="宋体"/>
          <w:color w:val="auto"/>
          <w:sz w:val="24"/>
          <w:szCs w:val="24"/>
          <w:highlight w:val="none"/>
        </w:rPr>
        <w:t>投标文件的密封和标</w:t>
      </w:r>
      <w:bookmarkEnd w:id="158"/>
      <w:bookmarkEnd w:id="159"/>
      <w:bookmarkEnd w:id="160"/>
      <w:bookmarkEnd w:id="161"/>
      <w:r>
        <w:rPr>
          <w:rFonts w:hint="eastAsia" w:ascii="宋体" w:hAnsi="宋体" w:eastAsia="宋体" w:cs="宋体"/>
          <w:color w:val="auto"/>
          <w:sz w:val="24"/>
          <w:szCs w:val="24"/>
          <w:highlight w:val="none"/>
        </w:rPr>
        <w:t>注</w:t>
      </w:r>
      <w:bookmarkEnd w:id="162"/>
      <w:bookmarkEnd w:id="163"/>
      <w:bookmarkEnd w:id="164"/>
    </w:p>
    <w:p w14:paraId="7A76F0E4">
      <w:pPr>
        <w:shd w:val="clear"/>
        <w:tabs>
          <w:tab w:val="left" w:pos="1080"/>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4"/>
          <w:highlight w:val="none"/>
        </w:rPr>
        <w:t>19.1 投标人应在投标文件正本和所有副本的封面上注明投标人名称、采购编号、项目名称。</w:t>
      </w:r>
    </w:p>
    <w:p w14:paraId="06EC74D4">
      <w:pPr>
        <w:shd w:val="clear"/>
        <w:tabs>
          <w:tab w:val="left" w:pos="7665"/>
        </w:tabs>
        <w:overflowPunct w:val="0"/>
        <w:autoSpaceDE w:val="0"/>
        <w:autoSpaceDN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19.2投标文件包括正本、副本、电子文档和用于开标唱标单独提交的“开标一览表”。投标文件应当分开密封，分为4个密封袋，其中，</w:t>
      </w:r>
      <w:r>
        <w:rPr>
          <w:rFonts w:hint="eastAsia" w:ascii="宋体" w:hAnsi="宋体" w:eastAsia="宋体" w:cs="宋体"/>
          <w:b/>
          <w:color w:val="auto"/>
          <w:sz w:val="24"/>
          <w:highlight w:val="none"/>
        </w:rPr>
        <w:t>资格性投标文件</w:t>
      </w:r>
      <w:r>
        <w:rPr>
          <w:rFonts w:hint="eastAsia" w:ascii="宋体" w:hAnsi="宋体" w:eastAsia="宋体" w:cs="宋体"/>
          <w:color w:val="auto"/>
          <w:sz w:val="24"/>
          <w:highlight w:val="none"/>
        </w:rPr>
        <w:t>正本、副本一个封装，</w:t>
      </w:r>
      <w:r>
        <w:rPr>
          <w:rFonts w:hint="eastAsia" w:ascii="宋体" w:hAnsi="宋体" w:eastAsia="宋体" w:cs="宋体"/>
          <w:b/>
          <w:color w:val="auto"/>
          <w:sz w:val="24"/>
          <w:highlight w:val="none"/>
        </w:rPr>
        <w:t>其它响应性投标文件</w:t>
      </w:r>
      <w:r>
        <w:rPr>
          <w:rFonts w:hint="eastAsia" w:ascii="宋体" w:hAnsi="宋体" w:eastAsia="宋体" w:cs="宋体"/>
          <w:color w:val="auto"/>
          <w:sz w:val="24"/>
          <w:highlight w:val="none"/>
        </w:rPr>
        <w:t>正本、副本一个封装，投标文件电子文档（包含</w:t>
      </w:r>
      <w:r>
        <w:rPr>
          <w:rFonts w:hint="eastAsia" w:ascii="宋体" w:hAnsi="宋体" w:eastAsia="宋体" w:cs="宋体"/>
          <w:b/>
          <w:color w:val="auto"/>
          <w:sz w:val="24"/>
          <w:highlight w:val="none"/>
        </w:rPr>
        <w:t>资格性投标文件</w:t>
      </w:r>
      <w:r>
        <w:rPr>
          <w:rFonts w:hint="eastAsia" w:ascii="宋体" w:hAnsi="宋体" w:eastAsia="宋体" w:cs="宋体"/>
          <w:color w:val="auto"/>
          <w:sz w:val="24"/>
          <w:highlight w:val="none"/>
        </w:rPr>
        <w:t>和</w:t>
      </w:r>
      <w:r>
        <w:rPr>
          <w:rFonts w:hint="eastAsia" w:ascii="宋体" w:hAnsi="宋体" w:eastAsia="宋体" w:cs="宋体"/>
          <w:b/>
          <w:color w:val="auto"/>
          <w:sz w:val="24"/>
          <w:highlight w:val="none"/>
        </w:rPr>
        <w:t>其它响应性投标文件</w:t>
      </w:r>
      <w:r>
        <w:rPr>
          <w:rFonts w:hint="eastAsia" w:ascii="宋体" w:hAnsi="宋体" w:eastAsia="宋体" w:cs="宋体"/>
          <w:color w:val="auto"/>
          <w:sz w:val="24"/>
          <w:highlight w:val="none"/>
        </w:rPr>
        <w:t>）一个封装、用于开标唱标单独递交的“开标一览表”一个封装。投标文件的密封袋上应当注明投标人名称、资格性审查材料（或其它材料）、招标编号、项目名称及包号。</w:t>
      </w:r>
    </w:p>
    <w:p w14:paraId="5F0BC4C1">
      <w:pPr>
        <w:shd w:val="clear"/>
        <w:tabs>
          <w:tab w:val="left" w:pos="7665"/>
        </w:tabs>
        <w:overflowPunct w:val="0"/>
        <w:autoSpaceDE w:val="0"/>
        <w:autoSpaceDN w:val="0"/>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 所有外层密封袋的封口处应粘贴牢固，并加盖密封章（投标人印章）。</w:t>
      </w:r>
    </w:p>
    <w:p w14:paraId="48CEC98F">
      <w:pPr>
        <w:pStyle w:val="4"/>
        <w:shd w:val="clear"/>
        <w:spacing w:before="0" w:after="0" w:line="360" w:lineRule="auto"/>
        <w:ind w:firstLine="482" w:firstLineChars="200"/>
        <w:rPr>
          <w:rFonts w:hint="eastAsia" w:ascii="宋体" w:hAnsi="宋体" w:eastAsia="宋体" w:cs="宋体"/>
          <w:bCs w:val="0"/>
          <w:color w:val="auto"/>
          <w:sz w:val="24"/>
          <w:szCs w:val="24"/>
          <w:highlight w:val="none"/>
        </w:rPr>
      </w:pPr>
      <w:bookmarkStart w:id="165" w:name="_Toc183582227"/>
      <w:bookmarkStart w:id="166" w:name="_Toc183682364"/>
      <w:bookmarkStart w:id="167" w:name="_Toc217446054"/>
      <w:bookmarkStart w:id="168" w:name="_Toc426648221"/>
      <w:bookmarkStart w:id="169" w:name="_Toc426657553"/>
      <w:r>
        <w:rPr>
          <w:rFonts w:hint="eastAsia" w:ascii="宋体" w:hAnsi="宋体" w:eastAsia="宋体" w:cs="宋体"/>
          <w:bCs w:val="0"/>
          <w:color w:val="auto"/>
          <w:sz w:val="24"/>
          <w:szCs w:val="24"/>
          <w:highlight w:val="none"/>
        </w:rPr>
        <w:t>20</w:t>
      </w:r>
      <w:r>
        <w:rPr>
          <w:rFonts w:hint="eastAsia" w:ascii="宋体" w:hAnsi="宋体" w:eastAsia="宋体" w:cs="宋体"/>
          <w:bCs w:val="0"/>
          <w:color w:val="auto"/>
          <w:sz w:val="28"/>
          <w:szCs w:val="28"/>
          <w:highlight w:val="none"/>
        </w:rPr>
        <w:t>．</w:t>
      </w:r>
      <w:r>
        <w:rPr>
          <w:rFonts w:hint="eastAsia" w:ascii="宋体" w:hAnsi="宋体" w:eastAsia="宋体" w:cs="宋体"/>
          <w:bCs w:val="0"/>
          <w:color w:val="auto"/>
          <w:sz w:val="24"/>
          <w:szCs w:val="24"/>
          <w:highlight w:val="none"/>
        </w:rPr>
        <w:t>投标文件的</w:t>
      </w:r>
      <w:bookmarkEnd w:id="165"/>
      <w:bookmarkEnd w:id="166"/>
      <w:r>
        <w:rPr>
          <w:rFonts w:hint="eastAsia" w:ascii="宋体" w:hAnsi="宋体" w:eastAsia="宋体" w:cs="宋体"/>
          <w:bCs w:val="0"/>
          <w:color w:val="auto"/>
          <w:sz w:val="24"/>
          <w:szCs w:val="24"/>
          <w:highlight w:val="none"/>
        </w:rPr>
        <w:t>递交</w:t>
      </w:r>
      <w:bookmarkEnd w:id="167"/>
      <w:bookmarkEnd w:id="168"/>
      <w:bookmarkEnd w:id="169"/>
    </w:p>
    <w:p w14:paraId="581ED575">
      <w:pPr>
        <w:shd w:val="clear"/>
        <w:tabs>
          <w:tab w:val="left" w:pos="1095"/>
        </w:tabs>
        <w:spacing w:line="360" w:lineRule="auto"/>
        <w:ind w:firstLine="460" w:firstLineChars="192"/>
        <w:rPr>
          <w:rFonts w:hint="eastAsia" w:ascii="宋体" w:hAnsi="宋体" w:eastAsia="宋体" w:cs="宋体"/>
          <w:color w:val="auto"/>
          <w:sz w:val="24"/>
          <w:highlight w:val="none"/>
        </w:rPr>
      </w:pPr>
      <w:bookmarkStart w:id="170" w:name="_Toc183582228"/>
      <w:bookmarkStart w:id="171" w:name="_Toc183682365"/>
      <w:bookmarkStart w:id="172" w:name="_Toc426648222"/>
      <w:bookmarkStart w:id="173" w:name="_Toc217446055"/>
      <w:bookmarkStart w:id="174" w:name="_Toc426657554"/>
      <w:r>
        <w:rPr>
          <w:rFonts w:hint="eastAsia" w:ascii="宋体" w:hAnsi="宋体" w:eastAsia="宋体" w:cs="宋体"/>
          <w:color w:val="auto"/>
          <w:sz w:val="24"/>
          <w:highlight w:val="none"/>
        </w:rPr>
        <w:t>20.1 投标人应在招标文件规定的投标截止时间前，将投标文件按招标文件的规定密封后送达开标地点。投标截止时间以后送达的投标文件将不予接收。</w:t>
      </w:r>
    </w:p>
    <w:p w14:paraId="347D1E3E">
      <w:pPr>
        <w:shd w:val="clear"/>
        <w:tabs>
          <w:tab w:val="left" w:pos="1095"/>
        </w:tabs>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20.2递交投标文件时，报名投标人名称和招标文件的编号应当与投标投标人名称和招标文件的编号一致。但是，投标文件实质内容报名投标人名称和招标文件的编号一致，只是封面文字错误的，可以在评标过程中当面予以澄清，以有效的澄清材料作为认定投标文件是否有效的依据。</w:t>
      </w:r>
    </w:p>
    <w:p w14:paraId="25C7019C">
      <w:pPr>
        <w:pStyle w:val="4"/>
        <w:shd w:val="clear"/>
        <w:spacing w:before="0" w:after="0" w:line="360" w:lineRule="auto"/>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20.3本次招标不接收邮寄的投标文件。</w:t>
      </w:r>
    </w:p>
    <w:p w14:paraId="732F2FFA">
      <w:pPr>
        <w:pStyle w:val="4"/>
        <w:shd w:val="clear"/>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21．投标文件的修改和撤</w:t>
      </w:r>
      <w:bookmarkEnd w:id="170"/>
      <w:bookmarkEnd w:id="171"/>
      <w:r>
        <w:rPr>
          <w:rFonts w:hint="eastAsia" w:ascii="宋体" w:hAnsi="宋体" w:eastAsia="宋体" w:cs="宋体"/>
          <w:bCs w:val="0"/>
          <w:color w:val="auto"/>
          <w:sz w:val="24"/>
          <w:szCs w:val="24"/>
          <w:highlight w:val="none"/>
        </w:rPr>
        <w:t>回</w:t>
      </w:r>
      <w:bookmarkEnd w:id="172"/>
      <w:bookmarkEnd w:id="173"/>
      <w:bookmarkEnd w:id="174"/>
    </w:p>
    <w:p w14:paraId="42561B4F">
      <w:pPr>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 投标人在递交了投标文件后，可以修改或撤回其投标文件，但必须在规定的投标截止时间前，以书面形式通知采购代理机构。</w:t>
      </w:r>
    </w:p>
    <w:p w14:paraId="42722E36">
      <w:pPr>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 投标人的修改书或撤回通知书，应由其法定代表人或授权代表签署并盖单位印章。修改书应按投标须知第19条规定进行密封和标注，并在密封袋上标注“修改”字样。</w:t>
      </w:r>
    </w:p>
    <w:p w14:paraId="7907F554">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21.3 在投标截止时间之后，投标人不得对其递交的投标文件做任何修改，撤回投标的，将按照有关规定进行相应处理。</w:t>
      </w:r>
    </w:p>
    <w:p w14:paraId="03EA47BA">
      <w:pPr>
        <w:pStyle w:val="3"/>
        <w:shd w:val="clear"/>
        <w:spacing w:before="0" w:after="0" w:line="360" w:lineRule="auto"/>
        <w:jc w:val="center"/>
        <w:rPr>
          <w:rFonts w:hint="eastAsia" w:ascii="宋体" w:hAnsi="宋体" w:eastAsia="宋体" w:cs="宋体"/>
          <w:color w:val="auto"/>
          <w:highlight w:val="none"/>
        </w:rPr>
      </w:pPr>
      <w:bookmarkStart w:id="175" w:name="_Toc426657555"/>
      <w:bookmarkStart w:id="176" w:name="_Toc3173"/>
      <w:bookmarkStart w:id="177" w:name="_Toc2118"/>
      <w:r>
        <w:rPr>
          <w:rFonts w:hint="eastAsia" w:ascii="宋体" w:hAnsi="宋体" w:eastAsia="宋体" w:cs="宋体"/>
          <w:color w:val="auto"/>
          <w:highlight w:val="none"/>
        </w:rPr>
        <w:t>五、开标、中标</w:t>
      </w:r>
      <w:bookmarkEnd w:id="89"/>
      <w:bookmarkEnd w:id="90"/>
      <w:bookmarkEnd w:id="91"/>
      <w:bookmarkEnd w:id="92"/>
      <w:bookmarkEnd w:id="93"/>
      <w:bookmarkEnd w:id="175"/>
      <w:bookmarkEnd w:id="176"/>
      <w:bookmarkEnd w:id="177"/>
    </w:p>
    <w:p w14:paraId="744FE6D7">
      <w:pPr>
        <w:pStyle w:val="4"/>
        <w:shd w:val="clear"/>
        <w:spacing w:before="0" w:after="0" w:line="360" w:lineRule="auto"/>
        <w:ind w:firstLine="482" w:firstLineChars="200"/>
        <w:rPr>
          <w:rFonts w:hint="eastAsia" w:ascii="宋体" w:hAnsi="宋体" w:eastAsia="宋体" w:cs="宋体"/>
          <w:bCs w:val="0"/>
          <w:color w:val="auto"/>
          <w:sz w:val="24"/>
          <w:highlight w:val="none"/>
        </w:rPr>
      </w:pPr>
      <w:bookmarkStart w:id="178" w:name="_Toc426657556"/>
      <w:bookmarkStart w:id="179" w:name="_Toc183682369"/>
      <w:bookmarkStart w:id="180" w:name="_Toc217446057"/>
      <w:bookmarkStart w:id="181" w:name="_Toc426648224"/>
      <w:bookmarkStart w:id="182" w:name="_Toc183582232"/>
      <w:r>
        <w:rPr>
          <w:rFonts w:hint="eastAsia" w:ascii="宋体" w:hAnsi="宋体" w:eastAsia="宋体" w:cs="宋体"/>
          <w:bCs w:val="0"/>
          <w:color w:val="auto"/>
          <w:sz w:val="24"/>
          <w:highlight w:val="none"/>
        </w:rPr>
        <w:t>22</w:t>
      </w:r>
      <w:r>
        <w:rPr>
          <w:rFonts w:hint="eastAsia" w:ascii="宋体" w:hAnsi="宋体" w:eastAsia="宋体" w:cs="宋体"/>
          <w:color w:val="auto"/>
          <w:sz w:val="24"/>
          <w:highlight w:val="none"/>
        </w:rPr>
        <w:t>．</w:t>
      </w:r>
      <w:r>
        <w:rPr>
          <w:rFonts w:hint="eastAsia" w:ascii="宋体" w:hAnsi="宋体" w:eastAsia="宋体" w:cs="宋体"/>
          <w:bCs w:val="0"/>
          <w:color w:val="auto"/>
          <w:sz w:val="24"/>
          <w:highlight w:val="none"/>
        </w:rPr>
        <w:t>开标</w:t>
      </w:r>
      <w:bookmarkEnd w:id="178"/>
      <w:bookmarkEnd w:id="179"/>
      <w:bookmarkEnd w:id="180"/>
      <w:bookmarkEnd w:id="181"/>
      <w:bookmarkEnd w:id="182"/>
    </w:p>
    <w:p w14:paraId="433A33C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 开标在招标文件规定的时间和地点公开进行，采购人、投标人须派代表参加并签到以证明其出席。开标由采购代理机构主持，采购人、投标人代表参加。评标专家不参加开标活动。</w:t>
      </w:r>
    </w:p>
    <w:p w14:paraId="73435AA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 开标时，可能根据具体情况邀请有关监督管理部门对开标活动进行现场监督。</w:t>
      </w:r>
    </w:p>
    <w:p w14:paraId="60D81CD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14:paraId="371CBE72">
      <w:p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14:paraId="0BD88B49">
      <w:p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14:paraId="2FFFA4B2">
      <w:p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 投标文件中有关明细表内容与“开标一览表”不一致的，以“开标一览表”为准。对不同文字文本投标文件的解释发生异议的，以中文文本为准。</w:t>
      </w:r>
    </w:p>
    <w:p w14:paraId="410D8CD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 所有投标唱标完毕，如投标人代表对宣读的“开标一览表”上的内容有异议的，应在获得开标会主持人同意后当场提出。如确实属于唱标人员宣读错了的，经现场监督人员核实后，当场予以更正。</w:t>
      </w:r>
    </w:p>
    <w:p w14:paraId="449AB7DC">
      <w:pPr>
        <w:pStyle w:val="4"/>
        <w:shd w:val="clear"/>
        <w:spacing w:before="0" w:after="0" w:line="360" w:lineRule="auto"/>
        <w:ind w:firstLine="482" w:firstLineChars="200"/>
        <w:rPr>
          <w:rFonts w:hint="eastAsia" w:ascii="宋体" w:hAnsi="宋体" w:eastAsia="宋体" w:cs="宋体"/>
          <w:bCs w:val="0"/>
          <w:color w:val="auto"/>
          <w:sz w:val="24"/>
          <w:highlight w:val="none"/>
        </w:rPr>
      </w:pPr>
      <w:bookmarkStart w:id="183" w:name="_Toc426657557"/>
      <w:bookmarkStart w:id="184" w:name="_Toc217446058"/>
      <w:bookmarkStart w:id="185" w:name="_Toc426648225"/>
      <w:r>
        <w:rPr>
          <w:rFonts w:hint="eastAsia" w:ascii="宋体" w:hAnsi="宋体" w:eastAsia="宋体" w:cs="宋体"/>
          <w:bCs w:val="0"/>
          <w:color w:val="auto"/>
          <w:sz w:val="24"/>
          <w:highlight w:val="none"/>
        </w:rPr>
        <w:t>23</w:t>
      </w:r>
      <w:r>
        <w:rPr>
          <w:rFonts w:hint="eastAsia" w:ascii="宋体" w:hAnsi="宋体" w:eastAsia="宋体" w:cs="宋体"/>
          <w:color w:val="auto"/>
          <w:sz w:val="24"/>
          <w:highlight w:val="none"/>
        </w:rPr>
        <w:t>．</w:t>
      </w:r>
      <w:r>
        <w:rPr>
          <w:rFonts w:hint="eastAsia" w:ascii="宋体" w:hAnsi="宋体" w:eastAsia="宋体" w:cs="宋体"/>
          <w:bCs w:val="0"/>
          <w:color w:val="auto"/>
          <w:sz w:val="24"/>
          <w:highlight w:val="none"/>
        </w:rPr>
        <w:t>开标程序</w:t>
      </w:r>
      <w:bookmarkEnd w:id="183"/>
      <w:bookmarkEnd w:id="184"/>
      <w:bookmarkEnd w:id="185"/>
    </w:p>
    <w:p w14:paraId="4A164D34">
      <w:pPr>
        <w:shd w:val="clear"/>
        <w:spacing w:line="360" w:lineRule="auto"/>
        <w:ind w:firstLine="480" w:firstLineChars="200"/>
        <w:rPr>
          <w:rFonts w:hint="eastAsia" w:ascii="宋体" w:hAnsi="宋体" w:eastAsia="宋体" w:cs="宋体"/>
          <w:color w:val="auto"/>
          <w:sz w:val="24"/>
          <w:highlight w:val="none"/>
        </w:rPr>
      </w:pPr>
      <w:bookmarkStart w:id="186" w:name="_Toc426648226"/>
      <w:bookmarkStart w:id="187" w:name="_Toc183582238"/>
      <w:bookmarkStart w:id="188" w:name="_Toc426657558"/>
      <w:bookmarkStart w:id="189" w:name="_Toc217446063"/>
      <w:bookmarkStart w:id="190" w:name="_Toc183682375"/>
      <w:r>
        <w:rPr>
          <w:rFonts w:hint="eastAsia" w:ascii="宋体" w:hAnsi="宋体" w:eastAsia="宋体" w:cs="宋体"/>
          <w:color w:val="auto"/>
          <w:sz w:val="24"/>
          <w:highlight w:val="none"/>
        </w:rPr>
        <w:t>开标会主持人按照招标文件规定的开标时间宣布开标，按照规定要求主持开标会。开标将按以下程序进行：</w:t>
      </w:r>
    </w:p>
    <w:p w14:paraId="6F109BA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（1）宣布开标会开始。当众宣布参加开标会主持人、唱标人、会议记录人以及根据情况邀请的现场监督人等工作人员，根据“投标人签到表”宣布参加投标的投标人名单。</w:t>
      </w:r>
    </w:p>
    <w:p w14:paraId="0A06783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（2）宣布会场纪律和有关注意事项。</w:t>
      </w:r>
    </w:p>
    <w:p w14:paraId="0FAF1CF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（3）根据投标人或者其推选的代表对投标文件密封的检查结果，当众宣布投标文件的密封情况。</w:t>
      </w:r>
    </w:p>
    <w:p w14:paraId="26CCCF53">
      <w:pPr>
        <w:shd w:val="clear"/>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14:paraId="3543A11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代表对开标过程和开标记录有疑义，以及认为采购人、采购代理机构相关工作人员有需要回避的情形的，应当场提出询问或者回避申请。采购人、采购代理机构对投标人代表提出的询问或者回避申请应当及时处理。开标过程中未提出疑义或回避申请，事后提出的质疑将不予受理。</w:t>
      </w:r>
    </w:p>
    <w:p w14:paraId="0C8CD83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政府采购网上查询。</w:t>
      </w:r>
    </w:p>
    <w:p w14:paraId="1C31A9D4">
      <w:pPr>
        <w:keepNext/>
        <w:keepLines/>
        <w:shd w:val="clear"/>
        <w:spacing w:line="360" w:lineRule="auto"/>
        <w:ind w:firstLine="352" w:firstLineChars="14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投标人未参加开标的，视同认可开标结果。</w:t>
      </w:r>
    </w:p>
    <w:bookmarkEnd w:id="186"/>
    <w:bookmarkEnd w:id="187"/>
    <w:bookmarkEnd w:id="188"/>
    <w:bookmarkEnd w:id="189"/>
    <w:bookmarkEnd w:id="190"/>
    <w:p w14:paraId="32B068C8">
      <w:pPr>
        <w:pStyle w:val="4"/>
        <w:shd w:val="clear"/>
        <w:spacing w:before="0" w:after="0" w:line="360" w:lineRule="auto"/>
        <w:ind w:firstLine="482" w:firstLineChars="200"/>
        <w:rPr>
          <w:rFonts w:hint="eastAsia" w:ascii="宋体" w:hAnsi="宋体" w:eastAsia="宋体" w:cs="宋体"/>
          <w:color w:val="auto"/>
          <w:sz w:val="24"/>
          <w:szCs w:val="24"/>
          <w:highlight w:val="none"/>
        </w:rPr>
      </w:pPr>
      <w:bookmarkStart w:id="191" w:name="_Toc217446065"/>
      <w:bookmarkStart w:id="192" w:name="_Toc183582240"/>
      <w:bookmarkStart w:id="193" w:name="_Toc183682377"/>
      <w:r>
        <w:rPr>
          <w:rFonts w:hint="eastAsia" w:ascii="宋体" w:hAnsi="宋体" w:eastAsia="宋体" w:cs="宋体"/>
          <w:color w:val="auto"/>
          <w:sz w:val="24"/>
          <w:szCs w:val="24"/>
          <w:highlight w:val="none"/>
        </w:rPr>
        <w:t>24. 开评标过程存档</w:t>
      </w:r>
    </w:p>
    <w:p w14:paraId="5712B57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开标和评标过程进行全过程电子监控，并将电子监控资料存储介质留存归档。</w:t>
      </w:r>
    </w:p>
    <w:p w14:paraId="7900985C">
      <w:pPr>
        <w:pStyle w:val="4"/>
        <w:shd w:val="clear"/>
        <w:spacing w:before="0" w:after="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评标情况公告</w:t>
      </w:r>
    </w:p>
    <w:p w14:paraId="7555E28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所有投标人投标文件资格性、符合性检查情况、采用综合评分法时的总得分情况、评标结果等将在中国政府采购网上采购结果公告栏中予以公告。</w:t>
      </w:r>
    </w:p>
    <w:p w14:paraId="333A4FE4">
      <w:pPr>
        <w:pStyle w:val="4"/>
        <w:shd w:val="clear"/>
        <w:spacing w:before="0" w:after="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中标通知书</w:t>
      </w:r>
    </w:p>
    <w:p w14:paraId="18487CE2">
      <w:pPr>
        <w:shd w:val="clear"/>
        <w:tabs>
          <w:tab w:val="left" w:pos="7665"/>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1 中标通知书为签订政府采购合同的依据之一，是合同的有效组成部分。</w:t>
      </w:r>
    </w:p>
    <w:p w14:paraId="7710E806">
      <w:pPr>
        <w:shd w:val="clear"/>
        <w:tabs>
          <w:tab w:val="left" w:pos="7665"/>
        </w:tabs>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26.2 中标通知书对采购人和中标人均具有法律效力。中标通知书发出后，采购人改变中标结果，或者中标人无正当理由放弃中标的，应当承担相应的法律责任。</w:t>
      </w:r>
    </w:p>
    <w:p w14:paraId="7A5848CB">
      <w:pPr>
        <w:shd w:val="clear"/>
        <w:tabs>
          <w:tab w:val="left" w:pos="7665"/>
        </w:tabs>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34098045">
      <w:pPr>
        <w:shd w:val="clear"/>
        <w:tabs>
          <w:tab w:val="left" w:pos="7665"/>
        </w:tabs>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26.4中标公告发出后，中标人自行领取中标通知书的，可凭有效身份证明证件（单位介绍信和个人身份证）到采购代理机构处领取中标通知书。</w:t>
      </w:r>
    </w:p>
    <w:p w14:paraId="3D11F815">
      <w:pPr>
        <w:pStyle w:val="3"/>
        <w:shd w:val="clear"/>
        <w:spacing w:before="0" w:after="0" w:line="360" w:lineRule="auto"/>
        <w:jc w:val="center"/>
        <w:rPr>
          <w:rFonts w:hint="eastAsia" w:ascii="宋体" w:hAnsi="宋体" w:eastAsia="宋体" w:cs="宋体"/>
          <w:color w:val="auto"/>
          <w:highlight w:val="none"/>
        </w:rPr>
      </w:pPr>
      <w:bookmarkStart w:id="194" w:name="_Toc4831"/>
      <w:r>
        <w:rPr>
          <w:rFonts w:hint="eastAsia" w:ascii="宋体" w:hAnsi="宋体" w:eastAsia="宋体" w:cs="宋体"/>
          <w:color w:val="auto"/>
          <w:highlight w:val="none"/>
        </w:rPr>
        <w:t>六、签订及履行合同和验收</w:t>
      </w:r>
      <w:bookmarkEnd w:id="194"/>
    </w:p>
    <w:p w14:paraId="36E55A80">
      <w:pPr>
        <w:pStyle w:val="4"/>
        <w:shd w:val="clear"/>
        <w:spacing w:before="0" w:after="0" w:line="360" w:lineRule="auto"/>
        <w:ind w:firstLine="482" w:firstLineChars="200"/>
        <w:rPr>
          <w:rFonts w:hint="eastAsia" w:ascii="宋体" w:hAnsi="宋体" w:eastAsia="宋体" w:cs="宋体"/>
          <w:bCs w:val="0"/>
          <w:color w:val="auto"/>
          <w:sz w:val="24"/>
          <w:highlight w:val="none"/>
        </w:rPr>
      </w:pPr>
      <w:bookmarkStart w:id="195" w:name="_Toc426648228"/>
      <w:bookmarkStart w:id="196" w:name="_Toc426657560"/>
      <w:r>
        <w:rPr>
          <w:rFonts w:hint="eastAsia" w:ascii="宋体" w:hAnsi="宋体" w:eastAsia="宋体" w:cs="宋体"/>
          <w:bCs w:val="0"/>
          <w:color w:val="auto"/>
          <w:sz w:val="24"/>
          <w:highlight w:val="none"/>
        </w:rPr>
        <w:t>27</w:t>
      </w:r>
      <w:r>
        <w:rPr>
          <w:rFonts w:hint="eastAsia" w:ascii="宋体" w:hAnsi="宋体" w:eastAsia="宋体" w:cs="宋体"/>
          <w:color w:val="auto"/>
          <w:sz w:val="24"/>
          <w:highlight w:val="none"/>
        </w:rPr>
        <w:t>．</w:t>
      </w:r>
      <w:r>
        <w:rPr>
          <w:rFonts w:hint="eastAsia" w:ascii="宋体" w:hAnsi="宋体" w:eastAsia="宋体" w:cs="宋体"/>
          <w:bCs w:val="0"/>
          <w:color w:val="auto"/>
          <w:sz w:val="24"/>
          <w:highlight w:val="none"/>
        </w:rPr>
        <w:t>签订合同</w:t>
      </w:r>
      <w:bookmarkEnd w:id="191"/>
      <w:bookmarkEnd w:id="195"/>
      <w:bookmarkEnd w:id="196"/>
    </w:p>
    <w:p w14:paraId="0F91BD6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中标人在收到采购代理机构发出的《中标通知书》后，应在规定的时间内与采购人政府采购合同。由于中标人的原因逾期未与采购人签订采购合同的，将视为放弃中标，取消其中标资格并将按相关规定进行处理。</w:t>
      </w:r>
    </w:p>
    <w:p w14:paraId="5060E2AF">
      <w:pPr>
        <w:shd w:val="clea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27.2 采购人不得向中标人提出任何不合理的要求，作为签订合同的条件，不得与中标人私下订立背离合同实质性内容的任何协议，所签订的合同不得对招标文件和中标人投标文件作实质性修改。</w:t>
      </w:r>
    </w:p>
    <w:p w14:paraId="7EC01B71">
      <w:pPr>
        <w:shd w:val="clea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27.3中标人拒绝或因不可抗力原因不能履行采购合同或放弃中标的，采购人可以按照评标报告推荐的中标候选人名单排序，确定下一候选人为中标人，以此类推。也可以重新开展政府采购活动。</w:t>
      </w:r>
    </w:p>
    <w:p w14:paraId="2F43E12F">
      <w:pPr>
        <w:shd w:val="clear"/>
        <w:spacing w:line="360" w:lineRule="auto"/>
        <w:ind w:firstLine="420" w:firstLineChars="175"/>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27.4 中标人在合</w:t>
      </w:r>
      <w:r>
        <w:rPr>
          <w:rFonts w:hint="eastAsia" w:ascii="宋体" w:hAnsi="宋体" w:eastAsia="宋体" w:cs="宋体"/>
          <w:color w:val="auto"/>
          <w:sz w:val="24"/>
          <w:szCs w:val="22"/>
          <w:highlight w:val="none"/>
        </w:rPr>
        <w:t xml:space="preserve">同签订之后三个工作日内，将签订的合同（一份）送采购代理机构备案。  </w:t>
      </w:r>
    </w:p>
    <w:p w14:paraId="24AE40D6">
      <w:pPr>
        <w:pStyle w:val="4"/>
        <w:shd w:val="clear"/>
        <w:spacing w:before="0" w:after="0" w:line="360" w:lineRule="auto"/>
        <w:ind w:firstLine="482" w:firstLineChars="200"/>
        <w:rPr>
          <w:rFonts w:hint="eastAsia" w:ascii="宋体" w:hAnsi="宋体" w:eastAsia="宋体" w:cs="宋体"/>
          <w:bCs w:val="0"/>
          <w:color w:val="auto"/>
          <w:sz w:val="24"/>
          <w:highlight w:val="none"/>
        </w:rPr>
      </w:pPr>
      <w:bookmarkStart w:id="197" w:name="_Toc426657561"/>
      <w:bookmarkStart w:id="198" w:name="_Toc217446066"/>
      <w:bookmarkStart w:id="199" w:name="_Toc426648229"/>
      <w:r>
        <w:rPr>
          <w:rFonts w:hint="eastAsia" w:ascii="宋体" w:hAnsi="宋体" w:eastAsia="宋体" w:cs="宋体"/>
          <w:bCs w:val="0"/>
          <w:color w:val="auto"/>
          <w:sz w:val="24"/>
          <w:highlight w:val="none"/>
        </w:rPr>
        <w:t>28</w:t>
      </w:r>
      <w:r>
        <w:rPr>
          <w:rFonts w:hint="eastAsia" w:ascii="宋体" w:hAnsi="宋体" w:eastAsia="宋体" w:cs="宋体"/>
          <w:color w:val="auto"/>
          <w:sz w:val="24"/>
          <w:highlight w:val="none"/>
        </w:rPr>
        <w:t>．</w:t>
      </w:r>
      <w:r>
        <w:rPr>
          <w:rFonts w:hint="eastAsia" w:ascii="宋体" w:hAnsi="宋体" w:eastAsia="宋体" w:cs="宋体"/>
          <w:bCs w:val="0"/>
          <w:color w:val="auto"/>
          <w:sz w:val="24"/>
          <w:highlight w:val="none"/>
        </w:rPr>
        <w:t>合同分包</w:t>
      </w:r>
      <w:bookmarkEnd w:id="197"/>
      <w:bookmarkEnd w:id="198"/>
      <w:bookmarkEnd w:id="199"/>
      <w:r>
        <w:rPr>
          <w:rFonts w:hint="eastAsia" w:ascii="宋体" w:hAnsi="宋体" w:eastAsia="宋体" w:cs="宋体"/>
          <w:bCs w:val="0"/>
          <w:color w:val="auto"/>
          <w:sz w:val="24"/>
          <w:highlight w:val="none"/>
        </w:rPr>
        <w:t>（实质性要求）</w:t>
      </w:r>
    </w:p>
    <w:p w14:paraId="45E6146A">
      <w:pPr>
        <w:shd w:val="clear"/>
        <w:spacing w:line="360" w:lineRule="auto"/>
        <w:ind w:firstLine="571" w:firstLineChars="238"/>
        <w:rPr>
          <w:rFonts w:hint="eastAsia" w:ascii="宋体" w:hAnsi="宋体" w:eastAsia="宋体" w:cs="宋体"/>
          <w:color w:val="auto"/>
          <w:sz w:val="24"/>
          <w:highlight w:val="none"/>
        </w:rPr>
      </w:pPr>
      <w:bookmarkStart w:id="200" w:name="_Toc426657562"/>
      <w:bookmarkStart w:id="201" w:name="_Toc217446067"/>
      <w:bookmarkStart w:id="202" w:name="_Toc426648230"/>
      <w:r>
        <w:rPr>
          <w:rFonts w:hint="eastAsia" w:ascii="宋体" w:hAnsi="宋体" w:eastAsia="宋体" w:cs="宋体"/>
          <w:color w:val="auto"/>
          <w:sz w:val="24"/>
          <w:highlight w:val="none"/>
        </w:rPr>
        <w:t>本项目不允许合同分包</w:t>
      </w:r>
    </w:p>
    <w:p w14:paraId="2C019F8F">
      <w:pPr>
        <w:pStyle w:val="4"/>
        <w:shd w:val="clear"/>
        <w:spacing w:before="0" w:after="0" w:line="360" w:lineRule="auto"/>
        <w:ind w:firstLine="482" w:firstLineChars="20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29</w:t>
      </w:r>
      <w:r>
        <w:rPr>
          <w:rFonts w:hint="eastAsia" w:ascii="宋体" w:hAnsi="宋体" w:eastAsia="宋体" w:cs="宋体"/>
          <w:color w:val="auto"/>
          <w:sz w:val="24"/>
          <w:highlight w:val="none"/>
        </w:rPr>
        <w:t>．</w:t>
      </w:r>
      <w:bookmarkEnd w:id="200"/>
      <w:bookmarkEnd w:id="201"/>
      <w:bookmarkEnd w:id="202"/>
      <w:r>
        <w:rPr>
          <w:rFonts w:hint="eastAsia" w:ascii="宋体" w:hAnsi="宋体" w:eastAsia="宋体" w:cs="宋体"/>
          <w:bCs w:val="0"/>
          <w:color w:val="auto"/>
          <w:sz w:val="24"/>
          <w:highlight w:val="none"/>
        </w:rPr>
        <w:t>合同转包（实质性要求）</w:t>
      </w:r>
    </w:p>
    <w:p w14:paraId="27C2A850">
      <w:pPr>
        <w:shd w:val="clear"/>
        <w:adjustRightInd w:val="0"/>
        <w:snapToGrid w:val="0"/>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4E7BD452">
      <w:pPr>
        <w:shd w:val="clear"/>
        <w:adjustRightInd w:val="0"/>
        <w:snapToGrid w:val="0"/>
        <w:spacing w:line="360" w:lineRule="auto"/>
        <w:ind w:firstLine="540" w:firstLineChars="225"/>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中标人转包的，视同拒绝履行政府采购合同义务，将依法追究法律责任。</w:t>
      </w:r>
      <w:bookmarkStart w:id="203" w:name="_Toc217446068"/>
    </w:p>
    <w:bookmarkEnd w:id="203"/>
    <w:p w14:paraId="38B7AF6A">
      <w:pPr>
        <w:numPr>
          <w:ilvl w:val="0"/>
          <w:numId w:val="9"/>
        </w:numPr>
        <w:shd w:val="clear"/>
        <w:adjustRightInd w:val="0"/>
        <w:snapToGrid w:val="0"/>
        <w:spacing w:line="360" w:lineRule="auto"/>
        <w:ind w:firstLine="542" w:firstLineChars="225"/>
        <w:rPr>
          <w:rFonts w:hint="eastAsia" w:ascii="宋体" w:hAnsi="宋体" w:eastAsia="宋体" w:cs="宋体"/>
          <w:b/>
          <w:bCs/>
          <w:color w:val="auto"/>
          <w:sz w:val="24"/>
          <w:szCs w:val="32"/>
          <w:highlight w:val="none"/>
        </w:rPr>
      </w:pPr>
      <w:bookmarkStart w:id="204" w:name="_Toc217446069"/>
      <w:r>
        <w:rPr>
          <w:rFonts w:hint="eastAsia" w:ascii="宋体" w:hAnsi="宋体" w:eastAsia="宋体" w:cs="宋体"/>
          <w:b/>
          <w:bCs/>
          <w:color w:val="auto"/>
          <w:sz w:val="24"/>
          <w:szCs w:val="32"/>
          <w:highlight w:val="none"/>
        </w:rPr>
        <w:t>补充合同</w:t>
      </w:r>
      <w:bookmarkStart w:id="205" w:name="_Toc426648231"/>
      <w:bookmarkStart w:id="206" w:name="_Toc426657563"/>
    </w:p>
    <w:p w14:paraId="43C013A8">
      <w:pPr>
        <w:shd w:val="clea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合同履行过程中，采购人需要追加与合同标的相同的货物或者服务的，在不改变合同其他条款的前提下，可以与中标人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bookmarkEnd w:id="204"/>
    <w:bookmarkEnd w:id="205"/>
    <w:bookmarkEnd w:id="206"/>
    <w:p w14:paraId="32DA73C6">
      <w:pPr>
        <w:pStyle w:val="4"/>
        <w:numPr>
          <w:ilvl w:val="0"/>
          <w:numId w:val="10"/>
        </w:numPr>
        <w:shd w:val="clear"/>
        <w:spacing w:before="0" w:after="0" w:line="360" w:lineRule="auto"/>
        <w:ind w:firstLine="482" w:firstLineChars="20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履约保证金</w:t>
      </w:r>
    </w:p>
    <w:p w14:paraId="396D58AF">
      <w:pPr>
        <w:shd w:val="clear"/>
        <w:tabs>
          <w:tab w:val="left" w:pos="7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31.1中标人应在中标公告发布后政府采购合同签订之前向采购人缴纳履约保证金；履约保证金数额为合同总金额的3%。                           </w:t>
      </w:r>
    </w:p>
    <w:p w14:paraId="3BC22731">
      <w:pPr>
        <w:pStyle w:val="464"/>
        <w:shd w:val="clear"/>
        <w:spacing w:line="360" w:lineRule="auto"/>
        <w:ind w:firstLine="24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31.2退款方式：</w:t>
      </w:r>
      <w:r>
        <w:rPr>
          <w:rFonts w:hint="eastAsia" w:ascii="宋体" w:hAnsi="宋体" w:eastAsia="宋体" w:cs="宋体"/>
          <w:color w:val="auto"/>
          <w:highlight w:val="none"/>
          <w:lang w:val="zh-CN"/>
        </w:rPr>
        <w:t>：①以网银转账、电汇等方式提交的，履约保证金以网银转账、电汇等方式退至转款账户；②以保函方式提交的，退还保函原件</w:t>
      </w:r>
      <w:r>
        <w:rPr>
          <w:rFonts w:hint="eastAsia" w:ascii="宋体" w:hAnsi="宋体" w:eastAsia="宋体" w:cs="宋体"/>
          <w:color w:val="auto"/>
          <w:highlight w:val="none"/>
        </w:rPr>
        <w:t>。</w:t>
      </w:r>
    </w:p>
    <w:p w14:paraId="0D0433E9">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31.3中标人提供的</w:t>
      </w:r>
      <w:r>
        <w:rPr>
          <w:rFonts w:hint="eastAsia" w:cs="宋体"/>
          <w:color w:val="auto"/>
          <w:highlight w:val="none"/>
          <w:lang w:val="en-US" w:eastAsia="zh-CN"/>
        </w:rPr>
        <w:t>产品</w:t>
      </w:r>
      <w:r>
        <w:rPr>
          <w:rFonts w:hint="eastAsia" w:ascii="宋体" w:hAnsi="宋体" w:eastAsia="宋体" w:cs="宋体"/>
          <w:color w:val="auto"/>
          <w:highlight w:val="none"/>
        </w:rPr>
        <w:t>质量验收不合格或未按照规定履行合同，采购人不予退还履约保证金，中标人将承担相应的违约责任。</w:t>
      </w:r>
    </w:p>
    <w:p w14:paraId="5876D789">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31.4采购人每逾期一天退还，将承担应退还金额</w:t>
      </w:r>
      <w:r>
        <w:rPr>
          <w:rFonts w:hint="eastAsia" w:cs="宋体"/>
          <w:color w:val="auto"/>
          <w:highlight w:val="none"/>
          <w:lang w:eastAsia="zh-CN"/>
        </w:rPr>
        <w:t>万分之一</w:t>
      </w:r>
      <w:r>
        <w:rPr>
          <w:rFonts w:hint="eastAsia" w:ascii="宋体" w:hAnsi="宋体" w:eastAsia="宋体" w:cs="宋体"/>
          <w:color w:val="auto"/>
          <w:highlight w:val="none"/>
        </w:rPr>
        <w:t>的违约金。若遇项目单位因财务结算等原因封账而导致无法支付相应价款的，顺延至具备支付条件之日起15个工作日内，且不视为采购人违约。</w:t>
      </w:r>
    </w:p>
    <w:p w14:paraId="6D1C3859">
      <w:pPr>
        <w:pStyle w:val="4"/>
        <w:shd w:val="clear"/>
        <w:spacing w:before="0" w:after="0" w:line="360" w:lineRule="auto"/>
        <w:ind w:firstLine="482"/>
        <w:rPr>
          <w:rFonts w:hint="eastAsia" w:ascii="宋体" w:hAnsi="宋体" w:eastAsia="宋体" w:cs="宋体"/>
          <w:color w:val="auto"/>
          <w:sz w:val="24"/>
          <w:szCs w:val="24"/>
          <w:highlight w:val="none"/>
        </w:rPr>
      </w:pPr>
      <w:bookmarkStart w:id="207" w:name="_Toc217446071"/>
      <w:r>
        <w:rPr>
          <w:rFonts w:hint="eastAsia" w:ascii="宋体" w:hAnsi="宋体" w:eastAsia="宋体" w:cs="宋体"/>
          <w:color w:val="auto"/>
          <w:sz w:val="24"/>
          <w:szCs w:val="24"/>
          <w:highlight w:val="none"/>
        </w:rPr>
        <w:t>32. 履行合同</w:t>
      </w:r>
    </w:p>
    <w:p w14:paraId="236050CB">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32.1 中标人与采购人签订合同后，合同双方应严格执行合同条款，履行合同规定的义务，保证合同的顺利完成。</w:t>
      </w:r>
    </w:p>
    <w:p w14:paraId="71DD8FEF">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32.2 在合同履行过程中，如发生合同纠纷，合同双方应按照《中华人民共和国</w:t>
      </w:r>
      <w:r>
        <w:rPr>
          <w:rFonts w:hint="eastAsia" w:ascii="宋体" w:hAnsi="宋体" w:eastAsia="宋体" w:cs="宋体"/>
          <w:color w:val="auto"/>
          <w:sz w:val="24"/>
          <w:highlight w:val="none"/>
          <w:lang w:eastAsia="zh-Hans"/>
        </w:rPr>
        <w:t>民法典</w:t>
      </w:r>
      <w:r>
        <w:rPr>
          <w:rFonts w:hint="eastAsia" w:ascii="宋体" w:hAnsi="宋体" w:eastAsia="宋体" w:cs="宋体"/>
          <w:color w:val="auto"/>
          <w:sz w:val="24"/>
          <w:highlight w:val="none"/>
        </w:rPr>
        <w:t>》的有关规定进行处理。</w:t>
      </w:r>
    </w:p>
    <w:p w14:paraId="0C0FD207">
      <w:pPr>
        <w:pStyle w:val="4"/>
        <w:shd w:val="clear"/>
        <w:spacing w:before="0" w:after="0" w:line="360" w:lineRule="auto"/>
        <w:ind w:firstLine="482"/>
        <w:rPr>
          <w:rFonts w:hint="eastAsia" w:ascii="宋体" w:hAnsi="宋体" w:eastAsia="宋体" w:cs="宋体"/>
          <w:color w:val="auto"/>
          <w:sz w:val="24"/>
          <w:szCs w:val="24"/>
          <w:highlight w:val="none"/>
        </w:rPr>
      </w:pPr>
      <w:bookmarkStart w:id="208" w:name="_Toc308164814"/>
      <w:r>
        <w:rPr>
          <w:rFonts w:hint="eastAsia" w:ascii="宋体" w:hAnsi="宋体" w:eastAsia="宋体" w:cs="宋体"/>
          <w:color w:val="auto"/>
          <w:sz w:val="24"/>
          <w:szCs w:val="24"/>
          <w:highlight w:val="none"/>
        </w:rPr>
        <w:t>33. 验收</w:t>
      </w:r>
      <w:bookmarkEnd w:id="208"/>
    </w:p>
    <w:p w14:paraId="21CA8EE9">
      <w:pPr>
        <w:shd w:val="clear"/>
        <w:tabs>
          <w:tab w:val="left" w:pos="7665"/>
        </w:tabs>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33.1按照本项目招标文件、中标单位投标文件、《财政部关于进一步加强政府采购需求和履约验收管理的指导意见》（财库〔2016〕205号）以及国家相关规定进行验收；</w:t>
      </w:r>
    </w:p>
    <w:p w14:paraId="7E321DA9">
      <w:pPr>
        <w:shd w:val="clear"/>
        <w:tabs>
          <w:tab w:val="left" w:pos="7665"/>
        </w:tabs>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33.2双方如对质量要求和技术指标的约定标准有相互抵触或异议的事项，由采购人在招标与投标文件中按质量要求和技术指标较优的原则确定该项的约定标准进行验收。</w:t>
      </w:r>
    </w:p>
    <w:p w14:paraId="3E56DCB6">
      <w:pPr>
        <w:shd w:val="clear"/>
        <w:spacing w:line="360" w:lineRule="auto"/>
        <w:ind w:firstLine="420" w:firstLineChars="200"/>
        <w:rPr>
          <w:rFonts w:hint="eastAsia" w:ascii="宋体" w:hAnsi="宋体" w:eastAsia="宋体" w:cs="宋体"/>
          <w:color w:val="auto"/>
          <w:highlight w:val="none"/>
        </w:rPr>
      </w:pPr>
    </w:p>
    <w:bookmarkEnd w:id="192"/>
    <w:bookmarkEnd w:id="193"/>
    <w:bookmarkEnd w:id="207"/>
    <w:p w14:paraId="2863C4E3">
      <w:pPr>
        <w:pStyle w:val="3"/>
        <w:shd w:val="clear"/>
        <w:spacing w:before="0" w:after="0" w:line="360" w:lineRule="auto"/>
        <w:jc w:val="center"/>
        <w:rPr>
          <w:rFonts w:hint="eastAsia" w:ascii="宋体" w:hAnsi="宋体" w:eastAsia="宋体" w:cs="宋体"/>
          <w:color w:val="auto"/>
          <w:highlight w:val="none"/>
        </w:rPr>
      </w:pPr>
      <w:bookmarkStart w:id="209" w:name="_Toc10058"/>
      <w:bookmarkStart w:id="210" w:name="_Toc426657565"/>
      <w:bookmarkStart w:id="211" w:name="_Toc6940"/>
      <w:bookmarkStart w:id="212" w:name="_Toc217446074"/>
      <w:bookmarkStart w:id="213" w:name="_Toc183682380"/>
      <w:bookmarkStart w:id="214" w:name="_Toc183582243"/>
      <w:r>
        <w:rPr>
          <w:rFonts w:hint="eastAsia" w:ascii="宋体" w:hAnsi="宋体" w:eastAsia="宋体" w:cs="宋体"/>
          <w:color w:val="auto"/>
          <w:highlight w:val="none"/>
        </w:rPr>
        <w:t>七、投标纪律要求</w:t>
      </w:r>
      <w:bookmarkEnd w:id="209"/>
      <w:bookmarkEnd w:id="210"/>
      <w:bookmarkEnd w:id="211"/>
      <w:bookmarkEnd w:id="212"/>
    </w:p>
    <w:p w14:paraId="0F69A61A">
      <w:pPr>
        <w:pStyle w:val="4"/>
        <w:shd w:val="clear"/>
        <w:spacing w:before="0" w:after="0" w:line="360" w:lineRule="auto"/>
        <w:ind w:firstLine="482" w:firstLineChars="200"/>
        <w:rPr>
          <w:rFonts w:hint="eastAsia" w:ascii="宋体" w:hAnsi="宋体" w:eastAsia="宋体" w:cs="宋体"/>
          <w:bCs w:val="0"/>
          <w:color w:val="auto"/>
          <w:sz w:val="24"/>
          <w:szCs w:val="24"/>
          <w:highlight w:val="none"/>
        </w:rPr>
      </w:pPr>
      <w:bookmarkStart w:id="215" w:name="_Toc426648234"/>
      <w:bookmarkStart w:id="216" w:name="_Toc217446075"/>
      <w:bookmarkStart w:id="217" w:name="_Toc426657566"/>
      <w:r>
        <w:rPr>
          <w:rFonts w:hint="eastAsia" w:ascii="宋体" w:hAnsi="宋体" w:eastAsia="宋体" w:cs="宋体"/>
          <w:color w:val="auto"/>
          <w:sz w:val="24"/>
          <w:highlight w:val="none"/>
        </w:rPr>
        <w:t>34．</w:t>
      </w:r>
      <w:r>
        <w:rPr>
          <w:rFonts w:hint="eastAsia" w:ascii="宋体" w:hAnsi="宋体" w:eastAsia="宋体" w:cs="宋体"/>
          <w:bCs w:val="0"/>
          <w:color w:val="auto"/>
          <w:sz w:val="24"/>
          <w:szCs w:val="24"/>
          <w:highlight w:val="none"/>
        </w:rPr>
        <w:t>投标人不得具有的情形</w:t>
      </w:r>
      <w:bookmarkEnd w:id="215"/>
      <w:bookmarkEnd w:id="216"/>
      <w:bookmarkEnd w:id="217"/>
    </w:p>
    <w:p w14:paraId="41A5CC22">
      <w:pPr>
        <w:shd w:val="clear"/>
        <w:spacing w:line="360" w:lineRule="auto"/>
        <w:ind w:firstLine="460" w:firstLineChars="192"/>
        <w:rPr>
          <w:rFonts w:hint="eastAsia" w:ascii="宋体" w:hAnsi="宋体" w:eastAsia="宋体" w:cs="宋体"/>
          <w:color w:val="auto"/>
          <w:sz w:val="24"/>
          <w:highlight w:val="none"/>
        </w:rPr>
      </w:pPr>
      <w:bookmarkStart w:id="218" w:name="_Toc426657567"/>
      <w:bookmarkStart w:id="219" w:name="_Toc217446076"/>
      <w:bookmarkStart w:id="220" w:name="_Toc21103"/>
      <w:r>
        <w:rPr>
          <w:rFonts w:hint="eastAsia" w:ascii="宋体" w:hAnsi="宋体" w:eastAsia="宋体" w:cs="宋体"/>
          <w:color w:val="auto"/>
          <w:sz w:val="24"/>
          <w:highlight w:val="none"/>
        </w:rPr>
        <w:t>（1）提供虚假材料谋取中标；</w:t>
      </w:r>
    </w:p>
    <w:p w14:paraId="464E8D60">
      <w:pPr>
        <w:shd w:val="clear"/>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（2）采取不正当手段诋毁、排挤其他投标人；</w:t>
      </w:r>
    </w:p>
    <w:p w14:paraId="2FBBC15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（3）与招标采购单位、其他投标人恶意串通；</w:t>
      </w:r>
    </w:p>
    <w:p w14:paraId="6531C36A">
      <w:pPr>
        <w:shd w:val="clear"/>
        <w:spacing w:line="360" w:lineRule="auto"/>
        <w:ind w:left="489" w:leftChars="233"/>
        <w:rPr>
          <w:rFonts w:hint="eastAsia" w:ascii="宋体" w:hAnsi="宋体" w:eastAsia="宋体" w:cs="宋体"/>
          <w:color w:val="auto"/>
          <w:sz w:val="24"/>
          <w:highlight w:val="none"/>
        </w:rPr>
      </w:pPr>
      <w:r>
        <w:rPr>
          <w:rFonts w:hint="eastAsia" w:ascii="宋体" w:hAnsi="宋体" w:eastAsia="宋体" w:cs="宋体"/>
          <w:color w:val="auto"/>
          <w:sz w:val="24"/>
          <w:highlight w:val="none"/>
        </w:rPr>
        <w:t>（4）向招标采购单位、评标委员会成员行贿或者提供其他不正当利益；</w:t>
      </w:r>
    </w:p>
    <w:p w14:paraId="6B4D0EB8">
      <w:pPr>
        <w:shd w:val="clear"/>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（5）在招标过程中与招标采购单位进行协商谈判；</w:t>
      </w:r>
    </w:p>
    <w:p w14:paraId="680A901D">
      <w:pPr>
        <w:shd w:val="clear"/>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（6）中标后无正当理由拒不与采购人签订政府采购合同；</w:t>
      </w:r>
    </w:p>
    <w:p w14:paraId="4512291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（7）未按照招标（采购）文件确定的事项签订政府采购合同；</w:t>
      </w:r>
    </w:p>
    <w:p w14:paraId="515757D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（8）将政府采购合同转包或者违规分包；</w:t>
      </w:r>
    </w:p>
    <w:p w14:paraId="08757C4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（9）提供假冒伪劣产品；</w:t>
      </w:r>
    </w:p>
    <w:p w14:paraId="2DB914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（10）擅自变更、中止或者终止政府采购合同；</w:t>
      </w:r>
    </w:p>
    <w:p w14:paraId="1582E330">
      <w:pPr>
        <w:shd w:val="clear"/>
        <w:spacing w:line="360" w:lineRule="auto"/>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rPr>
        <w:t>（11）拒绝有关部门的监督检查或者向监督检查部门提供虚假情况；</w:t>
      </w:r>
    </w:p>
    <w:p w14:paraId="475E590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（12）法律法规规定的其他情形。</w:t>
      </w:r>
    </w:p>
    <w:p w14:paraId="3B1D3C00">
      <w:pPr>
        <w:pStyle w:val="3"/>
        <w:shd w:val="clear"/>
        <w:spacing w:before="0" w:after="0" w:line="360" w:lineRule="auto"/>
        <w:ind w:firstLine="600" w:firstLineChars="250"/>
        <w:jc w:val="left"/>
        <w:rPr>
          <w:rFonts w:hint="eastAsia" w:ascii="宋体" w:hAnsi="宋体" w:eastAsia="宋体" w:cs="宋体"/>
          <w:b w:val="0"/>
          <w:color w:val="auto"/>
          <w:sz w:val="24"/>
          <w:highlight w:val="none"/>
        </w:rPr>
      </w:pPr>
      <w:bookmarkStart w:id="221" w:name="_Toc5499"/>
      <w:r>
        <w:rPr>
          <w:rFonts w:hint="eastAsia" w:ascii="宋体" w:hAnsi="宋体" w:eastAsia="宋体" w:cs="宋体"/>
          <w:b w:val="0"/>
          <w:color w:val="auto"/>
          <w:sz w:val="24"/>
          <w:highlight w:val="none"/>
        </w:rPr>
        <w:t>投标人有上述情形的，按照规定追究法律责任，具备（1）-（12）条情形之一的，同时将取消中标资格或者认定中标无效。</w:t>
      </w:r>
      <w:bookmarkEnd w:id="221"/>
    </w:p>
    <w:p w14:paraId="2E4C838A">
      <w:pPr>
        <w:pStyle w:val="3"/>
        <w:shd w:val="clear"/>
        <w:spacing w:before="0" w:after="0" w:line="360" w:lineRule="auto"/>
        <w:jc w:val="center"/>
        <w:rPr>
          <w:rFonts w:hint="eastAsia" w:ascii="宋体" w:hAnsi="宋体" w:eastAsia="宋体" w:cs="宋体"/>
          <w:color w:val="auto"/>
          <w:highlight w:val="none"/>
        </w:rPr>
      </w:pPr>
      <w:bookmarkStart w:id="222" w:name="_Toc2959"/>
      <w:r>
        <w:rPr>
          <w:rFonts w:hint="eastAsia" w:ascii="宋体" w:hAnsi="宋体" w:eastAsia="宋体" w:cs="宋体"/>
          <w:color w:val="auto"/>
          <w:highlight w:val="none"/>
        </w:rPr>
        <w:t>八、</w:t>
      </w:r>
      <w:bookmarkEnd w:id="218"/>
      <w:bookmarkEnd w:id="219"/>
      <w:bookmarkEnd w:id="220"/>
      <w:r>
        <w:rPr>
          <w:rFonts w:hint="eastAsia" w:ascii="宋体" w:hAnsi="宋体" w:eastAsia="宋体" w:cs="宋体"/>
          <w:color w:val="auto"/>
          <w:highlight w:val="none"/>
        </w:rPr>
        <w:t>质疑和投诉</w:t>
      </w:r>
      <w:bookmarkEnd w:id="222"/>
    </w:p>
    <w:p w14:paraId="77DB78D1">
      <w:pPr>
        <w:shd w:val="clear"/>
        <w:adjustRightInd w:val="0"/>
        <w:snapToGrid w:val="0"/>
        <w:spacing w:line="360" w:lineRule="auto"/>
        <w:ind w:firstLine="366" w:firstLineChars="152"/>
        <w:rPr>
          <w:rFonts w:hint="eastAsia" w:ascii="宋体" w:hAnsi="宋体" w:eastAsia="宋体" w:cs="宋体"/>
          <w:color w:val="auto"/>
          <w:sz w:val="24"/>
          <w:szCs w:val="24"/>
          <w:highlight w:val="none"/>
        </w:rPr>
      </w:pPr>
      <w:bookmarkStart w:id="223" w:name="_Toc217446077"/>
      <w:r>
        <w:rPr>
          <w:rFonts w:hint="eastAsia" w:ascii="宋体" w:hAnsi="宋体" w:eastAsia="宋体" w:cs="宋体"/>
          <w:b/>
          <w:color w:val="auto"/>
          <w:sz w:val="24"/>
          <w:szCs w:val="24"/>
          <w:highlight w:val="none"/>
        </w:rPr>
        <w:t xml:space="preserve"> 35. </w:t>
      </w:r>
      <w:r>
        <w:rPr>
          <w:rFonts w:hint="eastAsia" w:ascii="宋体" w:hAnsi="宋体" w:eastAsia="宋体" w:cs="宋体"/>
          <w:color w:val="auto"/>
          <w:sz w:val="24"/>
          <w:highlight w:val="none"/>
        </w:rPr>
        <w:t>询问、质疑、投诉的接收和处理严格按照《中华人民共和国政府采购法》、《中华人民共和国政府采购法实施条例》、《政府采购货物和服务招标投标管理办法》、《政府采购质疑和投诉办法》的规定办理（详细规定请在中国政府采购网政策法规模块查询）</w:t>
      </w:r>
      <w:r>
        <w:rPr>
          <w:rFonts w:hint="eastAsia" w:ascii="宋体" w:hAnsi="宋体" w:eastAsia="宋体" w:cs="宋体"/>
          <w:color w:val="auto"/>
          <w:sz w:val="24"/>
          <w:szCs w:val="24"/>
          <w:highlight w:val="none"/>
        </w:rPr>
        <w:t>。</w:t>
      </w:r>
    </w:p>
    <w:p w14:paraId="255ECB1D">
      <w:pPr>
        <w:pStyle w:val="3"/>
        <w:shd w:val="clear"/>
        <w:spacing w:before="0" w:after="0" w:line="360" w:lineRule="auto"/>
        <w:jc w:val="center"/>
        <w:rPr>
          <w:rFonts w:hint="eastAsia" w:ascii="宋体" w:hAnsi="宋体" w:eastAsia="宋体" w:cs="宋体"/>
          <w:color w:val="auto"/>
          <w:highlight w:val="none"/>
        </w:rPr>
      </w:pPr>
      <w:bookmarkStart w:id="224" w:name="_Toc19697"/>
      <w:bookmarkStart w:id="225" w:name="_Toc426657568"/>
      <w:bookmarkStart w:id="226" w:name="_Toc24173"/>
      <w:r>
        <w:rPr>
          <w:rFonts w:hint="eastAsia" w:ascii="宋体" w:hAnsi="宋体" w:eastAsia="宋体" w:cs="宋体"/>
          <w:color w:val="auto"/>
          <w:highlight w:val="none"/>
        </w:rPr>
        <w:t>九、</w:t>
      </w:r>
      <w:bookmarkEnd w:id="224"/>
      <w:bookmarkEnd w:id="225"/>
      <w:r>
        <w:rPr>
          <w:rFonts w:hint="eastAsia" w:ascii="宋体" w:hAnsi="宋体" w:eastAsia="宋体" w:cs="宋体"/>
          <w:color w:val="auto"/>
          <w:highlight w:val="none"/>
        </w:rPr>
        <w:t>其他</w:t>
      </w:r>
      <w:bookmarkEnd w:id="226"/>
    </w:p>
    <w:bookmarkEnd w:id="223"/>
    <w:p w14:paraId="5C7BA4E6">
      <w:pPr>
        <w:pStyle w:val="34"/>
        <w:shd w:val="clear"/>
        <w:spacing w:line="360" w:lineRule="auto"/>
        <w:ind w:leftChars="50" w:firstLine="241" w:firstLineChars="100"/>
        <w:rPr>
          <w:rFonts w:hint="eastAsia" w:ascii="宋体" w:hAnsi="宋体" w:eastAsia="宋体" w:cs="宋体"/>
          <w:color w:val="auto"/>
          <w:sz w:val="24"/>
          <w:szCs w:val="16"/>
          <w:highlight w:val="none"/>
        </w:rPr>
        <w:sectPr>
          <w:headerReference r:id="rId5" w:type="default"/>
          <w:footerReference r:id="rId6" w:type="default"/>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227" w:name="_Toc217446079"/>
      <w:r>
        <w:rPr>
          <w:rFonts w:hint="eastAsia" w:ascii="宋体" w:hAnsi="宋体" w:eastAsia="宋体" w:cs="宋体"/>
          <w:b/>
          <w:bCs/>
          <w:color w:val="auto"/>
          <w:sz w:val="24"/>
          <w:szCs w:val="16"/>
          <w:highlight w:val="none"/>
        </w:rPr>
        <w:t>3</w:t>
      </w:r>
      <w:bookmarkEnd w:id="227"/>
      <w:r>
        <w:rPr>
          <w:rFonts w:hint="eastAsia" w:ascii="宋体" w:hAnsi="宋体" w:eastAsia="宋体" w:cs="宋体"/>
          <w:b/>
          <w:bCs/>
          <w:color w:val="auto"/>
          <w:sz w:val="24"/>
          <w:szCs w:val="16"/>
          <w:highlight w:val="none"/>
        </w:rPr>
        <w:t>6．</w:t>
      </w:r>
      <w:bookmarkEnd w:id="213"/>
      <w:bookmarkEnd w:id="214"/>
      <w:r>
        <w:rPr>
          <w:rFonts w:hint="eastAsia" w:ascii="宋体" w:hAnsi="宋体" w:eastAsia="宋体" w:cs="宋体"/>
          <w:color w:val="auto"/>
          <w:sz w:val="24"/>
          <w:szCs w:val="16"/>
          <w:highlight w:val="none"/>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w:t>
      </w:r>
      <w:r>
        <w:rPr>
          <w:rFonts w:hint="eastAsia" w:ascii="宋体" w:hAnsi="宋体" w:eastAsia="宋体" w:cs="宋体"/>
          <w:color w:val="auto"/>
          <w:sz w:val="24"/>
          <w:szCs w:val="16"/>
          <w:highlight w:val="none"/>
          <w:lang w:val="en-US" w:eastAsia="zh-CN"/>
        </w:rPr>
        <w:t>作</w:t>
      </w:r>
      <w:r>
        <w:rPr>
          <w:rFonts w:hint="eastAsia" w:ascii="宋体" w:hAnsi="宋体" w:eastAsia="宋体" w:cs="宋体"/>
          <w:color w:val="auto"/>
          <w:sz w:val="24"/>
          <w:szCs w:val="16"/>
          <w:highlight w:val="none"/>
        </w:rPr>
        <w:t>调整。</w:t>
      </w:r>
    </w:p>
    <w:p w14:paraId="545F398C">
      <w:pPr>
        <w:pStyle w:val="34"/>
        <w:shd w:val="clear"/>
        <w:spacing w:line="360" w:lineRule="auto"/>
        <w:ind w:left="0" w:firstLine="643" w:firstLineChars="200"/>
        <w:jc w:val="center"/>
        <w:outlineLvl w:val="0"/>
        <w:rPr>
          <w:rStyle w:val="74"/>
          <w:rFonts w:hint="eastAsia" w:ascii="宋体" w:hAnsi="宋体" w:eastAsia="宋体" w:cs="宋体"/>
          <w:color w:val="auto"/>
          <w:sz w:val="32"/>
          <w:szCs w:val="32"/>
          <w:highlight w:val="none"/>
        </w:rPr>
      </w:pPr>
      <w:bookmarkStart w:id="228" w:name="_Toc87"/>
      <w:bookmarkStart w:id="229" w:name="_Toc426657569"/>
      <w:bookmarkStart w:id="230" w:name="_Toc5456"/>
      <w:bookmarkStart w:id="231" w:name="_Toc22641"/>
      <w:bookmarkStart w:id="232" w:name="_Toc26089"/>
      <w:r>
        <w:rPr>
          <w:rStyle w:val="74"/>
          <w:rFonts w:hint="eastAsia" w:ascii="宋体" w:hAnsi="宋体" w:eastAsia="宋体" w:cs="宋体"/>
          <w:color w:val="auto"/>
          <w:sz w:val="32"/>
          <w:szCs w:val="32"/>
          <w:highlight w:val="none"/>
        </w:rPr>
        <w:t>第三章 投标文件格式</w:t>
      </w:r>
      <w:bookmarkEnd w:id="94"/>
      <w:bookmarkEnd w:id="228"/>
      <w:bookmarkEnd w:id="229"/>
      <w:bookmarkEnd w:id="230"/>
      <w:bookmarkEnd w:id="231"/>
      <w:bookmarkEnd w:id="232"/>
    </w:p>
    <w:p w14:paraId="507BE9F0">
      <w:pPr>
        <w:widowControl/>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一、本章所制投标文件格式，除格式中明确将该格式作为实质性要求的，一律不具有强制性。</w:t>
      </w:r>
    </w:p>
    <w:p w14:paraId="50FF6549">
      <w:pPr>
        <w:widowControl/>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二、本章所制投标文件格式有关表格中的备注栏，由投标人根据自身投标情况作解释性说明，不作为必填项。</w:t>
      </w:r>
    </w:p>
    <w:p w14:paraId="2C680E15">
      <w:pPr>
        <w:widowControl/>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三、本章所制投标文件格式中需要填写的相关内容事项，可能会与本采购项目无关，在不改变投标文件原义、不影响本项目采购需求的情况下，投标人可以不予填写，但应当注明。</w:t>
      </w:r>
    </w:p>
    <w:p w14:paraId="25AAE411">
      <w:pPr>
        <w:shd w:val="clear"/>
        <w:rPr>
          <w:rFonts w:hint="eastAsia" w:ascii="宋体" w:hAnsi="宋体" w:eastAsia="宋体" w:cs="宋体"/>
          <w:color w:val="auto"/>
          <w:highlight w:val="none"/>
        </w:rPr>
      </w:pPr>
    </w:p>
    <w:p w14:paraId="6C12CA73">
      <w:pPr>
        <w:shd w:val="clear"/>
        <w:rPr>
          <w:rFonts w:hint="eastAsia" w:ascii="宋体" w:hAnsi="宋体" w:eastAsia="宋体" w:cs="宋体"/>
          <w:color w:val="auto"/>
          <w:highlight w:val="none"/>
        </w:rPr>
      </w:pPr>
    </w:p>
    <w:p w14:paraId="27739B9C">
      <w:pPr>
        <w:shd w:val="clear"/>
        <w:rPr>
          <w:rFonts w:hint="eastAsia" w:ascii="宋体" w:hAnsi="宋体" w:eastAsia="宋体" w:cs="宋体"/>
          <w:color w:val="auto"/>
          <w:highlight w:val="none"/>
        </w:rPr>
      </w:pPr>
    </w:p>
    <w:p w14:paraId="3DF53EDA">
      <w:pPr>
        <w:shd w:val="clear"/>
        <w:rPr>
          <w:rFonts w:hint="eastAsia" w:ascii="宋体" w:hAnsi="宋体" w:eastAsia="宋体" w:cs="宋体"/>
          <w:color w:val="auto"/>
          <w:highlight w:val="none"/>
        </w:rPr>
      </w:pPr>
    </w:p>
    <w:p w14:paraId="0020BB2E">
      <w:pPr>
        <w:shd w:val="clear"/>
        <w:rPr>
          <w:rFonts w:hint="eastAsia" w:ascii="宋体" w:hAnsi="宋体" w:eastAsia="宋体" w:cs="宋体"/>
          <w:color w:val="auto"/>
          <w:highlight w:val="none"/>
        </w:rPr>
      </w:pPr>
    </w:p>
    <w:p w14:paraId="106CDEFA">
      <w:pPr>
        <w:shd w:val="clear"/>
        <w:rPr>
          <w:rFonts w:hint="eastAsia" w:ascii="宋体" w:hAnsi="宋体" w:eastAsia="宋体" w:cs="宋体"/>
          <w:color w:val="auto"/>
          <w:highlight w:val="none"/>
        </w:rPr>
      </w:pPr>
    </w:p>
    <w:p w14:paraId="12083A57">
      <w:pPr>
        <w:shd w:val="clear"/>
        <w:rPr>
          <w:rFonts w:hint="eastAsia" w:ascii="宋体" w:hAnsi="宋体" w:eastAsia="宋体" w:cs="宋体"/>
          <w:color w:val="auto"/>
          <w:highlight w:val="none"/>
        </w:rPr>
      </w:pPr>
    </w:p>
    <w:p w14:paraId="016DE4FB">
      <w:pPr>
        <w:shd w:val="clear"/>
        <w:rPr>
          <w:rFonts w:hint="eastAsia" w:ascii="宋体" w:hAnsi="宋体" w:eastAsia="宋体" w:cs="宋体"/>
          <w:color w:val="auto"/>
          <w:highlight w:val="none"/>
        </w:rPr>
      </w:pPr>
    </w:p>
    <w:p w14:paraId="1363845C">
      <w:pPr>
        <w:shd w:val="clear"/>
        <w:rPr>
          <w:rFonts w:hint="eastAsia" w:ascii="宋体" w:hAnsi="宋体" w:eastAsia="宋体" w:cs="宋体"/>
          <w:color w:val="auto"/>
          <w:highlight w:val="none"/>
        </w:rPr>
      </w:pPr>
    </w:p>
    <w:p w14:paraId="29822286">
      <w:pPr>
        <w:shd w:val="clear"/>
        <w:rPr>
          <w:rFonts w:hint="eastAsia" w:ascii="宋体" w:hAnsi="宋体" w:eastAsia="宋体" w:cs="宋体"/>
          <w:color w:val="auto"/>
          <w:highlight w:val="none"/>
        </w:rPr>
      </w:pPr>
    </w:p>
    <w:p w14:paraId="1733C1EF">
      <w:pPr>
        <w:shd w:val="clear"/>
        <w:rPr>
          <w:rFonts w:hint="eastAsia" w:ascii="宋体" w:hAnsi="宋体" w:eastAsia="宋体" w:cs="宋体"/>
          <w:color w:val="auto"/>
          <w:highlight w:val="none"/>
        </w:rPr>
      </w:pPr>
    </w:p>
    <w:p w14:paraId="47265846">
      <w:pPr>
        <w:shd w:val="clear"/>
        <w:rPr>
          <w:rFonts w:hint="eastAsia" w:ascii="宋体" w:hAnsi="宋体" w:eastAsia="宋体" w:cs="宋体"/>
          <w:color w:val="auto"/>
          <w:highlight w:val="none"/>
        </w:rPr>
      </w:pPr>
    </w:p>
    <w:p w14:paraId="2A3CB9AE">
      <w:pPr>
        <w:shd w:val="clear"/>
        <w:rPr>
          <w:rFonts w:hint="eastAsia" w:ascii="宋体" w:hAnsi="宋体" w:eastAsia="宋体" w:cs="宋体"/>
          <w:color w:val="auto"/>
          <w:highlight w:val="none"/>
        </w:rPr>
      </w:pPr>
    </w:p>
    <w:p w14:paraId="3700BC85">
      <w:pPr>
        <w:shd w:val="clear"/>
        <w:rPr>
          <w:rFonts w:hint="eastAsia" w:ascii="宋体" w:hAnsi="宋体" w:eastAsia="宋体" w:cs="宋体"/>
          <w:color w:val="auto"/>
          <w:highlight w:val="none"/>
        </w:rPr>
      </w:pPr>
    </w:p>
    <w:p w14:paraId="2319853A">
      <w:pPr>
        <w:shd w:val="clear"/>
        <w:rPr>
          <w:rFonts w:hint="eastAsia" w:ascii="宋体" w:hAnsi="宋体" w:eastAsia="宋体" w:cs="宋体"/>
          <w:color w:val="auto"/>
          <w:highlight w:val="none"/>
        </w:rPr>
      </w:pPr>
    </w:p>
    <w:p w14:paraId="5C7E89EF">
      <w:pPr>
        <w:shd w:val="clear"/>
        <w:rPr>
          <w:rFonts w:hint="eastAsia" w:ascii="宋体" w:hAnsi="宋体" w:eastAsia="宋体" w:cs="宋体"/>
          <w:color w:val="auto"/>
          <w:highlight w:val="none"/>
        </w:rPr>
      </w:pPr>
    </w:p>
    <w:p w14:paraId="1A0C8DA8">
      <w:pPr>
        <w:shd w:val="clear"/>
        <w:rPr>
          <w:rFonts w:hint="eastAsia" w:ascii="宋体" w:hAnsi="宋体" w:eastAsia="宋体" w:cs="宋体"/>
          <w:color w:val="auto"/>
          <w:highlight w:val="none"/>
        </w:rPr>
      </w:pPr>
    </w:p>
    <w:p w14:paraId="08B0E34A">
      <w:pPr>
        <w:shd w:val="clear"/>
        <w:rPr>
          <w:rFonts w:hint="eastAsia" w:ascii="宋体" w:hAnsi="宋体" w:eastAsia="宋体" w:cs="宋体"/>
          <w:color w:val="auto"/>
          <w:highlight w:val="none"/>
        </w:rPr>
      </w:pPr>
    </w:p>
    <w:p w14:paraId="619837BF">
      <w:pPr>
        <w:shd w:val="clear"/>
        <w:rPr>
          <w:rFonts w:hint="eastAsia" w:ascii="宋体" w:hAnsi="宋体" w:eastAsia="宋体" w:cs="宋体"/>
          <w:color w:val="auto"/>
          <w:highlight w:val="none"/>
        </w:rPr>
      </w:pPr>
    </w:p>
    <w:p w14:paraId="34CAB45A">
      <w:pPr>
        <w:shd w:val="clear"/>
        <w:rPr>
          <w:rFonts w:hint="eastAsia" w:ascii="宋体" w:hAnsi="宋体" w:eastAsia="宋体" w:cs="宋体"/>
          <w:color w:val="auto"/>
          <w:highlight w:val="none"/>
        </w:rPr>
      </w:pPr>
    </w:p>
    <w:p w14:paraId="08A81C38">
      <w:pPr>
        <w:shd w:val="clear"/>
        <w:rPr>
          <w:rFonts w:hint="eastAsia" w:ascii="宋体" w:hAnsi="宋体" w:eastAsia="宋体" w:cs="宋体"/>
          <w:color w:val="auto"/>
          <w:highlight w:val="none"/>
        </w:rPr>
      </w:pPr>
    </w:p>
    <w:p w14:paraId="53C179E8">
      <w:pPr>
        <w:shd w:val="clear"/>
        <w:rPr>
          <w:rFonts w:hint="eastAsia" w:ascii="宋体" w:hAnsi="宋体" w:eastAsia="宋体" w:cs="宋体"/>
          <w:color w:val="auto"/>
          <w:highlight w:val="none"/>
        </w:rPr>
      </w:pPr>
    </w:p>
    <w:p w14:paraId="22FDF42C">
      <w:pPr>
        <w:shd w:val="clear"/>
        <w:rPr>
          <w:rFonts w:hint="eastAsia" w:ascii="宋体" w:hAnsi="宋体" w:eastAsia="宋体" w:cs="宋体"/>
          <w:color w:val="auto"/>
          <w:highlight w:val="none"/>
        </w:rPr>
      </w:pPr>
    </w:p>
    <w:p w14:paraId="2AF26B81">
      <w:pPr>
        <w:shd w:val="clear"/>
        <w:rPr>
          <w:rFonts w:hint="eastAsia" w:ascii="宋体" w:hAnsi="宋体" w:eastAsia="宋体" w:cs="宋体"/>
          <w:color w:val="auto"/>
          <w:highlight w:val="none"/>
        </w:rPr>
      </w:pPr>
    </w:p>
    <w:p w14:paraId="555348FA">
      <w:pPr>
        <w:shd w:val="clear"/>
        <w:rPr>
          <w:rFonts w:hint="eastAsia" w:ascii="宋体" w:hAnsi="宋体" w:eastAsia="宋体" w:cs="宋体"/>
          <w:color w:val="auto"/>
          <w:highlight w:val="none"/>
        </w:rPr>
      </w:pPr>
    </w:p>
    <w:p w14:paraId="4E359647">
      <w:pPr>
        <w:shd w:val="clear"/>
        <w:rPr>
          <w:rFonts w:hint="eastAsia" w:ascii="宋体" w:hAnsi="宋体" w:eastAsia="宋体" w:cs="宋体"/>
          <w:color w:val="auto"/>
          <w:highlight w:val="none"/>
        </w:rPr>
      </w:pPr>
    </w:p>
    <w:p w14:paraId="219C81F0">
      <w:pPr>
        <w:shd w:val="clear"/>
        <w:rPr>
          <w:rFonts w:hint="eastAsia" w:ascii="宋体" w:hAnsi="宋体" w:eastAsia="宋体" w:cs="宋体"/>
          <w:color w:val="auto"/>
          <w:highlight w:val="none"/>
        </w:rPr>
      </w:pPr>
    </w:p>
    <w:p w14:paraId="4E042291">
      <w:pPr>
        <w:shd w:val="clear"/>
        <w:rPr>
          <w:rFonts w:hint="eastAsia" w:ascii="宋体" w:hAnsi="宋体" w:eastAsia="宋体" w:cs="宋体"/>
          <w:color w:val="auto"/>
          <w:highlight w:val="none"/>
        </w:rPr>
      </w:pPr>
    </w:p>
    <w:p w14:paraId="21ED1005">
      <w:pPr>
        <w:shd w:val="clear"/>
        <w:rPr>
          <w:rFonts w:hint="eastAsia" w:ascii="宋体" w:hAnsi="宋体" w:eastAsia="宋体" w:cs="宋体"/>
          <w:color w:val="auto"/>
          <w:highlight w:val="none"/>
        </w:rPr>
      </w:pPr>
    </w:p>
    <w:p w14:paraId="1D9A2E4F">
      <w:pPr>
        <w:shd w:val="clear"/>
        <w:rPr>
          <w:rFonts w:hint="eastAsia" w:ascii="宋体" w:hAnsi="宋体" w:eastAsia="宋体" w:cs="宋体"/>
          <w:color w:val="auto"/>
          <w:highlight w:val="none"/>
        </w:rPr>
      </w:pPr>
    </w:p>
    <w:p w14:paraId="446B37E7">
      <w:pPr>
        <w:shd w:val="clear"/>
        <w:rPr>
          <w:rFonts w:hint="eastAsia" w:ascii="宋体" w:hAnsi="宋体" w:eastAsia="宋体" w:cs="宋体"/>
          <w:color w:val="auto"/>
          <w:highlight w:val="none"/>
        </w:rPr>
      </w:pPr>
    </w:p>
    <w:p w14:paraId="0E1B67A7">
      <w:pPr>
        <w:shd w:val="clear"/>
        <w:rPr>
          <w:rFonts w:hint="eastAsia" w:ascii="宋体" w:hAnsi="宋体" w:eastAsia="宋体" w:cs="宋体"/>
          <w:color w:val="auto"/>
          <w:highlight w:val="none"/>
        </w:rPr>
      </w:pPr>
    </w:p>
    <w:p w14:paraId="0CE4EB1C">
      <w:pPr>
        <w:shd w:val="clear"/>
        <w:rPr>
          <w:rFonts w:hint="eastAsia" w:ascii="宋体" w:hAnsi="宋体" w:eastAsia="宋体" w:cs="宋体"/>
          <w:color w:val="auto"/>
          <w:highlight w:val="none"/>
        </w:rPr>
      </w:pPr>
    </w:p>
    <w:p w14:paraId="5A348105">
      <w:pPr>
        <w:shd w:val="clear"/>
        <w:rPr>
          <w:rFonts w:hint="eastAsia" w:ascii="宋体" w:hAnsi="宋体" w:eastAsia="宋体" w:cs="宋体"/>
          <w:color w:val="auto"/>
          <w:highlight w:val="none"/>
        </w:rPr>
      </w:pPr>
    </w:p>
    <w:p w14:paraId="3E659B0D">
      <w:pPr>
        <w:shd w:val="clear"/>
        <w:rPr>
          <w:rFonts w:hint="eastAsia" w:ascii="宋体" w:hAnsi="宋体" w:eastAsia="宋体" w:cs="宋体"/>
          <w:color w:val="auto"/>
          <w:highlight w:val="none"/>
        </w:rPr>
      </w:pPr>
    </w:p>
    <w:p w14:paraId="37D1866C">
      <w:pPr>
        <w:shd w:val="clear"/>
        <w:rPr>
          <w:rFonts w:hint="eastAsia" w:ascii="宋体" w:hAnsi="宋体" w:eastAsia="宋体" w:cs="宋体"/>
          <w:color w:val="auto"/>
          <w:highlight w:val="none"/>
        </w:rPr>
      </w:pPr>
    </w:p>
    <w:p w14:paraId="0A87606B">
      <w:pPr>
        <w:shd w:val="clear"/>
        <w:rPr>
          <w:rFonts w:hint="eastAsia" w:ascii="宋体" w:hAnsi="宋体" w:eastAsia="宋体" w:cs="宋体"/>
          <w:color w:val="auto"/>
          <w:highlight w:val="none"/>
        </w:rPr>
      </w:pPr>
    </w:p>
    <w:p w14:paraId="4F6EAD2D">
      <w:pPr>
        <w:shd w:val="clear"/>
        <w:rPr>
          <w:rFonts w:hint="eastAsia" w:ascii="宋体" w:hAnsi="宋体" w:eastAsia="宋体" w:cs="宋体"/>
          <w:color w:val="auto"/>
          <w:highlight w:val="none"/>
        </w:rPr>
      </w:pPr>
    </w:p>
    <w:p w14:paraId="5DE1AF3A">
      <w:pPr>
        <w:shd w:val="clear"/>
        <w:tabs>
          <w:tab w:val="left" w:pos="900"/>
        </w:tabs>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第一部分     “资格性投标文件”格式</w:t>
      </w:r>
    </w:p>
    <w:p w14:paraId="5B1A9C64">
      <w:pPr>
        <w:shd w:val="clear"/>
        <w:spacing w:line="360" w:lineRule="auto"/>
        <w:rPr>
          <w:rFonts w:hint="eastAsia" w:ascii="宋体" w:hAnsi="宋体" w:eastAsia="宋体" w:cs="宋体"/>
          <w:b/>
          <w:color w:val="auto"/>
          <w:sz w:val="32"/>
          <w:szCs w:val="32"/>
          <w:highlight w:val="none"/>
        </w:rPr>
      </w:pPr>
    </w:p>
    <w:p w14:paraId="0CBC84AD">
      <w:pPr>
        <w:shd w:val="clea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封面：</w:t>
      </w:r>
    </w:p>
    <w:p w14:paraId="6CE9167B">
      <w:pPr>
        <w:shd w:val="clear"/>
        <w:spacing w:line="360" w:lineRule="auto"/>
        <w:jc w:val="right"/>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（正本/副本）</w:t>
      </w:r>
    </w:p>
    <w:p w14:paraId="3DA57BB4">
      <w:pPr>
        <w:shd w:val="clear"/>
        <w:spacing w:line="360" w:lineRule="auto"/>
        <w:rPr>
          <w:rFonts w:hint="eastAsia" w:ascii="宋体" w:hAnsi="宋体" w:eastAsia="宋体" w:cs="宋体"/>
          <w:b/>
          <w:color w:val="auto"/>
          <w:sz w:val="32"/>
          <w:szCs w:val="32"/>
          <w:highlight w:val="none"/>
        </w:rPr>
      </w:pPr>
    </w:p>
    <w:p w14:paraId="667E6D22">
      <w:pPr>
        <w:shd w:val="clear"/>
        <w:spacing w:line="360" w:lineRule="auto"/>
        <w:rPr>
          <w:rFonts w:hint="eastAsia" w:ascii="宋体" w:hAnsi="宋体" w:eastAsia="宋体" w:cs="宋体"/>
          <w:b/>
          <w:color w:val="auto"/>
          <w:sz w:val="32"/>
          <w:szCs w:val="32"/>
          <w:highlight w:val="none"/>
        </w:rPr>
      </w:pPr>
    </w:p>
    <w:p w14:paraId="2211B0DE">
      <w:pPr>
        <w:shd w:val="clear"/>
        <w:spacing w:line="360" w:lineRule="auto"/>
        <w:jc w:val="center"/>
        <w:rPr>
          <w:rFonts w:hint="eastAsia" w:ascii="宋体" w:hAnsi="宋体" w:eastAsia="宋体" w:cs="宋体"/>
          <w:b/>
          <w:color w:val="auto"/>
          <w:sz w:val="72"/>
          <w:highlight w:val="none"/>
        </w:rPr>
      </w:pPr>
      <w:r>
        <w:rPr>
          <w:rFonts w:hint="eastAsia" w:ascii="宋体" w:hAnsi="宋体" w:eastAsia="宋体" w:cs="宋体"/>
          <w:b/>
          <w:color w:val="auto"/>
          <w:sz w:val="40"/>
          <w:szCs w:val="48"/>
          <w:highlight w:val="none"/>
        </w:rPr>
        <w:t xml:space="preserve">    </w:t>
      </w:r>
      <w:r>
        <w:rPr>
          <w:rFonts w:hint="eastAsia" w:ascii="宋体" w:hAnsi="宋体" w:eastAsia="宋体" w:cs="宋体"/>
          <w:b/>
          <w:color w:val="auto"/>
          <w:sz w:val="40"/>
          <w:szCs w:val="48"/>
          <w:highlight w:val="none"/>
          <w:u w:val="single"/>
        </w:rPr>
        <w:t xml:space="preserve">                  </w:t>
      </w:r>
      <w:r>
        <w:rPr>
          <w:rFonts w:hint="eastAsia" w:ascii="宋体" w:hAnsi="宋体" w:eastAsia="宋体" w:cs="宋体"/>
          <w:b/>
          <w:color w:val="auto"/>
          <w:sz w:val="40"/>
          <w:szCs w:val="48"/>
          <w:highlight w:val="none"/>
        </w:rPr>
        <w:t>项目</w:t>
      </w:r>
    </w:p>
    <w:p w14:paraId="6591FB33">
      <w:pPr>
        <w:shd w:val="clear"/>
        <w:spacing w:line="360" w:lineRule="auto"/>
        <w:rPr>
          <w:rFonts w:hint="eastAsia" w:ascii="宋体" w:hAnsi="宋体" w:eastAsia="宋体" w:cs="宋体"/>
          <w:b/>
          <w:color w:val="auto"/>
          <w:sz w:val="52"/>
          <w:szCs w:val="52"/>
          <w:highlight w:val="none"/>
        </w:rPr>
      </w:pPr>
    </w:p>
    <w:p w14:paraId="23C3AAA3">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52"/>
          <w:szCs w:val="52"/>
          <w:highlight w:val="none"/>
        </w:rPr>
        <w:t>资格性投标文件</w:t>
      </w:r>
    </w:p>
    <w:p w14:paraId="03B17F00">
      <w:pPr>
        <w:pStyle w:val="23"/>
        <w:shd w:val="clear"/>
        <w:ind w:firstLine="2891" w:firstLineChars="9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14:paraId="4D4B8764">
      <w:pPr>
        <w:shd w:val="clear"/>
        <w:spacing w:line="360" w:lineRule="auto"/>
        <w:rPr>
          <w:rFonts w:hint="eastAsia" w:ascii="宋体" w:hAnsi="宋体" w:eastAsia="宋体" w:cs="宋体"/>
          <w:b/>
          <w:color w:val="auto"/>
          <w:sz w:val="36"/>
          <w:highlight w:val="none"/>
        </w:rPr>
      </w:pPr>
    </w:p>
    <w:p w14:paraId="32DF10CF">
      <w:pPr>
        <w:shd w:val="clear"/>
        <w:spacing w:line="360" w:lineRule="auto"/>
        <w:rPr>
          <w:rFonts w:hint="eastAsia" w:ascii="宋体" w:hAnsi="宋体" w:eastAsia="宋体" w:cs="宋体"/>
          <w:b/>
          <w:color w:val="auto"/>
          <w:sz w:val="36"/>
          <w:highlight w:val="none"/>
        </w:rPr>
      </w:pPr>
    </w:p>
    <w:p w14:paraId="7B3AB2F1">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投标人名称：                                 </w:t>
      </w:r>
    </w:p>
    <w:p w14:paraId="7585BF0A">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采购编号：</w:t>
      </w:r>
    </w:p>
    <w:p w14:paraId="728FDAA6">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标包号：                                                                     </w:t>
      </w:r>
    </w:p>
    <w:p w14:paraId="20269024">
      <w:pPr>
        <w:shd w:val="clear"/>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日期：</w:t>
      </w:r>
    </w:p>
    <w:p w14:paraId="7FBE58B6">
      <w:pPr>
        <w:shd w:val="clear"/>
        <w:rPr>
          <w:rFonts w:hint="eastAsia" w:ascii="宋体" w:hAnsi="宋体" w:eastAsia="宋体" w:cs="宋体"/>
          <w:color w:val="auto"/>
          <w:highlight w:val="none"/>
        </w:rPr>
      </w:pPr>
    </w:p>
    <w:p w14:paraId="734E2466">
      <w:pPr>
        <w:shd w:val="clear"/>
        <w:rPr>
          <w:rFonts w:hint="eastAsia" w:ascii="宋体" w:hAnsi="宋体" w:eastAsia="宋体" w:cs="宋体"/>
          <w:color w:val="auto"/>
          <w:highlight w:val="none"/>
        </w:rPr>
      </w:pPr>
    </w:p>
    <w:p w14:paraId="29C9D6CB">
      <w:pPr>
        <w:shd w:val="clear"/>
        <w:rPr>
          <w:rFonts w:hint="eastAsia" w:ascii="宋体" w:hAnsi="宋体" w:eastAsia="宋体" w:cs="宋体"/>
          <w:color w:val="auto"/>
          <w:highlight w:val="none"/>
        </w:rPr>
      </w:pPr>
    </w:p>
    <w:p w14:paraId="69266C7D">
      <w:pPr>
        <w:shd w:val="clear"/>
        <w:rPr>
          <w:rFonts w:hint="eastAsia" w:ascii="宋体" w:hAnsi="宋体" w:eastAsia="宋体" w:cs="宋体"/>
          <w:color w:val="auto"/>
          <w:highlight w:val="none"/>
        </w:rPr>
      </w:pPr>
    </w:p>
    <w:p w14:paraId="7D051BC2">
      <w:pPr>
        <w:shd w:val="clear"/>
        <w:rPr>
          <w:rFonts w:hint="eastAsia" w:ascii="宋体" w:hAnsi="宋体" w:eastAsia="宋体" w:cs="宋体"/>
          <w:color w:val="auto"/>
          <w:highlight w:val="none"/>
        </w:rPr>
      </w:pPr>
    </w:p>
    <w:p w14:paraId="2E67A32D">
      <w:pPr>
        <w:shd w:val="clear"/>
        <w:rPr>
          <w:rFonts w:hint="eastAsia" w:ascii="宋体" w:hAnsi="宋体" w:eastAsia="宋体" w:cs="宋体"/>
          <w:color w:val="auto"/>
          <w:highlight w:val="none"/>
        </w:rPr>
      </w:pPr>
    </w:p>
    <w:p w14:paraId="27610D1C">
      <w:pPr>
        <w:shd w:val="clear"/>
        <w:rPr>
          <w:rFonts w:hint="eastAsia" w:ascii="宋体" w:hAnsi="宋体" w:eastAsia="宋体" w:cs="宋体"/>
          <w:color w:val="auto"/>
          <w:highlight w:val="none"/>
        </w:rPr>
      </w:pPr>
    </w:p>
    <w:p w14:paraId="4C102687">
      <w:pPr>
        <w:shd w:val="clear"/>
        <w:rPr>
          <w:rFonts w:hint="eastAsia" w:ascii="宋体" w:hAnsi="宋体" w:eastAsia="宋体" w:cs="宋体"/>
          <w:color w:val="auto"/>
          <w:highlight w:val="none"/>
        </w:rPr>
      </w:pPr>
    </w:p>
    <w:p w14:paraId="38ED95A5">
      <w:pPr>
        <w:shd w:val="clear"/>
        <w:spacing w:line="360" w:lineRule="auto"/>
        <w:jc w:val="center"/>
        <w:rPr>
          <w:rFonts w:hint="eastAsia" w:ascii="宋体" w:hAnsi="宋体" w:eastAsia="宋体" w:cs="宋体"/>
          <w:b/>
          <w:color w:val="auto"/>
          <w:sz w:val="32"/>
          <w:szCs w:val="32"/>
          <w:highlight w:val="none"/>
        </w:rPr>
      </w:pPr>
      <w:bookmarkStart w:id="233" w:name="_Toc8596"/>
      <w:bookmarkStart w:id="234" w:name="_Toc426657570"/>
      <w:bookmarkStart w:id="235" w:name="_Toc217446082"/>
      <w:r>
        <w:rPr>
          <w:rFonts w:hint="eastAsia" w:ascii="宋体" w:hAnsi="宋体" w:eastAsia="宋体" w:cs="宋体"/>
          <w:b/>
          <w:color w:val="auto"/>
          <w:sz w:val="32"/>
          <w:szCs w:val="32"/>
          <w:highlight w:val="none"/>
        </w:rPr>
        <w:t>一、法定代表人/单位负责人身份证明书</w:t>
      </w:r>
    </w:p>
    <w:p w14:paraId="37E11F0B">
      <w:pPr>
        <w:widowControl/>
        <w:shd w:val="clear"/>
        <w:snapToGrid w:val="0"/>
        <w:spacing w:line="360" w:lineRule="auto"/>
        <w:jc w:val="left"/>
        <w:rPr>
          <w:rFonts w:hint="eastAsia" w:ascii="宋体" w:hAnsi="宋体" w:eastAsia="宋体" w:cs="宋体"/>
          <w:color w:val="auto"/>
          <w:sz w:val="24"/>
          <w:highlight w:val="none"/>
        </w:rPr>
      </w:pPr>
    </w:p>
    <w:p w14:paraId="7D04B963">
      <w:pPr>
        <w:pStyle w:val="14"/>
        <w:shd w:val="clear"/>
        <w:spacing w:line="360" w:lineRule="auto"/>
        <w:ind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rPr>
        <w:t>XXXXXXXX（采购代理机构名称）：</w:t>
      </w:r>
    </w:p>
    <w:p w14:paraId="66A99978">
      <w:pPr>
        <w:pStyle w:val="183"/>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XXXXXX</w:t>
      </w:r>
      <w:r>
        <w:rPr>
          <w:rFonts w:hint="eastAsia" w:ascii="宋体" w:hAnsi="宋体" w:eastAsia="宋体" w:cs="宋体"/>
          <w:color w:val="auto"/>
          <w:highlight w:val="none"/>
        </w:rPr>
        <w:t>（法定责任人姓名）系</w:t>
      </w:r>
      <w:r>
        <w:rPr>
          <w:rFonts w:hint="eastAsia" w:ascii="宋体" w:hAnsi="宋体" w:eastAsia="宋体" w:cs="宋体"/>
          <w:color w:val="auto"/>
          <w:highlight w:val="none"/>
          <w:u w:val="single"/>
        </w:rPr>
        <w:t>XXXXXXXXX</w:t>
      </w:r>
      <w:r>
        <w:rPr>
          <w:rFonts w:hint="eastAsia" w:ascii="宋体" w:hAnsi="宋体" w:eastAsia="宋体" w:cs="宋体"/>
          <w:color w:val="auto"/>
          <w:highlight w:val="none"/>
        </w:rPr>
        <w:t>（投标人全称）的</w:t>
      </w:r>
      <w:r>
        <w:rPr>
          <w:rFonts w:hint="eastAsia" w:ascii="宋体" w:hAnsi="宋体" w:eastAsia="宋体" w:cs="宋体"/>
          <w:color w:val="auto"/>
          <w:highlight w:val="none"/>
          <w:u w:val="single"/>
        </w:rPr>
        <w:t>XXXXXX</w:t>
      </w:r>
      <w:r>
        <w:rPr>
          <w:rFonts w:hint="eastAsia" w:ascii="宋体" w:hAnsi="宋体" w:eastAsia="宋体" w:cs="宋体"/>
          <w:color w:val="auto"/>
          <w:highlight w:val="none"/>
        </w:rPr>
        <w:t>（职务：如企业法定代表人/事业单位及非企业专业服务机构负责人/个体工商户经营者或自然人本人等）。</w:t>
      </w:r>
    </w:p>
    <w:p w14:paraId="751F623E">
      <w:pPr>
        <w:pStyle w:val="183"/>
        <w:shd w:val="clear"/>
        <w:ind w:firstLine="480"/>
        <w:rPr>
          <w:rFonts w:hint="eastAsia" w:ascii="宋体" w:hAnsi="宋体" w:eastAsia="宋体" w:cs="宋体"/>
          <w:color w:val="auto"/>
          <w:highlight w:val="none"/>
        </w:rPr>
      </w:pPr>
    </w:p>
    <w:p w14:paraId="5185F2C5">
      <w:pPr>
        <w:pStyle w:val="183"/>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1277980D">
      <w:pPr>
        <w:pStyle w:val="183"/>
        <w:shd w:val="clear"/>
        <w:ind w:firstLine="480"/>
        <w:rPr>
          <w:rFonts w:hint="eastAsia" w:ascii="宋体" w:hAnsi="宋体" w:eastAsia="宋体" w:cs="宋体"/>
          <w:color w:val="auto"/>
          <w:highlight w:val="none"/>
        </w:rPr>
      </w:pPr>
    </w:p>
    <w:p w14:paraId="5263D63B">
      <w:pPr>
        <w:pStyle w:val="183"/>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XXX</w:t>
      </w:r>
      <w:r>
        <w:rPr>
          <w:rFonts w:hint="eastAsia" w:ascii="宋体" w:hAnsi="宋体" w:eastAsia="宋体" w:cs="宋体"/>
          <w:color w:val="auto"/>
          <w:highlight w:val="none"/>
        </w:rPr>
        <w:t>（盖单位公章）</w:t>
      </w:r>
    </w:p>
    <w:p w14:paraId="3D2D83C9">
      <w:pPr>
        <w:pStyle w:val="183"/>
        <w:shd w:val="clear"/>
        <w:ind w:firstLine="480"/>
        <w:rPr>
          <w:rFonts w:hint="eastAsia" w:ascii="宋体" w:hAnsi="宋体" w:eastAsia="宋体" w:cs="宋体"/>
          <w:color w:val="auto"/>
          <w:highlight w:val="none"/>
        </w:rPr>
      </w:pPr>
    </w:p>
    <w:p w14:paraId="45A5A09C">
      <w:pPr>
        <w:pStyle w:val="183"/>
        <w:shd w:val="clear"/>
        <w:ind w:firstLine="48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XXX</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XXX</w:t>
      </w:r>
      <w:r>
        <w:rPr>
          <w:rFonts w:hint="eastAsia" w:ascii="宋体" w:hAnsi="宋体" w:eastAsia="宋体" w:cs="宋体"/>
          <w:color w:val="auto"/>
          <w:highlight w:val="none"/>
        </w:rPr>
        <w:t>日</w:t>
      </w:r>
    </w:p>
    <w:p w14:paraId="0D999FEE">
      <w:pPr>
        <w:pStyle w:val="183"/>
        <w:shd w:val="clear"/>
        <w:ind w:firstLine="480"/>
        <w:rPr>
          <w:rFonts w:hint="eastAsia" w:ascii="宋体" w:hAnsi="宋体" w:eastAsia="宋体" w:cs="宋体"/>
          <w:color w:val="auto"/>
          <w:highlight w:val="none"/>
        </w:rPr>
      </w:pPr>
    </w:p>
    <w:p w14:paraId="755A1A31">
      <w:pPr>
        <w:shd w:val="clear"/>
        <w:spacing w:line="360" w:lineRule="auto"/>
        <w:jc w:val="left"/>
        <w:rPr>
          <w:rFonts w:hint="eastAsia" w:ascii="宋体" w:hAnsi="宋体" w:eastAsia="宋体" w:cs="宋体"/>
          <w:color w:val="auto"/>
          <w:sz w:val="24"/>
          <w:highlight w:val="none"/>
        </w:rPr>
      </w:pPr>
    </w:p>
    <w:p w14:paraId="262B27F3">
      <w:pPr>
        <w:shd w:val="clear"/>
        <w:spacing w:line="360" w:lineRule="auto"/>
        <w:jc w:val="left"/>
        <w:rPr>
          <w:rFonts w:hint="eastAsia" w:ascii="宋体" w:hAnsi="宋体" w:eastAsia="宋体" w:cs="宋体"/>
          <w:color w:val="auto"/>
          <w:sz w:val="24"/>
          <w:highlight w:val="none"/>
        </w:rPr>
      </w:pPr>
    </w:p>
    <w:p w14:paraId="4C5F651C">
      <w:pPr>
        <w:shd w:val="clear"/>
        <w:spacing w:line="360" w:lineRule="auto"/>
        <w:jc w:val="left"/>
        <w:rPr>
          <w:rFonts w:hint="eastAsia" w:ascii="宋体" w:hAnsi="宋体" w:eastAsia="宋体" w:cs="宋体"/>
          <w:color w:val="auto"/>
          <w:sz w:val="24"/>
          <w:highlight w:val="none"/>
        </w:rPr>
      </w:pPr>
    </w:p>
    <w:p w14:paraId="05B1BD4B">
      <w:pPr>
        <w:shd w:val="clear"/>
        <w:spacing w:line="360" w:lineRule="auto"/>
        <w:jc w:val="left"/>
        <w:rPr>
          <w:rFonts w:hint="eastAsia" w:ascii="宋体" w:hAnsi="宋体" w:eastAsia="宋体" w:cs="宋体"/>
          <w:color w:val="auto"/>
          <w:sz w:val="24"/>
          <w:highlight w:val="none"/>
        </w:rPr>
      </w:pPr>
    </w:p>
    <w:p w14:paraId="379C2FCB">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5F44820">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1、附：法定代表人/单位负责人身份证件复印件（均为双面复印）。</w:t>
      </w:r>
    </w:p>
    <w:p w14:paraId="78945D3D">
      <w:pPr>
        <w:pStyle w:val="14"/>
        <w:shd w:val="clea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2、投标人为法人单位时提供“法定代表人身份证明书”，投标人为其他组织时提供“单位负责人身份证明书”，投标人为自然人时提供“自然人身份证明材料”。</w:t>
      </w:r>
    </w:p>
    <w:p w14:paraId="63E3EE73">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rPr>
        <w:t>二、法定代表人/单位负责人授权书</w:t>
      </w:r>
    </w:p>
    <w:p w14:paraId="33FD2878">
      <w:pPr>
        <w:pStyle w:val="14"/>
        <w:shd w:val="clear"/>
        <w:spacing w:line="360" w:lineRule="auto"/>
        <w:ind w:firstLine="199" w:firstLineChars="83"/>
        <w:rPr>
          <w:rFonts w:hint="eastAsia" w:ascii="宋体" w:hAnsi="宋体" w:eastAsia="宋体" w:cs="宋体"/>
          <w:color w:val="auto"/>
          <w:sz w:val="24"/>
          <w:highlight w:val="none"/>
        </w:rPr>
      </w:pPr>
    </w:p>
    <w:p w14:paraId="582849DF">
      <w:pPr>
        <w:pStyle w:val="14"/>
        <w:shd w:val="clear"/>
        <w:spacing w:line="360" w:lineRule="auto"/>
        <w:ind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rPr>
        <w:t>XXXXXXXX（采购代理机构名称）：</w:t>
      </w:r>
    </w:p>
    <w:p w14:paraId="1ADD3440">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本授权声明：XXXX XXXX（投标人名称）XXXX（法定代表人/单位负责人姓名、职务）授权XXXX（被授权人姓名、职务）为我方 “XXXXXXXX” 项目（采购编号：XXXX）投标活动的合法代表，以我方名义全权处理该项目有关投标、签订合同以及执行合同等一切事宜。</w:t>
      </w:r>
    </w:p>
    <w:p w14:paraId="6C1D047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672A5239">
      <w:pPr>
        <w:pStyle w:val="14"/>
        <w:shd w:val="clear"/>
        <w:spacing w:line="360" w:lineRule="auto"/>
        <w:ind w:firstLine="480"/>
        <w:rPr>
          <w:rFonts w:hint="eastAsia" w:ascii="宋体" w:hAnsi="宋体" w:eastAsia="宋体" w:cs="宋体"/>
          <w:color w:val="auto"/>
          <w:sz w:val="24"/>
          <w:highlight w:val="none"/>
        </w:rPr>
      </w:pPr>
    </w:p>
    <w:p w14:paraId="6E3C4EDF">
      <w:pPr>
        <w:pStyle w:val="14"/>
        <w:shd w:val="clear"/>
        <w:spacing w:line="360" w:lineRule="auto"/>
        <w:ind w:firstLine="480"/>
        <w:rPr>
          <w:rFonts w:hint="eastAsia" w:ascii="宋体" w:hAnsi="宋体" w:eastAsia="宋体" w:cs="宋体"/>
          <w:color w:val="auto"/>
          <w:sz w:val="24"/>
          <w:highlight w:val="none"/>
        </w:rPr>
      </w:pPr>
    </w:p>
    <w:p w14:paraId="4B68E7E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法定代表人/单位负责人（委托人）签字或者加盖个人名章：XXXX。</w:t>
      </w:r>
    </w:p>
    <w:p w14:paraId="6D880953">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授权代表（被授权人）签字：XXXX。</w:t>
      </w:r>
    </w:p>
    <w:p w14:paraId="6D371AA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投标人名称：XXXX（单位盖章）。</w:t>
      </w:r>
    </w:p>
    <w:p w14:paraId="7B0D1D7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期：XXXX。</w:t>
      </w:r>
    </w:p>
    <w:p w14:paraId="24A6CBE6">
      <w:pPr>
        <w:pStyle w:val="14"/>
        <w:shd w:val="clear"/>
        <w:spacing w:line="360" w:lineRule="auto"/>
        <w:ind w:firstLine="480"/>
        <w:rPr>
          <w:rFonts w:hint="eastAsia" w:ascii="宋体" w:hAnsi="宋体" w:eastAsia="宋体" w:cs="宋体"/>
          <w:color w:val="auto"/>
          <w:sz w:val="24"/>
          <w:highlight w:val="none"/>
        </w:rPr>
      </w:pPr>
    </w:p>
    <w:p w14:paraId="43F7F6AF">
      <w:pPr>
        <w:pStyle w:val="14"/>
        <w:shd w:val="clear"/>
        <w:spacing w:line="360" w:lineRule="auto"/>
        <w:ind w:firstLine="48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注：</w:t>
      </w:r>
    </w:p>
    <w:p w14:paraId="47803881">
      <w:pPr>
        <w:pStyle w:val="14"/>
        <w:shd w:val="clear"/>
        <w:spacing w:line="360" w:lineRule="auto"/>
        <w:ind w:firstLine="48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1、投标人为法人单位时提供“法定代表人授权书”，投标人为其他组织时提供“单位负责人授权书”，投标人为自然人时提供“自然人身份证明材料”。</w:t>
      </w:r>
    </w:p>
    <w:p w14:paraId="3240273F">
      <w:pPr>
        <w:pStyle w:val="14"/>
        <w:shd w:val="clear"/>
        <w:spacing w:line="360" w:lineRule="auto"/>
        <w:ind w:firstLine="48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2、应附法定代表人/单位负责人身份证明材料复印件和授权代表身份证明材料复印件。</w:t>
      </w:r>
    </w:p>
    <w:p w14:paraId="105D0F62">
      <w:pPr>
        <w:pStyle w:val="14"/>
        <w:shd w:val="clear"/>
        <w:spacing w:line="360" w:lineRule="auto"/>
        <w:ind w:firstLine="48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3、身份证明材料包括居民身份证或户口本或军官证或护照等。</w:t>
      </w:r>
    </w:p>
    <w:p w14:paraId="5626C48E">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2"/>
          <w:szCs w:val="18"/>
          <w:highlight w:val="none"/>
        </w:rPr>
        <w:t>4、身份证明材料应同时提供其在有效期的材料，如居民身份证正、反面复印件。</w:t>
      </w:r>
    </w:p>
    <w:p w14:paraId="428A8AE8">
      <w:pPr>
        <w:shd w:val="clear"/>
        <w:spacing w:line="360" w:lineRule="auto"/>
        <w:rPr>
          <w:rFonts w:hint="eastAsia" w:ascii="宋体" w:hAnsi="宋体" w:eastAsia="宋体" w:cs="宋体"/>
          <w:b/>
          <w:color w:val="auto"/>
          <w:sz w:val="32"/>
          <w:szCs w:val="32"/>
          <w:highlight w:val="none"/>
        </w:rPr>
      </w:pPr>
    </w:p>
    <w:p w14:paraId="4F1AA8D8">
      <w:pPr>
        <w:pStyle w:val="183"/>
        <w:shd w:val="clear"/>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425AEE1B">
      <w:pPr>
        <w:pStyle w:val="183"/>
        <w:shd w:val="clear"/>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“法定代表人/单位负责人身份证明书”与“法定代表人/单位负责人授权委托书”由投标人按以下规则选择其一填报：</w:t>
      </w:r>
    </w:p>
    <w:p w14:paraId="4A3E5D44">
      <w:pPr>
        <w:pStyle w:val="183"/>
        <w:shd w:val="clear"/>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1、法定代表人/单位负责人参与投标时，请填报“法定代表人/单位负责人身份证明书”；</w:t>
      </w:r>
    </w:p>
    <w:p w14:paraId="525CB2B3">
      <w:pPr>
        <w:pStyle w:val="183"/>
        <w:shd w:val="clear"/>
        <w:ind w:firstLine="44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2、法定代表人/单位负责人委托他人参与投标时，请填报“法定代表人/单位负责人授权委托书”。</w:t>
      </w:r>
    </w:p>
    <w:p w14:paraId="1D876159">
      <w:pPr>
        <w:pStyle w:val="23"/>
        <w:shd w:val="clear"/>
        <w:rPr>
          <w:rFonts w:hint="eastAsia" w:ascii="宋体" w:hAnsi="宋体" w:eastAsia="宋体" w:cs="宋体"/>
          <w:color w:val="auto"/>
          <w:highlight w:val="none"/>
        </w:rPr>
      </w:pPr>
    </w:p>
    <w:p w14:paraId="2B5FA373">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三、承诺函</w:t>
      </w:r>
    </w:p>
    <w:p w14:paraId="1C3B1BCA">
      <w:pPr>
        <w:pStyle w:val="14"/>
        <w:shd w:val="clear"/>
        <w:spacing w:line="360" w:lineRule="auto"/>
        <w:ind w:firstLine="199" w:firstLineChars="83"/>
        <w:rPr>
          <w:rFonts w:hint="eastAsia" w:ascii="宋体" w:hAnsi="宋体" w:eastAsia="宋体" w:cs="宋体"/>
          <w:color w:val="auto"/>
          <w:sz w:val="24"/>
          <w:highlight w:val="none"/>
        </w:rPr>
      </w:pPr>
    </w:p>
    <w:p w14:paraId="700E8C09">
      <w:pPr>
        <w:pStyle w:val="14"/>
        <w:shd w:val="clear"/>
        <w:spacing w:line="360" w:lineRule="auto"/>
        <w:ind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rPr>
        <w:t>XXXX（采购代理机构名称）：</w:t>
      </w:r>
    </w:p>
    <w:p w14:paraId="28E4D7EE">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我单位作为本次采购项目的投标人，根据招标文件要求，现郑重承诺如下：</w:t>
      </w:r>
    </w:p>
    <w:p w14:paraId="319991B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一、具备《中华人民共和国政府采购法》第二十二条第一款和本项目规定的条件：</w:t>
      </w:r>
    </w:p>
    <w:p w14:paraId="1BA09D4C">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562A80D4">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39E95287">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6F9B0D47">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16B18228">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6E6BFB94">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14:paraId="67CC689C">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（七）参加本次招标采购活动，不存在与单位负责人为同一人或者存在直接控股、管理关系的其他投标人参与同一合同项下的政府采购活动的行为。</w:t>
      </w:r>
    </w:p>
    <w:p w14:paraId="28DA7FC7">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（八）参加本次招标采购活动，未为采购项目提供整体设计、规范编制或者项目管理、监理、检测等服务。</w:t>
      </w:r>
    </w:p>
    <w:p w14:paraId="2F03472F">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（九）参加本次招标采购活动，不存在和其他投标人在同一合同项下的采购项目中，同时委托同一个自然人、同一家庭的人员、同一单位的人员作为代理人的行为。</w:t>
      </w:r>
    </w:p>
    <w:p w14:paraId="77454CC3">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（十）未被列入失信被执行人、重大税收违法案件当事人名单、政府采购严重违法失信行为记录名单。</w:t>
      </w:r>
    </w:p>
    <w:p w14:paraId="7DAD37F1">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本单位对上述承诺的内容事项真实性负责。如经查实上述承诺的内容事项存在虚假，我单位愿意接受以提供虚假材料谋取中标追究法律责任。</w:t>
      </w:r>
    </w:p>
    <w:p w14:paraId="2A17A096">
      <w:pPr>
        <w:pStyle w:val="14"/>
        <w:shd w:val="clear"/>
        <w:spacing w:line="360" w:lineRule="auto"/>
        <w:ind w:firstLine="480"/>
        <w:rPr>
          <w:rFonts w:hint="eastAsia" w:ascii="宋体" w:hAnsi="宋体" w:eastAsia="宋体" w:cs="宋体"/>
          <w:color w:val="auto"/>
          <w:sz w:val="24"/>
          <w:highlight w:val="none"/>
        </w:rPr>
      </w:pPr>
    </w:p>
    <w:p w14:paraId="667CB9C8">
      <w:pPr>
        <w:pStyle w:val="14"/>
        <w:shd w:val="clear"/>
        <w:spacing w:line="360" w:lineRule="auto"/>
        <w:ind w:firstLine="480"/>
        <w:rPr>
          <w:rFonts w:hint="eastAsia" w:ascii="宋体" w:hAnsi="宋体" w:eastAsia="宋体" w:cs="宋体"/>
          <w:color w:val="auto"/>
          <w:sz w:val="24"/>
          <w:highlight w:val="none"/>
        </w:rPr>
      </w:pPr>
    </w:p>
    <w:p w14:paraId="00A7ACDC">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01863239">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4E0F429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期：XXXX。</w:t>
      </w:r>
    </w:p>
    <w:p w14:paraId="57F2BA75">
      <w:pPr>
        <w:shd w:val="clear"/>
        <w:spacing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四、投标人及其现任法定代表人和主要负责人不得具有行贿犯罪记录的承诺函</w:t>
      </w:r>
    </w:p>
    <w:p w14:paraId="3A07DD87">
      <w:pPr>
        <w:pStyle w:val="14"/>
        <w:shd w:val="clear"/>
        <w:spacing w:line="360" w:lineRule="auto"/>
        <w:ind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rPr>
        <w:t>XXXX（采购代理机构名称）：</w:t>
      </w:r>
    </w:p>
    <w:p w14:paraId="0D9A563F">
      <w:pPr>
        <w:shd w:val="clear"/>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我公司作为本次采购项目的投标人，根据招标文件的要求，在此郑重承诺：</w:t>
      </w:r>
    </w:p>
    <w:p w14:paraId="7D4A1B60">
      <w:pPr>
        <w:shd w:val="clear"/>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我公司</w:t>
      </w:r>
      <w:r>
        <w:rPr>
          <w:rFonts w:hint="eastAsia" w:ascii="宋体" w:hAnsi="宋体" w:eastAsia="宋体" w:cs="宋体"/>
          <w:bCs/>
          <w:color w:val="auto"/>
          <w:sz w:val="24"/>
          <w:highlight w:val="none"/>
          <w:u w:val="single"/>
        </w:rPr>
        <w:t xml:space="preserve">   （公司名称）      </w:t>
      </w:r>
      <w:r>
        <w:rPr>
          <w:rFonts w:hint="eastAsia" w:ascii="宋体" w:hAnsi="宋体" w:eastAsia="宋体" w:cs="宋体"/>
          <w:bCs/>
          <w:color w:val="auto"/>
          <w:sz w:val="24"/>
          <w:highlight w:val="none"/>
        </w:rPr>
        <w:t>及我公司现任法定代表人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和主要负责人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不具有行贿犯罪记录。</w:t>
      </w:r>
    </w:p>
    <w:p w14:paraId="33405F55">
      <w:pPr>
        <w:shd w:val="clear"/>
        <w:spacing w:line="360" w:lineRule="auto"/>
        <w:rPr>
          <w:rFonts w:hint="eastAsia" w:ascii="宋体" w:hAnsi="宋体" w:eastAsia="宋体" w:cs="宋体"/>
          <w:bCs/>
          <w:color w:val="auto"/>
          <w:sz w:val="24"/>
          <w:highlight w:val="none"/>
        </w:rPr>
      </w:pPr>
    </w:p>
    <w:p w14:paraId="3DF19323">
      <w:pPr>
        <w:shd w:val="clear"/>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如违反以上承诺，本公司愿承担一切法律责任。</w:t>
      </w:r>
    </w:p>
    <w:p w14:paraId="3A6985D6">
      <w:pPr>
        <w:shd w:val="clear"/>
        <w:spacing w:line="360" w:lineRule="auto"/>
        <w:rPr>
          <w:rFonts w:hint="eastAsia" w:ascii="宋体" w:hAnsi="宋体" w:eastAsia="宋体" w:cs="宋体"/>
          <w:bCs/>
          <w:color w:val="auto"/>
          <w:sz w:val="24"/>
          <w:highlight w:val="none"/>
        </w:rPr>
      </w:pPr>
    </w:p>
    <w:p w14:paraId="5DDDC80A">
      <w:pPr>
        <w:shd w:val="clear"/>
        <w:spacing w:line="360" w:lineRule="auto"/>
        <w:rPr>
          <w:rFonts w:hint="eastAsia" w:ascii="宋体" w:hAnsi="宋体" w:eastAsia="宋体" w:cs="宋体"/>
          <w:bCs/>
          <w:color w:val="auto"/>
          <w:sz w:val="24"/>
          <w:highlight w:val="none"/>
        </w:rPr>
      </w:pPr>
    </w:p>
    <w:p w14:paraId="399236F5">
      <w:pPr>
        <w:shd w:val="clear"/>
        <w:spacing w:line="360" w:lineRule="auto"/>
        <w:rPr>
          <w:rFonts w:hint="eastAsia" w:ascii="宋体" w:hAnsi="宋体" w:eastAsia="宋体" w:cs="宋体"/>
          <w:bCs/>
          <w:color w:val="auto"/>
          <w:sz w:val="24"/>
          <w:highlight w:val="none"/>
        </w:rPr>
      </w:pPr>
    </w:p>
    <w:p w14:paraId="41C93888">
      <w:pPr>
        <w:pStyle w:val="14"/>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370E6DE0">
      <w:pPr>
        <w:pStyle w:val="14"/>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6833858D">
      <w:pPr>
        <w:pStyle w:val="14"/>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期：XXXX。</w:t>
      </w:r>
    </w:p>
    <w:p w14:paraId="1457F358">
      <w:pPr>
        <w:shd w:val="clear"/>
        <w:rPr>
          <w:rFonts w:hint="eastAsia" w:ascii="宋体" w:hAnsi="宋体" w:eastAsia="宋体" w:cs="宋体"/>
          <w:color w:val="auto"/>
          <w:highlight w:val="none"/>
        </w:rPr>
      </w:pPr>
    </w:p>
    <w:p w14:paraId="7A486710">
      <w:pPr>
        <w:shd w:val="clear"/>
        <w:rPr>
          <w:rFonts w:hint="eastAsia" w:ascii="宋体" w:hAnsi="宋体" w:eastAsia="宋体" w:cs="宋体"/>
          <w:color w:val="auto"/>
          <w:highlight w:val="none"/>
        </w:rPr>
      </w:pPr>
    </w:p>
    <w:p w14:paraId="21CD4451">
      <w:pPr>
        <w:shd w:val="clear"/>
        <w:rPr>
          <w:rFonts w:hint="eastAsia" w:ascii="宋体" w:hAnsi="宋体" w:eastAsia="宋体" w:cs="宋体"/>
          <w:color w:val="auto"/>
          <w:highlight w:val="none"/>
        </w:rPr>
      </w:pPr>
    </w:p>
    <w:p w14:paraId="2E1B563C">
      <w:pPr>
        <w:shd w:val="clear"/>
        <w:rPr>
          <w:rFonts w:hint="eastAsia" w:ascii="宋体" w:hAnsi="宋体" w:eastAsia="宋体" w:cs="宋体"/>
          <w:color w:val="auto"/>
          <w:highlight w:val="none"/>
        </w:rPr>
      </w:pPr>
    </w:p>
    <w:p w14:paraId="6CE5F117">
      <w:pPr>
        <w:shd w:val="clear"/>
        <w:rPr>
          <w:rFonts w:hint="eastAsia" w:ascii="宋体" w:hAnsi="宋体" w:eastAsia="宋体" w:cs="宋体"/>
          <w:color w:val="auto"/>
          <w:highlight w:val="none"/>
        </w:rPr>
      </w:pPr>
    </w:p>
    <w:p w14:paraId="0C1795A4">
      <w:pPr>
        <w:shd w:val="clear"/>
        <w:rPr>
          <w:rFonts w:hint="eastAsia" w:ascii="宋体" w:hAnsi="宋体" w:eastAsia="宋体" w:cs="宋体"/>
          <w:color w:val="auto"/>
          <w:highlight w:val="none"/>
        </w:rPr>
      </w:pPr>
    </w:p>
    <w:p w14:paraId="7CB0D794">
      <w:pPr>
        <w:shd w:val="clear"/>
        <w:rPr>
          <w:rFonts w:hint="eastAsia" w:ascii="宋体" w:hAnsi="宋体" w:eastAsia="宋体" w:cs="宋体"/>
          <w:color w:val="auto"/>
          <w:highlight w:val="none"/>
        </w:rPr>
      </w:pPr>
    </w:p>
    <w:p w14:paraId="3CAC475D">
      <w:pPr>
        <w:shd w:val="clear"/>
        <w:rPr>
          <w:rFonts w:hint="eastAsia" w:ascii="宋体" w:hAnsi="宋体" w:eastAsia="宋体" w:cs="宋体"/>
          <w:color w:val="auto"/>
          <w:highlight w:val="none"/>
        </w:rPr>
      </w:pPr>
    </w:p>
    <w:p w14:paraId="13B22B9C">
      <w:pPr>
        <w:shd w:val="clear"/>
        <w:rPr>
          <w:rFonts w:hint="eastAsia" w:ascii="宋体" w:hAnsi="宋体" w:eastAsia="宋体" w:cs="宋体"/>
          <w:color w:val="auto"/>
          <w:highlight w:val="none"/>
        </w:rPr>
      </w:pPr>
    </w:p>
    <w:p w14:paraId="71CBBCE5">
      <w:pPr>
        <w:shd w:val="clear"/>
        <w:rPr>
          <w:rFonts w:hint="eastAsia" w:ascii="宋体" w:hAnsi="宋体" w:eastAsia="宋体" w:cs="宋体"/>
          <w:color w:val="auto"/>
          <w:highlight w:val="none"/>
        </w:rPr>
      </w:pPr>
    </w:p>
    <w:p w14:paraId="0B9B372E">
      <w:pPr>
        <w:shd w:val="clear"/>
        <w:rPr>
          <w:rFonts w:hint="eastAsia" w:ascii="宋体" w:hAnsi="宋体" w:eastAsia="宋体" w:cs="宋体"/>
          <w:color w:val="auto"/>
          <w:highlight w:val="none"/>
        </w:rPr>
      </w:pPr>
    </w:p>
    <w:p w14:paraId="07092414">
      <w:pPr>
        <w:shd w:val="clear"/>
        <w:rPr>
          <w:rFonts w:hint="eastAsia" w:ascii="宋体" w:hAnsi="宋体" w:eastAsia="宋体" w:cs="宋体"/>
          <w:color w:val="auto"/>
          <w:highlight w:val="none"/>
        </w:rPr>
      </w:pPr>
    </w:p>
    <w:p w14:paraId="72AF391F">
      <w:pPr>
        <w:shd w:val="clear"/>
        <w:rPr>
          <w:rFonts w:hint="eastAsia" w:ascii="宋体" w:hAnsi="宋体" w:eastAsia="宋体" w:cs="宋体"/>
          <w:color w:val="auto"/>
          <w:highlight w:val="none"/>
        </w:rPr>
      </w:pPr>
    </w:p>
    <w:p w14:paraId="19E13AD4">
      <w:pPr>
        <w:shd w:val="clear"/>
        <w:rPr>
          <w:rFonts w:hint="eastAsia" w:ascii="宋体" w:hAnsi="宋体" w:eastAsia="宋体" w:cs="宋体"/>
          <w:color w:val="auto"/>
          <w:highlight w:val="none"/>
        </w:rPr>
      </w:pPr>
    </w:p>
    <w:p w14:paraId="327ED70B">
      <w:pPr>
        <w:shd w:val="clear"/>
        <w:rPr>
          <w:rFonts w:hint="eastAsia" w:ascii="宋体" w:hAnsi="宋体" w:eastAsia="宋体" w:cs="宋体"/>
          <w:color w:val="auto"/>
          <w:highlight w:val="none"/>
        </w:rPr>
      </w:pPr>
    </w:p>
    <w:p w14:paraId="176F0B11">
      <w:pPr>
        <w:shd w:val="clear"/>
        <w:rPr>
          <w:rFonts w:hint="eastAsia" w:ascii="宋体" w:hAnsi="宋体" w:eastAsia="宋体" w:cs="宋体"/>
          <w:color w:val="auto"/>
          <w:highlight w:val="none"/>
        </w:rPr>
      </w:pPr>
    </w:p>
    <w:p w14:paraId="3E251CAA">
      <w:pPr>
        <w:shd w:val="clear"/>
        <w:rPr>
          <w:rFonts w:hint="eastAsia" w:ascii="宋体" w:hAnsi="宋体" w:eastAsia="宋体" w:cs="宋体"/>
          <w:color w:val="auto"/>
          <w:highlight w:val="none"/>
        </w:rPr>
      </w:pPr>
    </w:p>
    <w:p w14:paraId="6728603B">
      <w:pPr>
        <w:shd w:val="clear"/>
        <w:rPr>
          <w:rFonts w:hint="eastAsia" w:ascii="宋体" w:hAnsi="宋体" w:eastAsia="宋体" w:cs="宋体"/>
          <w:color w:val="auto"/>
          <w:highlight w:val="none"/>
        </w:rPr>
      </w:pPr>
    </w:p>
    <w:p w14:paraId="4ADC2898">
      <w:pPr>
        <w:shd w:val="clear"/>
        <w:rPr>
          <w:rFonts w:hint="eastAsia" w:ascii="宋体" w:hAnsi="宋体" w:eastAsia="宋体" w:cs="宋体"/>
          <w:color w:val="auto"/>
          <w:highlight w:val="none"/>
        </w:rPr>
      </w:pPr>
    </w:p>
    <w:p w14:paraId="50647222">
      <w:pPr>
        <w:shd w:val="clear"/>
        <w:rPr>
          <w:rFonts w:hint="eastAsia" w:ascii="宋体" w:hAnsi="宋体" w:eastAsia="宋体" w:cs="宋体"/>
          <w:color w:val="auto"/>
          <w:highlight w:val="none"/>
        </w:rPr>
      </w:pPr>
    </w:p>
    <w:p w14:paraId="6FD16476">
      <w:pPr>
        <w:shd w:val="clear"/>
        <w:rPr>
          <w:rFonts w:hint="eastAsia" w:ascii="宋体" w:hAnsi="宋体" w:eastAsia="宋体" w:cs="宋体"/>
          <w:color w:val="auto"/>
          <w:highlight w:val="none"/>
        </w:rPr>
      </w:pPr>
    </w:p>
    <w:p w14:paraId="09A7454D">
      <w:pPr>
        <w:shd w:val="clear"/>
        <w:rPr>
          <w:rFonts w:hint="eastAsia" w:ascii="宋体" w:hAnsi="宋体" w:eastAsia="宋体" w:cs="宋体"/>
          <w:color w:val="auto"/>
          <w:highlight w:val="none"/>
        </w:rPr>
      </w:pPr>
    </w:p>
    <w:p w14:paraId="5FD59D49">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五、参加政府采购活动前三年内，在经营活动中无重大违法记录的承诺函</w:t>
      </w:r>
    </w:p>
    <w:p w14:paraId="234EA350">
      <w:pPr>
        <w:pStyle w:val="14"/>
        <w:shd w:val="clear"/>
        <w:spacing w:line="360" w:lineRule="auto"/>
        <w:ind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rPr>
        <w:t>XXXX（采购代理机构名称）：</w:t>
      </w:r>
    </w:p>
    <w:p w14:paraId="40B76913">
      <w:pPr>
        <w:shd w:val="clear"/>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我公司作为本次采购项目的投标人，根据招标文件的要求，在此郑重承诺：</w:t>
      </w:r>
    </w:p>
    <w:p w14:paraId="03808125">
      <w:pPr>
        <w:shd w:val="clear"/>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我公司参加政府采购活动前三年内（成立不足三年的，从成立之日起算），在经营活动中无重大违法记录。（指因违法经营受到刑事处罚或责令停产停业、吊销许可证或者执照、较大数额罚款等行政处罚）</w:t>
      </w:r>
    </w:p>
    <w:p w14:paraId="0D93DAB4">
      <w:pPr>
        <w:pStyle w:val="23"/>
        <w:shd w:val="clear"/>
        <w:spacing w:line="360" w:lineRule="auto"/>
        <w:rPr>
          <w:rFonts w:hint="eastAsia" w:ascii="宋体" w:hAnsi="宋体" w:eastAsia="宋体" w:cs="宋体"/>
          <w:color w:val="auto"/>
          <w:highlight w:val="none"/>
        </w:rPr>
      </w:pPr>
    </w:p>
    <w:p w14:paraId="7451C398">
      <w:pPr>
        <w:shd w:val="clea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如违反以上承诺，本公司愿承担一切法律责任。</w:t>
      </w:r>
    </w:p>
    <w:p w14:paraId="2810F416">
      <w:pPr>
        <w:shd w:val="clear"/>
        <w:spacing w:line="360" w:lineRule="auto"/>
        <w:rPr>
          <w:rFonts w:hint="eastAsia" w:ascii="宋体" w:hAnsi="宋体" w:eastAsia="宋体" w:cs="宋体"/>
          <w:bCs/>
          <w:color w:val="auto"/>
          <w:sz w:val="24"/>
          <w:highlight w:val="none"/>
        </w:rPr>
      </w:pPr>
    </w:p>
    <w:p w14:paraId="40002CA0">
      <w:pPr>
        <w:shd w:val="clear"/>
        <w:spacing w:line="360" w:lineRule="auto"/>
        <w:rPr>
          <w:rFonts w:hint="eastAsia" w:ascii="宋体" w:hAnsi="宋体" w:eastAsia="宋体" w:cs="宋体"/>
          <w:bCs/>
          <w:color w:val="auto"/>
          <w:sz w:val="24"/>
          <w:highlight w:val="none"/>
        </w:rPr>
      </w:pPr>
    </w:p>
    <w:p w14:paraId="3993A50A">
      <w:pPr>
        <w:pStyle w:val="14"/>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7E805160">
      <w:pPr>
        <w:pStyle w:val="14"/>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3E15342C">
      <w:pPr>
        <w:pStyle w:val="14"/>
        <w:shd w:val="clea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期：XXXX。</w:t>
      </w:r>
    </w:p>
    <w:p w14:paraId="5249095D">
      <w:pPr>
        <w:shd w:val="clear"/>
        <w:rPr>
          <w:rFonts w:hint="eastAsia" w:ascii="宋体" w:hAnsi="宋体" w:eastAsia="宋体" w:cs="宋体"/>
          <w:color w:val="auto"/>
          <w:highlight w:val="none"/>
        </w:rPr>
      </w:pPr>
    </w:p>
    <w:p w14:paraId="10942D76">
      <w:pPr>
        <w:shd w:val="clear"/>
        <w:rPr>
          <w:rFonts w:hint="eastAsia" w:ascii="宋体" w:hAnsi="宋体" w:eastAsia="宋体" w:cs="宋体"/>
          <w:color w:val="auto"/>
          <w:highlight w:val="none"/>
        </w:rPr>
      </w:pPr>
    </w:p>
    <w:p w14:paraId="296740DD">
      <w:pPr>
        <w:shd w:val="clear"/>
        <w:rPr>
          <w:rFonts w:hint="eastAsia" w:ascii="宋体" w:hAnsi="宋体" w:eastAsia="宋体" w:cs="宋体"/>
          <w:color w:val="auto"/>
          <w:highlight w:val="none"/>
        </w:rPr>
      </w:pPr>
    </w:p>
    <w:p w14:paraId="7E2A0D1F">
      <w:pPr>
        <w:shd w:val="clear"/>
        <w:rPr>
          <w:rFonts w:hint="eastAsia" w:ascii="宋体" w:hAnsi="宋体" w:eastAsia="宋体" w:cs="宋体"/>
          <w:color w:val="auto"/>
          <w:highlight w:val="none"/>
        </w:rPr>
      </w:pPr>
    </w:p>
    <w:p w14:paraId="363006D5">
      <w:pPr>
        <w:shd w:val="clear"/>
        <w:rPr>
          <w:rFonts w:hint="eastAsia" w:ascii="宋体" w:hAnsi="宋体" w:eastAsia="宋体" w:cs="宋体"/>
          <w:color w:val="auto"/>
          <w:highlight w:val="none"/>
        </w:rPr>
      </w:pPr>
    </w:p>
    <w:p w14:paraId="0C8D2F99">
      <w:pPr>
        <w:shd w:val="clear"/>
        <w:rPr>
          <w:rFonts w:hint="eastAsia" w:ascii="宋体" w:hAnsi="宋体" w:eastAsia="宋体" w:cs="宋体"/>
          <w:color w:val="auto"/>
          <w:highlight w:val="none"/>
        </w:rPr>
      </w:pPr>
    </w:p>
    <w:p w14:paraId="5DB89BF6">
      <w:pPr>
        <w:shd w:val="clear"/>
        <w:rPr>
          <w:rFonts w:hint="eastAsia" w:ascii="宋体" w:hAnsi="宋体" w:eastAsia="宋体" w:cs="宋体"/>
          <w:color w:val="auto"/>
          <w:highlight w:val="none"/>
        </w:rPr>
      </w:pPr>
    </w:p>
    <w:p w14:paraId="67CDF597">
      <w:pPr>
        <w:shd w:val="clear"/>
        <w:rPr>
          <w:rFonts w:hint="eastAsia" w:ascii="宋体" w:hAnsi="宋体" w:eastAsia="宋体" w:cs="宋体"/>
          <w:color w:val="auto"/>
          <w:highlight w:val="none"/>
        </w:rPr>
      </w:pPr>
    </w:p>
    <w:p w14:paraId="241FFFF4">
      <w:pPr>
        <w:shd w:val="clear"/>
        <w:rPr>
          <w:rFonts w:hint="eastAsia" w:ascii="宋体" w:hAnsi="宋体" w:eastAsia="宋体" w:cs="宋体"/>
          <w:color w:val="auto"/>
          <w:highlight w:val="none"/>
        </w:rPr>
      </w:pPr>
    </w:p>
    <w:p w14:paraId="0737938C">
      <w:pPr>
        <w:shd w:val="clear"/>
        <w:rPr>
          <w:rFonts w:hint="eastAsia" w:ascii="宋体" w:hAnsi="宋体" w:eastAsia="宋体" w:cs="宋体"/>
          <w:color w:val="auto"/>
          <w:highlight w:val="none"/>
        </w:rPr>
      </w:pPr>
    </w:p>
    <w:p w14:paraId="1A914846">
      <w:pPr>
        <w:shd w:val="clear"/>
        <w:rPr>
          <w:rFonts w:hint="eastAsia" w:ascii="宋体" w:hAnsi="宋体" w:eastAsia="宋体" w:cs="宋体"/>
          <w:color w:val="auto"/>
          <w:highlight w:val="none"/>
        </w:rPr>
      </w:pPr>
    </w:p>
    <w:p w14:paraId="70BCB7FF">
      <w:pPr>
        <w:shd w:val="clear"/>
        <w:rPr>
          <w:rFonts w:hint="eastAsia" w:ascii="宋体" w:hAnsi="宋体" w:eastAsia="宋体" w:cs="宋体"/>
          <w:color w:val="auto"/>
          <w:highlight w:val="none"/>
        </w:rPr>
      </w:pPr>
    </w:p>
    <w:p w14:paraId="1FB50B84">
      <w:pPr>
        <w:shd w:val="clear"/>
        <w:rPr>
          <w:rFonts w:hint="eastAsia" w:ascii="宋体" w:hAnsi="宋体" w:eastAsia="宋体" w:cs="宋体"/>
          <w:color w:val="auto"/>
          <w:highlight w:val="none"/>
        </w:rPr>
      </w:pPr>
    </w:p>
    <w:p w14:paraId="79AD7774">
      <w:pPr>
        <w:shd w:val="clear"/>
        <w:rPr>
          <w:rFonts w:hint="eastAsia" w:ascii="宋体" w:hAnsi="宋体" w:eastAsia="宋体" w:cs="宋体"/>
          <w:color w:val="auto"/>
          <w:highlight w:val="none"/>
        </w:rPr>
      </w:pPr>
    </w:p>
    <w:p w14:paraId="5D9AE35F">
      <w:pPr>
        <w:shd w:val="clear"/>
        <w:rPr>
          <w:rFonts w:hint="eastAsia" w:ascii="宋体" w:hAnsi="宋体" w:eastAsia="宋体" w:cs="宋体"/>
          <w:color w:val="auto"/>
          <w:highlight w:val="none"/>
        </w:rPr>
      </w:pPr>
    </w:p>
    <w:p w14:paraId="285F2E73">
      <w:pPr>
        <w:shd w:val="clear"/>
        <w:rPr>
          <w:rFonts w:hint="eastAsia" w:ascii="宋体" w:hAnsi="宋体" w:eastAsia="宋体" w:cs="宋体"/>
          <w:color w:val="auto"/>
          <w:highlight w:val="none"/>
        </w:rPr>
      </w:pPr>
    </w:p>
    <w:p w14:paraId="48C8FF18">
      <w:pPr>
        <w:shd w:val="clear"/>
        <w:rPr>
          <w:rFonts w:hint="eastAsia" w:ascii="宋体" w:hAnsi="宋体" w:eastAsia="宋体" w:cs="宋体"/>
          <w:color w:val="auto"/>
          <w:highlight w:val="none"/>
        </w:rPr>
      </w:pPr>
    </w:p>
    <w:p w14:paraId="0B901043">
      <w:pPr>
        <w:shd w:val="clear"/>
        <w:rPr>
          <w:rFonts w:hint="eastAsia" w:ascii="宋体" w:hAnsi="宋体" w:eastAsia="宋体" w:cs="宋体"/>
          <w:color w:val="auto"/>
          <w:highlight w:val="none"/>
        </w:rPr>
      </w:pPr>
    </w:p>
    <w:p w14:paraId="3A982FA7">
      <w:pPr>
        <w:shd w:val="clear"/>
        <w:rPr>
          <w:rFonts w:hint="eastAsia" w:ascii="宋体" w:hAnsi="宋体" w:eastAsia="宋体" w:cs="宋体"/>
          <w:color w:val="auto"/>
          <w:highlight w:val="none"/>
        </w:rPr>
      </w:pPr>
    </w:p>
    <w:p w14:paraId="6929CC99">
      <w:pPr>
        <w:shd w:val="clear"/>
        <w:rPr>
          <w:rFonts w:hint="eastAsia" w:ascii="宋体" w:hAnsi="宋体" w:eastAsia="宋体" w:cs="宋体"/>
          <w:color w:val="auto"/>
          <w:highlight w:val="none"/>
        </w:rPr>
      </w:pPr>
    </w:p>
    <w:p w14:paraId="3AD89D17">
      <w:pPr>
        <w:shd w:val="clear"/>
        <w:rPr>
          <w:rFonts w:hint="eastAsia" w:ascii="宋体" w:hAnsi="宋体" w:eastAsia="宋体" w:cs="宋体"/>
          <w:color w:val="auto"/>
          <w:highlight w:val="none"/>
        </w:rPr>
      </w:pPr>
    </w:p>
    <w:p w14:paraId="1E966B8C">
      <w:pPr>
        <w:shd w:val="clear"/>
        <w:rPr>
          <w:rFonts w:hint="eastAsia" w:ascii="宋体" w:hAnsi="宋体" w:eastAsia="宋体" w:cs="宋体"/>
          <w:color w:val="auto"/>
          <w:highlight w:val="none"/>
        </w:rPr>
      </w:pPr>
    </w:p>
    <w:p w14:paraId="1DBC65CD">
      <w:pPr>
        <w:shd w:val="clear"/>
        <w:rPr>
          <w:rFonts w:hint="eastAsia" w:ascii="宋体" w:hAnsi="宋体" w:eastAsia="宋体" w:cs="宋体"/>
          <w:color w:val="auto"/>
          <w:highlight w:val="none"/>
        </w:rPr>
      </w:pPr>
    </w:p>
    <w:p w14:paraId="325AA0F0">
      <w:pPr>
        <w:shd w:val="clear"/>
        <w:rPr>
          <w:rFonts w:hint="eastAsia" w:ascii="宋体" w:hAnsi="宋体" w:eastAsia="宋体" w:cs="宋体"/>
          <w:color w:val="auto"/>
          <w:highlight w:val="none"/>
        </w:rPr>
      </w:pPr>
    </w:p>
    <w:p w14:paraId="2AA790A9">
      <w:pPr>
        <w:shd w:val="clear"/>
        <w:rPr>
          <w:rFonts w:hint="eastAsia" w:ascii="宋体" w:hAnsi="宋体" w:eastAsia="宋体" w:cs="宋体"/>
          <w:color w:val="auto"/>
          <w:highlight w:val="none"/>
        </w:rPr>
      </w:pPr>
    </w:p>
    <w:p w14:paraId="2E2092FC">
      <w:pPr>
        <w:shd w:val="clear"/>
        <w:spacing w:after="194" w:afterLines="81"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六、知识产权承诺函</w:t>
      </w:r>
    </w:p>
    <w:p w14:paraId="3132BB12">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我单位现就招标文件中，关于“知识产权”规定作出如下承诺：</w:t>
      </w:r>
    </w:p>
    <w:p w14:paraId="26CEB735">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78459EF1">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2、采购人享有本项目实施过程中产生的知识成果及知识产权。</w:t>
      </w:r>
    </w:p>
    <w:p w14:paraId="5A91199D">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3、我单位在本项目实施过程中</w:t>
      </w:r>
      <w:r>
        <w:rPr>
          <w:rFonts w:hint="eastAsia" w:ascii="宋体" w:hAnsi="宋体" w:eastAsia="宋体" w:cs="宋体"/>
          <w:bCs/>
          <w:color w:val="auto"/>
          <w:sz w:val="24"/>
          <w:highlight w:val="none"/>
        </w:rPr>
        <w:t>没有</w:t>
      </w:r>
      <w:r>
        <w:rPr>
          <w:rFonts w:hint="eastAsia" w:ascii="宋体" w:hAnsi="宋体" w:eastAsia="宋体" w:cs="宋体"/>
          <w:color w:val="auto"/>
          <w:sz w:val="24"/>
          <w:highlight w:val="none"/>
        </w:rPr>
        <w:t>采用自有知识成果。</w:t>
      </w:r>
    </w:p>
    <w:p w14:paraId="078B0040">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4、如采用的知识产权不是我单位所拥有的，则我单位投标报价已经包括合法获取该知识产权的相关费用。</w:t>
      </w:r>
    </w:p>
    <w:p w14:paraId="3D3FEE68">
      <w:pPr>
        <w:widowControl/>
        <w:shd w:val="clear"/>
        <w:snapToGrid w:val="0"/>
        <w:spacing w:line="360" w:lineRule="auto"/>
        <w:ind w:firstLine="480" w:firstLineChars="200"/>
        <w:jc w:val="left"/>
        <w:rPr>
          <w:rFonts w:hint="eastAsia" w:ascii="宋体" w:hAnsi="宋体" w:eastAsia="宋体" w:cs="宋体"/>
          <w:color w:val="auto"/>
          <w:sz w:val="24"/>
          <w:highlight w:val="none"/>
        </w:rPr>
      </w:pPr>
    </w:p>
    <w:p w14:paraId="674B32F9">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5738750">
      <w:pPr>
        <w:widowControl/>
        <w:shd w:val="clear"/>
        <w:snapToGrid w:val="0"/>
        <w:spacing w:line="360" w:lineRule="auto"/>
        <w:ind w:firstLine="480" w:firstLineChars="200"/>
        <w:jc w:val="left"/>
        <w:rPr>
          <w:rFonts w:hint="eastAsia" w:ascii="宋体" w:hAnsi="宋体" w:eastAsia="宋体" w:cs="宋体"/>
          <w:color w:val="auto"/>
          <w:sz w:val="24"/>
          <w:highlight w:val="none"/>
        </w:rPr>
      </w:pPr>
    </w:p>
    <w:p w14:paraId="458E0DDA">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B193D71">
      <w:pPr>
        <w:widowControl/>
        <w:shd w:val="clear"/>
        <w:snapToGrid w:val="0"/>
        <w:spacing w:line="360" w:lineRule="auto"/>
        <w:ind w:firstLine="480" w:firstLineChars="200"/>
        <w:jc w:val="left"/>
        <w:rPr>
          <w:rFonts w:hint="eastAsia" w:ascii="宋体" w:hAnsi="宋体" w:eastAsia="宋体" w:cs="宋体"/>
          <w:color w:val="auto"/>
          <w:sz w:val="24"/>
          <w:highlight w:val="none"/>
        </w:rPr>
      </w:pPr>
    </w:p>
    <w:p w14:paraId="30378BB7">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法定代表人或授权代表（签字或加盖个人名章）：</w:t>
      </w:r>
    </w:p>
    <w:p w14:paraId="2EC2F852">
      <w:pPr>
        <w:widowControl/>
        <w:shd w:val="clear"/>
        <w:snapToGrid w:val="0"/>
        <w:spacing w:line="360" w:lineRule="auto"/>
        <w:ind w:firstLine="480" w:firstLineChars="200"/>
        <w:jc w:val="left"/>
        <w:rPr>
          <w:rFonts w:hint="eastAsia" w:ascii="宋体" w:hAnsi="宋体" w:eastAsia="宋体" w:cs="宋体"/>
          <w:color w:val="auto"/>
          <w:sz w:val="24"/>
          <w:highlight w:val="none"/>
        </w:rPr>
      </w:pPr>
    </w:p>
    <w:p w14:paraId="3371D00E">
      <w:pPr>
        <w:widowControl/>
        <w:shd w:val="clea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56FB990">
      <w:pPr>
        <w:shd w:val="clear"/>
        <w:spacing w:line="360" w:lineRule="auto"/>
        <w:ind w:firstLine="590" w:firstLineChars="246"/>
        <w:jc w:val="center"/>
        <w:rPr>
          <w:rFonts w:hint="eastAsia" w:ascii="宋体" w:hAnsi="宋体" w:eastAsia="宋体" w:cs="宋体"/>
          <w:color w:val="auto"/>
          <w:sz w:val="24"/>
          <w:highlight w:val="none"/>
        </w:rPr>
      </w:pPr>
    </w:p>
    <w:p w14:paraId="276BD48C">
      <w:pPr>
        <w:shd w:val="clear"/>
        <w:spacing w:line="360" w:lineRule="auto"/>
        <w:ind w:firstLine="590" w:firstLineChars="246"/>
        <w:jc w:val="center"/>
        <w:rPr>
          <w:rFonts w:hint="eastAsia" w:ascii="宋体" w:hAnsi="宋体" w:eastAsia="宋体" w:cs="宋体"/>
          <w:color w:val="auto"/>
          <w:sz w:val="24"/>
          <w:highlight w:val="none"/>
        </w:rPr>
      </w:pPr>
    </w:p>
    <w:p w14:paraId="71022B26">
      <w:pPr>
        <w:shd w:val="clear"/>
        <w:spacing w:line="360" w:lineRule="auto"/>
        <w:ind w:firstLine="590" w:firstLineChars="246"/>
        <w:jc w:val="center"/>
        <w:rPr>
          <w:rFonts w:hint="eastAsia" w:ascii="宋体" w:hAnsi="宋体" w:eastAsia="宋体" w:cs="宋体"/>
          <w:color w:val="auto"/>
          <w:sz w:val="24"/>
          <w:highlight w:val="none"/>
        </w:rPr>
      </w:pPr>
    </w:p>
    <w:p w14:paraId="707C1B2C">
      <w:pPr>
        <w:shd w:val="clear"/>
        <w:spacing w:line="360" w:lineRule="auto"/>
        <w:ind w:firstLine="590" w:firstLineChars="246"/>
        <w:jc w:val="center"/>
        <w:rPr>
          <w:rFonts w:hint="eastAsia" w:ascii="宋体" w:hAnsi="宋体" w:eastAsia="宋体" w:cs="宋体"/>
          <w:color w:val="auto"/>
          <w:sz w:val="24"/>
          <w:highlight w:val="none"/>
        </w:rPr>
      </w:pPr>
    </w:p>
    <w:p w14:paraId="407292DE">
      <w:pPr>
        <w:shd w:val="clear"/>
        <w:spacing w:line="360" w:lineRule="auto"/>
        <w:ind w:firstLine="590" w:firstLineChars="246"/>
        <w:jc w:val="center"/>
        <w:rPr>
          <w:rFonts w:hint="eastAsia" w:ascii="宋体" w:hAnsi="宋体" w:eastAsia="宋体" w:cs="宋体"/>
          <w:color w:val="auto"/>
          <w:sz w:val="24"/>
          <w:highlight w:val="none"/>
        </w:rPr>
      </w:pPr>
    </w:p>
    <w:p w14:paraId="76BECFBB">
      <w:pPr>
        <w:shd w:val="clear"/>
        <w:spacing w:line="360" w:lineRule="auto"/>
        <w:ind w:firstLine="590" w:firstLineChars="246"/>
        <w:jc w:val="center"/>
        <w:rPr>
          <w:rFonts w:hint="eastAsia" w:ascii="宋体" w:hAnsi="宋体" w:eastAsia="宋体" w:cs="宋体"/>
          <w:color w:val="auto"/>
          <w:sz w:val="24"/>
          <w:highlight w:val="none"/>
        </w:rPr>
      </w:pPr>
    </w:p>
    <w:p w14:paraId="7D9E4118">
      <w:pPr>
        <w:shd w:val="clear"/>
        <w:spacing w:line="360" w:lineRule="auto"/>
        <w:ind w:firstLine="590" w:firstLineChars="246"/>
        <w:jc w:val="center"/>
        <w:rPr>
          <w:rFonts w:hint="eastAsia" w:ascii="宋体" w:hAnsi="宋体" w:eastAsia="宋体" w:cs="宋体"/>
          <w:color w:val="auto"/>
          <w:sz w:val="24"/>
          <w:highlight w:val="none"/>
        </w:rPr>
      </w:pPr>
    </w:p>
    <w:p w14:paraId="32CEE17D">
      <w:pPr>
        <w:shd w:val="clear"/>
        <w:spacing w:line="360" w:lineRule="auto"/>
        <w:ind w:firstLine="590" w:firstLineChars="246"/>
        <w:jc w:val="center"/>
        <w:rPr>
          <w:rFonts w:hint="eastAsia" w:ascii="宋体" w:hAnsi="宋体" w:eastAsia="宋体" w:cs="宋体"/>
          <w:color w:val="auto"/>
          <w:sz w:val="24"/>
          <w:highlight w:val="none"/>
        </w:rPr>
      </w:pPr>
    </w:p>
    <w:p w14:paraId="1D4E95A6">
      <w:pPr>
        <w:shd w:val="clear"/>
        <w:spacing w:line="360" w:lineRule="auto"/>
        <w:ind w:firstLine="590" w:firstLineChars="246"/>
        <w:jc w:val="center"/>
        <w:rPr>
          <w:rFonts w:hint="eastAsia" w:ascii="宋体" w:hAnsi="宋体" w:eastAsia="宋体" w:cs="宋体"/>
          <w:color w:val="auto"/>
          <w:sz w:val="24"/>
          <w:highlight w:val="none"/>
        </w:rPr>
      </w:pPr>
    </w:p>
    <w:p w14:paraId="41D2E73D">
      <w:pPr>
        <w:shd w:val="clear"/>
        <w:spacing w:line="360" w:lineRule="auto"/>
        <w:ind w:firstLine="590" w:firstLineChars="246"/>
        <w:jc w:val="center"/>
        <w:rPr>
          <w:rFonts w:hint="eastAsia" w:ascii="宋体" w:hAnsi="宋体" w:eastAsia="宋体" w:cs="宋体"/>
          <w:color w:val="auto"/>
          <w:sz w:val="24"/>
          <w:highlight w:val="none"/>
        </w:rPr>
      </w:pPr>
    </w:p>
    <w:p w14:paraId="4DF64D62">
      <w:pPr>
        <w:shd w:val="clear"/>
        <w:spacing w:line="360" w:lineRule="auto"/>
        <w:ind w:firstLine="590" w:firstLineChars="246"/>
        <w:jc w:val="center"/>
        <w:rPr>
          <w:rFonts w:hint="eastAsia" w:ascii="宋体" w:hAnsi="宋体" w:eastAsia="宋体" w:cs="宋体"/>
          <w:color w:val="auto"/>
          <w:sz w:val="24"/>
          <w:highlight w:val="none"/>
        </w:rPr>
      </w:pPr>
    </w:p>
    <w:p w14:paraId="5C72AE3C">
      <w:pPr>
        <w:shd w:val="clear"/>
        <w:spacing w:line="360" w:lineRule="auto"/>
        <w:ind w:firstLine="590" w:firstLineChars="246"/>
        <w:jc w:val="center"/>
        <w:rPr>
          <w:rFonts w:hint="eastAsia" w:ascii="宋体" w:hAnsi="宋体" w:eastAsia="宋体" w:cs="宋体"/>
          <w:color w:val="auto"/>
          <w:sz w:val="24"/>
          <w:highlight w:val="none"/>
        </w:rPr>
      </w:pPr>
    </w:p>
    <w:p w14:paraId="31056442">
      <w:pPr>
        <w:shd w:val="clear"/>
        <w:spacing w:line="360" w:lineRule="auto"/>
        <w:ind w:firstLine="590" w:firstLineChars="246"/>
        <w:jc w:val="center"/>
        <w:rPr>
          <w:rFonts w:hint="eastAsia" w:ascii="宋体" w:hAnsi="宋体" w:eastAsia="宋体" w:cs="宋体"/>
          <w:color w:val="auto"/>
          <w:sz w:val="24"/>
          <w:highlight w:val="none"/>
        </w:rPr>
      </w:pPr>
    </w:p>
    <w:p w14:paraId="5F877C1B">
      <w:pPr>
        <w:widowControl/>
        <w:shd w:val="clear"/>
        <w:spacing w:line="360" w:lineRule="auto"/>
        <w:jc w:val="center"/>
        <w:outlineLvl w:val="1"/>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rPr>
        <w:t>、中小企业声明函</w:t>
      </w:r>
    </w:p>
    <w:p w14:paraId="0409C6D3">
      <w:pPr>
        <w:shd w:val="clear"/>
        <w:spacing w:line="34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（项目名称+包件号）</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50837401">
      <w:pPr>
        <w:shd w:val="clear"/>
        <w:spacing w:line="34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740229B5">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6B1207E">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w:t>
      </w:r>
    </w:p>
    <w:p w14:paraId="04450BEC">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以上企业，不属于大企业的分支机构，不存在控股股东为大企业的情形，也不存在与大企业的负责人为同一人的情形。 </w:t>
      </w:r>
    </w:p>
    <w:p w14:paraId="0D92DD70">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0A8DBC8">
      <w:pPr>
        <w:shd w:val="clear"/>
        <w:spacing w:line="360" w:lineRule="auto"/>
        <w:ind w:firstLine="480" w:firstLineChars="200"/>
        <w:rPr>
          <w:rFonts w:hint="eastAsia" w:ascii="宋体" w:hAnsi="宋体" w:eastAsia="宋体" w:cs="宋体"/>
          <w:color w:val="auto"/>
          <w:sz w:val="24"/>
          <w:highlight w:val="none"/>
        </w:rPr>
      </w:pPr>
    </w:p>
    <w:p w14:paraId="3BFA0628">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602C8F88">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622163C">
      <w:pPr>
        <w:shd w:val="clear"/>
        <w:spacing w:line="360" w:lineRule="auto"/>
        <w:ind w:firstLine="442" w:firstLineChars="200"/>
        <w:rPr>
          <w:rFonts w:hint="eastAsia" w:ascii="宋体" w:hAnsi="宋体" w:eastAsia="宋体" w:cs="宋体"/>
          <w:b/>
          <w:color w:val="auto"/>
          <w:sz w:val="22"/>
          <w:szCs w:val="22"/>
          <w:highlight w:val="none"/>
        </w:rPr>
      </w:pPr>
    </w:p>
    <w:p w14:paraId="4BBAE6AF">
      <w:pPr>
        <w:shd w:val="clear"/>
        <w:spacing w:line="360" w:lineRule="auto"/>
        <w:ind w:firstLine="44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4"/>
          <w:szCs w:val="24"/>
          <w:highlight w:val="none"/>
        </w:rPr>
        <w:t>注：从业人员、营业收入、资产总额填报上一年度数据，无上一年度数据的新成立企业可不填报。</w:t>
      </w:r>
    </w:p>
    <w:p w14:paraId="69A870E1">
      <w:pPr>
        <w:shd w:val="clear"/>
        <w:spacing w:line="360" w:lineRule="auto"/>
        <w:rPr>
          <w:rFonts w:hint="eastAsia" w:ascii="宋体" w:hAnsi="宋体" w:eastAsia="宋体" w:cs="宋体"/>
          <w:color w:val="auto"/>
          <w:sz w:val="24"/>
          <w:highlight w:val="none"/>
        </w:rPr>
      </w:pPr>
    </w:p>
    <w:p w14:paraId="45273E14">
      <w:pPr>
        <w:shd w:val="clear"/>
        <w:snapToGrid w:val="0"/>
        <w:spacing w:line="360" w:lineRule="auto"/>
        <w:ind w:left="540"/>
        <w:jc w:val="center"/>
        <w:rPr>
          <w:rFonts w:hint="eastAsia" w:ascii="宋体" w:hAnsi="宋体" w:eastAsia="宋体" w:cs="宋体"/>
          <w:b/>
          <w:color w:val="auto"/>
          <w:sz w:val="30"/>
          <w:szCs w:val="30"/>
          <w:highlight w:val="none"/>
        </w:rPr>
      </w:pPr>
    </w:p>
    <w:p w14:paraId="6B5CF377">
      <w:pPr>
        <w:shd w:val="clear"/>
        <w:snapToGrid w:val="0"/>
        <w:spacing w:line="360" w:lineRule="auto"/>
        <w:ind w:left="540"/>
        <w:jc w:val="center"/>
        <w:rPr>
          <w:rFonts w:hint="eastAsia" w:ascii="宋体" w:hAnsi="宋体" w:eastAsia="宋体" w:cs="宋体"/>
          <w:b/>
          <w:color w:val="auto"/>
          <w:sz w:val="30"/>
          <w:szCs w:val="30"/>
          <w:highlight w:val="none"/>
        </w:rPr>
      </w:pPr>
    </w:p>
    <w:p w14:paraId="39D979E8">
      <w:pPr>
        <w:shd w:val="clear"/>
        <w:spacing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八</w:t>
      </w:r>
      <w:r>
        <w:rPr>
          <w:rFonts w:hint="eastAsia" w:ascii="宋体" w:hAnsi="宋体" w:eastAsia="宋体" w:cs="宋体"/>
          <w:b/>
          <w:color w:val="auto"/>
          <w:sz w:val="32"/>
          <w:szCs w:val="32"/>
          <w:highlight w:val="none"/>
        </w:rPr>
        <w:t>、监狱企业证明材料</w:t>
      </w:r>
    </w:p>
    <w:p w14:paraId="29532D5F">
      <w:pPr>
        <w:shd w:val="clear"/>
        <w:adjustRightInd w:val="0"/>
        <w:spacing w:beforeAutospacing="0" w:line="360" w:lineRule="auto"/>
        <w:ind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参加政府采购活动的监狱企业应当提供省级以上监狱管理局、戒毒管理局（含新疆生产建设兵团）出具的属于监狱企业的证明文件复印件加盖申请人公章。</w:t>
      </w:r>
    </w:p>
    <w:p w14:paraId="50902DA2">
      <w:pPr>
        <w:shd w:val="clear"/>
        <w:adjustRightInd w:val="0"/>
        <w:spacing w:line="360" w:lineRule="auto"/>
        <w:ind w:firstLine="540" w:firstLineChars="225"/>
        <w:jc w:val="left"/>
        <w:rPr>
          <w:rFonts w:hint="eastAsia" w:ascii="宋体" w:hAnsi="宋体" w:eastAsia="宋体" w:cs="宋体"/>
          <w:color w:val="auto"/>
          <w:sz w:val="24"/>
          <w:highlight w:val="none"/>
        </w:rPr>
      </w:pPr>
    </w:p>
    <w:p w14:paraId="69BACFD7">
      <w:pPr>
        <w:shd w:val="clear"/>
        <w:adjustRightInd w:val="0"/>
        <w:spacing w:line="360" w:lineRule="auto"/>
        <w:ind w:firstLine="542" w:firstLineChars="225"/>
        <w:jc w:val="left"/>
        <w:rPr>
          <w:rFonts w:hint="eastAsia" w:ascii="宋体" w:hAnsi="宋体" w:eastAsia="宋体" w:cs="宋体"/>
          <w:b/>
          <w:bCs/>
          <w:color w:val="auto"/>
          <w:sz w:val="24"/>
          <w:highlight w:val="none"/>
        </w:rPr>
      </w:pPr>
    </w:p>
    <w:p w14:paraId="56215CD5">
      <w:pPr>
        <w:pStyle w:val="23"/>
        <w:shd w:val="clear"/>
        <w:rPr>
          <w:rFonts w:hint="eastAsia" w:ascii="宋体" w:hAnsi="宋体" w:eastAsia="宋体" w:cs="宋体"/>
          <w:color w:val="auto"/>
          <w:highlight w:val="none"/>
        </w:rPr>
      </w:pPr>
    </w:p>
    <w:p w14:paraId="1F0D19B0">
      <w:pPr>
        <w:shd w:val="clear"/>
        <w:adjustRightInd w:val="0"/>
        <w:spacing w:line="360" w:lineRule="auto"/>
        <w:ind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EAEBD31">
      <w:pPr>
        <w:shd w:val="clear"/>
        <w:adjustRightInd w:val="0"/>
        <w:spacing w:line="360" w:lineRule="auto"/>
        <w:ind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1.监狱企业视同小型、微型企业，享受预留份额、评审中价格扣除等促进中小企业发展的政府采购政策。</w:t>
      </w:r>
    </w:p>
    <w:p w14:paraId="6ECC5C58">
      <w:pPr>
        <w:widowControl/>
        <w:shd w:val="clear"/>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2.申请人为非监狱企业的，不得提供此声明，提供此声明的，声明无效。</w:t>
      </w:r>
    </w:p>
    <w:p w14:paraId="6F019B6E">
      <w:pPr>
        <w:pStyle w:val="23"/>
        <w:shd w:val="clear"/>
        <w:rPr>
          <w:rFonts w:hint="eastAsia" w:ascii="宋体" w:hAnsi="宋体" w:eastAsia="宋体" w:cs="宋体"/>
          <w:color w:val="auto"/>
          <w:sz w:val="24"/>
          <w:highlight w:val="none"/>
        </w:rPr>
      </w:pPr>
    </w:p>
    <w:p w14:paraId="4797B2E6">
      <w:pPr>
        <w:shd w:val="clear"/>
        <w:rPr>
          <w:rFonts w:hint="eastAsia" w:ascii="宋体" w:hAnsi="宋体" w:eastAsia="宋体" w:cs="宋体"/>
          <w:color w:val="auto"/>
          <w:sz w:val="24"/>
          <w:highlight w:val="none"/>
        </w:rPr>
      </w:pPr>
    </w:p>
    <w:p w14:paraId="2C35A499">
      <w:pPr>
        <w:pStyle w:val="23"/>
        <w:shd w:val="clear"/>
        <w:rPr>
          <w:rFonts w:hint="eastAsia" w:ascii="宋体" w:hAnsi="宋体" w:eastAsia="宋体" w:cs="宋体"/>
          <w:color w:val="auto"/>
          <w:sz w:val="24"/>
          <w:highlight w:val="none"/>
        </w:rPr>
      </w:pPr>
    </w:p>
    <w:p w14:paraId="409C2629">
      <w:pPr>
        <w:shd w:val="clear"/>
        <w:rPr>
          <w:rFonts w:hint="eastAsia" w:ascii="宋体" w:hAnsi="宋体" w:eastAsia="宋体" w:cs="宋体"/>
          <w:color w:val="auto"/>
          <w:sz w:val="24"/>
          <w:highlight w:val="none"/>
        </w:rPr>
      </w:pPr>
    </w:p>
    <w:p w14:paraId="6352FE28">
      <w:pPr>
        <w:pStyle w:val="23"/>
        <w:shd w:val="clear"/>
        <w:rPr>
          <w:rFonts w:hint="eastAsia" w:ascii="宋体" w:hAnsi="宋体" w:eastAsia="宋体" w:cs="宋体"/>
          <w:color w:val="auto"/>
          <w:sz w:val="24"/>
          <w:highlight w:val="none"/>
        </w:rPr>
      </w:pPr>
    </w:p>
    <w:p w14:paraId="04AC66DC">
      <w:pPr>
        <w:shd w:val="clear"/>
        <w:rPr>
          <w:rFonts w:hint="eastAsia" w:ascii="宋体" w:hAnsi="宋体" w:eastAsia="宋体" w:cs="宋体"/>
          <w:color w:val="auto"/>
          <w:sz w:val="24"/>
          <w:highlight w:val="none"/>
        </w:rPr>
      </w:pPr>
    </w:p>
    <w:p w14:paraId="2C648F1C">
      <w:pPr>
        <w:pStyle w:val="23"/>
        <w:shd w:val="clear"/>
        <w:rPr>
          <w:rFonts w:hint="eastAsia" w:ascii="宋体" w:hAnsi="宋体" w:eastAsia="宋体" w:cs="宋体"/>
          <w:color w:val="auto"/>
          <w:sz w:val="24"/>
          <w:highlight w:val="none"/>
        </w:rPr>
      </w:pPr>
    </w:p>
    <w:p w14:paraId="628BA949">
      <w:pPr>
        <w:shd w:val="clear"/>
        <w:rPr>
          <w:rFonts w:hint="eastAsia" w:ascii="宋体" w:hAnsi="宋体" w:eastAsia="宋体" w:cs="宋体"/>
          <w:color w:val="auto"/>
          <w:sz w:val="24"/>
          <w:highlight w:val="none"/>
        </w:rPr>
      </w:pPr>
    </w:p>
    <w:p w14:paraId="17539484">
      <w:pPr>
        <w:pStyle w:val="23"/>
        <w:shd w:val="clear"/>
        <w:rPr>
          <w:rFonts w:hint="eastAsia" w:ascii="宋体" w:hAnsi="宋体" w:eastAsia="宋体" w:cs="宋体"/>
          <w:color w:val="auto"/>
          <w:sz w:val="24"/>
          <w:highlight w:val="none"/>
        </w:rPr>
      </w:pPr>
    </w:p>
    <w:p w14:paraId="6E44BB0E">
      <w:pPr>
        <w:shd w:val="clear"/>
        <w:rPr>
          <w:rFonts w:hint="eastAsia" w:ascii="宋体" w:hAnsi="宋体" w:eastAsia="宋体" w:cs="宋体"/>
          <w:color w:val="auto"/>
          <w:sz w:val="24"/>
          <w:highlight w:val="none"/>
        </w:rPr>
      </w:pPr>
    </w:p>
    <w:p w14:paraId="6D1D3929">
      <w:pPr>
        <w:pStyle w:val="23"/>
        <w:shd w:val="clear"/>
        <w:rPr>
          <w:rFonts w:hint="eastAsia" w:ascii="宋体" w:hAnsi="宋体" w:eastAsia="宋体" w:cs="宋体"/>
          <w:color w:val="auto"/>
          <w:sz w:val="24"/>
          <w:highlight w:val="none"/>
        </w:rPr>
      </w:pPr>
    </w:p>
    <w:p w14:paraId="15205AA6">
      <w:pPr>
        <w:shd w:val="clear"/>
        <w:rPr>
          <w:rFonts w:hint="eastAsia" w:ascii="宋体" w:hAnsi="宋体" w:eastAsia="宋体" w:cs="宋体"/>
          <w:color w:val="auto"/>
          <w:sz w:val="24"/>
          <w:highlight w:val="none"/>
        </w:rPr>
      </w:pPr>
    </w:p>
    <w:p w14:paraId="414B3E0F">
      <w:pPr>
        <w:pStyle w:val="23"/>
        <w:shd w:val="clear"/>
        <w:rPr>
          <w:rFonts w:hint="eastAsia" w:ascii="宋体" w:hAnsi="宋体" w:eastAsia="宋体" w:cs="宋体"/>
          <w:color w:val="auto"/>
          <w:sz w:val="24"/>
          <w:highlight w:val="none"/>
        </w:rPr>
      </w:pPr>
    </w:p>
    <w:p w14:paraId="43855B65">
      <w:pPr>
        <w:shd w:val="clear"/>
        <w:rPr>
          <w:rFonts w:hint="eastAsia" w:ascii="宋体" w:hAnsi="宋体" w:eastAsia="宋体" w:cs="宋体"/>
          <w:color w:val="auto"/>
          <w:sz w:val="24"/>
          <w:highlight w:val="none"/>
        </w:rPr>
      </w:pPr>
    </w:p>
    <w:p w14:paraId="312C3616">
      <w:pPr>
        <w:pStyle w:val="23"/>
        <w:shd w:val="clear"/>
        <w:rPr>
          <w:rFonts w:hint="eastAsia" w:ascii="宋体" w:hAnsi="宋体" w:eastAsia="宋体" w:cs="宋体"/>
          <w:color w:val="auto"/>
          <w:sz w:val="24"/>
          <w:highlight w:val="none"/>
        </w:rPr>
      </w:pPr>
    </w:p>
    <w:p w14:paraId="6269B400">
      <w:pPr>
        <w:shd w:val="clear"/>
        <w:rPr>
          <w:rFonts w:hint="eastAsia" w:ascii="宋体" w:hAnsi="宋体" w:eastAsia="宋体" w:cs="宋体"/>
          <w:color w:val="auto"/>
          <w:sz w:val="24"/>
          <w:highlight w:val="none"/>
        </w:rPr>
      </w:pPr>
    </w:p>
    <w:p w14:paraId="7419EA71">
      <w:pPr>
        <w:pStyle w:val="23"/>
        <w:shd w:val="clear"/>
        <w:rPr>
          <w:rFonts w:hint="eastAsia" w:ascii="宋体" w:hAnsi="宋体" w:eastAsia="宋体" w:cs="宋体"/>
          <w:color w:val="auto"/>
          <w:sz w:val="24"/>
          <w:highlight w:val="none"/>
        </w:rPr>
      </w:pPr>
    </w:p>
    <w:p w14:paraId="783B8E42">
      <w:pPr>
        <w:shd w:val="clear"/>
        <w:rPr>
          <w:rFonts w:hint="eastAsia" w:ascii="宋体" w:hAnsi="宋体" w:eastAsia="宋体" w:cs="宋体"/>
          <w:color w:val="auto"/>
          <w:sz w:val="24"/>
          <w:highlight w:val="none"/>
        </w:rPr>
      </w:pPr>
    </w:p>
    <w:p w14:paraId="2B7A959E">
      <w:pPr>
        <w:pStyle w:val="23"/>
        <w:shd w:val="clear"/>
        <w:rPr>
          <w:rFonts w:hint="eastAsia" w:ascii="宋体" w:hAnsi="宋体" w:eastAsia="宋体" w:cs="宋体"/>
          <w:color w:val="auto"/>
          <w:sz w:val="24"/>
          <w:highlight w:val="none"/>
        </w:rPr>
      </w:pPr>
    </w:p>
    <w:p w14:paraId="5DFC4478">
      <w:pPr>
        <w:shd w:val="clear"/>
        <w:rPr>
          <w:rFonts w:hint="eastAsia" w:ascii="宋体" w:hAnsi="宋体" w:eastAsia="宋体" w:cs="宋体"/>
          <w:color w:val="auto"/>
          <w:sz w:val="24"/>
          <w:highlight w:val="none"/>
        </w:rPr>
      </w:pPr>
    </w:p>
    <w:p w14:paraId="212EFE68">
      <w:pPr>
        <w:pStyle w:val="23"/>
        <w:shd w:val="clear"/>
        <w:rPr>
          <w:rFonts w:hint="eastAsia" w:ascii="宋体" w:hAnsi="宋体" w:eastAsia="宋体" w:cs="宋体"/>
          <w:color w:val="auto"/>
          <w:sz w:val="24"/>
          <w:highlight w:val="none"/>
        </w:rPr>
      </w:pPr>
    </w:p>
    <w:p w14:paraId="1170EDF3">
      <w:pPr>
        <w:shd w:val="clear"/>
        <w:rPr>
          <w:rFonts w:hint="eastAsia" w:ascii="宋体" w:hAnsi="宋体" w:eastAsia="宋体" w:cs="宋体"/>
          <w:color w:val="auto"/>
          <w:sz w:val="24"/>
          <w:highlight w:val="none"/>
        </w:rPr>
      </w:pPr>
    </w:p>
    <w:p w14:paraId="5D25CD8B">
      <w:pPr>
        <w:pStyle w:val="23"/>
        <w:shd w:val="clear"/>
        <w:rPr>
          <w:rFonts w:hint="eastAsia" w:ascii="宋体" w:hAnsi="宋体" w:eastAsia="宋体" w:cs="宋体"/>
          <w:color w:val="auto"/>
          <w:highlight w:val="none"/>
        </w:rPr>
      </w:pPr>
    </w:p>
    <w:p w14:paraId="54AC1915">
      <w:pPr>
        <w:shd w:val="clear"/>
        <w:rPr>
          <w:rFonts w:hint="eastAsia" w:ascii="宋体" w:hAnsi="宋体" w:eastAsia="宋体" w:cs="宋体"/>
          <w:color w:val="auto"/>
          <w:highlight w:val="none"/>
        </w:rPr>
      </w:pPr>
    </w:p>
    <w:p w14:paraId="032F1E3B">
      <w:pPr>
        <w:pStyle w:val="23"/>
        <w:shd w:val="clear"/>
        <w:rPr>
          <w:rFonts w:hint="eastAsia" w:ascii="宋体" w:hAnsi="宋体" w:eastAsia="宋体" w:cs="宋体"/>
          <w:color w:val="auto"/>
          <w:highlight w:val="none"/>
        </w:rPr>
      </w:pPr>
    </w:p>
    <w:p w14:paraId="1A86787A">
      <w:pPr>
        <w:pStyle w:val="23"/>
        <w:shd w:val="clear"/>
        <w:rPr>
          <w:rFonts w:hint="eastAsia" w:ascii="宋体" w:hAnsi="宋体" w:eastAsia="宋体" w:cs="宋体"/>
          <w:color w:val="auto"/>
          <w:sz w:val="24"/>
          <w:highlight w:val="none"/>
        </w:rPr>
      </w:pPr>
    </w:p>
    <w:p w14:paraId="088D91E3">
      <w:pPr>
        <w:widowControl/>
        <w:shd w:val="clear"/>
        <w:spacing w:line="360" w:lineRule="auto"/>
        <w:jc w:val="center"/>
        <w:outlineLvl w:val="1"/>
        <w:rPr>
          <w:rFonts w:hint="eastAsia" w:ascii="宋体" w:hAnsi="宋体" w:eastAsia="宋体" w:cs="宋体"/>
          <w:b/>
          <w:color w:val="auto"/>
          <w:spacing w:val="6"/>
          <w:sz w:val="24"/>
          <w:highlight w:val="none"/>
        </w:rPr>
      </w:pPr>
      <w:r>
        <w:rPr>
          <w:rFonts w:hint="eastAsia" w:ascii="宋体" w:hAnsi="宋体" w:cs="宋体"/>
          <w:b/>
          <w:color w:val="auto"/>
          <w:sz w:val="32"/>
          <w:szCs w:val="32"/>
          <w:highlight w:val="none"/>
          <w:lang w:val="en-US" w:eastAsia="zh-CN"/>
        </w:rPr>
        <w:t>九</w:t>
      </w:r>
      <w:r>
        <w:rPr>
          <w:rFonts w:hint="eastAsia" w:ascii="宋体" w:hAnsi="宋体" w:eastAsia="宋体" w:cs="宋体"/>
          <w:b/>
          <w:color w:val="auto"/>
          <w:sz w:val="32"/>
          <w:szCs w:val="32"/>
          <w:highlight w:val="none"/>
        </w:rPr>
        <w:t>、残疾人福利性单位声明函</w:t>
      </w:r>
    </w:p>
    <w:p w14:paraId="4CD695E9">
      <w:pPr>
        <w:shd w:val="clea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171D47">
      <w:pPr>
        <w:shd w:val="clea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77BA2EDA">
      <w:pPr>
        <w:shd w:val="clear"/>
        <w:spacing w:line="360" w:lineRule="auto"/>
        <w:rPr>
          <w:rFonts w:hint="eastAsia" w:ascii="宋体" w:hAnsi="宋体" w:eastAsia="宋体" w:cs="宋体"/>
          <w:color w:val="auto"/>
          <w:spacing w:val="6"/>
          <w:sz w:val="24"/>
          <w:highlight w:val="none"/>
        </w:rPr>
      </w:pPr>
    </w:p>
    <w:p w14:paraId="31E9F440">
      <w:pPr>
        <w:shd w:val="clear"/>
        <w:spacing w:line="360" w:lineRule="auto"/>
        <w:rPr>
          <w:rFonts w:hint="eastAsia" w:ascii="宋体" w:hAnsi="宋体" w:eastAsia="宋体" w:cs="宋体"/>
          <w:color w:val="auto"/>
          <w:spacing w:val="6"/>
          <w:sz w:val="24"/>
          <w:highlight w:val="none"/>
        </w:rPr>
      </w:pPr>
    </w:p>
    <w:p w14:paraId="1A057B0D">
      <w:pPr>
        <w:shd w:val="clear"/>
        <w:tabs>
          <w:tab w:val="left" w:pos="4860"/>
        </w:tabs>
        <w:spacing w:line="360" w:lineRule="auto"/>
        <w:ind w:right="156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单位名称（盖章）：</w:t>
      </w:r>
    </w:p>
    <w:p w14:paraId="0E0F3D27">
      <w:pPr>
        <w:shd w:val="clear"/>
        <w:spacing w:line="360" w:lineRule="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49AB8078">
      <w:pPr>
        <w:shd w:val="clear"/>
        <w:spacing w:line="360" w:lineRule="auto"/>
        <w:rPr>
          <w:rFonts w:hint="eastAsia" w:ascii="宋体" w:hAnsi="宋体" w:eastAsia="宋体" w:cs="宋体"/>
          <w:color w:val="auto"/>
          <w:sz w:val="24"/>
          <w:highlight w:val="none"/>
        </w:rPr>
      </w:pPr>
    </w:p>
    <w:p w14:paraId="7CCE083D">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EFA7685">
      <w:pPr>
        <w:numPr>
          <w:ilvl w:val="0"/>
          <w:numId w:val="11"/>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残疾人福利性单位视同小型、微型企业，享受预留份额、评审中价格扣除等促进中小企业发展的政府采购政策。残疾人福利性单位属于小型、微型企业的，不重复享受政策。</w:t>
      </w:r>
    </w:p>
    <w:p w14:paraId="77130252">
      <w:pPr>
        <w:numPr>
          <w:ilvl w:val="0"/>
          <w:numId w:val="11"/>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投标人为非残疾人福利性单位的，可不提供此声明。</w:t>
      </w:r>
    </w:p>
    <w:p w14:paraId="6C1CE49C">
      <w:pPr>
        <w:shd w:val="clear"/>
        <w:spacing w:line="360" w:lineRule="auto"/>
        <w:ind w:firstLine="516" w:firstLineChars="246"/>
        <w:jc w:val="center"/>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2CC864C5">
      <w:pPr>
        <w:shd w:val="clear"/>
        <w:spacing w:line="360" w:lineRule="auto"/>
        <w:ind w:firstLine="790" w:firstLineChars="246"/>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十</w:t>
      </w:r>
      <w:r>
        <w:rPr>
          <w:rFonts w:hint="eastAsia" w:ascii="宋体" w:hAnsi="宋体" w:eastAsia="宋体" w:cs="宋体"/>
          <w:b/>
          <w:color w:val="auto"/>
          <w:sz w:val="32"/>
          <w:szCs w:val="32"/>
          <w:highlight w:val="none"/>
        </w:rPr>
        <w:t>、投标人和投标产品其他资格、资质性及其他类似效力要求的相关证明材料</w:t>
      </w:r>
    </w:p>
    <w:p w14:paraId="2679B4E6">
      <w:pPr>
        <w:shd w:val="clear"/>
        <w:spacing w:line="360" w:lineRule="auto"/>
        <w:ind w:firstLine="790" w:firstLineChars="246"/>
        <w:jc w:val="center"/>
        <w:rPr>
          <w:rFonts w:hint="eastAsia" w:ascii="宋体" w:hAnsi="宋体" w:eastAsia="宋体" w:cs="宋体"/>
          <w:b/>
          <w:color w:val="auto"/>
          <w:sz w:val="32"/>
          <w:szCs w:val="32"/>
          <w:highlight w:val="none"/>
        </w:rPr>
      </w:pPr>
    </w:p>
    <w:p w14:paraId="6C12FAD1">
      <w:pPr>
        <w:shd w:val="clea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注：投标人应按招标文件第五章相关要求提供佐证材料，有格式要求的从其要求，无格式要求的格式自拟。</w:t>
      </w:r>
    </w:p>
    <w:p w14:paraId="66F9AC59">
      <w:pPr>
        <w:shd w:val="clear"/>
        <w:rPr>
          <w:rFonts w:hint="eastAsia" w:ascii="宋体" w:hAnsi="宋体" w:eastAsia="宋体" w:cs="宋体"/>
          <w:color w:val="auto"/>
          <w:highlight w:val="none"/>
        </w:rPr>
      </w:pPr>
    </w:p>
    <w:p w14:paraId="7B2552C8">
      <w:pPr>
        <w:shd w:val="clear"/>
        <w:rPr>
          <w:rFonts w:hint="eastAsia" w:ascii="宋体" w:hAnsi="宋体" w:eastAsia="宋体" w:cs="宋体"/>
          <w:color w:val="auto"/>
          <w:highlight w:val="none"/>
        </w:rPr>
      </w:pPr>
    </w:p>
    <w:p w14:paraId="175CA469">
      <w:pPr>
        <w:shd w:val="clear"/>
        <w:rPr>
          <w:rFonts w:hint="eastAsia" w:ascii="宋体" w:hAnsi="宋体" w:eastAsia="宋体" w:cs="宋体"/>
          <w:color w:val="auto"/>
          <w:highlight w:val="none"/>
        </w:rPr>
      </w:pPr>
    </w:p>
    <w:p w14:paraId="79DF4E2D">
      <w:pPr>
        <w:shd w:val="clear"/>
        <w:rPr>
          <w:rFonts w:hint="eastAsia" w:ascii="宋体" w:hAnsi="宋体" w:eastAsia="宋体" w:cs="宋体"/>
          <w:color w:val="auto"/>
          <w:highlight w:val="none"/>
        </w:rPr>
      </w:pPr>
    </w:p>
    <w:p w14:paraId="5CA52BDC">
      <w:pPr>
        <w:shd w:val="clear"/>
        <w:rPr>
          <w:rFonts w:hint="eastAsia" w:ascii="宋体" w:hAnsi="宋体" w:eastAsia="宋体" w:cs="宋体"/>
          <w:color w:val="auto"/>
          <w:highlight w:val="none"/>
        </w:rPr>
      </w:pPr>
    </w:p>
    <w:p w14:paraId="5C0D2965">
      <w:pPr>
        <w:shd w:val="clear"/>
        <w:rPr>
          <w:rFonts w:hint="eastAsia" w:ascii="宋体" w:hAnsi="宋体" w:eastAsia="宋体" w:cs="宋体"/>
          <w:color w:val="auto"/>
          <w:highlight w:val="none"/>
        </w:rPr>
      </w:pPr>
    </w:p>
    <w:p w14:paraId="3816E08E">
      <w:pPr>
        <w:shd w:val="clear"/>
        <w:rPr>
          <w:rFonts w:hint="eastAsia" w:ascii="宋体" w:hAnsi="宋体" w:eastAsia="宋体" w:cs="宋体"/>
          <w:color w:val="auto"/>
          <w:highlight w:val="none"/>
        </w:rPr>
      </w:pPr>
    </w:p>
    <w:p w14:paraId="2DDACB45">
      <w:pPr>
        <w:shd w:val="clear"/>
        <w:rPr>
          <w:rFonts w:hint="eastAsia" w:ascii="宋体" w:hAnsi="宋体" w:eastAsia="宋体" w:cs="宋体"/>
          <w:color w:val="auto"/>
          <w:highlight w:val="none"/>
        </w:rPr>
      </w:pPr>
    </w:p>
    <w:p w14:paraId="35806D1A">
      <w:pPr>
        <w:shd w:val="clear"/>
        <w:rPr>
          <w:rFonts w:hint="eastAsia" w:ascii="宋体" w:hAnsi="宋体" w:eastAsia="宋体" w:cs="宋体"/>
          <w:color w:val="auto"/>
          <w:highlight w:val="none"/>
        </w:rPr>
      </w:pPr>
    </w:p>
    <w:p w14:paraId="55BD7530">
      <w:pPr>
        <w:shd w:val="clear"/>
        <w:rPr>
          <w:rFonts w:hint="eastAsia" w:ascii="宋体" w:hAnsi="宋体" w:eastAsia="宋体" w:cs="宋体"/>
          <w:color w:val="auto"/>
          <w:highlight w:val="none"/>
        </w:rPr>
      </w:pPr>
    </w:p>
    <w:p w14:paraId="4174B365">
      <w:pPr>
        <w:shd w:val="clear"/>
        <w:rPr>
          <w:rFonts w:hint="eastAsia" w:ascii="宋体" w:hAnsi="宋体" w:eastAsia="宋体" w:cs="宋体"/>
          <w:color w:val="auto"/>
          <w:highlight w:val="none"/>
        </w:rPr>
      </w:pPr>
    </w:p>
    <w:p w14:paraId="188A89B4">
      <w:pPr>
        <w:shd w:val="clear"/>
        <w:rPr>
          <w:rFonts w:hint="eastAsia" w:ascii="宋体" w:hAnsi="宋体" w:eastAsia="宋体" w:cs="宋体"/>
          <w:color w:val="auto"/>
          <w:highlight w:val="none"/>
        </w:rPr>
      </w:pPr>
    </w:p>
    <w:p w14:paraId="21D6D324">
      <w:pPr>
        <w:shd w:val="clear"/>
        <w:rPr>
          <w:rFonts w:hint="eastAsia" w:ascii="宋体" w:hAnsi="宋体" w:eastAsia="宋体" w:cs="宋体"/>
          <w:color w:val="auto"/>
          <w:highlight w:val="none"/>
        </w:rPr>
      </w:pPr>
    </w:p>
    <w:p w14:paraId="4AF441BC">
      <w:pPr>
        <w:shd w:val="clear"/>
        <w:rPr>
          <w:rFonts w:hint="eastAsia" w:ascii="宋体" w:hAnsi="宋体" w:eastAsia="宋体" w:cs="宋体"/>
          <w:color w:val="auto"/>
          <w:highlight w:val="none"/>
        </w:rPr>
      </w:pPr>
    </w:p>
    <w:p w14:paraId="1F806E81">
      <w:pPr>
        <w:shd w:val="clear"/>
        <w:rPr>
          <w:rFonts w:hint="eastAsia" w:ascii="宋体" w:hAnsi="宋体" w:eastAsia="宋体" w:cs="宋体"/>
          <w:color w:val="auto"/>
          <w:highlight w:val="none"/>
        </w:rPr>
      </w:pPr>
    </w:p>
    <w:p w14:paraId="12405BD5">
      <w:pPr>
        <w:shd w:val="clear"/>
        <w:rPr>
          <w:rFonts w:hint="eastAsia" w:ascii="宋体" w:hAnsi="宋体" w:eastAsia="宋体" w:cs="宋体"/>
          <w:color w:val="auto"/>
          <w:highlight w:val="none"/>
        </w:rPr>
      </w:pPr>
    </w:p>
    <w:p w14:paraId="794CB5A2">
      <w:pPr>
        <w:shd w:val="clear"/>
        <w:rPr>
          <w:rFonts w:hint="eastAsia" w:ascii="宋体" w:hAnsi="宋体" w:eastAsia="宋体" w:cs="宋体"/>
          <w:color w:val="auto"/>
          <w:highlight w:val="none"/>
        </w:rPr>
      </w:pPr>
    </w:p>
    <w:p w14:paraId="5075CEDE">
      <w:pPr>
        <w:shd w:val="clear"/>
        <w:rPr>
          <w:rFonts w:hint="eastAsia" w:ascii="宋体" w:hAnsi="宋体" w:eastAsia="宋体" w:cs="宋体"/>
          <w:color w:val="auto"/>
          <w:highlight w:val="none"/>
        </w:rPr>
      </w:pPr>
    </w:p>
    <w:p w14:paraId="5FA090F0">
      <w:pPr>
        <w:shd w:val="clear"/>
        <w:rPr>
          <w:rFonts w:hint="eastAsia" w:ascii="宋体" w:hAnsi="宋体" w:eastAsia="宋体" w:cs="宋体"/>
          <w:color w:val="auto"/>
          <w:highlight w:val="none"/>
        </w:rPr>
      </w:pPr>
    </w:p>
    <w:p w14:paraId="4E9889EE">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A01022">
      <w:pPr>
        <w:shd w:val="clear"/>
        <w:rPr>
          <w:rFonts w:hint="eastAsia" w:ascii="宋体" w:hAnsi="宋体" w:eastAsia="宋体" w:cs="宋体"/>
          <w:color w:val="auto"/>
          <w:highlight w:val="none"/>
        </w:rPr>
      </w:pPr>
    </w:p>
    <w:p w14:paraId="461EC373">
      <w:pPr>
        <w:shd w:val="clear"/>
        <w:tabs>
          <w:tab w:val="left" w:pos="900"/>
        </w:tabs>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第二部分     “其他响应性投标文件”格式</w:t>
      </w:r>
    </w:p>
    <w:p w14:paraId="54164F6F">
      <w:pPr>
        <w:shd w:val="clear"/>
        <w:spacing w:line="360" w:lineRule="auto"/>
        <w:rPr>
          <w:rFonts w:hint="eastAsia" w:ascii="宋体" w:hAnsi="宋体" w:eastAsia="宋体" w:cs="宋体"/>
          <w:b/>
          <w:color w:val="auto"/>
          <w:sz w:val="32"/>
          <w:szCs w:val="32"/>
          <w:highlight w:val="none"/>
        </w:rPr>
      </w:pPr>
    </w:p>
    <w:p w14:paraId="40CADDDE">
      <w:pPr>
        <w:shd w:val="clea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封面：</w:t>
      </w:r>
    </w:p>
    <w:p w14:paraId="4ECD3D9C">
      <w:pPr>
        <w:shd w:val="clear"/>
        <w:spacing w:line="360" w:lineRule="auto"/>
        <w:jc w:val="right"/>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（正本/副本）</w:t>
      </w:r>
    </w:p>
    <w:p w14:paraId="0E559E6E">
      <w:pPr>
        <w:shd w:val="clear"/>
        <w:spacing w:line="360" w:lineRule="auto"/>
        <w:rPr>
          <w:rFonts w:hint="eastAsia" w:ascii="宋体" w:hAnsi="宋体" w:eastAsia="宋体" w:cs="宋体"/>
          <w:b/>
          <w:color w:val="auto"/>
          <w:sz w:val="32"/>
          <w:szCs w:val="32"/>
          <w:highlight w:val="none"/>
        </w:rPr>
      </w:pPr>
    </w:p>
    <w:p w14:paraId="09358CD8">
      <w:pPr>
        <w:shd w:val="clear"/>
        <w:spacing w:line="360" w:lineRule="auto"/>
        <w:rPr>
          <w:rFonts w:hint="eastAsia" w:ascii="宋体" w:hAnsi="宋体" w:eastAsia="宋体" w:cs="宋体"/>
          <w:b/>
          <w:color w:val="auto"/>
          <w:sz w:val="32"/>
          <w:szCs w:val="32"/>
          <w:highlight w:val="none"/>
        </w:rPr>
      </w:pPr>
    </w:p>
    <w:p w14:paraId="79E9D909">
      <w:pPr>
        <w:shd w:val="clear"/>
        <w:spacing w:line="360" w:lineRule="auto"/>
        <w:jc w:val="center"/>
        <w:rPr>
          <w:rFonts w:hint="eastAsia" w:ascii="宋体" w:hAnsi="宋体" w:eastAsia="宋体" w:cs="宋体"/>
          <w:b/>
          <w:color w:val="auto"/>
          <w:sz w:val="72"/>
          <w:highlight w:val="none"/>
        </w:rPr>
      </w:pPr>
      <w:r>
        <w:rPr>
          <w:rFonts w:hint="eastAsia" w:ascii="宋体" w:hAnsi="宋体" w:eastAsia="宋体" w:cs="宋体"/>
          <w:b/>
          <w:color w:val="auto"/>
          <w:sz w:val="40"/>
          <w:szCs w:val="48"/>
          <w:highlight w:val="none"/>
        </w:rPr>
        <w:t xml:space="preserve">                      项目</w:t>
      </w:r>
    </w:p>
    <w:p w14:paraId="5B9DB706">
      <w:pPr>
        <w:shd w:val="clear"/>
        <w:spacing w:line="360" w:lineRule="auto"/>
        <w:rPr>
          <w:rFonts w:hint="eastAsia" w:ascii="宋体" w:hAnsi="宋体" w:eastAsia="宋体" w:cs="宋体"/>
          <w:b/>
          <w:color w:val="auto"/>
          <w:sz w:val="52"/>
          <w:szCs w:val="52"/>
          <w:highlight w:val="none"/>
        </w:rPr>
      </w:pPr>
    </w:p>
    <w:p w14:paraId="4572994A">
      <w:pPr>
        <w:shd w:val="clea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52"/>
          <w:szCs w:val="52"/>
          <w:highlight w:val="none"/>
        </w:rPr>
        <w:t>其他响应性投标文件</w:t>
      </w:r>
    </w:p>
    <w:p w14:paraId="1961BA9A">
      <w:pPr>
        <w:pStyle w:val="23"/>
        <w:shd w:val="clear"/>
        <w:ind w:firstLine="2891" w:firstLineChars="9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14:paraId="5F7C7AD8">
      <w:pPr>
        <w:shd w:val="clear"/>
        <w:spacing w:line="360" w:lineRule="auto"/>
        <w:rPr>
          <w:rFonts w:hint="eastAsia" w:ascii="宋体" w:hAnsi="宋体" w:eastAsia="宋体" w:cs="宋体"/>
          <w:b/>
          <w:color w:val="auto"/>
          <w:sz w:val="36"/>
          <w:highlight w:val="none"/>
        </w:rPr>
      </w:pPr>
    </w:p>
    <w:p w14:paraId="71D59021">
      <w:pPr>
        <w:shd w:val="clear"/>
        <w:spacing w:line="360" w:lineRule="auto"/>
        <w:rPr>
          <w:rFonts w:hint="eastAsia" w:ascii="宋体" w:hAnsi="宋体" w:eastAsia="宋体" w:cs="宋体"/>
          <w:b/>
          <w:color w:val="auto"/>
          <w:sz w:val="36"/>
          <w:highlight w:val="none"/>
        </w:rPr>
      </w:pPr>
    </w:p>
    <w:p w14:paraId="281E6A97">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投标人名称：                                 </w:t>
      </w:r>
    </w:p>
    <w:p w14:paraId="7F3A30E7">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采购编号： </w:t>
      </w:r>
    </w:p>
    <w:p w14:paraId="01BC1406">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标包号： </w:t>
      </w:r>
    </w:p>
    <w:p w14:paraId="269A89CD">
      <w:pPr>
        <w:shd w:val="clear"/>
        <w:spacing w:line="360" w:lineRule="auto"/>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日期：</w:t>
      </w:r>
    </w:p>
    <w:p w14:paraId="19867599">
      <w:pPr>
        <w:pStyle w:val="23"/>
        <w:shd w:val="clear"/>
        <w:rPr>
          <w:rFonts w:hint="eastAsia" w:ascii="宋体" w:hAnsi="宋体" w:eastAsia="宋体" w:cs="宋体"/>
          <w:color w:val="auto"/>
          <w:highlight w:val="none"/>
        </w:rPr>
      </w:pPr>
    </w:p>
    <w:p w14:paraId="5712FE3D">
      <w:pPr>
        <w:shd w:val="clear"/>
        <w:rPr>
          <w:rFonts w:hint="eastAsia" w:ascii="宋体" w:hAnsi="宋体" w:eastAsia="宋体" w:cs="宋体"/>
          <w:b/>
          <w:color w:val="auto"/>
          <w:sz w:val="32"/>
          <w:highlight w:val="none"/>
        </w:rPr>
      </w:pPr>
    </w:p>
    <w:p w14:paraId="465EB8B8">
      <w:pPr>
        <w:shd w:val="clear"/>
        <w:rPr>
          <w:rFonts w:hint="eastAsia" w:ascii="宋体" w:hAnsi="宋体" w:eastAsia="宋体" w:cs="宋体"/>
          <w:b/>
          <w:color w:val="auto"/>
          <w:sz w:val="32"/>
          <w:highlight w:val="none"/>
        </w:rPr>
      </w:pPr>
    </w:p>
    <w:p w14:paraId="6F40109B">
      <w:pPr>
        <w:shd w:val="clear"/>
        <w:rPr>
          <w:rFonts w:hint="eastAsia" w:ascii="宋体" w:hAnsi="宋体" w:eastAsia="宋体" w:cs="宋体"/>
          <w:b/>
          <w:color w:val="auto"/>
          <w:sz w:val="32"/>
          <w:highlight w:val="none"/>
        </w:rPr>
      </w:pPr>
    </w:p>
    <w:p w14:paraId="50E34572">
      <w:pPr>
        <w:shd w:val="clear"/>
        <w:rPr>
          <w:rFonts w:hint="eastAsia" w:ascii="宋体" w:hAnsi="宋体" w:eastAsia="宋体" w:cs="宋体"/>
          <w:b/>
          <w:color w:val="auto"/>
          <w:sz w:val="32"/>
          <w:highlight w:val="none"/>
        </w:rPr>
      </w:pPr>
    </w:p>
    <w:bookmarkEnd w:id="233"/>
    <w:bookmarkEnd w:id="234"/>
    <w:bookmarkEnd w:id="235"/>
    <w:p w14:paraId="6B597415">
      <w:pPr>
        <w:pStyle w:val="3"/>
        <w:shd w:val="clear"/>
        <w:spacing w:before="0" w:after="0" w:line="360" w:lineRule="auto"/>
        <w:jc w:val="center"/>
        <w:rPr>
          <w:rFonts w:hint="eastAsia" w:ascii="宋体" w:hAnsi="宋体" w:eastAsia="宋体" w:cs="宋体"/>
          <w:color w:val="auto"/>
          <w:sz w:val="24"/>
          <w:highlight w:val="none"/>
        </w:rPr>
      </w:pPr>
      <w:bookmarkStart w:id="236" w:name="_Toc217446083"/>
      <w:r>
        <w:rPr>
          <w:rFonts w:hint="eastAsia" w:ascii="宋体" w:hAnsi="宋体" w:eastAsia="宋体" w:cs="宋体"/>
          <w:b w:val="0"/>
          <w:color w:val="auto"/>
          <w:highlight w:val="none"/>
        </w:rPr>
        <w:br w:type="page"/>
      </w:r>
      <w:bookmarkStart w:id="237" w:name="_Toc7358"/>
      <w:r>
        <w:rPr>
          <w:rFonts w:hint="eastAsia" w:ascii="宋体" w:hAnsi="宋体" w:eastAsia="宋体" w:cs="宋体"/>
          <w:color w:val="auto"/>
          <w:highlight w:val="none"/>
        </w:rPr>
        <w:t>一、投 标 函</w:t>
      </w:r>
      <w:bookmarkEnd w:id="237"/>
    </w:p>
    <w:p w14:paraId="6F00FC1F">
      <w:pPr>
        <w:pStyle w:val="14"/>
        <w:shd w:val="clear"/>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XXXX（采购代理机构名称）：</w:t>
      </w:r>
    </w:p>
    <w:p w14:paraId="180AC69B">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我方全面研究了“XXXXXXXX”项目（采购编号：XXXX）招标文件，决定参加贵单位组织的本项目投标。我方授权XXXX（姓名、职务）代表我方XXXXXXXX（投标单位的名称）全权处理本项目投标的有关事宜。</w:t>
      </w:r>
    </w:p>
    <w:p w14:paraId="4A7B128D">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一、我方自愿按照招标文件规定的各项要求向采购人提供所需货物/服务，投标报价以《开标一览表》为准。</w:t>
      </w:r>
    </w:p>
    <w:p w14:paraId="16E7C9D7">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二、一旦我方中标，我方将严格履行政府采购合同规定的责任和义务。</w:t>
      </w:r>
    </w:p>
    <w:p w14:paraId="61367BC8">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三、我方同意本次招标的投标有效期为投标截止时间届满后90天。</w:t>
      </w:r>
    </w:p>
    <w:p w14:paraId="788989E3">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四、我方愿意提供贵单位可能另外要求的，与投标有关的文件资料，并保证我方已提供和将要提供的文件资料是真实、准确的，并对此承担一切法律后果。</w:t>
      </w:r>
    </w:p>
    <w:p w14:paraId="1B4F1494">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五、我方承诺一旦我公司成为本项目中标人，将按照招标文件的规定缴纳代理服务费。</w:t>
      </w:r>
    </w:p>
    <w:p w14:paraId="0CBA4352">
      <w:pPr>
        <w:pStyle w:val="14"/>
        <w:shd w:val="clear"/>
        <w:spacing w:line="360" w:lineRule="auto"/>
        <w:ind w:firstLine="480"/>
        <w:rPr>
          <w:rFonts w:hint="eastAsia" w:ascii="宋体" w:hAnsi="宋体" w:eastAsia="宋体" w:cs="宋体"/>
          <w:color w:val="auto"/>
          <w:sz w:val="24"/>
          <w:highlight w:val="none"/>
        </w:rPr>
      </w:pPr>
    </w:p>
    <w:p w14:paraId="5B56B1EF">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5A5EB31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79DA5E18">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通讯地址：XXXX。</w:t>
      </w:r>
    </w:p>
    <w:p w14:paraId="602AE4BD">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邮政编码：XXXX。</w:t>
      </w:r>
    </w:p>
    <w:p w14:paraId="5427630E">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联系电话：XXXX。</w:t>
      </w:r>
    </w:p>
    <w:p w14:paraId="3FC4C7BF">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真：XXXX。</w:t>
      </w:r>
    </w:p>
    <w:p w14:paraId="58E61D1C">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期：XXXX年XXXX月XXXX日。</w:t>
      </w:r>
    </w:p>
    <w:p w14:paraId="7F5A3078">
      <w:pPr>
        <w:pStyle w:val="34"/>
        <w:shd w:val="clear"/>
        <w:spacing w:line="360" w:lineRule="auto"/>
        <w:ind w:left="0" w:firstLine="0"/>
        <w:rPr>
          <w:rFonts w:hint="eastAsia" w:ascii="宋体" w:hAnsi="宋体" w:eastAsia="宋体" w:cs="宋体"/>
          <w:bCs/>
          <w:color w:val="auto"/>
          <w:sz w:val="24"/>
          <w:highlight w:val="none"/>
        </w:rPr>
      </w:pPr>
    </w:p>
    <w:p w14:paraId="6FDBF4A5">
      <w:pPr>
        <w:pStyle w:val="34"/>
        <w:shd w:val="clear"/>
        <w:spacing w:line="360" w:lineRule="auto"/>
        <w:ind w:left="0" w:firstLine="0"/>
        <w:rPr>
          <w:rFonts w:hint="eastAsia" w:ascii="宋体" w:hAnsi="宋体" w:eastAsia="宋体" w:cs="宋体"/>
          <w:bCs/>
          <w:color w:val="auto"/>
          <w:sz w:val="24"/>
          <w:highlight w:val="none"/>
        </w:rPr>
      </w:pPr>
    </w:p>
    <w:p w14:paraId="0788E910">
      <w:pPr>
        <w:pStyle w:val="34"/>
        <w:shd w:val="clear"/>
        <w:spacing w:line="360" w:lineRule="auto"/>
        <w:ind w:left="0" w:firstLine="0"/>
        <w:rPr>
          <w:rFonts w:hint="eastAsia" w:ascii="宋体" w:hAnsi="宋体" w:eastAsia="宋体" w:cs="宋体"/>
          <w:bCs/>
          <w:color w:val="auto"/>
          <w:sz w:val="24"/>
          <w:highlight w:val="none"/>
        </w:rPr>
      </w:pPr>
    </w:p>
    <w:bookmarkEnd w:id="236"/>
    <w:p w14:paraId="219EBB60">
      <w:pPr>
        <w:pStyle w:val="3"/>
        <w:shd w:val="clear"/>
        <w:spacing w:before="0" w:after="0" w:line="360" w:lineRule="auto"/>
        <w:jc w:val="center"/>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238" w:name="_Toc23098"/>
      <w:r>
        <w:rPr>
          <w:rFonts w:hint="eastAsia" w:ascii="宋体" w:hAnsi="宋体" w:eastAsia="宋体" w:cs="宋体"/>
          <w:color w:val="auto"/>
          <w:highlight w:val="none"/>
        </w:rPr>
        <w:t>二、承诺函</w:t>
      </w:r>
      <w:bookmarkEnd w:id="238"/>
    </w:p>
    <w:p w14:paraId="1973EAFE">
      <w:pPr>
        <w:pStyle w:val="14"/>
        <w:shd w:val="clear"/>
        <w:spacing w:line="360" w:lineRule="auto"/>
        <w:ind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rPr>
        <w:t>XXXX（采购代理机构名称）：</w:t>
      </w:r>
    </w:p>
    <w:p w14:paraId="1DB96EDF">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我单位作为本次采购项目的投标人，根据招标文件要求，现郑重承诺如下：</w:t>
      </w:r>
    </w:p>
    <w:p w14:paraId="685EC720">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一、完全接受和满足本项目招标文件中规定的实质性要求，如对招标文件有异议，已依法进行维权救济，不存在对招标文件有异议的同时又参加投标以求侥幸中标或者为实现其他非法目的的行为。</w:t>
      </w:r>
    </w:p>
    <w:p w14:paraId="18C9AFF5">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二、投标文件中提供的能够给予我单位带来优惠、好处的任何材料资料和技术、服务、商务、响应产品等响应承诺情况都是真实的、有效的、合法的。</w:t>
      </w:r>
    </w:p>
    <w:p w14:paraId="49A48ED9">
      <w:pPr>
        <w:shd w:val="clea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三、如投标产品</w:t>
      </w:r>
      <w:r>
        <w:rPr>
          <w:rFonts w:hint="eastAsia" w:ascii="宋体" w:hAnsi="宋体" w:eastAsia="宋体" w:cs="宋体"/>
          <w:color w:val="auto"/>
          <w:sz w:val="24"/>
          <w:szCs w:val="24"/>
          <w:highlight w:val="none"/>
        </w:rPr>
        <w:t>若列入《网络关键设备和网络安全专用产品目录》的网络安全专用产品，</w:t>
      </w:r>
      <w:r>
        <w:rPr>
          <w:rFonts w:hint="eastAsia" w:ascii="宋体" w:hAnsi="宋体" w:eastAsia="宋体" w:cs="宋体"/>
          <w:color w:val="auto"/>
          <w:sz w:val="24"/>
          <w:szCs w:val="24"/>
          <w:highlight w:val="none"/>
          <w:lang w:val="en-US" w:eastAsia="zh-CN"/>
        </w:rPr>
        <w:t>我单位将</w:t>
      </w:r>
      <w:r>
        <w:rPr>
          <w:rFonts w:hint="eastAsia" w:ascii="宋体" w:hAnsi="宋体" w:eastAsia="宋体" w:cs="宋体"/>
          <w:color w:val="auto"/>
          <w:sz w:val="24"/>
          <w:szCs w:val="24"/>
          <w:highlight w:val="none"/>
        </w:rPr>
        <w:t>按照《信息安全技术网络安全专用产品安全技术要求》等相关国家标准的强制性要求，承诺在成交后、签订合同前提供具备资格的机构安全认证合格或者安全检测符合要求的相关证明或证书复印件</w:t>
      </w:r>
    </w:p>
    <w:p w14:paraId="4B4161C1">
      <w:pPr>
        <w:pStyle w:val="14"/>
        <w:shd w:val="clear"/>
        <w:spacing w:line="360" w:lineRule="auto"/>
        <w:ind w:firstLine="48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若投标</w:t>
      </w:r>
      <w:r>
        <w:rPr>
          <w:rFonts w:hint="eastAsia" w:ascii="宋体" w:hAnsi="宋体" w:eastAsia="宋体" w:cs="宋体"/>
          <w:color w:val="auto"/>
          <w:sz w:val="24"/>
          <w:szCs w:val="24"/>
          <w:highlight w:val="none"/>
        </w:rPr>
        <w:t>产品若涉及 CCC、进网许可证、无线电发射设备型号核准证、网络关键设备和网络安全专用产品等前置许可或认证的，</w:t>
      </w:r>
      <w:r>
        <w:rPr>
          <w:rFonts w:hint="eastAsia" w:ascii="宋体" w:hAnsi="宋体" w:eastAsia="宋体" w:cs="宋体"/>
          <w:color w:val="auto"/>
          <w:sz w:val="24"/>
          <w:szCs w:val="24"/>
          <w:highlight w:val="none"/>
          <w:lang w:val="en-US" w:eastAsia="zh-CN"/>
        </w:rPr>
        <w:t>我单位</w:t>
      </w:r>
      <w:r>
        <w:rPr>
          <w:rFonts w:hint="eastAsia" w:ascii="宋体" w:hAnsi="宋体" w:eastAsia="宋体" w:cs="宋体"/>
          <w:color w:val="auto"/>
          <w:sz w:val="24"/>
          <w:szCs w:val="24"/>
          <w:highlight w:val="none"/>
        </w:rPr>
        <w:t>承诺在成交后、签订合同前提供对应产品证书</w:t>
      </w:r>
      <w:r>
        <w:rPr>
          <w:rFonts w:hint="eastAsia" w:ascii="宋体" w:hAnsi="宋体" w:eastAsia="宋体" w:cs="宋体"/>
          <w:color w:val="auto"/>
          <w:sz w:val="24"/>
          <w:szCs w:val="24"/>
          <w:highlight w:val="none"/>
          <w:lang w:eastAsia="zh-CN"/>
        </w:rPr>
        <w:t>。</w:t>
      </w:r>
    </w:p>
    <w:p w14:paraId="7F99CC2C">
      <w:pPr>
        <w:pStyle w:val="14"/>
        <w:shd w:val="clear"/>
        <w:spacing w:line="360" w:lineRule="auto"/>
        <w:ind w:firstLine="480"/>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五</w:t>
      </w:r>
      <w:r>
        <w:rPr>
          <w:rFonts w:hint="eastAsia" w:ascii="宋体" w:hAnsi="宋体" w:eastAsia="宋体" w:cs="宋体"/>
          <w:color w:val="auto"/>
          <w:sz w:val="24"/>
          <w:szCs w:val="22"/>
          <w:highlight w:val="none"/>
        </w:rPr>
        <w:t>、本单位承诺给予招标采购单位的各种优惠条件，优惠条件事项中没有包括采购项目本身所包含的采购事项。</w:t>
      </w:r>
    </w:p>
    <w:p w14:paraId="6B58CF72">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本单位对上述承诺的内容事项真实性负责。如经查实上述承诺的内容事项存在虚假，我单位愿意接受以提供虚假材料谋取中标追究法律责任。</w:t>
      </w:r>
    </w:p>
    <w:p w14:paraId="4D54BB6B">
      <w:pPr>
        <w:pStyle w:val="14"/>
        <w:shd w:val="clear"/>
        <w:spacing w:line="360" w:lineRule="auto"/>
        <w:ind w:firstLine="480"/>
        <w:rPr>
          <w:rFonts w:hint="eastAsia" w:ascii="宋体" w:hAnsi="宋体" w:eastAsia="宋体" w:cs="宋体"/>
          <w:color w:val="auto"/>
          <w:sz w:val="24"/>
          <w:highlight w:val="none"/>
        </w:rPr>
      </w:pPr>
    </w:p>
    <w:p w14:paraId="7915A6E3">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359109DC">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4D2720A1">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期：XXXX。</w:t>
      </w:r>
    </w:p>
    <w:p w14:paraId="501B8FDE">
      <w:pPr>
        <w:pStyle w:val="3"/>
        <w:shd w:val="clear"/>
        <w:spacing w:before="0" w:after="0" w:line="360" w:lineRule="auto"/>
        <w:jc w:val="center"/>
        <w:rPr>
          <w:rFonts w:hint="eastAsia" w:ascii="宋体" w:hAnsi="宋体" w:eastAsia="宋体" w:cs="宋体"/>
          <w:color w:val="auto"/>
          <w:sz w:val="24"/>
          <w:szCs w:val="24"/>
          <w:highlight w:val="none"/>
          <w:u w:val="single"/>
        </w:rPr>
      </w:pPr>
      <w:bookmarkStart w:id="239" w:name="_Toc12762"/>
      <w:bookmarkStart w:id="240" w:name="_Toc426657572"/>
      <w:r>
        <w:rPr>
          <w:rFonts w:hint="eastAsia" w:ascii="宋体" w:hAnsi="宋体" w:eastAsia="宋体" w:cs="宋体"/>
          <w:color w:val="auto"/>
          <w:highlight w:val="none"/>
        </w:rPr>
        <w:br w:type="page"/>
      </w:r>
      <w:bookmarkEnd w:id="239"/>
      <w:bookmarkEnd w:id="240"/>
      <w:bookmarkStart w:id="241" w:name="_Toc24140"/>
      <w:r>
        <w:rPr>
          <w:rFonts w:hint="eastAsia" w:ascii="宋体" w:hAnsi="宋体" w:eastAsia="宋体" w:cs="宋体"/>
          <w:color w:val="auto"/>
          <w:highlight w:val="none"/>
        </w:rPr>
        <w:t>三、开标一览表</w:t>
      </w:r>
      <w:bookmarkEnd w:id="241"/>
      <w:r>
        <w:rPr>
          <w:rFonts w:hint="eastAsia" w:ascii="宋体" w:hAnsi="宋体" w:eastAsia="宋体" w:cs="宋体"/>
          <w:color w:val="auto"/>
          <w:sz w:val="24"/>
          <w:szCs w:val="24"/>
          <w:highlight w:val="none"/>
          <w:u w:val="single"/>
        </w:rPr>
        <w:t xml:space="preserve">                               </w:t>
      </w:r>
    </w:p>
    <w:tbl>
      <w:tblPr>
        <w:tblStyle w:val="59"/>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683"/>
        <w:gridCol w:w="1586"/>
        <w:gridCol w:w="1586"/>
        <w:gridCol w:w="1586"/>
        <w:gridCol w:w="1588"/>
      </w:tblGrid>
      <w:tr w14:paraId="4BF6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noWrap w:val="0"/>
            <w:vAlign w:val="center"/>
          </w:tcPr>
          <w:p w14:paraId="06775A23">
            <w:pPr>
              <w:shd w:val="clea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683" w:type="dxa"/>
            <w:noWrap w:val="0"/>
            <w:vAlign w:val="center"/>
          </w:tcPr>
          <w:p w14:paraId="64930DE3">
            <w:pPr>
              <w:shd w:val="clea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586" w:type="dxa"/>
            <w:noWrap w:val="0"/>
            <w:vAlign w:val="center"/>
          </w:tcPr>
          <w:p w14:paraId="36066DC0">
            <w:pPr>
              <w:shd w:val="clea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标包号</w:t>
            </w:r>
          </w:p>
        </w:tc>
        <w:tc>
          <w:tcPr>
            <w:tcW w:w="1586" w:type="dxa"/>
            <w:noWrap w:val="0"/>
            <w:vAlign w:val="center"/>
          </w:tcPr>
          <w:p w14:paraId="2D3A3D2B">
            <w:pPr>
              <w:shd w:val="clea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投标总价</w:t>
            </w:r>
          </w:p>
          <w:p w14:paraId="464D4CC3">
            <w:pPr>
              <w:shd w:val="clea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1586" w:type="dxa"/>
            <w:noWrap w:val="0"/>
            <w:vAlign w:val="center"/>
          </w:tcPr>
          <w:p w14:paraId="1E6FC74D">
            <w:pPr>
              <w:shd w:val="clea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交货时间</w:t>
            </w:r>
          </w:p>
        </w:tc>
        <w:tc>
          <w:tcPr>
            <w:tcW w:w="1588" w:type="dxa"/>
            <w:noWrap w:val="0"/>
            <w:vAlign w:val="center"/>
          </w:tcPr>
          <w:p w14:paraId="613A9539">
            <w:pPr>
              <w:shd w:val="clea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9B9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noWrap w:val="0"/>
            <w:vAlign w:val="center"/>
          </w:tcPr>
          <w:p w14:paraId="67CBF9D9">
            <w:pPr>
              <w:shd w:val="clea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83" w:type="dxa"/>
            <w:noWrap w:val="0"/>
            <w:vAlign w:val="center"/>
          </w:tcPr>
          <w:p w14:paraId="774532D1">
            <w:pPr>
              <w:shd w:val="clear"/>
              <w:spacing w:line="400" w:lineRule="exact"/>
              <w:jc w:val="left"/>
              <w:rPr>
                <w:rFonts w:hint="eastAsia" w:ascii="宋体" w:hAnsi="宋体" w:eastAsia="宋体" w:cs="宋体"/>
                <w:color w:val="auto"/>
                <w:sz w:val="24"/>
                <w:szCs w:val="24"/>
                <w:highlight w:val="none"/>
              </w:rPr>
            </w:pPr>
          </w:p>
        </w:tc>
        <w:tc>
          <w:tcPr>
            <w:tcW w:w="1586" w:type="dxa"/>
            <w:noWrap w:val="0"/>
            <w:vAlign w:val="center"/>
          </w:tcPr>
          <w:p w14:paraId="2266B293">
            <w:pPr>
              <w:shd w:val="clear"/>
              <w:spacing w:line="400" w:lineRule="exact"/>
              <w:jc w:val="left"/>
              <w:rPr>
                <w:rFonts w:hint="eastAsia" w:ascii="宋体" w:hAnsi="宋体" w:eastAsia="宋体" w:cs="宋体"/>
                <w:color w:val="auto"/>
                <w:sz w:val="24"/>
                <w:szCs w:val="24"/>
                <w:highlight w:val="none"/>
              </w:rPr>
            </w:pPr>
          </w:p>
        </w:tc>
        <w:tc>
          <w:tcPr>
            <w:tcW w:w="1586" w:type="dxa"/>
            <w:noWrap w:val="0"/>
            <w:vAlign w:val="center"/>
          </w:tcPr>
          <w:p w14:paraId="3020F2B7">
            <w:pPr>
              <w:shd w:val="clear"/>
              <w:spacing w:line="400" w:lineRule="exact"/>
              <w:jc w:val="center"/>
              <w:rPr>
                <w:rFonts w:hint="eastAsia" w:ascii="宋体" w:hAnsi="宋体" w:eastAsia="宋体" w:cs="宋体"/>
                <w:color w:val="auto"/>
                <w:sz w:val="24"/>
                <w:szCs w:val="24"/>
                <w:highlight w:val="none"/>
              </w:rPr>
            </w:pPr>
          </w:p>
        </w:tc>
        <w:tc>
          <w:tcPr>
            <w:tcW w:w="1586" w:type="dxa"/>
            <w:noWrap w:val="0"/>
            <w:vAlign w:val="center"/>
          </w:tcPr>
          <w:p w14:paraId="33B53D1E">
            <w:pPr>
              <w:shd w:val="clear"/>
              <w:spacing w:line="400" w:lineRule="exact"/>
              <w:jc w:val="center"/>
              <w:rPr>
                <w:rFonts w:hint="eastAsia" w:ascii="宋体" w:hAnsi="宋体" w:eastAsia="宋体" w:cs="宋体"/>
                <w:color w:val="auto"/>
                <w:sz w:val="24"/>
                <w:szCs w:val="24"/>
                <w:highlight w:val="none"/>
              </w:rPr>
            </w:pPr>
          </w:p>
        </w:tc>
        <w:tc>
          <w:tcPr>
            <w:tcW w:w="1588" w:type="dxa"/>
            <w:noWrap w:val="0"/>
            <w:vAlign w:val="center"/>
          </w:tcPr>
          <w:p w14:paraId="20CCFE1F">
            <w:pPr>
              <w:shd w:val="clear"/>
              <w:spacing w:line="400" w:lineRule="exact"/>
              <w:jc w:val="center"/>
              <w:rPr>
                <w:rFonts w:hint="eastAsia" w:ascii="宋体" w:hAnsi="宋体" w:eastAsia="宋体" w:cs="宋体"/>
                <w:color w:val="auto"/>
                <w:sz w:val="24"/>
                <w:szCs w:val="24"/>
                <w:highlight w:val="none"/>
              </w:rPr>
            </w:pPr>
          </w:p>
        </w:tc>
      </w:tr>
      <w:tr w14:paraId="4BEE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816" w:type="dxa"/>
            <w:gridSpan w:val="6"/>
            <w:noWrap w:val="0"/>
            <w:vAlign w:val="top"/>
          </w:tcPr>
          <w:p w14:paraId="4AFD7F9C">
            <w:pPr>
              <w:shd w:val="clea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投标总价（万元）：             大写：</w:t>
            </w:r>
          </w:p>
        </w:tc>
      </w:tr>
      <w:tr w14:paraId="5640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16" w:type="dxa"/>
            <w:gridSpan w:val="6"/>
            <w:noWrap w:val="0"/>
            <w:vAlign w:val="top"/>
          </w:tcPr>
          <w:p w14:paraId="6E1C664F">
            <w:pPr>
              <w:shd w:val="clear"/>
              <w:spacing w:line="400" w:lineRule="exact"/>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lang w:eastAsia="zh-Hans"/>
              </w:rPr>
              <w:t>备注：</w:t>
            </w:r>
          </w:p>
        </w:tc>
      </w:tr>
    </w:tbl>
    <w:p w14:paraId="2844918A">
      <w:pPr>
        <w:shd w:val="clear"/>
        <w:rPr>
          <w:rFonts w:hint="eastAsia" w:ascii="宋体" w:hAnsi="宋体" w:eastAsia="宋体" w:cs="宋体"/>
          <w:color w:val="auto"/>
          <w:highlight w:val="none"/>
        </w:rPr>
      </w:pPr>
    </w:p>
    <w:p w14:paraId="3650FA8A">
      <w:pPr>
        <w:pStyle w:val="23"/>
        <w:shd w:val="clear"/>
        <w:rPr>
          <w:rFonts w:hint="eastAsia" w:ascii="宋体" w:hAnsi="宋体" w:eastAsia="宋体" w:cs="宋体"/>
          <w:color w:val="auto"/>
          <w:highlight w:val="none"/>
        </w:rPr>
      </w:pPr>
    </w:p>
    <w:p w14:paraId="7910FA3C">
      <w:pPr>
        <w:shd w:val="clear"/>
        <w:spacing w:line="400" w:lineRule="exact"/>
        <w:ind w:left="840" w:hanging="840" w:hangingChars="350"/>
        <w:jc w:val="left"/>
        <w:rPr>
          <w:rFonts w:hint="eastAsia" w:ascii="宋体" w:hAnsi="宋体" w:eastAsia="宋体" w:cs="宋体"/>
          <w:color w:val="auto"/>
          <w:sz w:val="24"/>
          <w:highlight w:val="none"/>
        </w:rPr>
      </w:pPr>
      <w:bookmarkStart w:id="242" w:name="_Toc217446085"/>
      <w:r>
        <w:rPr>
          <w:rFonts w:hint="eastAsia" w:ascii="宋体" w:hAnsi="宋体" w:eastAsia="宋体" w:cs="宋体"/>
          <w:color w:val="auto"/>
          <w:sz w:val="24"/>
          <w:highlight w:val="none"/>
        </w:rPr>
        <w:t>注：1. 报价应是最终用户验收合格后的总价，</w:t>
      </w:r>
      <w:r>
        <w:rPr>
          <w:rFonts w:hint="eastAsia" w:ascii="宋体" w:hAnsi="宋体" w:eastAsia="宋体" w:cs="宋体"/>
          <w:color w:val="auto"/>
          <w:sz w:val="24"/>
          <w:szCs w:val="24"/>
          <w:highlight w:val="none"/>
        </w:rPr>
        <w:t>括货物（设备）成本、运输、装卸、安装、调试、维护、税费、利润及</w:t>
      </w:r>
      <w:r>
        <w:rPr>
          <w:rFonts w:hint="eastAsia" w:ascii="宋体" w:hAnsi="宋体" w:eastAsia="宋体" w:cs="宋体"/>
          <w:color w:val="auto"/>
          <w:sz w:val="24"/>
          <w:highlight w:val="none"/>
        </w:rPr>
        <w:t xml:space="preserve">招标文件规定的其它费用。 </w:t>
      </w:r>
    </w:p>
    <w:p w14:paraId="5016EDE2">
      <w:pPr>
        <w:shd w:val="clear"/>
        <w:spacing w:line="400" w:lineRule="exact"/>
        <w:ind w:left="807" w:leftChars="213"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2.“开标一览表”为多页的，每页均需由法定代表人或授权代表签字并盖投标人印章。</w:t>
      </w:r>
    </w:p>
    <w:p w14:paraId="1AF49EA6">
      <w:pPr>
        <w:shd w:val="clear"/>
        <w:adjustRightIn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3.若同时投多个标包，应分标包填写。</w:t>
      </w:r>
    </w:p>
    <w:p w14:paraId="785DBB33">
      <w:pPr>
        <w:shd w:val="clear"/>
        <w:adjustRightInd w:val="0"/>
        <w:spacing w:line="312" w:lineRule="auto"/>
        <w:ind w:firstLine="480" w:firstLineChars="200"/>
        <w:jc w:val="left"/>
        <w:rPr>
          <w:rFonts w:hint="eastAsia" w:ascii="宋体" w:hAnsi="宋体" w:eastAsia="宋体" w:cs="宋体"/>
          <w:color w:val="auto"/>
          <w:sz w:val="24"/>
          <w:szCs w:val="24"/>
          <w:highlight w:val="none"/>
        </w:rPr>
      </w:pPr>
    </w:p>
    <w:p w14:paraId="1C503F99">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投标人名称：XXXX（单位公章）。</w:t>
      </w:r>
    </w:p>
    <w:p w14:paraId="71FB8AB8">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76D41CB8">
      <w:pPr>
        <w:pStyle w:val="14"/>
        <w:shd w:val="clear"/>
        <w:spacing w:line="360" w:lineRule="auto"/>
        <w:ind w:firstLine="482"/>
        <w:rPr>
          <w:rFonts w:hint="eastAsia" w:ascii="宋体" w:hAnsi="宋体" w:eastAsia="宋体" w:cs="宋体"/>
          <w:color w:val="auto"/>
          <w:sz w:val="24"/>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highlight w:val="none"/>
        </w:rPr>
        <w:t>日期：XXXX</w:t>
      </w:r>
    </w:p>
    <w:p w14:paraId="4EB3681C">
      <w:pPr>
        <w:pStyle w:val="3"/>
        <w:numPr>
          <w:ilvl w:val="0"/>
          <w:numId w:val="12"/>
        </w:numPr>
        <w:shd w:val="clear"/>
        <w:spacing w:before="0" w:after="0" w:line="360" w:lineRule="auto"/>
        <w:jc w:val="center"/>
        <w:rPr>
          <w:rFonts w:hint="eastAsia" w:ascii="宋体" w:hAnsi="宋体" w:eastAsia="宋体" w:cs="宋体"/>
          <w:color w:val="auto"/>
          <w:highlight w:val="none"/>
          <w:u w:val="single"/>
        </w:rPr>
      </w:pPr>
      <w:bookmarkStart w:id="243" w:name="_Toc18802"/>
      <w:r>
        <w:rPr>
          <w:rFonts w:hint="eastAsia" w:ascii="宋体" w:hAnsi="宋体" w:eastAsia="宋体" w:cs="宋体"/>
          <w:color w:val="auto"/>
          <w:highlight w:val="none"/>
        </w:rPr>
        <w:t>分项报价明细表</w:t>
      </w:r>
      <w:bookmarkEnd w:id="243"/>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highlight w:val="none"/>
          <w:u w:val="single"/>
        </w:rPr>
        <w:t xml:space="preserve"> </w:t>
      </w:r>
    </w:p>
    <w:p w14:paraId="4BA79ECA">
      <w:pPr>
        <w:pStyle w:val="3"/>
        <w:numPr>
          <w:ilvl w:val="0"/>
          <w:numId w:val="0"/>
        </w:numPr>
        <w:shd w:val="clear"/>
        <w:spacing w:before="0" w:after="0"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280"/>
        <w:gridCol w:w="759"/>
        <w:gridCol w:w="521"/>
        <w:gridCol w:w="560"/>
        <w:gridCol w:w="573"/>
        <w:gridCol w:w="1212"/>
        <w:gridCol w:w="1313"/>
        <w:gridCol w:w="980"/>
        <w:gridCol w:w="980"/>
      </w:tblGrid>
      <w:tr w14:paraId="349C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56" w:type="dxa"/>
            <w:noWrap w:val="0"/>
            <w:vAlign w:val="center"/>
          </w:tcPr>
          <w:p w14:paraId="02B4365C">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80" w:type="dxa"/>
            <w:noWrap w:val="0"/>
            <w:vAlign w:val="center"/>
          </w:tcPr>
          <w:p w14:paraId="4A2CC9E1">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59" w:type="dxa"/>
            <w:noWrap w:val="0"/>
            <w:vAlign w:val="center"/>
          </w:tcPr>
          <w:p w14:paraId="68D0E7D8">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规格型号</w:t>
            </w:r>
          </w:p>
        </w:tc>
        <w:tc>
          <w:tcPr>
            <w:tcW w:w="521" w:type="dxa"/>
            <w:noWrap w:val="0"/>
            <w:vAlign w:val="center"/>
          </w:tcPr>
          <w:p w14:paraId="60FD9643">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560" w:type="dxa"/>
            <w:noWrap w:val="0"/>
            <w:vAlign w:val="center"/>
          </w:tcPr>
          <w:p w14:paraId="22076E73">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73" w:type="dxa"/>
            <w:noWrap w:val="0"/>
            <w:vAlign w:val="center"/>
          </w:tcPr>
          <w:p w14:paraId="6245A397">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212" w:type="dxa"/>
            <w:noWrap w:val="0"/>
            <w:vAlign w:val="center"/>
          </w:tcPr>
          <w:p w14:paraId="4965718F">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p w14:paraId="53A4DE28">
            <w:pPr>
              <w:pStyle w:val="30"/>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1313" w:type="dxa"/>
            <w:noWrap w:val="0"/>
            <w:vAlign w:val="center"/>
          </w:tcPr>
          <w:p w14:paraId="7E51A35A">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合计金额</w:t>
            </w:r>
          </w:p>
          <w:p w14:paraId="0AF74CDF">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980" w:type="dxa"/>
            <w:noWrap w:val="0"/>
            <w:vAlign w:val="center"/>
          </w:tcPr>
          <w:p w14:paraId="5469647C">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是否属于进口产品</w:t>
            </w:r>
          </w:p>
        </w:tc>
        <w:tc>
          <w:tcPr>
            <w:tcW w:w="980" w:type="dxa"/>
            <w:noWrap w:val="0"/>
            <w:vAlign w:val="center"/>
          </w:tcPr>
          <w:p w14:paraId="77E5567C">
            <w:pPr>
              <w:pStyle w:val="30"/>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862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6" w:type="dxa"/>
            <w:noWrap w:val="0"/>
            <w:vAlign w:val="center"/>
          </w:tcPr>
          <w:p w14:paraId="5382E59F">
            <w:pPr>
              <w:shd w:val="clea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80" w:type="dxa"/>
            <w:noWrap w:val="0"/>
            <w:vAlign w:val="center"/>
          </w:tcPr>
          <w:p w14:paraId="4FE41086">
            <w:pPr>
              <w:pStyle w:val="30"/>
              <w:shd w:val="clear"/>
              <w:jc w:val="center"/>
              <w:rPr>
                <w:rFonts w:hint="eastAsia" w:ascii="宋体" w:hAnsi="宋体" w:eastAsia="宋体" w:cs="宋体"/>
                <w:color w:val="auto"/>
                <w:sz w:val="24"/>
                <w:szCs w:val="24"/>
                <w:highlight w:val="none"/>
              </w:rPr>
            </w:pPr>
          </w:p>
        </w:tc>
        <w:tc>
          <w:tcPr>
            <w:tcW w:w="759" w:type="dxa"/>
            <w:noWrap w:val="0"/>
            <w:vAlign w:val="center"/>
          </w:tcPr>
          <w:p w14:paraId="21EAD089">
            <w:pPr>
              <w:pStyle w:val="30"/>
              <w:shd w:val="clear"/>
              <w:jc w:val="center"/>
              <w:rPr>
                <w:rFonts w:hint="eastAsia" w:ascii="宋体" w:hAnsi="宋体" w:eastAsia="宋体" w:cs="宋体"/>
                <w:color w:val="auto"/>
                <w:sz w:val="24"/>
                <w:szCs w:val="24"/>
                <w:highlight w:val="none"/>
              </w:rPr>
            </w:pPr>
          </w:p>
        </w:tc>
        <w:tc>
          <w:tcPr>
            <w:tcW w:w="521" w:type="dxa"/>
            <w:noWrap w:val="0"/>
            <w:vAlign w:val="center"/>
          </w:tcPr>
          <w:p w14:paraId="25E58B57">
            <w:pPr>
              <w:pStyle w:val="30"/>
              <w:shd w:val="clear"/>
              <w:jc w:val="center"/>
              <w:rPr>
                <w:rFonts w:hint="eastAsia" w:ascii="宋体" w:hAnsi="宋体" w:eastAsia="宋体" w:cs="宋体"/>
                <w:color w:val="auto"/>
                <w:sz w:val="24"/>
                <w:szCs w:val="24"/>
                <w:highlight w:val="none"/>
              </w:rPr>
            </w:pPr>
          </w:p>
        </w:tc>
        <w:tc>
          <w:tcPr>
            <w:tcW w:w="560" w:type="dxa"/>
            <w:noWrap w:val="0"/>
            <w:vAlign w:val="center"/>
          </w:tcPr>
          <w:p w14:paraId="50BFEC88">
            <w:pPr>
              <w:pStyle w:val="30"/>
              <w:shd w:val="clear"/>
              <w:jc w:val="center"/>
              <w:rPr>
                <w:rFonts w:hint="eastAsia" w:ascii="宋体" w:hAnsi="宋体" w:eastAsia="宋体" w:cs="宋体"/>
                <w:color w:val="auto"/>
                <w:sz w:val="24"/>
                <w:szCs w:val="24"/>
                <w:highlight w:val="none"/>
              </w:rPr>
            </w:pPr>
          </w:p>
        </w:tc>
        <w:tc>
          <w:tcPr>
            <w:tcW w:w="573" w:type="dxa"/>
            <w:noWrap w:val="0"/>
            <w:vAlign w:val="center"/>
          </w:tcPr>
          <w:p w14:paraId="27475CEE">
            <w:pPr>
              <w:pStyle w:val="30"/>
              <w:shd w:val="clear"/>
              <w:jc w:val="center"/>
              <w:rPr>
                <w:rFonts w:hint="eastAsia" w:ascii="宋体" w:hAnsi="宋体" w:eastAsia="宋体" w:cs="宋体"/>
                <w:color w:val="auto"/>
                <w:sz w:val="24"/>
                <w:szCs w:val="24"/>
                <w:highlight w:val="none"/>
              </w:rPr>
            </w:pPr>
          </w:p>
        </w:tc>
        <w:tc>
          <w:tcPr>
            <w:tcW w:w="1212" w:type="dxa"/>
            <w:noWrap w:val="0"/>
            <w:vAlign w:val="center"/>
          </w:tcPr>
          <w:p w14:paraId="169E8D29">
            <w:pPr>
              <w:pStyle w:val="30"/>
              <w:shd w:val="clear"/>
              <w:jc w:val="center"/>
              <w:rPr>
                <w:rFonts w:hint="eastAsia" w:ascii="宋体" w:hAnsi="宋体" w:eastAsia="宋体" w:cs="宋体"/>
                <w:color w:val="auto"/>
                <w:sz w:val="24"/>
                <w:szCs w:val="24"/>
                <w:highlight w:val="none"/>
              </w:rPr>
            </w:pPr>
          </w:p>
        </w:tc>
        <w:tc>
          <w:tcPr>
            <w:tcW w:w="1313" w:type="dxa"/>
            <w:noWrap w:val="0"/>
            <w:vAlign w:val="center"/>
          </w:tcPr>
          <w:p w14:paraId="22C29E27">
            <w:pPr>
              <w:pStyle w:val="30"/>
              <w:shd w:val="clear"/>
              <w:jc w:val="center"/>
              <w:rPr>
                <w:rFonts w:hint="eastAsia" w:ascii="宋体" w:hAnsi="宋体" w:eastAsia="宋体" w:cs="宋体"/>
                <w:color w:val="auto"/>
                <w:sz w:val="24"/>
                <w:szCs w:val="24"/>
                <w:highlight w:val="none"/>
              </w:rPr>
            </w:pPr>
          </w:p>
        </w:tc>
        <w:tc>
          <w:tcPr>
            <w:tcW w:w="980" w:type="dxa"/>
            <w:noWrap w:val="0"/>
            <w:vAlign w:val="center"/>
          </w:tcPr>
          <w:p w14:paraId="14C3C699">
            <w:pPr>
              <w:pStyle w:val="30"/>
              <w:shd w:val="clear"/>
              <w:jc w:val="center"/>
              <w:rPr>
                <w:rFonts w:hint="eastAsia" w:ascii="宋体" w:hAnsi="宋体" w:eastAsia="宋体" w:cs="宋体"/>
                <w:color w:val="auto"/>
                <w:sz w:val="24"/>
                <w:szCs w:val="24"/>
                <w:highlight w:val="none"/>
              </w:rPr>
            </w:pPr>
          </w:p>
        </w:tc>
        <w:tc>
          <w:tcPr>
            <w:tcW w:w="980" w:type="dxa"/>
            <w:noWrap w:val="0"/>
            <w:vAlign w:val="center"/>
          </w:tcPr>
          <w:p w14:paraId="211F92A3">
            <w:pPr>
              <w:pStyle w:val="30"/>
              <w:shd w:val="clear"/>
              <w:jc w:val="center"/>
              <w:rPr>
                <w:rFonts w:hint="eastAsia" w:ascii="宋体" w:hAnsi="宋体" w:eastAsia="宋体" w:cs="宋体"/>
                <w:color w:val="auto"/>
                <w:sz w:val="24"/>
                <w:szCs w:val="24"/>
                <w:highlight w:val="none"/>
              </w:rPr>
            </w:pPr>
          </w:p>
        </w:tc>
      </w:tr>
      <w:tr w14:paraId="2444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6" w:type="dxa"/>
            <w:noWrap w:val="0"/>
            <w:vAlign w:val="center"/>
          </w:tcPr>
          <w:p w14:paraId="7F08B67E">
            <w:pPr>
              <w:shd w:val="clea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80" w:type="dxa"/>
            <w:noWrap w:val="0"/>
            <w:vAlign w:val="center"/>
          </w:tcPr>
          <w:p w14:paraId="28ACE963">
            <w:pPr>
              <w:pStyle w:val="30"/>
              <w:shd w:val="clear"/>
              <w:jc w:val="center"/>
              <w:rPr>
                <w:rFonts w:hint="eastAsia" w:ascii="宋体" w:hAnsi="宋体" w:eastAsia="宋体" w:cs="宋体"/>
                <w:color w:val="auto"/>
                <w:sz w:val="24"/>
                <w:szCs w:val="24"/>
                <w:highlight w:val="none"/>
              </w:rPr>
            </w:pPr>
          </w:p>
        </w:tc>
        <w:tc>
          <w:tcPr>
            <w:tcW w:w="759" w:type="dxa"/>
            <w:noWrap w:val="0"/>
            <w:vAlign w:val="center"/>
          </w:tcPr>
          <w:p w14:paraId="0CB82C28">
            <w:pPr>
              <w:pStyle w:val="30"/>
              <w:shd w:val="clear"/>
              <w:jc w:val="center"/>
              <w:rPr>
                <w:rFonts w:hint="eastAsia" w:ascii="宋体" w:hAnsi="宋体" w:eastAsia="宋体" w:cs="宋体"/>
                <w:color w:val="auto"/>
                <w:sz w:val="24"/>
                <w:szCs w:val="24"/>
                <w:highlight w:val="none"/>
              </w:rPr>
            </w:pPr>
          </w:p>
        </w:tc>
        <w:tc>
          <w:tcPr>
            <w:tcW w:w="521" w:type="dxa"/>
            <w:noWrap w:val="0"/>
            <w:vAlign w:val="center"/>
          </w:tcPr>
          <w:p w14:paraId="37A03B80">
            <w:pPr>
              <w:pStyle w:val="30"/>
              <w:shd w:val="clear"/>
              <w:jc w:val="center"/>
              <w:rPr>
                <w:rFonts w:hint="eastAsia" w:ascii="宋体" w:hAnsi="宋体" w:eastAsia="宋体" w:cs="宋体"/>
                <w:color w:val="auto"/>
                <w:sz w:val="24"/>
                <w:szCs w:val="24"/>
                <w:highlight w:val="none"/>
              </w:rPr>
            </w:pPr>
          </w:p>
        </w:tc>
        <w:tc>
          <w:tcPr>
            <w:tcW w:w="560" w:type="dxa"/>
            <w:noWrap w:val="0"/>
            <w:vAlign w:val="center"/>
          </w:tcPr>
          <w:p w14:paraId="0AEDF495">
            <w:pPr>
              <w:pStyle w:val="30"/>
              <w:shd w:val="clear"/>
              <w:jc w:val="center"/>
              <w:rPr>
                <w:rFonts w:hint="eastAsia" w:ascii="宋体" w:hAnsi="宋体" w:eastAsia="宋体" w:cs="宋体"/>
                <w:color w:val="auto"/>
                <w:sz w:val="24"/>
                <w:szCs w:val="24"/>
                <w:highlight w:val="none"/>
              </w:rPr>
            </w:pPr>
          </w:p>
        </w:tc>
        <w:tc>
          <w:tcPr>
            <w:tcW w:w="573" w:type="dxa"/>
            <w:noWrap w:val="0"/>
            <w:vAlign w:val="center"/>
          </w:tcPr>
          <w:p w14:paraId="75C1CE57">
            <w:pPr>
              <w:pStyle w:val="30"/>
              <w:shd w:val="clear"/>
              <w:jc w:val="center"/>
              <w:rPr>
                <w:rFonts w:hint="eastAsia" w:ascii="宋体" w:hAnsi="宋体" w:eastAsia="宋体" w:cs="宋体"/>
                <w:color w:val="auto"/>
                <w:sz w:val="24"/>
                <w:szCs w:val="24"/>
                <w:highlight w:val="none"/>
              </w:rPr>
            </w:pPr>
          </w:p>
        </w:tc>
        <w:tc>
          <w:tcPr>
            <w:tcW w:w="1212" w:type="dxa"/>
            <w:noWrap w:val="0"/>
            <w:vAlign w:val="center"/>
          </w:tcPr>
          <w:p w14:paraId="442A7624">
            <w:pPr>
              <w:pStyle w:val="30"/>
              <w:shd w:val="clear"/>
              <w:jc w:val="center"/>
              <w:rPr>
                <w:rFonts w:hint="eastAsia" w:ascii="宋体" w:hAnsi="宋体" w:eastAsia="宋体" w:cs="宋体"/>
                <w:color w:val="auto"/>
                <w:sz w:val="24"/>
                <w:szCs w:val="24"/>
                <w:highlight w:val="none"/>
              </w:rPr>
            </w:pPr>
          </w:p>
        </w:tc>
        <w:tc>
          <w:tcPr>
            <w:tcW w:w="1313" w:type="dxa"/>
            <w:noWrap w:val="0"/>
            <w:vAlign w:val="center"/>
          </w:tcPr>
          <w:p w14:paraId="615DD5C6">
            <w:pPr>
              <w:pStyle w:val="30"/>
              <w:shd w:val="clear"/>
              <w:jc w:val="center"/>
              <w:rPr>
                <w:rFonts w:hint="eastAsia" w:ascii="宋体" w:hAnsi="宋体" w:eastAsia="宋体" w:cs="宋体"/>
                <w:color w:val="auto"/>
                <w:sz w:val="24"/>
                <w:szCs w:val="24"/>
                <w:highlight w:val="none"/>
              </w:rPr>
            </w:pPr>
          </w:p>
        </w:tc>
        <w:tc>
          <w:tcPr>
            <w:tcW w:w="980" w:type="dxa"/>
            <w:noWrap w:val="0"/>
            <w:vAlign w:val="center"/>
          </w:tcPr>
          <w:p w14:paraId="215EF94E">
            <w:pPr>
              <w:pStyle w:val="30"/>
              <w:shd w:val="clear"/>
              <w:jc w:val="center"/>
              <w:rPr>
                <w:rFonts w:hint="eastAsia" w:ascii="宋体" w:hAnsi="宋体" w:eastAsia="宋体" w:cs="宋体"/>
                <w:color w:val="auto"/>
                <w:sz w:val="24"/>
                <w:szCs w:val="24"/>
                <w:highlight w:val="none"/>
              </w:rPr>
            </w:pPr>
          </w:p>
        </w:tc>
        <w:tc>
          <w:tcPr>
            <w:tcW w:w="980" w:type="dxa"/>
            <w:noWrap w:val="0"/>
            <w:vAlign w:val="center"/>
          </w:tcPr>
          <w:p w14:paraId="4EC04029">
            <w:pPr>
              <w:pStyle w:val="30"/>
              <w:shd w:val="clear"/>
              <w:jc w:val="center"/>
              <w:rPr>
                <w:rFonts w:hint="eastAsia" w:ascii="宋体" w:hAnsi="宋体" w:eastAsia="宋体" w:cs="宋体"/>
                <w:color w:val="auto"/>
                <w:sz w:val="24"/>
                <w:szCs w:val="24"/>
                <w:highlight w:val="none"/>
              </w:rPr>
            </w:pPr>
          </w:p>
        </w:tc>
      </w:tr>
      <w:tr w14:paraId="0FF1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6" w:type="dxa"/>
            <w:noWrap w:val="0"/>
            <w:vAlign w:val="center"/>
          </w:tcPr>
          <w:p w14:paraId="5B4C5552">
            <w:pPr>
              <w:shd w:val="clea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80" w:type="dxa"/>
            <w:noWrap w:val="0"/>
            <w:vAlign w:val="center"/>
          </w:tcPr>
          <w:p w14:paraId="7BA40378">
            <w:pPr>
              <w:pStyle w:val="30"/>
              <w:shd w:val="clear"/>
              <w:jc w:val="center"/>
              <w:rPr>
                <w:rFonts w:hint="eastAsia" w:ascii="宋体" w:hAnsi="宋体" w:eastAsia="宋体" w:cs="宋体"/>
                <w:color w:val="auto"/>
                <w:sz w:val="24"/>
                <w:szCs w:val="24"/>
                <w:highlight w:val="none"/>
              </w:rPr>
            </w:pPr>
          </w:p>
        </w:tc>
        <w:tc>
          <w:tcPr>
            <w:tcW w:w="759" w:type="dxa"/>
            <w:noWrap w:val="0"/>
            <w:vAlign w:val="center"/>
          </w:tcPr>
          <w:p w14:paraId="48F04DC8">
            <w:pPr>
              <w:pStyle w:val="30"/>
              <w:shd w:val="clear"/>
              <w:jc w:val="center"/>
              <w:rPr>
                <w:rFonts w:hint="eastAsia" w:ascii="宋体" w:hAnsi="宋体" w:eastAsia="宋体" w:cs="宋体"/>
                <w:color w:val="auto"/>
                <w:sz w:val="24"/>
                <w:szCs w:val="24"/>
                <w:highlight w:val="none"/>
              </w:rPr>
            </w:pPr>
          </w:p>
        </w:tc>
        <w:tc>
          <w:tcPr>
            <w:tcW w:w="521" w:type="dxa"/>
            <w:noWrap w:val="0"/>
            <w:vAlign w:val="center"/>
          </w:tcPr>
          <w:p w14:paraId="77A87BB5">
            <w:pPr>
              <w:pStyle w:val="30"/>
              <w:shd w:val="clear"/>
              <w:jc w:val="center"/>
              <w:rPr>
                <w:rFonts w:hint="eastAsia" w:ascii="宋体" w:hAnsi="宋体" w:eastAsia="宋体" w:cs="宋体"/>
                <w:color w:val="auto"/>
                <w:sz w:val="24"/>
                <w:szCs w:val="24"/>
                <w:highlight w:val="none"/>
              </w:rPr>
            </w:pPr>
          </w:p>
        </w:tc>
        <w:tc>
          <w:tcPr>
            <w:tcW w:w="560" w:type="dxa"/>
            <w:noWrap w:val="0"/>
            <w:vAlign w:val="center"/>
          </w:tcPr>
          <w:p w14:paraId="3318B5FB">
            <w:pPr>
              <w:pStyle w:val="30"/>
              <w:shd w:val="clear"/>
              <w:jc w:val="center"/>
              <w:rPr>
                <w:rFonts w:hint="eastAsia" w:ascii="宋体" w:hAnsi="宋体" w:eastAsia="宋体" w:cs="宋体"/>
                <w:color w:val="auto"/>
                <w:sz w:val="24"/>
                <w:szCs w:val="24"/>
                <w:highlight w:val="none"/>
              </w:rPr>
            </w:pPr>
          </w:p>
        </w:tc>
        <w:tc>
          <w:tcPr>
            <w:tcW w:w="573" w:type="dxa"/>
            <w:noWrap w:val="0"/>
            <w:vAlign w:val="center"/>
          </w:tcPr>
          <w:p w14:paraId="67E1633F">
            <w:pPr>
              <w:pStyle w:val="30"/>
              <w:shd w:val="clear"/>
              <w:jc w:val="center"/>
              <w:rPr>
                <w:rFonts w:hint="eastAsia" w:ascii="宋体" w:hAnsi="宋体" w:eastAsia="宋体" w:cs="宋体"/>
                <w:color w:val="auto"/>
                <w:sz w:val="24"/>
                <w:szCs w:val="24"/>
                <w:highlight w:val="none"/>
              </w:rPr>
            </w:pPr>
          </w:p>
        </w:tc>
        <w:tc>
          <w:tcPr>
            <w:tcW w:w="1212" w:type="dxa"/>
            <w:noWrap w:val="0"/>
            <w:vAlign w:val="center"/>
          </w:tcPr>
          <w:p w14:paraId="054EE4A3">
            <w:pPr>
              <w:pStyle w:val="30"/>
              <w:shd w:val="clear"/>
              <w:jc w:val="center"/>
              <w:rPr>
                <w:rFonts w:hint="eastAsia" w:ascii="宋体" w:hAnsi="宋体" w:eastAsia="宋体" w:cs="宋体"/>
                <w:color w:val="auto"/>
                <w:sz w:val="24"/>
                <w:szCs w:val="24"/>
                <w:highlight w:val="none"/>
              </w:rPr>
            </w:pPr>
          </w:p>
        </w:tc>
        <w:tc>
          <w:tcPr>
            <w:tcW w:w="1313" w:type="dxa"/>
            <w:noWrap w:val="0"/>
            <w:vAlign w:val="center"/>
          </w:tcPr>
          <w:p w14:paraId="2EBC3A50">
            <w:pPr>
              <w:pStyle w:val="30"/>
              <w:shd w:val="clear"/>
              <w:jc w:val="center"/>
              <w:rPr>
                <w:rFonts w:hint="eastAsia" w:ascii="宋体" w:hAnsi="宋体" w:eastAsia="宋体" w:cs="宋体"/>
                <w:color w:val="auto"/>
                <w:sz w:val="24"/>
                <w:szCs w:val="24"/>
                <w:highlight w:val="none"/>
              </w:rPr>
            </w:pPr>
          </w:p>
        </w:tc>
        <w:tc>
          <w:tcPr>
            <w:tcW w:w="980" w:type="dxa"/>
            <w:noWrap w:val="0"/>
            <w:vAlign w:val="center"/>
          </w:tcPr>
          <w:p w14:paraId="38BB7A4D">
            <w:pPr>
              <w:pStyle w:val="30"/>
              <w:shd w:val="clear"/>
              <w:jc w:val="center"/>
              <w:rPr>
                <w:rFonts w:hint="eastAsia" w:ascii="宋体" w:hAnsi="宋体" w:eastAsia="宋体" w:cs="宋体"/>
                <w:color w:val="auto"/>
                <w:sz w:val="24"/>
                <w:szCs w:val="24"/>
                <w:highlight w:val="none"/>
              </w:rPr>
            </w:pPr>
          </w:p>
        </w:tc>
        <w:tc>
          <w:tcPr>
            <w:tcW w:w="980" w:type="dxa"/>
            <w:noWrap w:val="0"/>
            <w:vAlign w:val="center"/>
          </w:tcPr>
          <w:p w14:paraId="7EE72C0F">
            <w:pPr>
              <w:pStyle w:val="30"/>
              <w:shd w:val="clear"/>
              <w:jc w:val="center"/>
              <w:rPr>
                <w:rFonts w:hint="eastAsia" w:ascii="宋体" w:hAnsi="宋体" w:eastAsia="宋体" w:cs="宋体"/>
                <w:color w:val="auto"/>
                <w:sz w:val="24"/>
                <w:szCs w:val="24"/>
                <w:highlight w:val="none"/>
              </w:rPr>
            </w:pPr>
          </w:p>
        </w:tc>
      </w:tr>
      <w:tr w14:paraId="786F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834" w:type="dxa"/>
            <w:gridSpan w:val="10"/>
            <w:noWrap w:val="0"/>
            <w:vAlign w:val="center"/>
          </w:tcPr>
          <w:p w14:paraId="51D7A346">
            <w:pPr>
              <w:pStyle w:val="3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报价合计（万元）：                 大写：</w:t>
            </w:r>
          </w:p>
        </w:tc>
      </w:tr>
    </w:tbl>
    <w:p w14:paraId="1DA88F67">
      <w:pPr>
        <w:pStyle w:val="3"/>
        <w:shd w:val="clear"/>
        <w:spacing w:before="0" w:after="0" w:line="360" w:lineRule="auto"/>
        <w:jc w:val="center"/>
        <w:rPr>
          <w:rFonts w:hint="eastAsia" w:ascii="宋体" w:hAnsi="宋体" w:eastAsia="宋体" w:cs="宋体"/>
          <w:color w:val="auto"/>
          <w:highlight w:val="none"/>
        </w:rPr>
      </w:pPr>
    </w:p>
    <w:p w14:paraId="57730B04">
      <w:pPr>
        <w:shd w:val="clear"/>
        <w:spacing w:line="360" w:lineRule="auto"/>
        <w:rPr>
          <w:rFonts w:hint="eastAsia" w:ascii="宋体" w:hAnsi="宋体" w:eastAsia="宋体" w:cs="宋体"/>
          <w:color w:val="auto"/>
          <w:sz w:val="24"/>
          <w:szCs w:val="24"/>
          <w:highlight w:val="none"/>
        </w:rPr>
      </w:pPr>
    </w:p>
    <w:p w14:paraId="6BB857F6">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注：1.投标人须详细报出投标总价的各个组成部分的报价。 </w:t>
      </w:r>
    </w:p>
    <w:p w14:paraId="75B324A0">
      <w:pPr>
        <w:shd w:val="clea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2.“分项报价明细表”各分项报价合计应当与“开标一览表”报价合计相等。</w:t>
      </w:r>
    </w:p>
    <w:p w14:paraId="2E841B4C">
      <w:pPr>
        <w:shd w:val="clear"/>
        <w:adjustRightInd w:val="0"/>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3、若同时投多个标包，应分标包填写。</w:t>
      </w:r>
    </w:p>
    <w:p w14:paraId="51397914">
      <w:pPr>
        <w:shd w:val="clear"/>
        <w:spacing w:line="360" w:lineRule="auto"/>
        <w:rPr>
          <w:rFonts w:hint="eastAsia" w:ascii="宋体" w:hAnsi="宋体" w:eastAsia="宋体" w:cs="宋体"/>
          <w:bCs/>
          <w:color w:val="auto"/>
          <w:sz w:val="24"/>
          <w:szCs w:val="24"/>
          <w:highlight w:val="none"/>
        </w:rPr>
      </w:pPr>
    </w:p>
    <w:p w14:paraId="70AEA1E1">
      <w:pPr>
        <w:pStyle w:val="14"/>
        <w:shd w:val="clea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投标人名称：XXXX（单位盖章）。</w:t>
      </w:r>
    </w:p>
    <w:p w14:paraId="3E460A4C">
      <w:pPr>
        <w:pStyle w:val="14"/>
        <w:shd w:val="clea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法定代表人/单位负责人或授权代表（签字或加盖个人名章）：XXXX。</w:t>
      </w:r>
    </w:p>
    <w:p w14:paraId="5D47D760">
      <w:pPr>
        <w:pStyle w:val="14"/>
        <w:shd w:val="clea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XXXX。</w:t>
      </w:r>
    </w:p>
    <w:p w14:paraId="41205862">
      <w:pPr>
        <w:shd w:val="clear"/>
        <w:spacing w:line="360" w:lineRule="auto"/>
        <w:rPr>
          <w:rFonts w:hint="eastAsia" w:ascii="宋体" w:hAnsi="宋体" w:eastAsia="宋体" w:cs="宋体"/>
          <w:b/>
          <w:color w:val="auto"/>
          <w:sz w:val="32"/>
          <w:szCs w:val="32"/>
          <w:highlight w:val="none"/>
        </w:rPr>
      </w:pPr>
    </w:p>
    <w:p w14:paraId="0FCF5D9C">
      <w:pPr>
        <w:pStyle w:val="23"/>
        <w:shd w:val="clear"/>
        <w:rPr>
          <w:rFonts w:hint="eastAsia" w:ascii="宋体" w:hAnsi="宋体" w:eastAsia="宋体" w:cs="宋体"/>
          <w:b/>
          <w:color w:val="auto"/>
          <w:sz w:val="32"/>
          <w:szCs w:val="32"/>
          <w:highlight w:val="none"/>
        </w:rPr>
      </w:pPr>
    </w:p>
    <w:p w14:paraId="04BFEB8E">
      <w:pPr>
        <w:widowControl/>
        <w:shd w:val="clear"/>
        <w:spacing w:line="360" w:lineRule="auto"/>
        <w:jc w:val="center"/>
        <w:outlineLvl w:val="1"/>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rPr>
        <w:br w:type="page"/>
      </w:r>
      <w:bookmarkStart w:id="244" w:name="_Toc23323"/>
      <w:r>
        <w:rPr>
          <w:rFonts w:hint="eastAsia" w:ascii="宋体" w:hAnsi="宋体" w:eastAsia="宋体" w:cs="宋体"/>
          <w:b/>
          <w:color w:val="auto"/>
          <w:sz w:val="32"/>
          <w:szCs w:val="32"/>
          <w:highlight w:val="none"/>
        </w:rPr>
        <w:t>五、商务应答表</w:t>
      </w:r>
      <w:bookmarkEnd w:id="24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highlight w:val="none"/>
          <w:u w:val="single"/>
        </w:rPr>
        <w:t xml:space="preserve">  </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35"/>
        <w:gridCol w:w="3119"/>
        <w:gridCol w:w="1984"/>
      </w:tblGrid>
      <w:tr w14:paraId="77F6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76" w:type="dxa"/>
            <w:noWrap w:val="0"/>
            <w:vAlign w:val="center"/>
          </w:tcPr>
          <w:p w14:paraId="39F54A33">
            <w:pPr>
              <w:pStyle w:val="14"/>
              <w:shd w:val="clear"/>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835" w:type="dxa"/>
            <w:noWrap w:val="0"/>
            <w:vAlign w:val="center"/>
          </w:tcPr>
          <w:p w14:paraId="28555243">
            <w:pPr>
              <w:pStyle w:val="14"/>
              <w:shd w:val="clear"/>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招标文件要求</w:t>
            </w:r>
          </w:p>
        </w:tc>
        <w:tc>
          <w:tcPr>
            <w:tcW w:w="3119" w:type="dxa"/>
            <w:noWrap w:val="0"/>
            <w:vAlign w:val="center"/>
          </w:tcPr>
          <w:p w14:paraId="1216D445">
            <w:pPr>
              <w:pStyle w:val="14"/>
              <w:shd w:val="clear"/>
              <w:ind w:firstLine="663" w:firstLineChars="2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投标文件应答</w:t>
            </w:r>
          </w:p>
        </w:tc>
        <w:tc>
          <w:tcPr>
            <w:tcW w:w="1984" w:type="dxa"/>
            <w:noWrap w:val="0"/>
            <w:vAlign w:val="center"/>
          </w:tcPr>
          <w:p w14:paraId="42685413">
            <w:pPr>
              <w:pStyle w:val="14"/>
              <w:shd w:val="clear"/>
              <w:ind w:firstLine="0"/>
              <w:jc w:val="center"/>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正/负</w:t>
            </w:r>
            <w:r>
              <w:rPr>
                <w:rFonts w:hint="eastAsia" w:ascii="宋体" w:hAnsi="宋体" w:eastAsia="宋体" w:cs="宋体"/>
                <w:b/>
                <w:bCs/>
                <w:color w:val="auto"/>
                <w:sz w:val="24"/>
                <w:szCs w:val="24"/>
                <w:highlight w:val="none"/>
                <w:lang w:val="en-US" w:eastAsia="zh-CN"/>
              </w:rPr>
              <w:t>/无</w:t>
            </w:r>
            <w:r>
              <w:rPr>
                <w:rFonts w:hint="eastAsia" w:ascii="宋体" w:hAnsi="宋体" w:eastAsia="宋体" w:cs="宋体"/>
                <w:b/>
                <w:bCs/>
                <w:color w:val="auto"/>
                <w:sz w:val="24"/>
                <w:szCs w:val="24"/>
                <w:highlight w:val="none"/>
              </w:rPr>
              <w:t>偏离</w:t>
            </w:r>
          </w:p>
        </w:tc>
      </w:tr>
      <w:tr w14:paraId="47C1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76" w:type="dxa"/>
            <w:noWrap w:val="0"/>
            <w:vAlign w:val="top"/>
          </w:tcPr>
          <w:p w14:paraId="20DE4091">
            <w:pPr>
              <w:pStyle w:val="14"/>
              <w:shd w:val="clear"/>
              <w:ind w:firstLine="480"/>
              <w:rPr>
                <w:rFonts w:hint="eastAsia" w:ascii="宋体" w:hAnsi="宋体" w:eastAsia="宋体" w:cs="宋体"/>
                <w:color w:val="auto"/>
                <w:sz w:val="24"/>
                <w:highlight w:val="none"/>
              </w:rPr>
            </w:pPr>
          </w:p>
        </w:tc>
        <w:tc>
          <w:tcPr>
            <w:tcW w:w="2835" w:type="dxa"/>
            <w:noWrap w:val="0"/>
            <w:vAlign w:val="top"/>
          </w:tcPr>
          <w:p w14:paraId="2E41544E">
            <w:pPr>
              <w:pStyle w:val="14"/>
              <w:shd w:val="clear"/>
              <w:ind w:firstLine="480"/>
              <w:rPr>
                <w:rFonts w:hint="eastAsia" w:ascii="宋体" w:hAnsi="宋体" w:eastAsia="宋体" w:cs="宋体"/>
                <w:color w:val="auto"/>
                <w:sz w:val="24"/>
                <w:highlight w:val="none"/>
              </w:rPr>
            </w:pPr>
          </w:p>
        </w:tc>
        <w:tc>
          <w:tcPr>
            <w:tcW w:w="3119" w:type="dxa"/>
            <w:noWrap w:val="0"/>
            <w:vAlign w:val="top"/>
          </w:tcPr>
          <w:p w14:paraId="13402739">
            <w:pPr>
              <w:pStyle w:val="14"/>
              <w:shd w:val="clear"/>
              <w:ind w:firstLine="480"/>
              <w:rPr>
                <w:rFonts w:hint="eastAsia" w:ascii="宋体" w:hAnsi="宋体" w:eastAsia="宋体" w:cs="宋体"/>
                <w:color w:val="auto"/>
                <w:sz w:val="24"/>
                <w:highlight w:val="none"/>
              </w:rPr>
            </w:pPr>
          </w:p>
        </w:tc>
        <w:tc>
          <w:tcPr>
            <w:tcW w:w="1984" w:type="dxa"/>
            <w:noWrap w:val="0"/>
            <w:vAlign w:val="top"/>
          </w:tcPr>
          <w:p w14:paraId="3BCD27C8">
            <w:pPr>
              <w:pStyle w:val="14"/>
              <w:shd w:val="clear"/>
              <w:ind w:firstLine="480"/>
              <w:rPr>
                <w:rFonts w:hint="eastAsia" w:ascii="宋体" w:hAnsi="宋体" w:eastAsia="宋体" w:cs="宋体"/>
                <w:color w:val="auto"/>
                <w:sz w:val="24"/>
                <w:highlight w:val="none"/>
              </w:rPr>
            </w:pPr>
          </w:p>
        </w:tc>
      </w:tr>
      <w:tr w14:paraId="7F51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76" w:type="dxa"/>
            <w:noWrap w:val="0"/>
            <w:vAlign w:val="top"/>
          </w:tcPr>
          <w:p w14:paraId="6BEC2B2C">
            <w:pPr>
              <w:pStyle w:val="14"/>
              <w:shd w:val="clear"/>
              <w:ind w:firstLine="480"/>
              <w:rPr>
                <w:rFonts w:hint="eastAsia" w:ascii="宋体" w:hAnsi="宋体" w:eastAsia="宋体" w:cs="宋体"/>
                <w:color w:val="auto"/>
                <w:sz w:val="24"/>
                <w:highlight w:val="none"/>
              </w:rPr>
            </w:pPr>
          </w:p>
        </w:tc>
        <w:tc>
          <w:tcPr>
            <w:tcW w:w="2835" w:type="dxa"/>
            <w:noWrap w:val="0"/>
            <w:vAlign w:val="top"/>
          </w:tcPr>
          <w:p w14:paraId="7218EBCC">
            <w:pPr>
              <w:pStyle w:val="14"/>
              <w:shd w:val="clear"/>
              <w:ind w:firstLine="480"/>
              <w:rPr>
                <w:rFonts w:hint="eastAsia" w:ascii="宋体" w:hAnsi="宋体" w:eastAsia="宋体" w:cs="宋体"/>
                <w:color w:val="auto"/>
                <w:sz w:val="24"/>
                <w:highlight w:val="none"/>
              </w:rPr>
            </w:pPr>
          </w:p>
        </w:tc>
        <w:tc>
          <w:tcPr>
            <w:tcW w:w="3119" w:type="dxa"/>
            <w:noWrap w:val="0"/>
            <w:vAlign w:val="top"/>
          </w:tcPr>
          <w:p w14:paraId="2082EF43">
            <w:pPr>
              <w:pStyle w:val="14"/>
              <w:shd w:val="clear"/>
              <w:ind w:firstLine="480"/>
              <w:rPr>
                <w:rFonts w:hint="eastAsia" w:ascii="宋体" w:hAnsi="宋体" w:eastAsia="宋体" w:cs="宋体"/>
                <w:color w:val="auto"/>
                <w:sz w:val="24"/>
                <w:highlight w:val="none"/>
              </w:rPr>
            </w:pPr>
          </w:p>
        </w:tc>
        <w:tc>
          <w:tcPr>
            <w:tcW w:w="1984" w:type="dxa"/>
            <w:noWrap w:val="0"/>
            <w:vAlign w:val="top"/>
          </w:tcPr>
          <w:p w14:paraId="3D8F1EA6">
            <w:pPr>
              <w:pStyle w:val="14"/>
              <w:shd w:val="clear"/>
              <w:ind w:firstLine="480"/>
              <w:rPr>
                <w:rFonts w:hint="eastAsia" w:ascii="宋体" w:hAnsi="宋体" w:eastAsia="宋体" w:cs="宋体"/>
                <w:color w:val="auto"/>
                <w:sz w:val="24"/>
                <w:highlight w:val="none"/>
              </w:rPr>
            </w:pPr>
          </w:p>
        </w:tc>
      </w:tr>
      <w:tr w14:paraId="039F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76" w:type="dxa"/>
            <w:noWrap w:val="0"/>
            <w:vAlign w:val="top"/>
          </w:tcPr>
          <w:p w14:paraId="179C1523">
            <w:pPr>
              <w:pStyle w:val="14"/>
              <w:shd w:val="clear"/>
              <w:ind w:firstLine="480"/>
              <w:rPr>
                <w:rFonts w:hint="eastAsia" w:ascii="宋体" w:hAnsi="宋体" w:eastAsia="宋体" w:cs="宋体"/>
                <w:color w:val="auto"/>
                <w:sz w:val="24"/>
                <w:highlight w:val="none"/>
              </w:rPr>
            </w:pPr>
          </w:p>
        </w:tc>
        <w:tc>
          <w:tcPr>
            <w:tcW w:w="2835" w:type="dxa"/>
            <w:noWrap w:val="0"/>
            <w:vAlign w:val="top"/>
          </w:tcPr>
          <w:p w14:paraId="137269A2">
            <w:pPr>
              <w:pStyle w:val="14"/>
              <w:shd w:val="clear"/>
              <w:ind w:firstLine="480"/>
              <w:rPr>
                <w:rFonts w:hint="eastAsia" w:ascii="宋体" w:hAnsi="宋体" w:eastAsia="宋体" w:cs="宋体"/>
                <w:color w:val="auto"/>
                <w:sz w:val="24"/>
                <w:highlight w:val="none"/>
              </w:rPr>
            </w:pPr>
          </w:p>
        </w:tc>
        <w:tc>
          <w:tcPr>
            <w:tcW w:w="3119" w:type="dxa"/>
            <w:noWrap w:val="0"/>
            <w:vAlign w:val="top"/>
          </w:tcPr>
          <w:p w14:paraId="10FF93E2">
            <w:pPr>
              <w:pStyle w:val="14"/>
              <w:shd w:val="clear"/>
              <w:ind w:firstLine="480"/>
              <w:rPr>
                <w:rFonts w:hint="eastAsia" w:ascii="宋体" w:hAnsi="宋体" w:eastAsia="宋体" w:cs="宋体"/>
                <w:color w:val="auto"/>
                <w:sz w:val="24"/>
                <w:highlight w:val="none"/>
              </w:rPr>
            </w:pPr>
          </w:p>
        </w:tc>
        <w:tc>
          <w:tcPr>
            <w:tcW w:w="1984" w:type="dxa"/>
            <w:noWrap w:val="0"/>
            <w:vAlign w:val="top"/>
          </w:tcPr>
          <w:p w14:paraId="077B4A2C">
            <w:pPr>
              <w:pStyle w:val="14"/>
              <w:shd w:val="clear"/>
              <w:ind w:firstLine="480"/>
              <w:rPr>
                <w:rFonts w:hint="eastAsia" w:ascii="宋体" w:hAnsi="宋体" w:eastAsia="宋体" w:cs="宋体"/>
                <w:color w:val="auto"/>
                <w:sz w:val="24"/>
                <w:highlight w:val="none"/>
              </w:rPr>
            </w:pPr>
          </w:p>
        </w:tc>
      </w:tr>
      <w:tr w14:paraId="580D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76" w:type="dxa"/>
            <w:noWrap w:val="0"/>
            <w:vAlign w:val="top"/>
          </w:tcPr>
          <w:p w14:paraId="32A8A406">
            <w:pPr>
              <w:pStyle w:val="14"/>
              <w:shd w:val="clear"/>
              <w:ind w:firstLine="480"/>
              <w:rPr>
                <w:rFonts w:hint="eastAsia" w:ascii="宋体" w:hAnsi="宋体" w:eastAsia="宋体" w:cs="宋体"/>
                <w:color w:val="auto"/>
                <w:sz w:val="24"/>
                <w:highlight w:val="none"/>
              </w:rPr>
            </w:pPr>
          </w:p>
        </w:tc>
        <w:tc>
          <w:tcPr>
            <w:tcW w:w="2835" w:type="dxa"/>
            <w:noWrap w:val="0"/>
            <w:vAlign w:val="top"/>
          </w:tcPr>
          <w:p w14:paraId="0FB5366C">
            <w:pPr>
              <w:pStyle w:val="14"/>
              <w:shd w:val="clear"/>
              <w:ind w:firstLine="480"/>
              <w:rPr>
                <w:rFonts w:hint="eastAsia" w:ascii="宋体" w:hAnsi="宋体" w:eastAsia="宋体" w:cs="宋体"/>
                <w:color w:val="auto"/>
                <w:sz w:val="24"/>
                <w:highlight w:val="none"/>
              </w:rPr>
            </w:pPr>
          </w:p>
        </w:tc>
        <w:tc>
          <w:tcPr>
            <w:tcW w:w="3119" w:type="dxa"/>
            <w:noWrap w:val="0"/>
            <w:vAlign w:val="top"/>
          </w:tcPr>
          <w:p w14:paraId="78151F6A">
            <w:pPr>
              <w:pStyle w:val="14"/>
              <w:shd w:val="clear"/>
              <w:ind w:firstLine="480"/>
              <w:rPr>
                <w:rFonts w:hint="eastAsia" w:ascii="宋体" w:hAnsi="宋体" w:eastAsia="宋体" w:cs="宋体"/>
                <w:color w:val="auto"/>
                <w:sz w:val="24"/>
                <w:highlight w:val="none"/>
              </w:rPr>
            </w:pPr>
          </w:p>
        </w:tc>
        <w:tc>
          <w:tcPr>
            <w:tcW w:w="1984" w:type="dxa"/>
            <w:noWrap w:val="0"/>
            <w:vAlign w:val="top"/>
          </w:tcPr>
          <w:p w14:paraId="29E78D34">
            <w:pPr>
              <w:pStyle w:val="14"/>
              <w:shd w:val="clear"/>
              <w:ind w:firstLine="480"/>
              <w:rPr>
                <w:rFonts w:hint="eastAsia" w:ascii="宋体" w:hAnsi="宋体" w:eastAsia="宋体" w:cs="宋体"/>
                <w:color w:val="auto"/>
                <w:sz w:val="24"/>
                <w:highlight w:val="none"/>
              </w:rPr>
            </w:pPr>
          </w:p>
        </w:tc>
      </w:tr>
    </w:tbl>
    <w:p w14:paraId="035CB73B">
      <w:pPr>
        <w:pStyle w:val="14"/>
        <w:shd w:val="clear"/>
        <w:spacing w:line="312" w:lineRule="auto"/>
        <w:ind w:firstLine="482"/>
        <w:rPr>
          <w:rFonts w:hint="eastAsia" w:ascii="宋体" w:hAnsi="宋体" w:eastAsia="宋体" w:cs="宋体"/>
          <w:color w:val="auto"/>
          <w:sz w:val="24"/>
          <w:highlight w:val="none"/>
        </w:rPr>
      </w:pPr>
    </w:p>
    <w:p w14:paraId="24355CC9">
      <w:pPr>
        <w:pStyle w:val="14"/>
        <w:shd w:val="clear"/>
        <w:spacing w:line="360" w:lineRule="auto"/>
        <w:ind w:firstLine="48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注：投标人必须根据招标文件第六章本项目的商务要求据实填写，不得虚假应答，否则将取消其投标或中标资格。</w:t>
      </w:r>
    </w:p>
    <w:p w14:paraId="5E54602B">
      <w:pPr>
        <w:pStyle w:val="14"/>
        <w:shd w:val="clear"/>
        <w:spacing w:line="312" w:lineRule="auto"/>
        <w:ind w:firstLine="482"/>
        <w:rPr>
          <w:rFonts w:hint="eastAsia" w:ascii="宋体" w:hAnsi="宋体" w:eastAsia="宋体" w:cs="宋体"/>
          <w:color w:val="auto"/>
          <w:sz w:val="24"/>
          <w:highlight w:val="none"/>
        </w:rPr>
      </w:pPr>
    </w:p>
    <w:p w14:paraId="2A891011">
      <w:pPr>
        <w:pStyle w:val="14"/>
        <w:shd w:val="clear"/>
        <w:ind w:firstLine="480"/>
        <w:rPr>
          <w:rFonts w:hint="eastAsia" w:ascii="宋体" w:hAnsi="宋体" w:eastAsia="宋体" w:cs="宋体"/>
          <w:color w:val="auto"/>
          <w:sz w:val="24"/>
          <w:highlight w:val="none"/>
        </w:rPr>
      </w:pPr>
    </w:p>
    <w:p w14:paraId="217C0A06">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投标人名称：XXXX（单位盖章）。</w:t>
      </w:r>
    </w:p>
    <w:p w14:paraId="179BCE26">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0B0D8596">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XXXX。</w:t>
      </w:r>
    </w:p>
    <w:p w14:paraId="757985A2">
      <w:pPr>
        <w:shd w:val="clear"/>
        <w:adjustRightInd w:val="0"/>
        <w:spacing w:line="360" w:lineRule="auto"/>
        <w:ind w:firstLine="480" w:firstLineChars="200"/>
        <w:jc w:val="left"/>
        <w:rPr>
          <w:rFonts w:hint="eastAsia" w:ascii="宋体" w:hAnsi="宋体" w:eastAsia="宋体" w:cs="宋体"/>
          <w:vanish/>
          <w:color w:val="auto"/>
          <w:sz w:val="24"/>
          <w:szCs w:val="24"/>
          <w:highlight w:val="none"/>
        </w:rPr>
      </w:pPr>
    </w:p>
    <w:bookmarkEnd w:id="242"/>
    <w:p w14:paraId="24889756">
      <w:pPr>
        <w:widowControl/>
        <w:shd w:val="clear"/>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4"/>
          <w:szCs w:val="24"/>
          <w:highlight w:val="none"/>
        </w:rPr>
        <w:br w:type="page"/>
      </w:r>
      <w:bookmarkStart w:id="245" w:name="_Toc16706"/>
      <w:bookmarkStart w:id="246" w:name="_Toc18843"/>
      <w:bookmarkStart w:id="247" w:name="_Toc426657574"/>
      <w:bookmarkStart w:id="248" w:name="_Toc217446087"/>
      <w:r>
        <w:rPr>
          <w:rFonts w:hint="eastAsia" w:ascii="宋体" w:hAnsi="宋体" w:eastAsia="宋体" w:cs="宋体"/>
          <w:b/>
          <w:color w:val="auto"/>
          <w:sz w:val="32"/>
          <w:szCs w:val="32"/>
          <w:highlight w:val="none"/>
        </w:rPr>
        <w:t>六、投标人基本情况表</w:t>
      </w:r>
      <w:bookmarkEnd w:id="245"/>
    </w:p>
    <w:tbl>
      <w:tblPr>
        <w:tblStyle w:val="59"/>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43"/>
        <w:gridCol w:w="1154"/>
        <w:gridCol w:w="1233"/>
        <w:gridCol w:w="1453"/>
        <w:gridCol w:w="1606"/>
        <w:gridCol w:w="331"/>
        <w:gridCol w:w="658"/>
        <w:gridCol w:w="1191"/>
      </w:tblGrid>
      <w:tr w14:paraId="574E6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015" w:type="pct"/>
            <w:noWrap w:val="0"/>
            <w:vAlign w:val="center"/>
          </w:tcPr>
          <w:p w14:paraId="5096B3DE">
            <w:pPr>
              <w:widowControl/>
              <w:shd w:val="clear"/>
              <w:spacing w:line="360" w:lineRule="auto"/>
              <w:jc w:val="center"/>
              <w:outlineLvl w:val="1"/>
              <w:rPr>
                <w:rFonts w:hint="eastAsia" w:ascii="宋体" w:hAnsi="宋体" w:eastAsia="宋体" w:cs="宋体"/>
                <w:color w:val="auto"/>
                <w:sz w:val="24"/>
                <w:highlight w:val="none"/>
              </w:rPr>
            </w:pPr>
            <w:bookmarkStart w:id="249" w:name="_Toc16410"/>
            <w:r>
              <w:rPr>
                <w:rFonts w:hint="eastAsia" w:ascii="宋体" w:hAnsi="宋体" w:eastAsia="宋体" w:cs="宋体"/>
                <w:color w:val="auto"/>
                <w:sz w:val="24"/>
                <w:highlight w:val="none"/>
              </w:rPr>
              <w:t>投标人名称</w:t>
            </w:r>
            <w:bookmarkEnd w:id="249"/>
          </w:p>
        </w:tc>
        <w:tc>
          <w:tcPr>
            <w:tcW w:w="3984" w:type="pct"/>
            <w:gridSpan w:val="7"/>
            <w:noWrap w:val="0"/>
            <w:vAlign w:val="center"/>
          </w:tcPr>
          <w:p w14:paraId="410E589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7D6A7A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015" w:type="pct"/>
            <w:noWrap w:val="0"/>
            <w:vAlign w:val="center"/>
          </w:tcPr>
          <w:p w14:paraId="4410FBFF">
            <w:pPr>
              <w:widowControl/>
              <w:shd w:val="clear"/>
              <w:spacing w:line="360" w:lineRule="auto"/>
              <w:jc w:val="center"/>
              <w:outlineLvl w:val="1"/>
              <w:rPr>
                <w:rFonts w:hint="eastAsia" w:ascii="宋体" w:hAnsi="宋体" w:eastAsia="宋体" w:cs="宋体"/>
                <w:color w:val="auto"/>
                <w:sz w:val="24"/>
                <w:highlight w:val="none"/>
              </w:rPr>
            </w:pPr>
            <w:bookmarkStart w:id="250" w:name="_Toc26522"/>
            <w:r>
              <w:rPr>
                <w:rFonts w:hint="eastAsia" w:ascii="宋体" w:hAnsi="宋体" w:eastAsia="宋体" w:cs="宋体"/>
                <w:color w:val="auto"/>
                <w:sz w:val="24"/>
                <w:highlight w:val="none"/>
              </w:rPr>
              <w:t>注册地址</w:t>
            </w:r>
            <w:bookmarkEnd w:id="250"/>
          </w:p>
        </w:tc>
        <w:tc>
          <w:tcPr>
            <w:tcW w:w="2006" w:type="pct"/>
            <w:gridSpan w:val="3"/>
            <w:noWrap w:val="0"/>
            <w:vAlign w:val="center"/>
          </w:tcPr>
          <w:p w14:paraId="10846889">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839" w:type="pct"/>
            <w:noWrap w:val="0"/>
            <w:vAlign w:val="center"/>
          </w:tcPr>
          <w:p w14:paraId="3B8F117E">
            <w:pPr>
              <w:widowControl/>
              <w:shd w:val="clear"/>
              <w:spacing w:line="360" w:lineRule="auto"/>
              <w:jc w:val="left"/>
              <w:outlineLvl w:val="1"/>
              <w:rPr>
                <w:rFonts w:hint="eastAsia" w:ascii="宋体" w:hAnsi="宋体" w:eastAsia="宋体" w:cs="宋体"/>
                <w:color w:val="auto"/>
                <w:sz w:val="24"/>
                <w:highlight w:val="none"/>
              </w:rPr>
            </w:pPr>
            <w:bookmarkStart w:id="251" w:name="_Toc7472"/>
            <w:r>
              <w:rPr>
                <w:rFonts w:hint="eastAsia" w:ascii="宋体" w:hAnsi="宋体" w:eastAsia="宋体" w:cs="宋体"/>
                <w:color w:val="auto"/>
                <w:sz w:val="24"/>
                <w:highlight w:val="none"/>
              </w:rPr>
              <w:t>邮政编码</w:t>
            </w:r>
            <w:bookmarkEnd w:id="251"/>
          </w:p>
        </w:tc>
        <w:tc>
          <w:tcPr>
            <w:tcW w:w="1138" w:type="pct"/>
            <w:gridSpan w:val="3"/>
            <w:noWrap w:val="0"/>
            <w:vAlign w:val="center"/>
          </w:tcPr>
          <w:p w14:paraId="62E739AD">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259E8B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015" w:type="pct"/>
            <w:vMerge w:val="restart"/>
            <w:noWrap w:val="0"/>
            <w:vAlign w:val="center"/>
          </w:tcPr>
          <w:p w14:paraId="1F1F5B67">
            <w:pPr>
              <w:widowControl/>
              <w:shd w:val="clear"/>
              <w:spacing w:line="360" w:lineRule="auto"/>
              <w:jc w:val="center"/>
              <w:outlineLvl w:val="1"/>
              <w:rPr>
                <w:rFonts w:hint="eastAsia" w:ascii="宋体" w:hAnsi="宋体" w:eastAsia="宋体" w:cs="宋体"/>
                <w:color w:val="auto"/>
                <w:sz w:val="24"/>
                <w:highlight w:val="none"/>
              </w:rPr>
            </w:pPr>
            <w:bookmarkStart w:id="252" w:name="_Toc28570"/>
            <w:r>
              <w:rPr>
                <w:rFonts w:hint="eastAsia" w:ascii="宋体" w:hAnsi="宋体" w:eastAsia="宋体" w:cs="宋体"/>
                <w:color w:val="auto"/>
                <w:sz w:val="24"/>
                <w:highlight w:val="none"/>
              </w:rPr>
              <w:t>联系方式</w:t>
            </w:r>
            <w:bookmarkEnd w:id="252"/>
          </w:p>
        </w:tc>
        <w:tc>
          <w:tcPr>
            <w:tcW w:w="603" w:type="pct"/>
            <w:noWrap w:val="0"/>
            <w:vAlign w:val="center"/>
          </w:tcPr>
          <w:p w14:paraId="56D7D25E">
            <w:pPr>
              <w:widowControl/>
              <w:shd w:val="clear"/>
              <w:spacing w:line="360" w:lineRule="auto"/>
              <w:jc w:val="left"/>
              <w:outlineLvl w:val="1"/>
              <w:rPr>
                <w:rFonts w:hint="eastAsia" w:ascii="宋体" w:hAnsi="宋体" w:eastAsia="宋体" w:cs="宋体"/>
                <w:color w:val="auto"/>
                <w:sz w:val="24"/>
                <w:highlight w:val="none"/>
              </w:rPr>
            </w:pPr>
            <w:bookmarkStart w:id="253" w:name="_Toc30860"/>
            <w:r>
              <w:rPr>
                <w:rFonts w:hint="eastAsia" w:ascii="宋体" w:hAnsi="宋体" w:eastAsia="宋体" w:cs="宋体"/>
                <w:color w:val="auto"/>
                <w:sz w:val="24"/>
                <w:highlight w:val="none"/>
              </w:rPr>
              <w:t>联系人</w:t>
            </w:r>
            <w:bookmarkEnd w:id="253"/>
          </w:p>
        </w:tc>
        <w:tc>
          <w:tcPr>
            <w:tcW w:w="1403" w:type="pct"/>
            <w:gridSpan w:val="2"/>
            <w:noWrap w:val="0"/>
            <w:vAlign w:val="center"/>
          </w:tcPr>
          <w:p w14:paraId="42E3CDC0">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839" w:type="pct"/>
            <w:noWrap w:val="0"/>
            <w:vAlign w:val="center"/>
          </w:tcPr>
          <w:p w14:paraId="3752CAA3">
            <w:pPr>
              <w:widowControl/>
              <w:shd w:val="clear"/>
              <w:spacing w:line="360" w:lineRule="auto"/>
              <w:ind w:firstLine="470" w:firstLineChars="196"/>
              <w:jc w:val="left"/>
              <w:outlineLvl w:val="1"/>
              <w:rPr>
                <w:rFonts w:hint="eastAsia" w:ascii="宋体" w:hAnsi="宋体" w:eastAsia="宋体" w:cs="宋体"/>
                <w:color w:val="auto"/>
                <w:sz w:val="24"/>
                <w:highlight w:val="none"/>
              </w:rPr>
            </w:pPr>
            <w:bookmarkStart w:id="254" w:name="_Toc4118"/>
            <w:r>
              <w:rPr>
                <w:rFonts w:hint="eastAsia" w:ascii="宋体" w:hAnsi="宋体" w:eastAsia="宋体" w:cs="宋体"/>
                <w:color w:val="auto"/>
                <w:sz w:val="24"/>
                <w:highlight w:val="none"/>
              </w:rPr>
              <w:t>电话</w:t>
            </w:r>
            <w:bookmarkEnd w:id="254"/>
          </w:p>
        </w:tc>
        <w:tc>
          <w:tcPr>
            <w:tcW w:w="1138" w:type="pct"/>
            <w:gridSpan w:val="3"/>
            <w:noWrap w:val="0"/>
            <w:vAlign w:val="center"/>
          </w:tcPr>
          <w:p w14:paraId="49392B9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5CA318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015" w:type="pct"/>
            <w:vMerge w:val="continue"/>
            <w:noWrap w:val="0"/>
            <w:vAlign w:val="center"/>
          </w:tcPr>
          <w:p w14:paraId="6AE01559">
            <w:pPr>
              <w:shd w:val="clear"/>
              <w:spacing w:line="360" w:lineRule="auto"/>
              <w:jc w:val="center"/>
              <w:rPr>
                <w:rFonts w:hint="eastAsia" w:ascii="宋体" w:hAnsi="宋体" w:eastAsia="宋体" w:cs="宋体"/>
                <w:color w:val="auto"/>
                <w:highlight w:val="none"/>
              </w:rPr>
            </w:pPr>
          </w:p>
        </w:tc>
        <w:tc>
          <w:tcPr>
            <w:tcW w:w="603" w:type="pct"/>
            <w:noWrap w:val="0"/>
            <w:vAlign w:val="center"/>
          </w:tcPr>
          <w:p w14:paraId="163AF98B">
            <w:pPr>
              <w:widowControl/>
              <w:shd w:val="clear"/>
              <w:spacing w:line="360" w:lineRule="auto"/>
              <w:jc w:val="left"/>
              <w:outlineLvl w:val="1"/>
              <w:rPr>
                <w:rFonts w:hint="eastAsia" w:ascii="宋体" w:hAnsi="宋体" w:eastAsia="宋体" w:cs="宋体"/>
                <w:color w:val="auto"/>
                <w:sz w:val="24"/>
                <w:highlight w:val="none"/>
              </w:rPr>
            </w:pPr>
            <w:bookmarkStart w:id="255" w:name="_Toc22921"/>
            <w:r>
              <w:rPr>
                <w:rFonts w:hint="eastAsia" w:ascii="宋体" w:hAnsi="宋体" w:eastAsia="宋体" w:cs="宋体"/>
                <w:color w:val="auto"/>
                <w:sz w:val="24"/>
                <w:highlight w:val="none"/>
              </w:rPr>
              <w:t>传真</w:t>
            </w:r>
            <w:bookmarkEnd w:id="255"/>
          </w:p>
        </w:tc>
        <w:tc>
          <w:tcPr>
            <w:tcW w:w="1403" w:type="pct"/>
            <w:gridSpan w:val="2"/>
            <w:noWrap w:val="0"/>
            <w:vAlign w:val="center"/>
          </w:tcPr>
          <w:p w14:paraId="29AEACE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839" w:type="pct"/>
            <w:noWrap w:val="0"/>
            <w:vAlign w:val="center"/>
          </w:tcPr>
          <w:p w14:paraId="3CB83D13">
            <w:pPr>
              <w:widowControl/>
              <w:shd w:val="clear"/>
              <w:spacing w:line="360" w:lineRule="auto"/>
              <w:ind w:firstLine="470" w:firstLineChars="196"/>
              <w:jc w:val="left"/>
              <w:outlineLvl w:val="1"/>
              <w:rPr>
                <w:rFonts w:hint="eastAsia" w:ascii="宋体" w:hAnsi="宋体" w:eastAsia="宋体" w:cs="宋体"/>
                <w:color w:val="auto"/>
                <w:sz w:val="24"/>
                <w:highlight w:val="none"/>
              </w:rPr>
            </w:pPr>
            <w:bookmarkStart w:id="256" w:name="_Toc6000"/>
            <w:r>
              <w:rPr>
                <w:rFonts w:hint="eastAsia" w:ascii="宋体" w:hAnsi="宋体" w:eastAsia="宋体" w:cs="宋体"/>
                <w:color w:val="auto"/>
                <w:sz w:val="24"/>
                <w:highlight w:val="none"/>
              </w:rPr>
              <w:t>网址</w:t>
            </w:r>
            <w:bookmarkEnd w:id="256"/>
          </w:p>
        </w:tc>
        <w:tc>
          <w:tcPr>
            <w:tcW w:w="1138" w:type="pct"/>
            <w:gridSpan w:val="3"/>
            <w:noWrap w:val="0"/>
            <w:vAlign w:val="center"/>
          </w:tcPr>
          <w:p w14:paraId="22610949">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090B0A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015" w:type="pct"/>
            <w:noWrap w:val="0"/>
            <w:vAlign w:val="center"/>
          </w:tcPr>
          <w:p w14:paraId="6ED815A1">
            <w:pPr>
              <w:widowControl/>
              <w:shd w:val="clear"/>
              <w:spacing w:line="360" w:lineRule="auto"/>
              <w:jc w:val="center"/>
              <w:outlineLvl w:val="1"/>
              <w:rPr>
                <w:rFonts w:hint="eastAsia" w:ascii="宋体" w:hAnsi="宋体" w:eastAsia="宋体" w:cs="宋体"/>
                <w:color w:val="auto"/>
                <w:sz w:val="24"/>
                <w:highlight w:val="none"/>
              </w:rPr>
            </w:pPr>
            <w:bookmarkStart w:id="257" w:name="_Toc28584"/>
            <w:r>
              <w:rPr>
                <w:rFonts w:hint="eastAsia" w:ascii="宋体" w:hAnsi="宋体" w:eastAsia="宋体" w:cs="宋体"/>
                <w:color w:val="auto"/>
                <w:sz w:val="24"/>
                <w:highlight w:val="none"/>
              </w:rPr>
              <w:t>组织结构</w:t>
            </w:r>
            <w:bookmarkEnd w:id="257"/>
          </w:p>
        </w:tc>
        <w:tc>
          <w:tcPr>
            <w:tcW w:w="3984" w:type="pct"/>
            <w:gridSpan w:val="7"/>
            <w:noWrap w:val="0"/>
            <w:vAlign w:val="center"/>
          </w:tcPr>
          <w:p w14:paraId="7A06A87D">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3E0AE6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15" w:type="pct"/>
            <w:noWrap w:val="0"/>
            <w:vAlign w:val="center"/>
          </w:tcPr>
          <w:p w14:paraId="422100D6">
            <w:pPr>
              <w:widowControl/>
              <w:shd w:val="clear"/>
              <w:spacing w:line="360" w:lineRule="auto"/>
              <w:jc w:val="center"/>
              <w:outlineLvl w:val="1"/>
              <w:rPr>
                <w:rFonts w:hint="eastAsia" w:ascii="宋体" w:hAnsi="宋体" w:eastAsia="宋体" w:cs="宋体"/>
                <w:color w:val="auto"/>
                <w:sz w:val="24"/>
                <w:highlight w:val="none"/>
              </w:rPr>
            </w:pPr>
            <w:bookmarkStart w:id="258" w:name="_Toc20262"/>
            <w:r>
              <w:rPr>
                <w:rFonts w:hint="eastAsia" w:ascii="宋体" w:hAnsi="宋体" w:eastAsia="宋体" w:cs="宋体"/>
                <w:color w:val="auto"/>
                <w:sz w:val="24"/>
                <w:highlight w:val="none"/>
              </w:rPr>
              <w:t>法定代表人/单位负责人</w:t>
            </w:r>
            <w:bookmarkEnd w:id="258"/>
          </w:p>
        </w:tc>
        <w:tc>
          <w:tcPr>
            <w:tcW w:w="603" w:type="pct"/>
            <w:noWrap w:val="0"/>
            <w:vAlign w:val="center"/>
          </w:tcPr>
          <w:p w14:paraId="119EE483">
            <w:pPr>
              <w:widowControl/>
              <w:shd w:val="clear"/>
              <w:spacing w:line="360" w:lineRule="auto"/>
              <w:jc w:val="left"/>
              <w:outlineLvl w:val="1"/>
              <w:rPr>
                <w:rFonts w:hint="eastAsia" w:ascii="宋体" w:hAnsi="宋体" w:eastAsia="宋体" w:cs="宋体"/>
                <w:color w:val="auto"/>
                <w:sz w:val="24"/>
                <w:highlight w:val="none"/>
              </w:rPr>
            </w:pPr>
            <w:bookmarkStart w:id="259" w:name="_Toc24176"/>
            <w:r>
              <w:rPr>
                <w:rFonts w:hint="eastAsia" w:ascii="宋体" w:hAnsi="宋体" w:eastAsia="宋体" w:cs="宋体"/>
                <w:color w:val="auto"/>
                <w:sz w:val="24"/>
                <w:highlight w:val="none"/>
              </w:rPr>
              <w:t>姓名</w:t>
            </w:r>
            <w:bookmarkEnd w:id="259"/>
          </w:p>
        </w:tc>
        <w:tc>
          <w:tcPr>
            <w:tcW w:w="643" w:type="pct"/>
            <w:noWrap w:val="0"/>
            <w:vAlign w:val="center"/>
          </w:tcPr>
          <w:p w14:paraId="6A6A95A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noWrap w:val="0"/>
            <w:vAlign w:val="center"/>
          </w:tcPr>
          <w:p w14:paraId="201D23CA">
            <w:pPr>
              <w:widowControl/>
              <w:shd w:val="clear"/>
              <w:spacing w:line="360" w:lineRule="auto"/>
              <w:jc w:val="left"/>
              <w:outlineLvl w:val="1"/>
              <w:rPr>
                <w:rFonts w:hint="eastAsia" w:ascii="宋体" w:hAnsi="宋体" w:eastAsia="宋体" w:cs="宋体"/>
                <w:color w:val="auto"/>
                <w:sz w:val="24"/>
                <w:highlight w:val="none"/>
              </w:rPr>
            </w:pPr>
            <w:bookmarkStart w:id="260" w:name="_Toc13491"/>
            <w:r>
              <w:rPr>
                <w:rFonts w:hint="eastAsia" w:ascii="宋体" w:hAnsi="宋体" w:eastAsia="宋体" w:cs="宋体"/>
                <w:color w:val="auto"/>
                <w:sz w:val="24"/>
                <w:highlight w:val="none"/>
              </w:rPr>
              <w:t>技术职称</w:t>
            </w:r>
            <w:bookmarkEnd w:id="260"/>
          </w:p>
        </w:tc>
        <w:tc>
          <w:tcPr>
            <w:tcW w:w="839" w:type="pct"/>
            <w:noWrap w:val="0"/>
            <w:vAlign w:val="center"/>
          </w:tcPr>
          <w:p w14:paraId="3F14A5F2">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17" w:type="pct"/>
            <w:gridSpan w:val="2"/>
            <w:noWrap w:val="0"/>
            <w:vAlign w:val="center"/>
          </w:tcPr>
          <w:p w14:paraId="77CA7F69">
            <w:pPr>
              <w:widowControl/>
              <w:shd w:val="clear"/>
              <w:spacing w:line="360" w:lineRule="auto"/>
              <w:jc w:val="left"/>
              <w:outlineLvl w:val="1"/>
              <w:rPr>
                <w:rFonts w:hint="eastAsia" w:ascii="宋体" w:hAnsi="宋体" w:eastAsia="宋体" w:cs="宋体"/>
                <w:color w:val="auto"/>
                <w:sz w:val="24"/>
                <w:highlight w:val="none"/>
              </w:rPr>
            </w:pPr>
            <w:bookmarkStart w:id="261" w:name="_Toc15668"/>
            <w:r>
              <w:rPr>
                <w:rFonts w:hint="eastAsia" w:ascii="宋体" w:hAnsi="宋体" w:eastAsia="宋体" w:cs="宋体"/>
                <w:color w:val="auto"/>
                <w:sz w:val="24"/>
                <w:highlight w:val="none"/>
              </w:rPr>
              <w:t>电话</w:t>
            </w:r>
            <w:bookmarkEnd w:id="261"/>
          </w:p>
        </w:tc>
        <w:tc>
          <w:tcPr>
            <w:tcW w:w="620" w:type="pct"/>
            <w:noWrap w:val="0"/>
            <w:vAlign w:val="center"/>
          </w:tcPr>
          <w:p w14:paraId="13F458F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0BC37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15" w:type="pct"/>
            <w:noWrap w:val="0"/>
            <w:vAlign w:val="center"/>
          </w:tcPr>
          <w:p w14:paraId="7FC71CFA">
            <w:pPr>
              <w:widowControl/>
              <w:shd w:val="clear"/>
              <w:spacing w:line="360" w:lineRule="auto"/>
              <w:jc w:val="center"/>
              <w:outlineLvl w:val="1"/>
              <w:rPr>
                <w:rFonts w:hint="eastAsia" w:ascii="宋体" w:hAnsi="宋体" w:eastAsia="宋体" w:cs="宋体"/>
                <w:color w:val="auto"/>
                <w:sz w:val="24"/>
                <w:highlight w:val="none"/>
              </w:rPr>
            </w:pPr>
            <w:bookmarkStart w:id="262" w:name="_Toc31429"/>
            <w:r>
              <w:rPr>
                <w:rFonts w:hint="eastAsia" w:ascii="宋体" w:hAnsi="宋体" w:eastAsia="宋体" w:cs="宋体"/>
                <w:color w:val="auto"/>
                <w:sz w:val="24"/>
                <w:highlight w:val="none"/>
              </w:rPr>
              <w:t>技术负责人</w:t>
            </w:r>
            <w:bookmarkEnd w:id="262"/>
          </w:p>
        </w:tc>
        <w:tc>
          <w:tcPr>
            <w:tcW w:w="603" w:type="pct"/>
            <w:noWrap w:val="0"/>
            <w:vAlign w:val="center"/>
          </w:tcPr>
          <w:p w14:paraId="5BCE221A">
            <w:pPr>
              <w:widowControl/>
              <w:shd w:val="clear"/>
              <w:spacing w:line="360" w:lineRule="auto"/>
              <w:jc w:val="left"/>
              <w:outlineLvl w:val="1"/>
              <w:rPr>
                <w:rFonts w:hint="eastAsia" w:ascii="宋体" w:hAnsi="宋体" w:eastAsia="宋体" w:cs="宋体"/>
                <w:color w:val="auto"/>
                <w:sz w:val="24"/>
                <w:highlight w:val="none"/>
              </w:rPr>
            </w:pPr>
            <w:bookmarkStart w:id="263" w:name="_Toc4614"/>
            <w:r>
              <w:rPr>
                <w:rFonts w:hint="eastAsia" w:ascii="宋体" w:hAnsi="宋体" w:eastAsia="宋体" w:cs="宋体"/>
                <w:color w:val="auto"/>
                <w:sz w:val="24"/>
                <w:highlight w:val="none"/>
              </w:rPr>
              <w:t>姓名</w:t>
            </w:r>
            <w:bookmarkEnd w:id="263"/>
          </w:p>
        </w:tc>
        <w:tc>
          <w:tcPr>
            <w:tcW w:w="643" w:type="pct"/>
            <w:noWrap w:val="0"/>
            <w:vAlign w:val="center"/>
          </w:tcPr>
          <w:p w14:paraId="1F60803E">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noWrap w:val="0"/>
            <w:vAlign w:val="center"/>
          </w:tcPr>
          <w:p w14:paraId="118A2AD4">
            <w:pPr>
              <w:widowControl/>
              <w:shd w:val="clear"/>
              <w:spacing w:line="360" w:lineRule="auto"/>
              <w:jc w:val="left"/>
              <w:outlineLvl w:val="1"/>
              <w:rPr>
                <w:rFonts w:hint="eastAsia" w:ascii="宋体" w:hAnsi="宋体" w:eastAsia="宋体" w:cs="宋体"/>
                <w:color w:val="auto"/>
                <w:sz w:val="24"/>
                <w:highlight w:val="none"/>
              </w:rPr>
            </w:pPr>
            <w:bookmarkStart w:id="264" w:name="_Toc7379"/>
            <w:r>
              <w:rPr>
                <w:rFonts w:hint="eastAsia" w:ascii="宋体" w:hAnsi="宋体" w:eastAsia="宋体" w:cs="宋体"/>
                <w:color w:val="auto"/>
                <w:sz w:val="24"/>
                <w:highlight w:val="none"/>
              </w:rPr>
              <w:t>技术职称</w:t>
            </w:r>
            <w:bookmarkEnd w:id="264"/>
          </w:p>
        </w:tc>
        <w:tc>
          <w:tcPr>
            <w:tcW w:w="839" w:type="pct"/>
            <w:noWrap w:val="0"/>
            <w:vAlign w:val="center"/>
          </w:tcPr>
          <w:p w14:paraId="592DFA09">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17" w:type="pct"/>
            <w:gridSpan w:val="2"/>
            <w:noWrap w:val="0"/>
            <w:vAlign w:val="center"/>
          </w:tcPr>
          <w:p w14:paraId="1B15A871">
            <w:pPr>
              <w:widowControl/>
              <w:shd w:val="clear"/>
              <w:spacing w:line="360" w:lineRule="auto"/>
              <w:jc w:val="left"/>
              <w:outlineLvl w:val="1"/>
              <w:rPr>
                <w:rFonts w:hint="eastAsia" w:ascii="宋体" w:hAnsi="宋体" w:eastAsia="宋体" w:cs="宋体"/>
                <w:color w:val="auto"/>
                <w:sz w:val="24"/>
                <w:highlight w:val="none"/>
              </w:rPr>
            </w:pPr>
            <w:bookmarkStart w:id="265" w:name="_Toc2414"/>
            <w:r>
              <w:rPr>
                <w:rFonts w:hint="eastAsia" w:ascii="宋体" w:hAnsi="宋体" w:eastAsia="宋体" w:cs="宋体"/>
                <w:color w:val="auto"/>
                <w:sz w:val="24"/>
                <w:highlight w:val="none"/>
              </w:rPr>
              <w:t>电话</w:t>
            </w:r>
            <w:bookmarkEnd w:id="265"/>
          </w:p>
        </w:tc>
        <w:tc>
          <w:tcPr>
            <w:tcW w:w="620" w:type="pct"/>
            <w:noWrap w:val="0"/>
            <w:vAlign w:val="center"/>
          </w:tcPr>
          <w:p w14:paraId="50F78AB9">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2E5D22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015" w:type="pct"/>
            <w:noWrap w:val="0"/>
            <w:vAlign w:val="center"/>
          </w:tcPr>
          <w:p w14:paraId="1ADF898A">
            <w:pPr>
              <w:widowControl/>
              <w:shd w:val="clear"/>
              <w:spacing w:line="360" w:lineRule="auto"/>
              <w:jc w:val="center"/>
              <w:outlineLvl w:val="1"/>
              <w:rPr>
                <w:rFonts w:hint="eastAsia" w:ascii="宋体" w:hAnsi="宋体" w:eastAsia="宋体" w:cs="宋体"/>
                <w:color w:val="auto"/>
                <w:sz w:val="24"/>
                <w:highlight w:val="none"/>
              </w:rPr>
            </w:pPr>
            <w:bookmarkStart w:id="266" w:name="_Toc24716"/>
            <w:r>
              <w:rPr>
                <w:rFonts w:hint="eastAsia" w:ascii="宋体" w:hAnsi="宋体" w:eastAsia="宋体" w:cs="宋体"/>
                <w:color w:val="auto"/>
                <w:sz w:val="24"/>
                <w:highlight w:val="none"/>
              </w:rPr>
              <w:t>成立时间</w:t>
            </w:r>
            <w:bookmarkEnd w:id="266"/>
          </w:p>
        </w:tc>
        <w:tc>
          <w:tcPr>
            <w:tcW w:w="1247" w:type="pct"/>
            <w:gridSpan w:val="2"/>
            <w:noWrap w:val="0"/>
            <w:vAlign w:val="center"/>
          </w:tcPr>
          <w:p w14:paraId="2F525DB2">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2737" w:type="pct"/>
            <w:gridSpan w:val="5"/>
            <w:noWrap w:val="0"/>
            <w:vAlign w:val="center"/>
          </w:tcPr>
          <w:p w14:paraId="6391F363">
            <w:pPr>
              <w:widowControl/>
              <w:shd w:val="clear"/>
              <w:spacing w:line="360" w:lineRule="auto"/>
              <w:jc w:val="left"/>
              <w:outlineLvl w:val="1"/>
              <w:rPr>
                <w:rFonts w:hint="eastAsia" w:ascii="宋体" w:hAnsi="宋体" w:eastAsia="宋体" w:cs="宋体"/>
                <w:color w:val="auto"/>
                <w:sz w:val="24"/>
                <w:highlight w:val="none"/>
              </w:rPr>
            </w:pPr>
            <w:bookmarkStart w:id="267" w:name="_Toc30867"/>
            <w:r>
              <w:rPr>
                <w:rFonts w:hint="eastAsia" w:ascii="宋体" w:hAnsi="宋体" w:eastAsia="宋体" w:cs="宋体"/>
                <w:color w:val="auto"/>
                <w:sz w:val="24"/>
                <w:highlight w:val="none"/>
              </w:rPr>
              <w:t>员工总人数：</w:t>
            </w:r>
            <w:bookmarkEnd w:id="267"/>
          </w:p>
        </w:tc>
      </w:tr>
      <w:tr w14:paraId="75C3C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015" w:type="pct"/>
            <w:noWrap w:val="0"/>
            <w:vAlign w:val="center"/>
          </w:tcPr>
          <w:p w14:paraId="265B1AFF">
            <w:pPr>
              <w:widowControl/>
              <w:shd w:val="clear"/>
              <w:spacing w:line="360" w:lineRule="auto"/>
              <w:jc w:val="center"/>
              <w:outlineLvl w:val="1"/>
              <w:rPr>
                <w:rFonts w:hint="eastAsia" w:ascii="宋体" w:hAnsi="宋体" w:eastAsia="宋体" w:cs="宋体"/>
                <w:color w:val="auto"/>
                <w:sz w:val="24"/>
                <w:highlight w:val="none"/>
              </w:rPr>
            </w:pPr>
            <w:bookmarkStart w:id="268" w:name="_Toc15304"/>
            <w:r>
              <w:rPr>
                <w:rFonts w:hint="eastAsia" w:ascii="宋体" w:hAnsi="宋体" w:eastAsia="宋体" w:cs="宋体"/>
                <w:color w:val="auto"/>
                <w:sz w:val="24"/>
                <w:highlight w:val="none"/>
              </w:rPr>
              <w:t>企业资质等级</w:t>
            </w:r>
            <w:bookmarkEnd w:id="268"/>
          </w:p>
        </w:tc>
        <w:tc>
          <w:tcPr>
            <w:tcW w:w="1247" w:type="pct"/>
            <w:gridSpan w:val="2"/>
            <w:noWrap w:val="0"/>
            <w:vAlign w:val="center"/>
          </w:tcPr>
          <w:p w14:paraId="125CB075">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vMerge w:val="restart"/>
            <w:noWrap w:val="0"/>
            <w:vAlign w:val="center"/>
          </w:tcPr>
          <w:p w14:paraId="75A2853F">
            <w:pPr>
              <w:widowControl/>
              <w:shd w:val="clear"/>
              <w:spacing w:line="360" w:lineRule="auto"/>
              <w:jc w:val="center"/>
              <w:outlineLvl w:val="1"/>
              <w:rPr>
                <w:rFonts w:hint="eastAsia" w:ascii="宋体" w:hAnsi="宋体" w:eastAsia="宋体" w:cs="宋体"/>
                <w:color w:val="auto"/>
                <w:sz w:val="24"/>
                <w:highlight w:val="none"/>
              </w:rPr>
            </w:pPr>
            <w:bookmarkStart w:id="269" w:name="_Toc26109"/>
            <w:r>
              <w:rPr>
                <w:rFonts w:hint="eastAsia" w:ascii="宋体" w:hAnsi="宋体" w:eastAsia="宋体" w:cs="宋体"/>
                <w:color w:val="auto"/>
                <w:sz w:val="24"/>
                <w:highlight w:val="none"/>
              </w:rPr>
              <w:t>其中</w:t>
            </w:r>
            <w:bookmarkEnd w:id="269"/>
          </w:p>
        </w:tc>
        <w:tc>
          <w:tcPr>
            <w:tcW w:w="1012" w:type="pct"/>
            <w:gridSpan w:val="2"/>
            <w:noWrap w:val="0"/>
            <w:vAlign w:val="center"/>
          </w:tcPr>
          <w:p w14:paraId="77806DA5">
            <w:pPr>
              <w:widowControl/>
              <w:shd w:val="clear"/>
              <w:spacing w:line="360" w:lineRule="auto"/>
              <w:jc w:val="center"/>
              <w:outlineLvl w:val="1"/>
              <w:rPr>
                <w:rFonts w:hint="eastAsia" w:ascii="宋体" w:hAnsi="宋体" w:eastAsia="宋体" w:cs="宋体"/>
                <w:color w:val="auto"/>
                <w:sz w:val="24"/>
                <w:highlight w:val="none"/>
              </w:rPr>
            </w:pPr>
            <w:bookmarkStart w:id="270" w:name="_Toc2772"/>
            <w:r>
              <w:rPr>
                <w:rFonts w:hint="eastAsia" w:ascii="宋体" w:hAnsi="宋体" w:eastAsia="宋体" w:cs="宋体"/>
                <w:color w:val="auto"/>
                <w:sz w:val="24"/>
                <w:highlight w:val="none"/>
              </w:rPr>
              <w:t>项目经理</w:t>
            </w:r>
            <w:bookmarkEnd w:id="270"/>
          </w:p>
        </w:tc>
        <w:tc>
          <w:tcPr>
            <w:tcW w:w="965" w:type="pct"/>
            <w:gridSpan w:val="2"/>
            <w:noWrap w:val="0"/>
            <w:vAlign w:val="center"/>
          </w:tcPr>
          <w:p w14:paraId="3C3AD2F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6F674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015" w:type="pct"/>
            <w:noWrap w:val="0"/>
            <w:vAlign w:val="center"/>
          </w:tcPr>
          <w:p w14:paraId="472E0974">
            <w:pPr>
              <w:widowControl/>
              <w:shd w:val="clear"/>
              <w:spacing w:line="360" w:lineRule="auto"/>
              <w:jc w:val="center"/>
              <w:outlineLvl w:val="1"/>
              <w:rPr>
                <w:rFonts w:hint="eastAsia" w:ascii="宋体" w:hAnsi="宋体" w:eastAsia="宋体" w:cs="宋体"/>
                <w:color w:val="auto"/>
                <w:sz w:val="24"/>
                <w:highlight w:val="none"/>
              </w:rPr>
            </w:pPr>
            <w:bookmarkStart w:id="271" w:name="_Toc29979"/>
            <w:r>
              <w:rPr>
                <w:rFonts w:hint="eastAsia" w:ascii="宋体" w:hAnsi="宋体" w:eastAsia="宋体" w:cs="宋体"/>
                <w:color w:val="auto"/>
                <w:sz w:val="24"/>
                <w:highlight w:val="none"/>
              </w:rPr>
              <w:t>营业执照号</w:t>
            </w:r>
            <w:bookmarkEnd w:id="271"/>
          </w:p>
        </w:tc>
        <w:tc>
          <w:tcPr>
            <w:tcW w:w="1247" w:type="pct"/>
            <w:gridSpan w:val="2"/>
            <w:noWrap w:val="0"/>
            <w:vAlign w:val="center"/>
          </w:tcPr>
          <w:p w14:paraId="78ED972F">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vMerge w:val="continue"/>
            <w:noWrap w:val="0"/>
            <w:vAlign w:val="center"/>
          </w:tcPr>
          <w:p w14:paraId="5E614D89">
            <w:pPr>
              <w:shd w:val="clear"/>
              <w:spacing w:line="360" w:lineRule="auto"/>
              <w:rPr>
                <w:rFonts w:hint="eastAsia" w:ascii="宋体" w:hAnsi="宋体" w:eastAsia="宋体" w:cs="宋体"/>
                <w:color w:val="auto"/>
                <w:highlight w:val="none"/>
              </w:rPr>
            </w:pPr>
          </w:p>
        </w:tc>
        <w:tc>
          <w:tcPr>
            <w:tcW w:w="1012" w:type="pct"/>
            <w:gridSpan w:val="2"/>
            <w:noWrap w:val="0"/>
            <w:vAlign w:val="center"/>
          </w:tcPr>
          <w:p w14:paraId="06FE31D3">
            <w:pPr>
              <w:widowControl/>
              <w:shd w:val="clear"/>
              <w:spacing w:line="360" w:lineRule="auto"/>
              <w:jc w:val="center"/>
              <w:outlineLvl w:val="1"/>
              <w:rPr>
                <w:rFonts w:hint="eastAsia" w:ascii="宋体" w:hAnsi="宋体" w:eastAsia="宋体" w:cs="宋体"/>
                <w:color w:val="auto"/>
                <w:sz w:val="24"/>
                <w:highlight w:val="none"/>
              </w:rPr>
            </w:pPr>
            <w:bookmarkStart w:id="272" w:name="_Toc8789"/>
            <w:r>
              <w:rPr>
                <w:rFonts w:hint="eastAsia" w:ascii="宋体" w:hAnsi="宋体" w:eastAsia="宋体" w:cs="宋体"/>
                <w:color w:val="auto"/>
                <w:sz w:val="24"/>
                <w:highlight w:val="none"/>
              </w:rPr>
              <w:t>高级职称人员</w:t>
            </w:r>
            <w:bookmarkEnd w:id="272"/>
          </w:p>
        </w:tc>
        <w:tc>
          <w:tcPr>
            <w:tcW w:w="965" w:type="pct"/>
            <w:gridSpan w:val="2"/>
            <w:noWrap w:val="0"/>
            <w:vAlign w:val="center"/>
          </w:tcPr>
          <w:p w14:paraId="0818F9F1">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0A62B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015" w:type="pct"/>
            <w:noWrap w:val="0"/>
            <w:vAlign w:val="center"/>
          </w:tcPr>
          <w:p w14:paraId="2ACBA879">
            <w:pPr>
              <w:widowControl/>
              <w:shd w:val="clear"/>
              <w:spacing w:line="360" w:lineRule="auto"/>
              <w:jc w:val="center"/>
              <w:outlineLvl w:val="1"/>
              <w:rPr>
                <w:rFonts w:hint="eastAsia" w:ascii="宋体" w:hAnsi="宋体" w:eastAsia="宋体" w:cs="宋体"/>
                <w:color w:val="auto"/>
                <w:sz w:val="24"/>
                <w:highlight w:val="none"/>
              </w:rPr>
            </w:pPr>
            <w:bookmarkStart w:id="273" w:name="_Toc13096"/>
            <w:r>
              <w:rPr>
                <w:rFonts w:hint="eastAsia" w:ascii="宋体" w:hAnsi="宋体" w:eastAsia="宋体" w:cs="宋体"/>
                <w:color w:val="auto"/>
                <w:sz w:val="24"/>
                <w:highlight w:val="none"/>
              </w:rPr>
              <w:t>注册资金</w:t>
            </w:r>
            <w:bookmarkEnd w:id="273"/>
          </w:p>
        </w:tc>
        <w:tc>
          <w:tcPr>
            <w:tcW w:w="1247" w:type="pct"/>
            <w:gridSpan w:val="2"/>
            <w:noWrap w:val="0"/>
            <w:vAlign w:val="center"/>
          </w:tcPr>
          <w:p w14:paraId="0E9824C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vMerge w:val="continue"/>
            <w:noWrap w:val="0"/>
            <w:vAlign w:val="center"/>
          </w:tcPr>
          <w:p w14:paraId="35BA5D79">
            <w:pPr>
              <w:shd w:val="clear"/>
              <w:spacing w:line="360" w:lineRule="auto"/>
              <w:rPr>
                <w:rFonts w:hint="eastAsia" w:ascii="宋体" w:hAnsi="宋体" w:eastAsia="宋体" w:cs="宋体"/>
                <w:color w:val="auto"/>
                <w:highlight w:val="none"/>
              </w:rPr>
            </w:pPr>
          </w:p>
        </w:tc>
        <w:tc>
          <w:tcPr>
            <w:tcW w:w="1012" w:type="pct"/>
            <w:gridSpan w:val="2"/>
            <w:noWrap w:val="0"/>
            <w:vAlign w:val="center"/>
          </w:tcPr>
          <w:p w14:paraId="27B31083">
            <w:pPr>
              <w:widowControl/>
              <w:shd w:val="clear"/>
              <w:spacing w:line="360" w:lineRule="auto"/>
              <w:jc w:val="center"/>
              <w:outlineLvl w:val="1"/>
              <w:rPr>
                <w:rFonts w:hint="eastAsia" w:ascii="宋体" w:hAnsi="宋体" w:eastAsia="宋体" w:cs="宋体"/>
                <w:color w:val="auto"/>
                <w:sz w:val="24"/>
                <w:highlight w:val="none"/>
              </w:rPr>
            </w:pPr>
            <w:bookmarkStart w:id="274" w:name="_Toc24859"/>
            <w:r>
              <w:rPr>
                <w:rFonts w:hint="eastAsia" w:ascii="宋体" w:hAnsi="宋体" w:eastAsia="宋体" w:cs="宋体"/>
                <w:color w:val="auto"/>
                <w:sz w:val="24"/>
                <w:highlight w:val="none"/>
              </w:rPr>
              <w:t>中级职称人员</w:t>
            </w:r>
            <w:bookmarkEnd w:id="274"/>
          </w:p>
        </w:tc>
        <w:tc>
          <w:tcPr>
            <w:tcW w:w="965" w:type="pct"/>
            <w:gridSpan w:val="2"/>
            <w:noWrap w:val="0"/>
            <w:vAlign w:val="center"/>
          </w:tcPr>
          <w:p w14:paraId="146E03B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1AD8A7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015" w:type="pct"/>
            <w:noWrap w:val="0"/>
            <w:vAlign w:val="center"/>
          </w:tcPr>
          <w:p w14:paraId="40183C0B">
            <w:pPr>
              <w:widowControl/>
              <w:shd w:val="clear"/>
              <w:spacing w:line="360" w:lineRule="auto"/>
              <w:jc w:val="center"/>
              <w:outlineLvl w:val="1"/>
              <w:rPr>
                <w:rFonts w:hint="eastAsia" w:ascii="宋体" w:hAnsi="宋体" w:eastAsia="宋体" w:cs="宋体"/>
                <w:color w:val="auto"/>
                <w:sz w:val="24"/>
                <w:highlight w:val="none"/>
              </w:rPr>
            </w:pPr>
            <w:bookmarkStart w:id="275" w:name="_Toc30770"/>
            <w:r>
              <w:rPr>
                <w:rFonts w:hint="eastAsia" w:ascii="宋体" w:hAnsi="宋体" w:eastAsia="宋体" w:cs="宋体"/>
                <w:color w:val="auto"/>
                <w:sz w:val="24"/>
                <w:highlight w:val="none"/>
              </w:rPr>
              <w:t>开户银行</w:t>
            </w:r>
            <w:bookmarkEnd w:id="275"/>
          </w:p>
        </w:tc>
        <w:tc>
          <w:tcPr>
            <w:tcW w:w="1247" w:type="pct"/>
            <w:gridSpan w:val="2"/>
            <w:noWrap w:val="0"/>
            <w:vAlign w:val="center"/>
          </w:tcPr>
          <w:p w14:paraId="4E7ABE18">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vMerge w:val="continue"/>
            <w:noWrap w:val="0"/>
            <w:vAlign w:val="center"/>
          </w:tcPr>
          <w:p w14:paraId="232312CE">
            <w:pPr>
              <w:shd w:val="clear"/>
              <w:spacing w:line="360" w:lineRule="auto"/>
              <w:rPr>
                <w:rFonts w:hint="eastAsia" w:ascii="宋体" w:hAnsi="宋体" w:eastAsia="宋体" w:cs="宋体"/>
                <w:color w:val="auto"/>
                <w:highlight w:val="none"/>
              </w:rPr>
            </w:pPr>
          </w:p>
        </w:tc>
        <w:tc>
          <w:tcPr>
            <w:tcW w:w="1012" w:type="pct"/>
            <w:gridSpan w:val="2"/>
            <w:noWrap w:val="0"/>
            <w:vAlign w:val="center"/>
          </w:tcPr>
          <w:p w14:paraId="009F2025">
            <w:pPr>
              <w:widowControl/>
              <w:shd w:val="clear"/>
              <w:spacing w:line="360" w:lineRule="auto"/>
              <w:jc w:val="center"/>
              <w:outlineLvl w:val="1"/>
              <w:rPr>
                <w:rFonts w:hint="eastAsia" w:ascii="宋体" w:hAnsi="宋体" w:eastAsia="宋体" w:cs="宋体"/>
                <w:color w:val="auto"/>
                <w:sz w:val="24"/>
                <w:highlight w:val="none"/>
              </w:rPr>
            </w:pPr>
            <w:bookmarkStart w:id="276" w:name="_Toc18830"/>
            <w:r>
              <w:rPr>
                <w:rFonts w:hint="eastAsia" w:ascii="宋体" w:hAnsi="宋体" w:eastAsia="宋体" w:cs="宋体"/>
                <w:color w:val="auto"/>
                <w:sz w:val="24"/>
                <w:highlight w:val="none"/>
              </w:rPr>
              <w:t>初级职称人员</w:t>
            </w:r>
            <w:bookmarkEnd w:id="276"/>
          </w:p>
        </w:tc>
        <w:tc>
          <w:tcPr>
            <w:tcW w:w="965" w:type="pct"/>
            <w:gridSpan w:val="2"/>
            <w:noWrap w:val="0"/>
            <w:vAlign w:val="center"/>
          </w:tcPr>
          <w:p w14:paraId="29D7F135">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7C843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015" w:type="pct"/>
            <w:noWrap w:val="0"/>
            <w:vAlign w:val="center"/>
          </w:tcPr>
          <w:p w14:paraId="43F2B30C">
            <w:pPr>
              <w:widowControl/>
              <w:shd w:val="clear"/>
              <w:spacing w:line="360" w:lineRule="auto"/>
              <w:ind w:firstLine="470" w:firstLineChars="196"/>
              <w:jc w:val="center"/>
              <w:outlineLvl w:val="1"/>
              <w:rPr>
                <w:rFonts w:hint="eastAsia" w:ascii="宋体" w:hAnsi="宋体" w:eastAsia="宋体" w:cs="宋体"/>
                <w:color w:val="auto"/>
                <w:sz w:val="24"/>
                <w:highlight w:val="none"/>
              </w:rPr>
            </w:pPr>
            <w:bookmarkStart w:id="277" w:name="_Toc25926"/>
            <w:r>
              <w:rPr>
                <w:rFonts w:hint="eastAsia" w:ascii="宋体" w:hAnsi="宋体" w:eastAsia="宋体" w:cs="宋体"/>
                <w:color w:val="auto"/>
                <w:sz w:val="24"/>
                <w:highlight w:val="none"/>
              </w:rPr>
              <w:t>账号</w:t>
            </w:r>
            <w:bookmarkEnd w:id="277"/>
          </w:p>
        </w:tc>
        <w:tc>
          <w:tcPr>
            <w:tcW w:w="1247" w:type="pct"/>
            <w:gridSpan w:val="2"/>
            <w:noWrap w:val="0"/>
            <w:vAlign w:val="center"/>
          </w:tcPr>
          <w:p w14:paraId="1C27D322">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759" w:type="pct"/>
            <w:vMerge w:val="continue"/>
            <w:noWrap w:val="0"/>
            <w:vAlign w:val="center"/>
          </w:tcPr>
          <w:p w14:paraId="05945CC4">
            <w:pPr>
              <w:shd w:val="clear"/>
              <w:spacing w:line="360" w:lineRule="auto"/>
              <w:rPr>
                <w:rFonts w:hint="eastAsia" w:ascii="宋体" w:hAnsi="宋体" w:eastAsia="宋体" w:cs="宋体"/>
                <w:color w:val="auto"/>
                <w:highlight w:val="none"/>
              </w:rPr>
            </w:pPr>
          </w:p>
        </w:tc>
        <w:tc>
          <w:tcPr>
            <w:tcW w:w="1012" w:type="pct"/>
            <w:gridSpan w:val="2"/>
            <w:noWrap w:val="0"/>
            <w:vAlign w:val="center"/>
          </w:tcPr>
          <w:p w14:paraId="2B5DD2FE">
            <w:pPr>
              <w:widowControl/>
              <w:shd w:val="clear"/>
              <w:spacing w:line="360" w:lineRule="auto"/>
              <w:jc w:val="center"/>
              <w:outlineLvl w:val="1"/>
              <w:rPr>
                <w:rFonts w:hint="eastAsia" w:ascii="宋体" w:hAnsi="宋体" w:eastAsia="宋体" w:cs="宋体"/>
                <w:color w:val="auto"/>
                <w:sz w:val="24"/>
                <w:highlight w:val="none"/>
              </w:rPr>
            </w:pPr>
            <w:bookmarkStart w:id="278" w:name="_Toc10153"/>
            <w:r>
              <w:rPr>
                <w:rFonts w:hint="eastAsia" w:ascii="宋体" w:hAnsi="宋体" w:eastAsia="宋体" w:cs="宋体"/>
                <w:color w:val="auto"/>
                <w:sz w:val="24"/>
                <w:highlight w:val="none"/>
              </w:rPr>
              <w:t>技工</w:t>
            </w:r>
            <w:bookmarkEnd w:id="278"/>
          </w:p>
        </w:tc>
        <w:tc>
          <w:tcPr>
            <w:tcW w:w="965" w:type="pct"/>
            <w:gridSpan w:val="2"/>
            <w:noWrap w:val="0"/>
            <w:vAlign w:val="center"/>
          </w:tcPr>
          <w:p w14:paraId="69C8A46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6E116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86" w:hRule="atLeast"/>
          <w:jc w:val="center"/>
        </w:trPr>
        <w:tc>
          <w:tcPr>
            <w:tcW w:w="1015" w:type="pct"/>
            <w:noWrap w:val="0"/>
            <w:vAlign w:val="center"/>
          </w:tcPr>
          <w:p w14:paraId="065E2A7C">
            <w:pPr>
              <w:widowControl/>
              <w:shd w:val="clear"/>
              <w:spacing w:line="360" w:lineRule="auto"/>
              <w:jc w:val="center"/>
              <w:outlineLvl w:val="1"/>
              <w:rPr>
                <w:rFonts w:hint="eastAsia" w:ascii="宋体" w:hAnsi="宋体" w:eastAsia="宋体" w:cs="宋体"/>
                <w:color w:val="auto"/>
                <w:sz w:val="24"/>
                <w:highlight w:val="none"/>
              </w:rPr>
            </w:pPr>
            <w:bookmarkStart w:id="279" w:name="_Toc4368"/>
            <w:r>
              <w:rPr>
                <w:rFonts w:hint="eastAsia" w:ascii="宋体" w:hAnsi="宋体" w:eastAsia="宋体" w:cs="宋体"/>
                <w:color w:val="auto"/>
                <w:sz w:val="24"/>
                <w:highlight w:val="none"/>
              </w:rPr>
              <w:t>经营范围</w:t>
            </w:r>
            <w:bookmarkEnd w:id="279"/>
          </w:p>
        </w:tc>
        <w:tc>
          <w:tcPr>
            <w:tcW w:w="3984" w:type="pct"/>
            <w:gridSpan w:val="7"/>
            <w:noWrap w:val="0"/>
            <w:vAlign w:val="center"/>
          </w:tcPr>
          <w:p w14:paraId="1B611541">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3C2B3F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015" w:type="pct"/>
            <w:noWrap w:val="0"/>
            <w:vAlign w:val="center"/>
          </w:tcPr>
          <w:p w14:paraId="07D4E282">
            <w:pPr>
              <w:widowControl/>
              <w:shd w:val="clear"/>
              <w:spacing w:line="360" w:lineRule="auto"/>
              <w:jc w:val="center"/>
              <w:outlineLvl w:val="1"/>
              <w:rPr>
                <w:rFonts w:hint="eastAsia" w:ascii="宋体" w:hAnsi="宋体" w:eastAsia="宋体" w:cs="宋体"/>
                <w:color w:val="auto"/>
                <w:sz w:val="24"/>
                <w:highlight w:val="none"/>
              </w:rPr>
            </w:pPr>
            <w:bookmarkStart w:id="280" w:name="_Toc12184"/>
            <w:r>
              <w:rPr>
                <w:rFonts w:hint="eastAsia" w:ascii="宋体" w:hAnsi="宋体" w:eastAsia="宋体" w:cs="宋体"/>
                <w:color w:val="auto"/>
                <w:sz w:val="24"/>
                <w:highlight w:val="none"/>
              </w:rPr>
              <w:t>备注</w:t>
            </w:r>
            <w:bookmarkEnd w:id="280"/>
          </w:p>
        </w:tc>
        <w:tc>
          <w:tcPr>
            <w:tcW w:w="3984" w:type="pct"/>
            <w:gridSpan w:val="7"/>
            <w:noWrap w:val="0"/>
            <w:vAlign w:val="top"/>
          </w:tcPr>
          <w:p w14:paraId="3DEAA4D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bl>
    <w:p w14:paraId="5EDB2126">
      <w:pPr>
        <w:pStyle w:val="14"/>
        <w:shd w:val="clear"/>
        <w:ind w:firstLine="480"/>
        <w:rPr>
          <w:rFonts w:hint="eastAsia" w:ascii="宋体" w:hAnsi="宋体" w:eastAsia="宋体" w:cs="宋体"/>
          <w:color w:val="auto"/>
          <w:sz w:val="24"/>
          <w:highlight w:val="none"/>
        </w:rPr>
      </w:pPr>
    </w:p>
    <w:p w14:paraId="33579084">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投标人名称：XXXX（单位盖章）。</w:t>
      </w:r>
    </w:p>
    <w:p w14:paraId="14CD3FF8">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25214B5D">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日期：XXXX。</w:t>
      </w:r>
    </w:p>
    <w:p w14:paraId="38D161E1">
      <w:pPr>
        <w:shd w:val="clear"/>
        <w:adjustRightInd w:val="0"/>
        <w:spacing w:line="360" w:lineRule="auto"/>
        <w:ind w:firstLine="560" w:firstLineChars="200"/>
        <w:jc w:val="left"/>
        <w:rPr>
          <w:rFonts w:hint="eastAsia" w:ascii="宋体" w:hAnsi="宋体" w:eastAsia="宋体" w:cs="宋体"/>
          <w:color w:val="auto"/>
          <w:sz w:val="28"/>
          <w:highlight w:val="none"/>
        </w:rPr>
        <w:sectPr>
          <w:pgSz w:w="11907" w:h="16840"/>
          <w:pgMar w:top="851" w:right="1134" w:bottom="851"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648E827C">
      <w:pPr>
        <w:widowControl/>
        <w:shd w:val="clear"/>
        <w:spacing w:line="360" w:lineRule="auto"/>
        <w:jc w:val="center"/>
        <w:outlineLvl w:val="1"/>
        <w:rPr>
          <w:rFonts w:hint="eastAsia" w:ascii="宋体" w:hAnsi="宋体" w:eastAsia="宋体" w:cs="宋体"/>
          <w:color w:val="auto"/>
          <w:highlight w:val="none"/>
          <w:u w:val="single"/>
        </w:rPr>
      </w:pPr>
      <w:bookmarkStart w:id="281" w:name="_Toc15989"/>
      <w:r>
        <w:rPr>
          <w:rFonts w:hint="eastAsia" w:ascii="宋体" w:hAnsi="宋体" w:eastAsia="宋体" w:cs="宋体"/>
          <w:b/>
          <w:color w:val="auto"/>
          <w:sz w:val="32"/>
          <w:szCs w:val="32"/>
          <w:highlight w:val="none"/>
        </w:rPr>
        <w:t>七、技术（服务）应答表</w:t>
      </w:r>
      <w:bookmarkEnd w:id="281"/>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highlight w:val="none"/>
          <w:u w:val="single"/>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678"/>
        <w:gridCol w:w="1426"/>
        <w:gridCol w:w="1495"/>
        <w:gridCol w:w="1630"/>
        <w:gridCol w:w="1251"/>
        <w:gridCol w:w="1194"/>
      </w:tblGrid>
      <w:tr w14:paraId="56BD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2EE6C87E">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9DEA77E">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3F7AFB03">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p w14:paraId="3EA57856">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0A87803">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响应产品品牌、型号</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22FDF37">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响应产品</w:t>
            </w:r>
          </w:p>
          <w:p w14:paraId="51F73FBE">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FBBD337">
            <w:pPr>
              <w:pStyle w:val="14"/>
              <w:shd w:val="clear"/>
              <w:ind w:firstLine="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正/负</w:t>
            </w:r>
            <w:r>
              <w:rPr>
                <w:rFonts w:hint="eastAsia" w:ascii="宋体" w:hAnsi="宋体" w:eastAsia="宋体" w:cs="宋体"/>
                <w:b/>
                <w:bCs/>
                <w:color w:val="auto"/>
                <w:sz w:val="24"/>
                <w:szCs w:val="24"/>
                <w:highlight w:val="none"/>
                <w:lang w:val="en-US" w:eastAsia="zh-CN"/>
              </w:rPr>
              <w:t>/无</w:t>
            </w:r>
          </w:p>
          <w:p w14:paraId="4B0B7CFA">
            <w:pPr>
              <w:pStyle w:val="14"/>
              <w:shd w:val="clea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EF12783">
            <w:pPr>
              <w:pStyle w:val="14"/>
              <w:shd w:val="clea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DB2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C9114CA">
            <w:pPr>
              <w:pStyle w:val="14"/>
              <w:shd w:val="clear"/>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3310FF43">
            <w:pPr>
              <w:pStyle w:val="14"/>
              <w:shd w:val="clear"/>
              <w:jc w:val="center"/>
              <w:rPr>
                <w:rFonts w:hint="eastAsia" w:ascii="宋体" w:hAnsi="宋体" w:eastAsia="宋体" w:cs="宋体"/>
                <w:color w:val="auto"/>
                <w:sz w:val="24"/>
                <w:szCs w:val="24"/>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B186867">
            <w:pPr>
              <w:pStyle w:val="14"/>
              <w:shd w:val="clear"/>
              <w:jc w:val="center"/>
              <w:rPr>
                <w:rFonts w:hint="eastAsia" w:ascii="宋体" w:hAnsi="宋体" w:eastAsia="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CC0B115">
            <w:pPr>
              <w:pStyle w:val="14"/>
              <w:shd w:val="clear"/>
              <w:jc w:val="center"/>
              <w:rPr>
                <w:rFonts w:hint="eastAsia" w:ascii="宋体" w:hAnsi="宋体" w:eastAsia="宋体" w:cs="宋体"/>
                <w:color w:val="auto"/>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059C760D">
            <w:pPr>
              <w:pStyle w:val="14"/>
              <w:shd w:val="clear"/>
              <w:jc w:val="cente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00F6C2A">
            <w:pPr>
              <w:pStyle w:val="14"/>
              <w:shd w:val="clear"/>
              <w:jc w:val="center"/>
              <w:rPr>
                <w:rFonts w:hint="eastAsia" w:ascii="宋体" w:hAnsi="宋体" w:eastAsia="宋体" w:cs="宋体"/>
                <w:color w:val="auto"/>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A9BB45F">
            <w:pPr>
              <w:pStyle w:val="14"/>
              <w:shd w:val="clear"/>
              <w:jc w:val="center"/>
              <w:rPr>
                <w:rFonts w:hint="eastAsia" w:ascii="宋体" w:hAnsi="宋体" w:eastAsia="宋体" w:cs="宋体"/>
                <w:color w:val="auto"/>
                <w:sz w:val="24"/>
                <w:szCs w:val="24"/>
                <w:highlight w:val="none"/>
              </w:rPr>
            </w:pPr>
          </w:p>
        </w:tc>
      </w:tr>
      <w:tr w14:paraId="7E11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7B2AF968">
            <w:pPr>
              <w:pStyle w:val="14"/>
              <w:shd w:val="clear"/>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3C8694D4">
            <w:pPr>
              <w:pStyle w:val="14"/>
              <w:shd w:val="clear"/>
              <w:jc w:val="center"/>
              <w:rPr>
                <w:rFonts w:hint="eastAsia" w:ascii="宋体" w:hAnsi="宋体" w:eastAsia="宋体" w:cs="宋体"/>
                <w:color w:val="auto"/>
                <w:sz w:val="24"/>
                <w:szCs w:val="24"/>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9000733">
            <w:pPr>
              <w:pStyle w:val="14"/>
              <w:shd w:val="clear"/>
              <w:jc w:val="center"/>
              <w:rPr>
                <w:rFonts w:hint="eastAsia" w:ascii="宋体" w:hAnsi="宋体" w:eastAsia="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2BB313D">
            <w:pPr>
              <w:pStyle w:val="14"/>
              <w:shd w:val="clear"/>
              <w:jc w:val="center"/>
              <w:rPr>
                <w:rFonts w:hint="eastAsia" w:ascii="宋体" w:hAnsi="宋体" w:eastAsia="宋体" w:cs="宋体"/>
                <w:color w:val="auto"/>
                <w:sz w:val="24"/>
                <w:szCs w:val="24"/>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D687F06">
            <w:pPr>
              <w:pStyle w:val="14"/>
              <w:shd w:val="clear"/>
              <w:jc w:val="center"/>
              <w:rPr>
                <w:rFonts w:hint="eastAsia" w:ascii="宋体" w:hAnsi="宋体" w:eastAsia="宋体" w:cs="宋体"/>
                <w:color w:val="auto"/>
                <w:sz w:val="24"/>
                <w:szCs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C184CBE">
            <w:pPr>
              <w:pStyle w:val="14"/>
              <w:shd w:val="clear"/>
              <w:jc w:val="center"/>
              <w:rPr>
                <w:rFonts w:hint="eastAsia" w:ascii="宋体" w:hAnsi="宋体" w:eastAsia="宋体" w:cs="宋体"/>
                <w:color w:val="auto"/>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070AE06">
            <w:pPr>
              <w:pStyle w:val="14"/>
              <w:shd w:val="clear"/>
              <w:jc w:val="center"/>
              <w:rPr>
                <w:rFonts w:hint="eastAsia" w:ascii="宋体" w:hAnsi="宋体" w:eastAsia="宋体" w:cs="宋体"/>
                <w:color w:val="auto"/>
                <w:sz w:val="24"/>
                <w:szCs w:val="24"/>
                <w:highlight w:val="none"/>
              </w:rPr>
            </w:pPr>
          </w:p>
        </w:tc>
      </w:tr>
      <w:tr w14:paraId="4794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07465833">
            <w:pPr>
              <w:pStyle w:val="14"/>
              <w:shd w:val="clear"/>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507F060C">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EBF3653">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C56F173">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641D645">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759DD66">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15FFDD5">
            <w:pPr>
              <w:shd w:val="clea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18B39ED8">
      <w:pPr>
        <w:pStyle w:val="14"/>
        <w:shd w:val="clear"/>
        <w:ind w:firstLine="480"/>
        <w:rPr>
          <w:rFonts w:hint="eastAsia" w:ascii="宋体" w:hAnsi="宋体" w:eastAsia="宋体" w:cs="宋体"/>
          <w:color w:val="auto"/>
          <w:sz w:val="24"/>
          <w:highlight w:val="none"/>
        </w:rPr>
      </w:pPr>
    </w:p>
    <w:p w14:paraId="459F5515">
      <w:pPr>
        <w:pStyle w:val="14"/>
        <w:shd w:val="clear"/>
        <w:spacing w:line="360" w:lineRule="auto"/>
        <w:ind w:firstLine="48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注：投标人必须根据招标文件第六章本项目的技术、服务要求据实填写，不得虚假应答，否则将取消其投标或中标资格。</w:t>
      </w:r>
    </w:p>
    <w:p w14:paraId="28526650">
      <w:pPr>
        <w:pStyle w:val="14"/>
        <w:shd w:val="clear"/>
        <w:ind w:firstLine="480"/>
        <w:rPr>
          <w:rFonts w:hint="eastAsia" w:ascii="宋体" w:hAnsi="宋体" w:eastAsia="宋体" w:cs="宋体"/>
          <w:color w:val="auto"/>
          <w:sz w:val="24"/>
          <w:highlight w:val="none"/>
        </w:rPr>
      </w:pPr>
    </w:p>
    <w:p w14:paraId="0A4C489A">
      <w:pPr>
        <w:pStyle w:val="14"/>
        <w:shd w:val="clear"/>
        <w:ind w:firstLine="480"/>
        <w:rPr>
          <w:rFonts w:hint="eastAsia" w:ascii="宋体" w:hAnsi="宋体" w:eastAsia="宋体" w:cs="宋体"/>
          <w:color w:val="auto"/>
          <w:sz w:val="24"/>
          <w:highlight w:val="none"/>
        </w:rPr>
      </w:pPr>
    </w:p>
    <w:p w14:paraId="324279FA">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投标人名称：XXXX（单位盖章）。</w:t>
      </w:r>
    </w:p>
    <w:p w14:paraId="0983B8A0">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20317A34">
      <w:pPr>
        <w:pStyle w:val="14"/>
        <w:shd w:val="clea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日期：XXXX。</w:t>
      </w:r>
    </w:p>
    <w:bookmarkEnd w:id="246"/>
    <w:bookmarkEnd w:id="247"/>
    <w:bookmarkEnd w:id="248"/>
    <w:p w14:paraId="74F7090F">
      <w:pPr>
        <w:shd w:val="clear"/>
        <w:adjustRightInd w:val="0"/>
        <w:spacing w:line="400" w:lineRule="exact"/>
        <w:jc w:val="left"/>
        <w:rPr>
          <w:rFonts w:hint="eastAsia" w:ascii="宋体" w:hAnsi="宋体" w:eastAsia="宋体" w:cs="宋体"/>
          <w:b/>
          <w:color w:val="auto"/>
          <w:sz w:val="32"/>
          <w:szCs w:val="28"/>
          <w:highlight w:val="none"/>
        </w:rPr>
      </w:pPr>
      <w:bookmarkStart w:id="282" w:name="_Toc217446088"/>
    </w:p>
    <w:p w14:paraId="4C93D255">
      <w:pPr>
        <w:shd w:val="clear"/>
        <w:adjustRightInd w:val="0"/>
        <w:spacing w:line="400" w:lineRule="exact"/>
        <w:jc w:val="left"/>
        <w:rPr>
          <w:rFonts w:hint="eastAsia" w:ascii="宋体" w:hAnsi="宋体" w:eastAsia="宋体" w:cs="宋体"/>
          <w:b/>
          <w:color w:val="auto"/>
          <w:sz w:val="28"/>
          <w:szCs w:val="28"/>
          <w:highlight w:val="none"/>
        </w:rPr>
      </w:pPr>
    </w:p>
    <w:p w14:paraId="3E515969">
      <w:pPr>
        <w:widowControl/>
        <w:shd w:val="clear"/>
        <w:spacing w:line="360" w:lineRule="auto"/>
        <w:jc w:val="center"/>
        <w:outlineLvl w:val="1"/>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rPr>
        <w:br w:type="page"/>
      </w:r>
      <w:bookmarkStart w:id="283" w:name="_Toc8818"/>
      <w:r>
        <w:rPr>
          <w:rFonts w:hint="eastAsia" w:ascii="宋体" w:hAnsi="宋体" w:eastAsia="宋体" w:cs="宋体"/>
          <w:b/>
          <w:color w:val="auto"/>
          <w:sz w:val="32"/>
          <w:szCs w:val="32"/>
          <w:highlight w:val="none"/>
        </w:rPr>
        <w:t>八、投标人本项目管理、技术、服务人员情况表</w:t>
      </w:r>
      <w:bookmarkEnd w:id="283"/>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 w:val="24"/>
          <w:highlight w:val="none"/>
        </w:rPr>
        <w:t xml:space="preserve"> </w:t>
      </w:r>
    </w:p>
    <w:tbl>
      <w:tblPr>
        <w:tblStyle w:val="59"/>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019"/>
        <w:gridCol w:w="1019"/>
        <w:gridCol w:w="1019"/>
        <w:gridCol w:w="1019"/>
        <w:gridCol w:w="1075"/>
        <w:gridCol w:w="1215"/>
        <w:gridCol w:w="1070"/>
        <w:gridCol w:w="936"/>
      </w:tblGrid>
      <w:tr w14:paraId="7AB6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1" w:hRule="atLeast"/>
          <w:jc w:val="center"/>
        </w:trPr>
        <w:tc>
          <w:tcPr>
            <w:tcW w:w="628" w:type="pct"/>
            <w:vMerge w:val="restart"/>
            <w:noWrap w:val="0"/>
            <w:vAlign w:val="center"/>
          </w:tcPr>
          <w:p w14:paraId="63720681">
            <w:pPr>
              <w:widowControl/>
              <w:shd w:val="clear"/>
              <w:spacing w:line="360" w:lineRule="auto"/>
              <w:jc w:val="center"/>
              <w:outlineLvl w:val="1"/>
              <w:rPr>
                <w:rFonts w:hint="eastAsia" w:ascii="宋体" w:hAnsi="宋体" w:eastAsia="宋体" w:cs="宋体"/>
                <w:b/>
                <w:bCs/>
                <w:color w:val="auto"/>
                <w:sz w:val="24"/>
                <w:highlight w:val="none"/>
              </w:rPr>
            </w:pPr>
            <w:bookmarkStart w:id="284" w:name="_Toc5352"/>
            <w:r>
              <w:rPr>
                <w:rFonts w:hint="eastAsia" w:ascii="宋体" w:hAnsi="宋体" w:eastAsia="宋体" w:cs="宋体"/>
                <w:b/>
                <w:bCs/>
                <w:color w:val="auto"/>
                <w:sz w:val="24"/>
                <w:highlight w:val="none"/>
              </w:rPr>
              <w:t>类别</w:t>
            </w:r>
            <w:bookmarkEnd w:id="284"/>
          </w:p>
        </w:tc>
        <w:tc>
          <w:tcPr>
            <w:tcW w:w="532" w:type="pct"/>
            <w:vMerge w:val="restart"/>
            <w:noWrap w:val="0"/>
            <w:vAlign w:val="center"/>
          </w:tcPr>
          <w:p w14:paraId="5849BCA2">
            <w:pPr>
              <w:widowControl/>
              <w:shd w:val="clear"/>
              <w:spacing w:line="360" w:lineRule="auto"/>
              <w:jc w:val="center"/>
              <w:outlineLvl w:val="1"/>
              <w:rPr>
                <w:rFonts w:hint="eastAsia" w:ascii="宋体" w:hAnsi="宋体" w:eastAsia="宋体" w:cs="宋体"/>
                <w:b/>
                <w:bCs/>
                <w:color w:val="auto"/>
                <w:sz w:val="24"/>
                <w:highlight w:val="none"/>
              </w:rPr>
            </w:pPr>
            <w:bookmarkStart w:id="285" w:name="_Toc12720"/>
            <w:r>
              <w:rPr>
                <w:rFonts w:hint="eastAsia" w:ascii="宋体" w:hAnsi="宋体" w:eastAsia="宋体" w:cs="宋体"/>
                <w:b/>
                <w:bCs/>
                <w:color w:val="auto"/>
                <w:sz w:val="24"/>
                <w:highlight w:val="none"/>
              </w:rPr>
              <w:t>职务</w:t>
            </w:r>
            <w:bookmarkEnd w:id="285"/>
          </w:p>
        </w:tc>
        <w:tc>
          <w:tcPr>
            <w:tcW w:w="532" w:type="pct"/>
            <w:vMerge w:val="restart"/>
            <w:noWrap w:val="0"/>
            <w:vAlign w:val="center"/>
          </w:tcPr>
          <w:p w14:paraId="25A7BBAA">
            <w:pPr>
              <w:widowControl/>
              <w:shd w:val="clear"/>
              <w:spacing w:line="360" w:lineRule="auto"/>
              <w:jc w:val="center"/>
              <w:outlineLvl w:val="1"/>
              <w:rPr>
                <w:rFonts w:hint="eastAsia" w:ascii="宋体" w:hAnsi="宋体" w:eastAsia="宋体" w:cs="宋体"/>
                <w:b/>
                <w:bCs/>
                <w:color w:val="auto"/>
                <w:sz w:val="24"/>
                <w:highlight w:val="none"/>
              </w:rPr>
            </w:pPr>
            <w:bookmarkStart w:id="286" w:name="_Toc20623"/>
            <w:r>
              <w:rPr>
                <w:rFonts w:hint="eastAsia" w:ascii="宋体" w:hAnsi="宋体" w:eastAsia="宋体" w:cs="宋体"/>
                <w:b/>
                <w:bCs/>
                <w:color w:val="auto"/>
                <w:sz w:val="24"/>
                <w:highlight w:val="none"/>
              </w:rPr>
              <w:t>姓名</w:t>
            </w:r>
            <w:bookmarkEnd w:id="286"/>
          </w:p>
        </w:tc>
        <w:tc>
          <w:tcPr>
            <w:tcW w:w="532" w:type="pct"/>
            <w:vMerge w:val="restart"/>
            <w:noWrap w:val="0"/>
            <w:vAlign w:val="center"/>
          </w:tcPr>
          <w:p w14:paraId="056CA027">
            <w:pPr>
              <w:widowControl/>
              <w:shd w:val="clear"/>
              <w:spacing w:line="360" w:lineRule="auto"/>
              <w:jc w:val="center"/>
              <w:outlineLvl w:val="1"/>
              <w:rPr>
                <w:rFonts w:hint="eastAsia" w:ascii="宋体" w:hAnsi="宋体" w:eastAsia="宋体" w:cs="宋体"/>
                <w:b/>
                <w:bCs/>
                <w:color w:val="auto"/>
                <w:sz w:val="24"/>
                <w:highlight w:val="none"/>
              </w:rPr>
            </w:pPr>
            <w:bookmarkStart w:id="287" w:name="_Toc24383"/>
            <w:r>
              <w:rPr>
                <w:rFonts w:hint="eastAsia" w:ascii="宋体" w:hAnsi="宋体" w:eastAsia="宋体" w:cs="宋体"/>
                <w:b/>
                <w:bCs/>
                <w:color w:val="auto"/>
                <w:sz w:val="24"/>
                <w:highlight w:val="none"/>
              </w:rPr>
              <w:t>职称</w:t>
            </w:r>
            <w:bookmarkEnd w:id="287"/>
          </w:p>
        </w:tc>
        <w:tc>
          <w:tcPr>
            <w:tcW w:w="532" w:type="pct"/>
            <w:vMerge w:val="restart"/>
            <w:noWrap w:val="0"/>
            <w:vAlign w:val="center"/>
          </w:tcPr>
          <w:p w14:paraId="2F4163D3">
            <w:pPr>
              <w:widowControl/>
              <w:shd w:val="clear"/>
              <w:spacing w:line="360" w:lineRule="auto"/>
              <w:jc w:val="center"/>
              <w:outlineLvl w:val="1"/>
              <w:rPr>
                <w:rFonts w:hint="eastAsia" w:ascii="宋体" w:hAnsi="宋体" w:eastAsia="宋体" w:cs="宋体"/>
                <w:b/>
                <w:bCs/>
                <w:color w:val="auto"/>
                <w:sz w:val="24"/>
                <w:highlight w:val="none"/>
              </w:rPr>
            </w:pPr>
            <w:bookmarkStart w:id="288" w:name="_Toc20598"/>
            <w:r>
              <w:rPr>
                <w:rFonts w:hint="eastAsia" w:ascii="宋体" w:hAnsi="宋体" w:eastAsia="宋体" w:cs="宋体"/>
                <w:b/>
                <w:bCs/>
                <w:color w:val="auto"/>
                <w:sz w:val="24"/>
                <w:highlight w:val="none"/>
              </w:rPr>
              <w:t>常住地</w:t>
            </w:r>
            <w:bookmarkEnd w:id="288"/>
          </w:p>
        </w:tc>
        <w:tc>
          <w:tcPr>
            <w:tcW w:w="2241" w:type="pct"/>
            <w:gridSpan w:val="4"/>
            <w:noWrap w:val="0"/>
            <w:vAlign w:val="center"/>
          </w:tcPr>
          <w:p w14:paraId="3959730C">
            <w:pPr>
              <w:widowControl/>
              <w:shd w:val="clear"/>
              <w:spacing w:line="360" w:lineRule="auto"/>
              <w:ind w:firstLine="472" w:firstLineChars="196"/>
              <w:jc w:val="center"/>
              <w:outlineLvl w:val="1"/>
              <w:rPr>
                <w:rFonts w:hint="eastAsia" w:ascii="宋体" w:hAnsi="宋体" w:eastAsia="宋体" w:cs="宋体"/>
                <w:b/>
                <w:bCs/>
                <w:color w:val="auto"/>
                <w:sz w:val="24"/>
                <w:highlight w:val="none"/>
              </w:rPr>
            </w:pPr>
            <w:bookmarkStart w:id="289" w:name="_Toc18286"/>
            <w:r>
              <w:rPr>
                <w:rFonts w:hint="eastAsia" w:ascii="宋体" w:hAnsi="宋体" w:eastAsia="宋体" w:cs="宋体"/>
                <w:b/>
                <w:bCs/>
                <w:color w:val="auto"/>
                <w:sz w:val="24"/>
                <w:highlight w:val="none"/>
              </w:rPr>
              <w:t>资格证明（附复印件）</w:t>
            </w:r>
            <w:bookmarkEnd w:id="289"/>
          </w:p>
        </w:tc>
      </w:tr>
      <w:tr w14:paraId="6DCB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628" w:type="pct"/>
            <w:vMerge w:val="continue"/>
            <w:noWrap w:val="0"/>
            <w:vAlign w:val="center"/>
          </w:tcPr>
          <w:p w14:paraId="6B1A2688">
            <w:pPr>
              <w:shd w:val="clear"/>
              <w:spacing w:line="360" w:lineRule="auto"/>
              <w:jc w:val="center"/>
              <w:rPr>
                <w:rFonts w:hint="eastAsia" w:ascii="宋体" w:hAnsi="宋体" w:eastAsia="宋体" w:cs="宋体"/>
                <w:b/>
                <w:bCs/>
                <w:color w:val="auto"/>
                <w:highlight w:val="none"/>
              </w:rPr>
            </w:pPr>
          </w:p>
        </w:tc>
        <w:tc>
          <w:tcPr>
            <w:tcW w:w="532" w:type="pct"/>
            <w:vMerge w:val="continue"/>
            <w:noWrap w:val="0"/>
            <w:vAlign w:val="center"/>
          </w:tcPr>
          <w:p w14:paraId="3474A428">
            <w:pPr>
              <w:shd w:val="clear"/>
              <w:spacing w:line="360" w:lineRule="auto"/>
              <w:jc w:val="center"/>
              <w:rPr>
                <w:rFonts w:hint="eastAsia" w:ascii="宋体" w:hAnsi="宋体" w:eastAsia="宋体" w:cs="宋体"/>
                <w:b/>
                <w:bCs/>
                <w:color w:val="auto"/>
                <w:highlight w:val="none"/>
              </w:rPr>
            </w:pPr>
          </w:p>
        </w:tc>
        <w:tc>
          <w:tcPr>
            <w:tcW w:w="532" w:type="pct"/>
            <w:vMerge w:val="continue"/>
            <w:noWrap w:val="0"/>
            <w:vAlign w:val="center"/>
          </w:tcPr>
          <w:p w14:paraId="0462F203">
            <w:pPr>
              <w:shd w:val="clear"/>
              <w:spacing w:line="360" w:lineRule="auto"/>
              <w:jc w:val="center"/>
              <w:rPr>
                <w:rFonts w:hint="eastAsia" w:ascii="宋体" w:hAnsi="宋体" w:eastAsia="宋体" w:cs="宋体"/>
                <w:b/>
                <w:bCs/>
                <w:color w:val="auto"/>
                <w:highlight w:val="none"/>
              </w:rPr>
            </w:pPr>
          </w:p>
        </w:tc>
        <w:tc>
          <w:tcPr>
            <w:tcW w:w="532" w:type="pct"/>
            <w:vMerge w:val="continue"/>
            <w:noWrap w:val="0"/>
            <w:vAlign w:val="center"/>
          </w:tcPr>
          <w:p w14:paraId="5B0C080B">
            <w:pPr>
              <w:shd w:val="clear"/>
              <w:spacing w:line="360" w:lineRule="auto"/>
              <w:jc w:val="center"/>
              <w:rPr>
                <w:rFonts w:hint="eastAsia" w:ascii="宋体" w:hAnsi="宋体" w:eastAsia="宋体" w:cs="宋体"/>
                <w:b/>
                <w:bCs/>
                <w:color w:val="auto"/>
                <w:highlight w:val="none"/>
              </w:rPr>
            </w:pPr>
          </w:p>
        </w:tc>
        <w:tc>
          <w:tcPr>
            <w:tcW w:w="532" w:type="pct"/>
            <w:vMerge w:val="continue"/>
            <w:noWrap w:val="0"/>
            <w:vAlign w:val="center"/>
          </w:tcPr>
          <w:p w14:paraId="33236237">
            <w:pPr>
              <w:shd w:val="clear"/>
              <w:spacing w:line="360" w:lineRule="auto"/>
              <w:jc w:val="center"/>
              <w:rPr>
                <w:rFonts w:hint="eastAsia" w:ascii="宋体" w:hAnsi="宋体" w:eastAsia="宋体" w:cs="宋体"/>
                <w:b/>
                <w:bCs/>
                <w:color w:val="auto"/>
                <w:highlight w:val="none"/>
              </w:rPr>
            </w:pPr>
          </w:p>
        </w:tc>
        <w:tc>
          <w:tcPr>
            <w:tcW w:w="561" w:type="pct"/>
            <w:noWrap w:val="0"/>
            <w:vAlign w:val="center"/>
          </w:tcPr>
          <w:p w14:paraId="48903FC8">
            <w:pPr>
              <w:widowControl/>
              <w:shd w:val="clear"/>
              <w:spacing w:line="360" w:lineRule="auto"/>
              <w:jc w:val="center"/>
              <w:outlineLvl w:val="1"/>
              <w:rPr>
                <w:rFonts w:hint="eastAsia" w:ascii="宋体" w:hAnsi="宋体" w:eastAsia="宋体" w:cs="宋体"/>
                <w:b/>
                <w:bCs/>
                <w:color w:val="auto"/>
                <w:sz w:val="24"/>
                <w:highlight w:val="none"/>
              </w:rPr>
            </w:pPr>
            <w:bookmarkStart w:id="290" w:name="_Toc23386"/>
            <w:r>
              <w:rPr>
                <w:rFonts w:hint="eastAsia" w:ascii="宋体" w:hAnsi="宋体" w:eastAsia="宋体" w:cs="宋体"/>
                <w:b/>
                <w:bCs/>
                <w:color w:val="auto"/>
                <w:sz w:val="24"/>
                <w:highlight w:val="none"/>
              </w:rPr>
              <w:t>证书</w:t>
            </w:r>
            <w:bookmarkEnd w:id="290"/>
            <w:bookmarkStart w:id="291" w:name="_Toc27401"/>
          </w:p>
          <w:p w14:paraId="5D3472D7">
            <w:pPr>
              <w:widowControl/>
              <w:shd w:val="clear"/>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bookmarkEnd w:id="291"/>
          </w:p>
        </w:tc>
        <w:tc>
          <w:tcPr>
            <w:tcW w:w="634" w:type="pct"/>
            <w:noWrap w:val="0"/>
            <w:vAlign w:val="center"/>
          </w:tcPr>
          <w:p w14:paraId="4EFF3846">
            <w:pPr>
              <w:widowControl/>
              <w:shd w:val="clear"/>
              <w:spacing w:line="360" w:lineRule="auto"/>
              <w:jc w:val="center"/>
              <w:outlineLvl w:val="1"/>
              <w:rPr>
                <w:rFonts w:hint="eastAsia" w:ascii="宋体" w:hAnsi="宋体" w:eastAsia="宋体" w:cs="宋体"/>
                <w:b/>
                <w:bCs/>
                <w:color w:val="auto"/>
                <w:sz w:val="24"/>
                <w:highlight w:val="none"/>
              </w:rPr>
            </w:pPr>
            <w:bookmarkStart w:id="292" w:name="_Toc30680"/>
            <w:r>
              <w:rPr>
                <w:rFonts w:hint="eastAsia" w:ascii="宋体" w:hAnsi="宋体" w:eastAsia="宋体" w:cs="宋体"/>
                <w:b/>
                <w:bCs/>
                <w:color w:val="auto"/>
                <w:sz w:val="24"/>
                <w:highlight w:val="none"/>
              </w:rPr>
              <w:t>级别</w:t>
            </w:r>
            <w:bookmarkEnd w:id="292"/>
          </w:p>
        </w:tc>
        <w:tc>
          <w:tcPr>
            <w:tcW w:w="558" w:type="pct"/>
            <w:noWrap w:val="0"/>
            <w:vAlign w:val="center"/>
          </w:tcPr>
          <w:p w14:paraId="37A6FE36">
            <w:pPr>
              <w:widowControl/>
              <w:shd w:val="clear"/>
              <w:spacing w:line="360" w:lineRule="auto"/>
              <w:jc w:val="center"/>
              <w:outlineLvl w:val="1"/>
              <w:rPr>
                <w:rFonts w:hint="eastAsia" w:ascii="宋体" w:hAnsi="宋体" w:eastAsia="宋体" w:cs="宋体"/>
                <w:b/>
                <w:bCs/>
                <w:color w:val="auto"/>
                <w:sz w:val="24"/>
                <w:highlight w:val="none"/>
              </w:rPr>
            </w:pPr>
            <w:bookmarkStart w:id="293" w:name="_Toc843"/>
            <w:r>
              <w:rPr>
                <w:rFonts w:hint="eastAsia" w:ascii="宋体" w:hAnsi="宋体" w:eastAsia="宋体" w:cs="宋体"/>
                <w:b/>
                <w:bCs/>
                <w:color w:val="auto"/>
                <w:sz w:val="24"/>
                <w:highlight w:val="none"/>
              </w:rPr>
              <w:t>证号</w:t>
            </w:r>
            <w:bookmarkEnd w:id="293"/>
          </w:p>
        </w:tc>
        <w:tc>
          <w:tcPr>
            <w:tcW w:w="487" w:type="pct"/>
            <w:noWrap w:val="0"/>
            <w:vAlign w:val="center"/>
          </w:tcPr>
          <w:p w14:paraId="7CC01D2B">
            <w:pPr>
              <w:widowControl/>
              <w:shd w:val="clear"/>
              <w:spacing w:line="360" w:lineRule="auto"/>
              <w:jc w:val="center"/>
              <w:outlineLvl w:val="1"/>
              <w:rPr>
                <w:rFonts w:hint="eastAsia" w:ascii="宋体" w:hAnsi="宋体" w:eastAsia="宋体" w:cs="宋体"/>
                <w:b/>
                <w:bCs/>
                <w:color w:val="auto"/>
                <w:sz w:val="24"/>
                <w:highlight w:val="none"/>
              </w:rPr>
            </w:pPr>
            <w:bookmarkStart w:id="294" w:name="_Toc23295"/>
            <w:r>
              <w:rPr>
                <w:rFonts w:hint="eastAsia" w:ascii="宋体" w:hAnsi="宋体" w:eastAsia="宋体" w:cs="宋体"/>
                <w:b/>
                <w:bCs/>
                <w:color w:val="auto"/>
                <w:sz w:val="24"/>
                <w:highlight w:val="none"/>
              </w:rPr>
              <w:t>专业</w:t>
            </w:r>
            <w:bookmarkEnd w:id="294"/>
          </w:p>
        </w:tc>
      </w:tr>
      <w:tr w14:paraId="5A85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628" w:type="pct"/>
            <w:vMerge w:val="restart"/>
            <w:noWrap w:val="0"/>
            <w:vAlign w:val="center"/>
          </w:tcPr>
          <w:p w14:paraId="7FE1577A">
            <w:pPr>
              <w:widowControl/>
              <w:shd w:val="clear"/>
              <w:spacing w:line="360" w:lineRule="auto"/>
              <w:jc w:val="center"/>
              <w:outlineLvl w:val="1"/>
              <w:rPr>
                <w:rFonts w:hint="eastAsia" w:ascii="宋体" w:hAnsi="宋体" w:eastAsia="宋体" w:cs="宋体"/>
                <w:color w:val="auto"/>
                <w:sz w:val="24"/>
                <w:highlight w:val="none"/>
              </w:rPr>
            </w:pPr>
            <w:bookmarkStart w:id="295" w:name="_Toc30373"/>
            <w:r>
              <w:rPr>
                <w:rFonts w:hint="eastAsia" w:ascii="宋体" w:hAnsi="宋体" w:eastAsia="宋体" w:cs="宋体"/>
                <w:color w:val="auto"/>
                <w:sz w:val="24"/>
                <w:highlight w:val="none"/>
              </w:rPr>
              <w:t>管理</w:t>
            </w:r>
            <w:bookmarkEnd w:id="295"/>
          </w:p>
          <w:p w14:paraId="3E5A2AA5">
            <w:pPr>
              <w:widowControl/>
              <w:shd w:val="clear"/>
              <w:spacing w:line="360" w:lineRule="auto"/>
              <w:jc w:val="center"/>
              <w:outlineLvl w:val="1"/>
              <w:rPr>
                <w:rFonts w:hint="eastAsia" w:ascii="宋体" w:hAnsi="宋体" w:eastAsia="宋体" w:cs="宋体"/>
                <w:color w:val="auto"/>
                <w:sz w:val="24"/>
                <w:highlight w:val="none"/>
              </w:rPr>
            </w:pPr>
            <w:bookmarkStart w:id="296" w:name="_Toc18590"/>
            <w:r>
              <w:rPr>
                <w:rFonts w:hint="eastAsia" w:ascii="宋体" w:hAnsi="宋体" w:eastAsia="宋体" w:cs="宋体"/>
                <w:color w:val="auto"/>
                <w:sz w:val="24"/>
                <w:highlight w:val="none"/>
              </w:rPr>
              <w:t>人员</w:t>
            </w:r>
            <w:bookmarkEnd w:id="296"/>
          </w:p>
        </w:tc>
        <w:tc>
          <w:tcPr>
            <w:tcW w:w="532" w:type="pct"/>
            <w:noWrap w:val="0"/>
            <w:vAlign w:val="top"/>
          </w:tcPr>
          <w:p w14:paraId="7FC9548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004D3A6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6BA0711E">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23CF9F2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6F3A4384">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1E93A86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31F3FE6C">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4098F530">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1FEC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28" w:type="pct"/>
            <w:vMerge w:val="continue"/>
            <w:noWrap w:val="0"/>
            <w:vAlign w:val="center"/>
          </w:tcPr>
          <w:p w14:paraId="6AABC9E3">
            <w:pPr>
              <w:shd w:val="clear"/>
              <w:spacing w:line="360" w:lineRule="auto"/>
              <w:jc w:val="center"/>
              <w:rPr>
                <w:rFonts w:hint="eastAsia" w:ascii="宋体" w:hAnsi="宋体" w:eastAsia="宋体" w:cs="宋体"/>
                <w:color w:val="auto"/>
                <w:highlight w:val="none"/>
              </w:rPr>
            </w:pPr>
          </w:p>
        </w:tc>
        <w:tc>
          <w:tcPr>
            <w:tcW w:w="532" w:type="pct"/>
            <w:noWrap w:val="0"/>
            <w:vAlign w:val="top"/>
          </w:tcPr>
          <w:p w14:paraId="53814B8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71BEDD3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02395E18">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110D65C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3BB54251">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1EBC99AF">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66E3F871">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21B8EB3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0B63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628" w:type="pct"/>
            <w:vMerge w:val="continue"/>
            <w:noWrap w:val="0"/>
            <w:vAlign w:val="center"/>
          </w:tcPr>
          <w:p w14:paraId="6FAFC7DD">
            <w:pPr>
              <w:shd w:val="clear"/>
              <w:spacing w:line="360" w:lineRule="auto"/>
              <w:jc w:val="center"/>
              <w:rPr>
                <w:rFonts w:hint="eastAsia" w:ascii="宋体" w:hAnsi="宋体" w:eastAsia="宋体" w:cs="宋体"/>
                <w:color w:val="auto"/>
                <w:highlight w:val="none"/>
              </w:rPr>
            </w:pPr>
          </w:p>
        </w:tc>
        <w:tc>
          <w:tcPr>
            <w:tcW w:w="532" w:type="pct"/>
            <w:noWrap w:val="0"/>
            <w:vAlign w:val="top"/>
          </w:tcPr>
          <w:p w14:paraId="61C4E002">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62C67C4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7BADBCD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4789069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5C86534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7A175A48">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4A40A2E8">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4438AB96">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77B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28" w:type="pct"/>
            <w:vMerge w:val="restart"/>
            <w:noWrap w:val="0"/>
            <w:vAlign w:val="center"/>
          </w:tcPr>
          <w:p w14:paraId="1BCF70B7">
            <w:pPr>
              <w:widowControl/>
              <w:shd w:val="clear"/>
              <w:spacing w:line="360" w:lineRule="auto"/>
              <w:jc w:val="center"/>
              <w:outlineLvl w:val="1"/>
              <w:rPr>
                <w:rFonts w:hint="eastAsia" w:ascii="宋体" w:hAnsi="宋体" w:eastAsia="宋体" w:cs="宋体"/>
                <w:color w:val="auto"/>
                <w:sz w:val="24"/>
                <w:highlight w:val="none"/>
              </w:rPr>
            </w:pPr>
            <w:bookmarkStart w:id="297" w:name="_Toc31842"/>
            <w:r>
              <w:rPr>
                <w:rFonts w:hint="eastAsia" w:ascii="宋体" w:hAnsi="宋体" w:eastAsia="宋体" w:cs="宋体"/>
                <w:color w:val="auto"/>
                <w:sz w:val="24"/>
                <w:highlight w:val="none"/>
              </w:rPr>
              <w:t>技术</w:t>
            </w:r>
            <w:bookmarkEnd w:id="297"/>
          </w:p>
          <w:p w14:paraId="3DD3AAC5">
            <w:pPr>
              <w:widowControl/>
              <w:shd w:val="clear"/>
              <w:spacing w:line="360" w:lineRule="auto"/>
              <w:jc w:val="center"/>
              <w:outlineLvl w:val="1"/>
              <w:rPr>
                <w:rFonts w:hint="eastAsia" w:ascii="宋体" w:hAnsi="宋体" w:eastAsia="宋体" w:cs="宋体"/>
                <w:color w:val="auto"/>
                <w:sz w:val="24"/>
                <w:highlight w:val="none"/>
              </w:rPr>
            </w:pPr>
            <w:bookmarkStart w:id="298" w:name="_Toc23230"/>
            <w:r>
              <w:rPr>
                <w:rFonts w:hint="eastAsia" w:ascii="宋体" w:hAnsi="宋体" w:eastAsia="宋体" w:cs="宋体"/>
                <w:color w:val="auto"/>
                <w:sz w:val="24"/>
                <w:highlight w:val="none"/>
              </w:rPr>
              <w:t>人员</w:t>
            </w:r>
            <w:bookmarkEnd w:id="298"/>
          </w:p>
        </w:tc>
        <w:tc>
          <w:tcPr>
            <w:tcW w:w="532" w:type="pct"/>
            <w:noWrap w:val="0"/>
            <w:vAlign w:val="top"/>
          </w:tcPr>
          <w:p w14:paraId="006E679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6849CE55">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017FEBBF">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71457CF2">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126D4674">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48B9D03F">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7C6626ED">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7557256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5CC0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628" w:type="pct"/>
            <w:vMerge w:val="continue"/>
            <w:noWrap w:val="0"/>
            <w:vAlign w:val="center"/>
          </w:tcPr>
          <w:p w14:paraId="26BB9A73">
            <w:pPr>
              <w:shd w:val="clear"/>
              <w:spacing w:line="360" w:lineRule="auto"/>
              <w:jc w:val="center"/>
              <w:rPr>
                <w:rFonts w:hint="eastAsia" w:ascii="宋体" w:hAnsi="宋体" w:eastAsia="宋体" w:cs="宋体"/>
                <w:color w:val="auto"/>
                <w:highlight w:val="none"/>
              </w:rPr>
            </w:pPr>
          </w:p>
        </w:tc>
        <w:tc>
          <w:tcPr>
            <w:tcW w:w="532" w:type="pct"/>
            <w:noWrap w:val="0"/>
            <w:vAlign w:val="top"/>
          </w:tcPr>
          <w:p w14:paraId="17A597A3">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22845EA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2B7D2C78">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1FDFDB25">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404959A0">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3206CACC">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4ACD15A0">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757C3F0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4B97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628" w:type="pct"/>
            <w:vMerge w:val="continue"/>
            <w:noWrap w:val="0"/>
            <w:vAlign w:val="center"/>
          </w:tcPr>
          <w:p w14:paraId="62498937">
            <w:pPr>
              <w:shd w:val="clear"/>
              <w:spacing w:line="360" w:lineRule="auto"/>
              <w:jc w:val="center"/>
              <w:rPr>
                <w:rFonts w:hint="eastAsia" w:ascii="宋体" w:hAnsi="宋体" w:eastAsia="宋体" w:cs="宋体"/>
                <w:color w:val="auto"/>
                <w:highlight w:val="none"/>
              </w:rPr>
            </w:pPr>
          </w:p>
        </w:tc>
        <w:tc>
          <w:tcPr>
            <w:tcW w:w="532" w:type="pct"/>
            <w:noWrap w:val="0"/>
            <w:vAlign w:val="top"/>
          </w:tcPr>
          <w:p w14:paraId="7BE4986D">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7D498685">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3F5413F4">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6FD3B1E7">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200B3E8C">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3BA5CBD1">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3F52DB4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18CB596C">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4951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628" w:type="pct"/>
            <w:vMerge w:val="restart"/>
            <w:noWrap w:val="0"/>
            <w:vAlign w:val="center"/>
          </w:tcPr>
          <w:p w14:paraId="51A362C5">
            <w:pPr>
              <w:widowControl/>
              <w:shd w:val="clear"/>
              <w:spacing w:line="360" w:lineRule="auto"/>
              <w:jc w:val="center"/>
              <w:outlineLvl w:val="1"/>
              <w:rPr>
                <w:rFonts w:hint="eastAsia" w:ascii="宋体" w:hAnsi="宋体" w:eastAsia="宋体" w:cs="宋体"/>
                <w:color w:val="auto"/>
                <w:sz w:val="24"/>
                <w:highlight w:val="none"/>
              </w:rPr>
            </w:pPr>
            <w:bookmarkStart w:id="299" w:name="_Toc11943"/>
            <w:r>
              <w:rPr>
                <w:rFonts w:hint="eastAsia" w:ascii="宋体" w:hAnsi="宋体" w:eastAsia="宋体" w:cs="宋体"/>
                <w:color w:val="auto"/>
                <w:sz w:val="24"/>
                <w:highlight w:val="none"/>
              </w:rPr>
              <w:t>服务</w:t>
            </w:r>
          </w:p>
          <w:p w14:paraId="0D6E19AC">
            <w:pPr>
              <w:widowControl/>
              <w:shd w:val="clear"/>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人员</w:t>
            </w:r>
            <w:bookmarkEnd w:id="299"/>
          </w:p>
        </w:tc>
        <w:tc>
          <w:tcPr>
            <w:tcW w:w="532" w:type="pct"/>
            <w:noWrap w:val="0"/>
            <w:vAlign w:val="top"/>
          </w:tcPr>
          <w:p w14:paraId="58A85AA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551EAE0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632CA45F">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00803457">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21BDC904">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1732AB5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448ED71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20254509">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r w14:paraId="0C15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28" w:type="pct"/>
            <w:vMerge w:val="continue"/>
            <w:tcBorders>
              <w:bottom w:val="single" w:color="auto" w:sz="4" w:space="0"/>
            </w:tcBorders>
            <w:noWrap w:val="0"/>
            <w:vAlign w:val="top"/>
          </w:tcPr>
          <w:p w14:paraId="64046CD0">
            <w:pPr>
              <w:shd w:val="clear"/>
              <w:spacing w:line="360" w:lineRule="auto"/>
              <w:rPr>
                <w:rFonts w:hint="eastAsia" w:ascii="宋体" w:hAnsi="宋体" w:eastAsia="宋体" w:cs="宋体"/>
                <w:color w:val="auto"/>
                <w:highlight w:val="none"/>
              </w:rPr>
            </w:pPr>
          </w:p>
        </w:tc>
        <w:tc>
          <w:tcPr>
            <w:tcW w:w="532" w:type="pct"/>
            <w:tcBorders>
              <w:bottom w:val="single" w:color="auto" w:sz="4" w:space="0"/>
            </w:tcBorders>
            <w:noWrap w:val="0"/>
            <w:vAlign w:val="top"/>
          </w:tcPr>
          <w:p w14:paraId="5B501705">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5D2979D1">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213D65BB">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32" w:type="pct"/>
            <w:noWrap w:val="0"/>
            <w:vAlign w:val="top"/>
          </w:tcPr>
          <w:p w14:paraId="5A4208DA">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61" w:type="pct"/>
            <w:noWrap w:val="0"/>
            <w:vAlign w:val="top"/>
          </w:tcPr>
          <w:p w14:paraId="3A4C32F0">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634" w:type="pct"/>
            <w:noWrap w:val="0"/>
            <w:vAlign w:val="top"/>
          </w:tcPr>
          <w:p w14:paraId="454D64B9">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558" w:type="pct"/>
            <w:noWrap w:val="0"/>
            <w:vAlign w:val="top"/>
          </w:tcPr>
          <w:p w14:paraId="29A8C4FC">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c>
          <w:tcPr>
            <w:tcW w:w="487" w:type="pct"/>
            <w:noWrap w:val="0"/>
            <w:vAlign w:val="top"/>
          </w:tcPr>
          <w:p w14:paraId="785FE9DD">
            <w:pPr>
              <w:widowControl/>
              <w:shd w:val="clear"/>
              <w:spacing w:line="360" w:lineRule="auto"/>
              <w:ind w:firstLine="470" w:firstLineChars="196"/>
              <w:jc w:val="left"/>
              <w:outlineLvl w:val="1"/>
              <w:rPr>
                <w:rFonts w:hint="eastAsia" w:ascii="宋体" w:hAnsi="宋体" w:eastAsia="宋体" w:cs="宋体"/>
                <w:color w:val="auto"/>
                <w:sz w:val="24"/>
                <w:highlight w:val="none"/>
              </w:rPr>
            </w:pPr>
          </w:p>
        </w:tc>
      </w:tr>
    </w:tbl>
    <w:p w14:paraId="54780B5A">
      <w:pPr>
        <w:pStyle w:val="14"/>
        <w:shd w:val="clear"/>
        <w:ind w:firstLine="480"/>
        <w:rPr>
          <w:rFonts w:hint="eastAsia" w:ascii="宋体" w:hAnsi="宋体" w:eastAsia="宋体" w:cs="宋体"/>
          <w:color w:val="auto"/>
          <w:sz w:val="24"/>
          <w:highlight w:val="none"/>
        </w:rPr>
      </w:pPr>
    </w:p>
    <w:p w14:paraId="7996EF6E">
      <w:pPr>
        <w:pStyle w:val="14"/>
        <w:shd w:val="clear"/>
        <w:ind w:firstLine="480"/>
        <w:rPr>
          <w:rFonts w:hint="eastAsia" w:ascii="宋体" w:hAnsi="宋体" w:eastAsia="宋体" w:cs="宋体"/>
          <w:color w:val="auto"/>
          <w:sz w:val="24"/>
          <w:highlight w:val="none"/>
        </w:rPr>
      </w:pPr>
    </w:p>
    <w:p w14:paraId="256C12FD">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投标人名称：XXXX（单位盖章）。</w:t>
      </w:r>
    </w:p>
    <w:p w14:paraId="4313D26E">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法定代表人/单位负责人或授权代表（签字或加盖个人名章）：XXXX。</w:t>
      </w:r>
    </w:p>
    <w:p w14:paraId="098F4778">
      <w:pPr>
        <w:pStyle w:val="14"/>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日期：XXXX。</w:t>
      </w:r>
    </w:p>
    <w:p w14:paraId="01410365">
      <w:pPr>
        <w:shd w:val="clear"/>
        <w:adjustRightInd w:val="0"/>
        <w:spacing w:line="360" w:lineRule="auto"/>
        <w:jc w:val="left"/>
        <w:rPr>
          <w:rFonts w:hint="eastAsia" w:ascii="宋体" w:hAnsi="宋体" w:eastAsia="宋体" w:cs="宋体"/>
          <w:b/>
          <w:color w:val="auto"/>
          <w:sz w:val="28"/>
          <w:szCs w:val="28"/>
          <w:highlight w:val="none"/>
        </w:rPr>
      </w:pPr>
    </w:p>
    <w:p w14:paraId="7B0DC419">
      <w:pPr>
        <w:shd w:val="clear"/>
        <w:adjustRightInd w:val="0"/>
        <w:spacing w:line="400" w:lineRule="exact"/>
        <w:jc w:val="left"/>
        <w:rPr>
          <w:rFonts w:hint="eastAsia" w:ascii="宋体" w:hAnsi="宋体" w:eastAsia="宋体" w:cs="宋体"/>
          <w:b/>
          <w:color w:val="auto"/>
          <w:sz w:val="28"/>
          <w:szCs w:val="28"/>
          <w:highlight w:val="none"/>
        </w:rPr>
      </w:pPr>
    </w:p>
    <w:p w14:paraId="619396CA">
      <w:pPr>
        <w:shd w:val="clear"/>
        <w:adjustRightInd w:val="0"/>
        <w:spacing w:line="400" w:lineRule="exact"/>
        <w:jc w:val="left"/>
        <w:rPr>
          <w:rFonts w:hint="eastAsia" w:ascii="宋体" w:hAnsi="宋体" w:eastAsia="宋体" w:cs="宋体"/>
          <w:b/>
          <w:color w:val="auto"/>
          <w:sz w:val="28"/>
          <w:szCs w:val="28"/>
          <w:highlight w:val="none"/>
        </w:rPr>
      </w:pPr>
    </w:p>
    <w:p w14:paraId="2440666B">
      <w:pPr>
        <w:shd w:val="clear"/>
        <w:adjustRightInd w:val="0"/>
        <w:spacing w:line="400" w:lineRule="exact"/>
        <w:jc w:val="left"/>
        <w:rPr>
          <w:rFonts w:hint="eastAsia" w:ascii="宋体" w:hAnsi="宋体" w:eastAsia="宋体" w:cs="宋体"/>
          <w:b/>
          <w:color w:val="auto"/>
          <w:sz w:val="28"/>
          <w:szCs w:val="28"/>
          <w:highlight w:val="none"/>
        </w:rPr>
      </w:pPr>
    </w:p>
    <w:p w14:paraId="6DA616DF">
      <w:pPr>
        <w:shd w:val="clear"/>
        <w:adjustRightInd w:val="0"/>
        <w:spacing w:line="400" w:lineRule="exact"/>
        <w:jc w:val="left"/>
        <w:rPr>
          <w:rFonts w:hint="eastAsia" w:ascii="宋体" w:hAnsi="宋体" w:eastAsia="宋体" w:cs="宋体"/>
          <w:b/>
          <w:color w:val="auto"/>
          <w:sz w:val="28"/>
          <w:szCs w:val="28"/>
          <w:highlight w:val="none"/>
        </w:rPr>
      </w:pPr>
    </w:p>
    <w:p w14:paraId="652D39A6">
      <w:pPr>
        <w:shd w:val="clear"/>
        <w:adjustRightInd w:val="0"/>
        <w:spacing w:line="400" w:lineRule="exact"/>
        <w:jc w:val="left"/>
        <w:rPr>
          <w:rFonts w:hint="eastAsia" w:ascii="宋体" w:hAnsi="宋体" w:eastAsia="宋体" w:cs="宋体"/>
          <w:b/>
          <w:color w:val="auto"/>
          <w:sz w:val="28"/>
          <w:szCs w:val="28"/>
          <w:highlight w:val="none"/>
        </w:rPr>
      </w:pPr>
    </w:p>
    <w:p w14:paraId="08A380F9">
      <w:pPr>
        <w:shd w:val="clear"/>
        <w:adjustRightInd w:val="0"/>
        <w:spacing w:line="400" w:lineRule="exact"/>
        <w:jc w:val="left"/>
        <w:rPr>
          <w:rFonts w:hint="eastAsia" w:ascii="宋体" w:hAnsi="宋体" w:eastAsia="宋体" w:cs="宋体"/>
          <w:b/>
          <w:color w:val="auto"/>
          <w:sz w:val="28"/>
          <w:szCs w:val="28"/>
          <w:highlight w:val="none"/>
        </w:rPr>
      </w:pPr>
    </w:p>
    <w:p w14:paraId="15114CB8">
      <w:pPr>
        <w:shd w:val="clear"/>
        <w:adjustRightInd w:val="0"/>
        <w:spacing w:line="400" w:lineRule="exact"/>
        <w:jc w:val="left"/>
        <w:rPr>
          <w:rFonts w:hint="eastAsia" w:ascii="宋体" w:hAnsi="宋体" w:eastAsia="宋体" w:cs="宋体"/>
          <w:b/>
          <w:color w:val="auto"/>
          <w:sz w:val="28"/>
          <w:szCs w:val="28"/>
          <w:highlight w:val="none"/>
        </w:rPr>
      </w:pPr>
    </w:p>
    <w:p w14:paraId="7C8AC012">
      <w:pPr>
        <w:shd w:val="clear"/>
        <w:adjustRightInd w:val="0"/>
        <w:spacing w:line="400" w:lineRule="exact"/>
        <w:jc w:val="left"/>
        <w:rPr>
          <w:rFonts w:hint="eastAsia" w:ascii="宋体" w:hAnsi="宋体" w:eastAsia="宋体" w:cs="宋体"/>
          <w:b/>
          <w:color w:val="auto"/>
          <w:sz w:val="28"/>
          <w:szCs w:val="28"/>
          <w:highlight w:val="none"/>
        </w:rPr>
      </w:pPr>
    </w:p>
    <w:p w14:paraId="7B3AD5F8">
      <w:pPr>
        <w:shd w:val="clear"/>
        <w:adjustRightInd w:val="0"/>
        <w:spacing w:line="400" w:lineRule="exact"/>
        <w:jc w:val="left"/>
        <w:rPr>
          <w:rFonts w:hint="eastAsia" w:ascii="宋体" w:hAnsi="宋体" w:eastAsia="宋体" w:cs="宋体"/>
          <w:b/>
          <w:color w:val="auto"/>
          <w:sz w:val="28"/>
          <w:szCs w:val="28"/>
          <w:highlight w:val="none"/>
        </w:rPr>
      </w:pPr>
    </w:p>
    <w:bookmarkEnd w:id="282"/>
    <w:p w14:paraId="044F2D62">
      <w:pPr>
        <w:widowControl/>
        <w:shd w:val="clear"/>
        <w:spacing w:line="360" w:lineRule="auto"/>
        <w:jc w:val="center"/>
        <w:outlineLvl w:val="1"/>
        <w:rPr>
          <w:rFonts w:hint="eastAsia" w:ascii="宋体" w:hAnsi="宋体" w:eastAsia="宋体" w:cs="宋体"/>
          <w:color w:val="auto"/>
          <w:highlight w:val="none"/>
        </w:rPr>
      </w:pPr>
      <w:r>
        <w:rPr>
          <w:rFonts w:hint="eastAsia" w:ascii="宋体" w:hAnsi="宋体" w:eastAsia="宋体" w:cs="宋体"/>
          <w:b/>
          <w:color w:val="auto"/>
          <w:sz w:val="32"/>
          <w:szCs w:val="32"/>
          <w:highlight w:val="none"/>
        </w:rPr>
        <w:br w:type="page"/>
      </w:r>
    </w:p>
    <w:p w14:paraId="4F095954">
      <w:pPr>
        <w:pStyle w:val="3"/>
        <w:shd w:val="clear"/>
        <w:spacing w:before="0" w:after="0" w:line="360" w:lineRule="auto"/>
        <w:jc w:val="center"/>
        <w:rPr>
          <w:rFonts w:hint="eastAsia" w:ascii="宋体" w:hAnsi="宋体" w:eastAsia="宋体" w:cs="宋体"/>
          <w:color w:val="auto"/>
          <w:highlight w:val="none"/>
        </w:rPr>
      </w:pPr>
      <w:bookmarkStart w:id="300" w:name="_Toc19072"/>
      <w:bookmarkStart w:id="301" w:name="_Toc217446092"/>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、综合评分所需其他资料</w:t>
      </w:r>
      <w:bookmarkEnd w:id="300"/>
    </w:p>
    <w:p w14:paraId="0F629DE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投标人参加本次投标请根据综合评分明细表，提供打分所需的其他资料（在投标文件其他部分有描述或已提供的，不必重复）。</w:t>
      </w:r>
    </w:p>
    <w:p w14:paraId="28362DD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28ADF7E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0E6686A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20EFC409">
      <w:pPr>
        <w:shd w:val="clea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p>
    <w:p w14:paraId="6A7BB8A9">
      <w:pPr>
        <w:shd w:val="clear"/>
        <w:spacing w:line="360" w:lineRule="auto"/>
        <w:jc w:val="center"/>
        <w:rPr>
          <w:rFonts w:hint="eastAsia" w:ascii="宋体" w:hAnsi="宋体" w:eastAsia="宋体" w:cs="宋体"/>
          <w:b/>
          <w:color w:val="auto"/>
          <w:sz w:val="32"/>
          <w:szCs w:val="32"/>
          <w:highlight w:val="none"/>
        </w:rPr>
      </w:pPr>
    </w:p>
    <w:p w14:paraId="1EAAF343">
      <w:pPr>
        <w:shd w:val="clear"/>
        <w:rPr>
          <w:rFonts w:hint="eastAsia" w:ascii="宋体" w:hAnsi="宋体" w:eastAsia="宋体" w:cs="宋体"/>
          <w:color w:val="auto"/>
          <w:highlight w:val="none"/>
        </w:rPr>
      </w:pPr>
    </w:p>
    <w:p w14:paraId="11C520C5">
      <w:pPr>
        <w:shd w:val="clear"/>
        <w:rPr>
          <w:rFonts w:hint="eastAsia" w:ascii="宋体" w:hAnsi="宋体" w:eastAsia="宋体" w:cs="宋体"/>
          <w:color w:val="auto"/>
          <w:highlight w:val="none"/>
        </w:rPr>
      </w:pPr>
    </w:p>
    <w:p w14:paraId="5DA9EC3C">
      <w:pPr>
        <w:shd w:val="clear"/>
        <w:rPr>
          <w:rFonts w:hint="eastAsia" w:ascii="宋体" w:hAnsi="宋体" w:eastAsia="宋体" w:cs="宋体"/>
          <w:color w:val="auto"/>
          <w:highlight w:val="none"/>
        </w:rPr>
      </w:pPr>
    </w:p>
    <w:p w14:paraId="1B3F36DD">
      <w:pPr>
        <w:shd w:val="clear"/>
        <w:rPr>
          <w:rFonts w:hint="eastAsia" w:ascii="宋体" w:hAnsi="宋体" w:eastAsia="宋体" w:cs="宋体"/>
          <w:color w:val="auto"/>
          <w:highlight w:val="none"/>
        </w:rPr>
      </w:pPr>
    </w:p>
    <w:p w14:paraId="7E2F7C8A">
      <w:pPr>
        <w:shd w:val="clear"/>
        <w:adjustRightInd w:val="0"/>
        <w:snapToGrid w:val="0"/>
        <w:spacing w:line="360" w:lineRule="auto"/>
        <w:rPr>
          <w:rFonts w:hint="eastAsia" w:ascii="宋体" w:hAnsi="宋体" w:eastAsia="宋体" w:cs="宋体"/>
          <w:b/>
          <w:color w:val="auto"/>
          <w:kern w:val="0"/>
          <w:sz w:val="30"/>
          <w:szCs w:val="30"/>
          <w:highlight w:val="none"/>
        </w:rPr>
      </w:pPr>
    </w:p>
    <w:p w14:paraId="2DACD23D">
      <w:pPr>
        <w:shd w:val="clear"/>
        <w:adjustRightInd w:val="0"/>
        <w:snapToGrid w:val="0"/>
        <w:spacing w:line="360" w:lineRule="auto"/>
        <w:rPr>
          <w:rFonts w:hint="eastAsia" w:ascii="宋体" w:hAnsi="宋体" w:eastAsia="宋体" w:cs="宋体"/>
          <w:b/>
          <w:color w:val="auto"/>
          <w:kern w:val="0"/>
          <w:sz w:val="30"/>
          <w:szCs w:val="30"/>
          <w:highlight w:val="none"/>
        </w:rPr>
      </w:pPr>
    </w:p>
    <w:p w14:paraId="02CBA22C">
      <w:pPr>
        <w:shd w:val="clear"/>
        <w:adjustRightInd w:val="0"/>
        <w:snapToGrid w:val="0"/>
        <w:spacing w:line="360" w:lineRule="auto"/>
        <w:rPr>
          <w:rFonts w:hint="eastAsia" w:ascii="宋体" w:hAnsi="宋体" w:eastAsia="宋体" w:cs="宋体"/>
          <w:b/>
          <w:color w:val="auto"/>
          <w:kern w:val="0"/>
          <w:sz w:val="30"/>
          <w:szCs w:val="30"/>
          <w:highlight w:val="none"/>
        </w:rPr>
      </w:pPr>
    </w:p>
    <w:p w14:paraId="22F90610">
      <w:pPr>
        <w:shd w:val="clear"/>
        <w:adjustRightInd w:val="0"/>
        <w:snapToGrid w:val="0"/>
        <w:spacing w:line="360" w:lineRule="auto"/>
        <w:rPr>
          <w:rFonts w:hint="eastAsia" w:ascii="宋体" w:hAnsi="宋体" w:eastAsia="宋体" w:cs="宋体"/>
          <w:b/>
          <w:color w:val="auto"/>
          <w:kern w:val="0"/>
          <w:sz w:val="30"/>
          <w:szCs w:val="30"/>
          <w:highlight w:val="none"/>
        </w:rPr>
      </w:pPr>
    </w:p>
    <w:p w14:paraId="04BD5132">
      <w:pPr>
        <w:shd w:val="clear"/>
        <w:adjustRightInd w:val="0"/>
        <w:snapToGrid w:val="0"/>
        <w:spacing w:line="360" w:lineRule="auto"/>
        <w:rPr>
          <w:rFonts w:hint="eastAsia" w:ascii="宋体" w:hAnsi="宋体" w:eastAsia="宋体" w:cs="宋体"/>
          <w:b/>
          <w:color w:val="auto"/>
          <w:kern w:val="0"/>
          <w:sz w:val="30"/>
          <w:szCs w:val="30"/>
          <w:highlight w:val="none"/>
        </w:rPr>
      </w:pPr>
    </w:p>
    <w:p w14:paraId="0D4C5711">
      <w:pPr>
        <w:shd w:val="clear"/>
        <w:rPr>
          <w:rFonts w:hint="eastAsia" w:ascii="宋体" w:hAnsi="宋体" w:eastAsia="宋体" w:cs="宋体"/>
          <w:color w:val="auto"/>
          <w:highlight w:val="none"/>
        </w:rPr>
      </w:pPr>
    </w:p>
    <w:p w14:paraId="134AAF1C">
      <w:pPr>
        <w:shd w:val="clear"/>
        <w:rPr>
          <w:rFonts w:hint="eastAsia" w:ascii="宋体" w:hAnsi="宋体" w:eastAsia="宋体" w:cs="宋体"/>
          <w:color w:val="auto"/>
          <w:highlight w:val="none"/>
        </w:rPr>
      </w:pPr>
    </w:p>
    <w:p w14:paraId="25A6DE33">
      <w:pPr>
        <w:shd w:val="clear"/>
        <w:rPr>
          <w:rFonts w:hint="eastAsia" w:ascii="宋体" w:hAnsi="宋体" w:eastAsia="宋体" w:cs="宋体"/>
          <w:color w:val="auto"/>
          <w:highlight w:val="none"/>
        </w:rPr>
      </w:pPr>
    </w:p>
    <w:p w14:paraId="06839C5A">
      <w:pPr>
        <w:shd w:val="clear"/>
        <w:rPr>
          <w:rFonts w:hint="eastAsia" w:ascii="宋体" w:hAnsi="宋体" w:eastAsia="宋体" w:cs="宋体"/>
          <w:color w:val="auto"/>
          <w:highlight w:val="none"/>
        </w:rPr>
      </w:pPr>
    </w:p>
    <w:p w14:paraId="46FD5ED7">
      <w:pPr>
        <w:shd w:val="clear"/>
        <w:rPr>
          <w:rFonts w:hint="eastAsia" w:ascii="宋体" w:hAnsi="宋体" w:eastAsia="宋体" w:cs="宋体"/>
          <w:color w:val="auto"/>
          <w:highlight w:val="none"/>
        </w:rPr>
      </w:pPr>
    </w:p>
    <w:p w14:paraId="7E1B137B">
      <w:pPr>
        <w:shd w:val="clear"/>
        <w:rPr>
          <w:rFonts w:hint="eastAsia" w:ascii="宋体" w:hAnsi="宋体" w:eastAsia="宋体" w:cs="宋体"/>
          <w:color w:val="auto"/>
          <w:highlight w:val="none"/>
        </w:rPr>
      </w:pPr>
    </w:p>
    <w:p w14:paraId="19BF17FF">
      <w:pPr>
        <w:shd w:val="clear"/>
        <w:rPr>
          <w:rFonts w:hint="eastAsia" w:ascii="宋体" w:hAnsi="宋体" w:eastAsia="宋体" w:cs="宋体"/>
          <w:color w:val="auto"/>
          <w:highlight w:val="none"/>
        </w:rPr>
      </w:pPr>
    </w:p>
    <w:p w14:paraId="5DC64D4E">
      <w:pPr>
        <w:shd w:val="clear"/>
        <w:rPr>
          <w:rFonts w:hint="eastAsia" w:ascii="宋体" w:hAnsi="宋体" w:eastAsia="宋体" w:cs="宋体"/>
          <w:color w:val="auto"/>
          <w:highlight w:val="none"/>
        </w:rPr>
      </w:pPr>
    </w:p>
    <w:p w14:paraId="35FB970F">
      <w:pPr>
        <w:shd w:val="clear"/>
        <w:rPr>
          <w:rFonts w:hint="eastAsia" w:ascii="宋体" w:hAnsi="宋体" w:eastAsia="宋体" w:cs="宋体"/>
          <w:color w:val="auto"/>
          <w:highlight w:val="none"/>
        </w:rPr>
      </w:pPr>
    </w:p>
    <w:p w14:paraId="55DB7D62">
      <w:pPr>
        <w:shd w:val="clear"/>
        <w:rPr>
          <w:rFonts w:hint="eastAsia" w:ascii="宋体" w:hAnsi="宋体" w:eastAsia="宋体" w:cs="宋体"/>
          <w:color w:val="auto"/>
          <w:highlight w:val="none"/>
        </w:rPr>
      </w:pPr>
    </w:p>
    <w:p w14:paraId="4FCD1C07">
      <w:pPr>
        <w:shd w:val="clear"/>
        <w:rPr>
          <w:rFonts w:hint="eastAsia" w:ascii="宋体" w:hAnsi="宋体" w:eastAsia="宋体" w:cs="宋体"/>
          <w:color w:val="auto"/>
          <w:highlight w:val="none"/>
        </w:rPr>
      </w:pPr>
    </w:p>
    <w:p w14:paraId="3C1C6CD3">
      <w:pPr>
        <w:shd w:val="clear"/>
        <w:rPr>
          <w:rFonts w:hint="eastAsia" w:ascii="宋体" w:hAnsi="宋体" w:eastAsia="宋体" w:cs="宋体"/>
          <w:color w:val="auto"/>
          <w:highlight w:val="none"/>
        </w:rPr>
      </w:pPr>
    </w:p>
    <w:p w14:paraId="141D2AFA">
      <w:pPr>
        <w:shd w:val="clear"/>
        <w:rPr>
          <w:rFonts w:hint="eastAsia" w:ascii="宋体" w:hAnsi="宋体" w:eastAsia="宋体" w:cs="宋体"/>
          <w:color w:val="auto"/>
          <w:highlight w:val="none"/>
        </w:rPr>
      </w:pPr>
    </w:p>
    <w:p w14:paraId="3CE92326">
      <w:pPr>
        <w:shd w:val="clear"/>
        <w:rPr>
          <w:rFonts w:hint="eastAsia" w:ascii="宋体" w:hAnsi="宋体" w:eastAsia="宋体" w:cs="宋体"/>
          <w:color w:val="auto"/>
          <w:highlight w:val="none"/>
        </w:rPr>
      </w:pPr>
    </w:p>
    <w:p w14:paraId="5F7A5E1D">
      <w:pPr>
        <w:shd w:val="clear"/>
        <w:rPr>
          <w:rFonts w:hint="eastAsia" w:ascii="宋体" w:hAnsi="宋体" w:eastAsia="宋体" w:cs="宋体"/>
          <w:color w:val="auto"/>
          <w:highlight w:val="none"/>
        </w:rPr>
      </w:pPr>
    </w:p>
    <w:p w14:paraId="12C7C70A">
      <w:pPr>
        <w:shd w:val="clear"/>
        <w:rPr>
          <w:rFonts w:hint="eastAsia" w:ascii="宋体" w:hAnsi="宋体" w:eastAsia="宋体" w:cs="宋体"/>
          <w:color w:val="auto"/>
          <w:highlight w:val="none"/>
        </w:rPr>
      </w:pPr>
    </w:p>
    <w:p w14:paraId="271DCEAD">
      <w:pPr>
        <w:shd w:val="clear"/>
        <w:rPr>
          <w:rFonts w:hint="eastAsia" w:ascii="宋体" w:hAnsi="宋体" w:eastAsia="宋体" w:cs="宋体"/>
          <w:color w:val="auto"/>
          <w:highlight w:val="none"/>
        </w:rPr>
      </w:pPr>
    </w:p>
    <w:p w14:paraId="08D0FE16">
      <w:pPr>
        <w:shd w:val="clear"/>
        <w:rPr>
          <w:rFonts w:hint="eastAsia" w:ascii="宋体" w:hAnsi="宋体" w:eastAsia="宋体" w:cs="宋体"/>
          <w:color w:val="auto"/>
          <w:highlight w:val="none"/>
        </w:rPr>
      </w:pPr>
    </w:p>
    <w:p w14:paraId="380ADB56">
      <w:pPr>
        <w:shd w:val="clear"/>
        <w:rPr>
          <w:rFonts w:hint="eastAsia" w:ascii="宋体" w:hAnsi="宋体" w:eastAsia="宋体" w:cs="宋体"/>
          <w:color w:val="auto"/>
          <w:highlight w:val="none"/>
        </w:rPr>
      </w:pPr>
    </w:p>
    <w:p w14:paraId="72A74841">
      <w:pPr>
        <w:shd w:val="clear"/>
        <w:rPr>
          <w:rFonts w:hint="eastAsia" w:ascii="宋体" w:hAnsi="宋体" w:eastAsia="宋体" w:cs="宋体"/>
          <w:color w:val="auto"/>
          <w:highlight w:val="none"/>
        </w:rPr>
      </w:pPr>
    </w:p>
    <w:p w14:paraId="484D348D">
      <w:pPr>
        <w:shd w:val="clear"/>
        <w:rPr>
          <w:rFonts w:hint="eastAsia" w:ascii="宋体" w:hAnsi="宋体" w:eastAsia="宋体" w:cs="宋体"/>
          <w:color w:val="auto"/>
          <w:highlight w:val="none"/>
        </w:rPr>
      </w:pPr>
    </w:p>
    <w:p w14:paraId="2BCC7E45">
      <w:pPr>
        <w:shd w:val="clear"/>
        <w:rPr>
          <w:rFonts w:hint="eastAsia" w:ascii="宋体" w:hAnsi="宋体" w:eastAsia="宋体" w:cs="宋体"/>
          <w:color w:val="auto"/>
          <w:highlight w:val="none"/>
        </w:rPr>
      </w:pPr>
    </w:p>
    <w:p w14:paraId="6D992DA1">
      <w:pPr>
        <w:pStyle w:val="2"/>
        <w:numPr>
          <w:ilvl w:val="0"/>
          <w:numId w:val="13"/>
        </w:numPr>
        <w:shd w:val="clear"/>
        <w:spacing w:before="0" w:after="0" w:line="360" w:lineRule="auto"/>
        <w:jc w:val="center"/>
        <w:rPr>
          <w:rFonts w:hint="eastAsia" w:ascii="宋体" w:hAnsi="宋体" w:eastAsia="宋体" w:cs="宋体"/>
          <w:color w:val="auto"/>
          <w:sz w:val="32"/>
          <w:szCs w:val="32"/>
          <w:highlight w:val="none"/>
        </w:rPr>
      </w:pPr>
      <w:bookmarkStart w:id="302" w:name="_Toc426657583"/>
      <w:bookmarkStart w:id="303" w:name="_Toc12536"/>
      <w:bookmarkStart w:id="304" w:name="_Toc1168"/>
      <w:bookmarkStart w:id="305" w:name="_Toc210"/>
      <w:bookmarkStart w:id="306" w:name="_Toc6176"/>
      <w:r>
        <w:rPr>
          <w:rFonts w:hint="eastAsia" w:ascii="宋体" w:hAnsi="宋体" w:eastAsia="宋体" w:cs="宋体"/>
          <w:color w:val="auto"/>
          <w:sz w:val="32"/>
          <w:szCs w:val="32"/>
          <w:highlight w:val="none"/>
        </w:rPr>
        <w:t>投标人应当提供的资格、资质性</w:t>
      </w:r>
      <w:bookmarkEnd w:id="302"/>
      <w:bookmarkStart w:id="307" w:name="_Toc426657584"/>
      <w:bookmarkStart w:id="308" w:name="_Toc426663660"/>
      <w:bookmarkStart w:id="309" w:name="_Toc23399"/>
      <w:bookmarkStart w:id="310" w:name="_Toc426663461"/>
      <w:bookmarkStart w:id="311" w:name="_Toc15266"/>
      <w:bookmarkStart w:id="312" w:name="_Toc426648252"/>
      <w:r>
        <w:rPr>
          <w:rFonts w:hint="eastAsia" w:ascii="宋体" w:hAnsi="宋体" w:eastAsia="宋体" w:cs="宋体"/>
          <w:color w:val="auto"/>
          <w:sz w:val="32"/>
          <w:szCs w:val="32"/>
          <w:highlight w:val="none"/>
        </w:rPr>
        <w:t>及其他类似效力要求</w:t>
      </w:r>
      <w:bookmarkEnd w:id="303"/>
      <w:bookmarkEnd w:id="304"/>
      <w:bookmarkEnd w:id="305"/>
      <w:bookmarkEnd w:id="306"/>
      <w:bookmarkEnd w:id="307"/>
      <w:bookmarkEnd w:id="308"/>
      <w:bookmarkEnd w:id="309"/>
      <w:bookmarkEnd w:id="310"/>
      <w:bookmarkEnd w:id="311"/>
      <w:bookmarkEnd w:id="312"/>
    </w:p>
    <w:p w14:paraId="7ACCE279">
      <w:pPr>
        <w:pStyle w:val="3"/>
        <w:numPr>
          <w:ilvl w:val="0"/>
          <w:numId w:val="0"/>
        </w:numPr>
        <w:shd w:val="clear"/>
        <w:spacing w:before="0" w:after="0" w:line="240" w:lineRule="auto"/>
        <w:ind w:leftChars="0"/>
        <w:rPr>
          <w:rFonts w:hint="eastAsia" w:ascii="宋体" w:hAnsi="宋体" w:eastAsia="宋体" w:cs="宋体"/>
          <w:color w:val="auto"/>
          <w:sz w:val="24"/>
          <w:szCs w:val="24"/>
          <w:highlight w:val="none"/>
        </w:rPr>
      </w:pPr>
      <w:bookmarkStart w:id="313" w:name="_Toc426657585"/>
      <w:bookmarkStart w:id="314" w:name="_Toc2895"/>
      <w:bookmarkStart w:id="315" w:name="_Toc21805"/>
    </w:p>
    <w:p w14:paraId="5E7575DE">
      <w:pPr>
        <w:pStyle w:val="3"/>
        <w:numPr>
          <w:ilvl w:val="0"/>
          <w:numId w:val="14"/>
        </w:numPr>
        <w:shd w:val="clea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投标人资格、资质性及其他类似效力要求</w:t>
      </w:r>
      <w:bookmarkEnd w:id="313"/>
      <w:bookmarkEnd w:id="314"/>
      <w:bookmarkEnd w:id="315"/>
    </w:p>
    <w:p w14:paraId="18990F72">
      <w:pPr>
        <w:shd w:val="clear"/>
        <w:tabs>
          <w:tab w:val="left" w:pos="780"/>
          <w:tab w:val="left" w:pos="3480"/>
        </w:tabs>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（一）资格要求：</w:t>
      </w:r>
    </w:p>
    <w:p w14:paraId="5DD740D7">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bookmarkStart w:id="316" w:name="OLE_LINK16"/>
      <w:r>
        <w:rPr>
          <w:rFonts w:hint="eastAsia" w:ascii="宋体" w:hAnsi="宋体" w:eastAsia="宋体" w:cs="宋体"/>
          <w:color w:val="auto"/>
          <w:sz w:val="24"/>
          <w:szCs w:val="24"/>
          <w:highlight w:val="none"/>
        </w:rPr>
        <w:t>1.满足《中华人民共和国政府采购法》第二十二条规定；</w:t>
      </w:r>
    </w:p>
    <w:p w14:paraId="4CC3CEE8">
      <w:pPr>
        <w:shd w:val="clear"/>
        <w:tabs>
          <w:tab w:val="left" w:pos="900"/>
        </w:tabs>
        <w:snapToGrid w:val="0"/>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、具有独立承担民事责任的能力</w:t>
      </w:r>
      <w:r>
        <w:rPr>
          <w:rFonts w:hint="eastAsia" w:ascii="宋体" w:hAnsi="宋体" w:eastAsia="宋体" w:cs="宋体"/>
          <w:color w:val="auto"/>
          <w:sz w:val="24"/>
          <w:szCs w:val="24"/>
          <w:highlight w:val="none"/>
        </w:rPr>
        <w:t>；</w:t>
      </w:r>
    </w:p>
    <w:p w14:paraId="089751BD">
      <w:pPr>
        <w:shd w:val="clear"/>
        <w:tabs>
          <w:tab w:val="left" w:pos="900"/>
        </w:tabs>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2、具有良好的商业信誉和健全的财务会计制度；</w:t>
      </w:r>
    </w:p>
    <w:p w14:paraId="671EE9F5">
      <w:pPr>
        <w:shd w:val="clear"/>
        <w:tabs>
          <w:tab w:val="left" w:pos="900"/>
        </w:tabs>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3、具有履行合同所必需的设备和专业技术能力；</w:t>
      </w:r>
    </w:p>
    <w:p w14:paraId="37F0BE78">
      <w:pPr>
        <w:shd w:val="clear"/>
        <w:tabs>
          <w:tab w:val="left" w:pos="900"/>
        </w:tabs>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4、有依法缴纳税收和社会保障资金的良好记录；</w:t>
      </w:r>
    </w:p>
    <w:p w14:paraId="65BF6E8E">
      <w:pPr>
        <w:shd w:val="clear"/>
        <w:tabs>
          <w:tab w:val="left" w:pos="900"/>
        </w:tabs>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 xml:space="preserve">  参加本次招标活动前三年内，在经营活动中没有重大违法记录；</w:t>
      </w:r>
    </w:p>
    <w:p w14:paraId="7FE069D1">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6、法律、行政法规规定的其他条件；</w:t>
      </w:r>
    </w:p>
    <w:p w14:paraId="0F6601E8">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2AA73446">
      <w:pPr>
        <w:keepNext w:val="0"/>
        <w:keepLines w:val="0"/>
        <w:pageBreakBefore w:val="0"/>
        <w:shd w:val="clear"/>
        <w:kinsoku/>
        <w:wordWrap/>
        <w:overflowPunct/>
        <w:topLinePunct w:val="0"/>
        <w:autoSpaceDE/>
        <w:autoSpaceDN/>
        <w:bidi w:val="0"/>
        <w:adjustRightInd/>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本次两个包</w:t>
      </w:r>
      <w:r>
        <w:rPr>
          <w:rFonts w:hint="eastAsia" w:ascii="宋体" w:hAnsi="宋体" w:eastAsia="宋体" w:cs="宋体"/>
          <w:color w:val="auto"/>
          <w:sz w:val="24"/>
          <w:szCs w:val="24"/>
          <w:highlight w:val="none"/>
        </w:rPr>
        <w:t>专门面向中小企业采购，投标人所投产品制造厂商须为《政府采购促进中小企业发展管理办法》 （ 财库 [2020]46 号）中所述中小企业或《关于政府采购支持监狱企业发展有关问 题的通知》 （财库 [2014]68 号） 中所述监狱企业或《关于促进残疾人就业政府采 购政策的通知》 （财库 〔 2017 〕 141 号） 中所述残疾人福利性单位。</w:t>
      </w:r>
    </w:p>
    <w:p w14:paraId="3234B0C6">
      <w:pPr>
        <w:keepNext w:val="0"/>
        <w:keepLines w:val="0"/>
        <w:pageBreakBefore w:val="0"/>
        <w:numPr>
          <w:ilvl w:val="0"/>
          <w:numId w:val="0"/>
        </w:numPr>
        <w:shd w:val="clear"/>
        <w:kinsoku/>
        <w:wordWrap/>
        <w:overflowPunct/>
        <w:topLinePunct w:val="0"/>
        <w:autoSpaceDE/>
        <w:autoSpaceDN/>
        <w:bidi w:val="0"/>
        <w:adjustRightInd/>
        <w:spacing w:line="360" w:lineRule="auto"/>
        <w:ind w:left="0" w:leftChars="0" w:firstLine="367" w:firstLineChars="15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 (1)供应商及其现任法定代表人（非法人机构则为主要负责人）不得具有行贿犯罪记录； (2)投标人截止至本项目投标截止时间未被列入“信用中国”网站(www.creditchina.gov.cn)、“中国政府采购网”网站(www.ccgp.gov.cn) 中任一网站的失信被执行人名单或重大税收违法失信主体名单或政府采购严重违法失信行为记录名单；</w:t>
      </w:r>
    </w:p>
    <w:p w14:paraId="1EA1B610">
      <w:pPr>
        <w:shd w:val="clear"/>
        <w:tabs>
          <w:tab w:val="left" w:pos="900"/>
        </w:tabs>
        <w:snapToGrid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本项目不接受联合体投标。</w:t>
      </w:r>
    </w:p>
    <w:bookmarkEnd w:id="316"/>
    <w:p w14:paraId="4655B11C">
      <w:pPr>
        <w:shd w:val="clear"/>
        <w:tabs>
          <w:tab w:val="left" w:pos="780"/>
          <w:tab w:val="left" w:pos="348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（二）资质性要求：无</w:t>
      </w:r>
    </w:p>
    <w:p w14:paraId="0CC454CF">
      <w:pPr>
        <w:shd w:val="clear"/>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（三）其他类似效力要求：</w:t>
      </w:r>
      <w:r>
        <w:rPr>
          <w:rFonts w:hint="eastAsia" w:ascii="宋体" w:hAnsi="宋体" w:eastAsia="宋体" w:cs="宋体"/>
          <w:color w:val="auto"/>
          <w:sz w:val="24"/>
          <w:highlight w:val="none"/>
        </w:rPr>
        <w:t>按本招标文件要求缴纳投标保证金；</w:t>
      </w:r>
      <w:r>
        <w:rPr>
          <w:rFonts w:hint="eastAsia" w:ascii="宋体" w:hAnsi="宋体" w:eastAsia="宋体" w:cs="宋体"/>
          <w:color w:val="auto"/>
          <w:sz w:val="24"/>
          <w:szCs w:val="24"/>
          <w:highlight w:val="none"/>
        </w:rPr>
        <w:t>参加本次投标活动的合法代表由投标人法定代表人</w:t>
      </w:r>
      <w:r>
        <w:rPr>
          <w:rFonts w:hint="eastAsia" w:ascii="宋体" w:hAnsi="宋体" w:eastAsia="宋体" w:cs="宋体"/>
          <w:color w:val="auto"/>
          <w:sz w:val="24"/>
          <w:highlight w:val="none"/>
        </w:rPr>
        <w:t>/单位负责人</w:t>
      </w:r>
      <w:r>
        <w:rPr>
          <w:rFonts w:hint="eastAsia" w:ascii="宋体" w:hAnsi="宋体" w:eastAsia="宋体" w:cs="宋体"/>
          <w:color w:val="auto"/>
          <w:sz w:val="24"/>
          <w:szCs w:val="24"/>
          <w:highlight w:val="none"/>
        </w:rPr>
        <w:t>授权。</w:t>
      </w:r>
    </w:p>
    <w:p w14:paraId="089B9DC0">
      <w:pPr>
        <w:pStyle w:val="3"/>
        <w:numPr>
          <w:ilvl w:val="0"/>
          <w:numId w:val="14"/>
        </w:numPr>
        <w:shd w:val="clear"/>
        <w:spacing w:before="0" w:after="0" w:line="360" w:lineRule="auto"/>
        <w:rPr>
          <w:rFonts w:hint="eastAsia" w:ascii="宋体" w:hAnsi="宋体" w:eastAsia="宋体" w:cs="宋体"/>
          <w:color w:val="auto"/>
          <w:sz w:val="24"/>
          <w:szCs w:val="24"/>
          <w:highlight w:val="none"/>
        </w:rPr>
      </w:pPr>
      <w:bookmarkStart w:id="317" w:name="_Toc426657586"/>
      <w:bookmarkStart w:id="318" w:name="_Toc22070"/>
      <w:bookmarkStart w:id="319" w:name="_Toc236"/>
      <w:r>
        <w:rPr>
          <w:rFonts w:hint="eastAsia" w:ascii="宋体" w:hAnsi="宋体" w:eastAsia="宋体" w:cs="宋体"/>
          <w:color w:val="auto"/>
          <w:sz w:val="24"/>
          <w:szCs w:val="24"/>
          <w:highlight w:val="none"/>
        </w:rPr>
        <w:t>投标产品的资格、资质性及其他类似效力要求</w:t>
      </w:r>
      <w:bookmarkEnd w:id="317"/>
      <w:bookmarkEnd w:id="318"/>
      <w:bookmarkEnd w:id="319"/>
    </w:p>
    <w:p w14:paraId="28CE9100">
      <w:pPr>
        <w:shd w:val="clear"/>
        <w:tabs>
          <w:tab w:val="left" w:pos="780"/>
          <w:tab w:val="left" w:pos="3480"/>
        </w:tabs>
        <w:snapToGrid w:val="0"/>
        <w:spacing w:line="360" w:lineRule="auto"/>
        <w:ind w:left="720" w:hanging="720" w:hangingChars="3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（一）资格要求：无</w:t>
      </w:r>
    </w:p>
    <w:p w14:paraId="360C4AD7">
      <w:pPr>
        <w:shd w:val="clear"/>
        <w:tabs>
          <w:tab w:val="left" w:pos="780"/>
          <w:tab w:val="left" w:pos="3480"/>
        </w:tabs>
        <w:snapToGrid w:val="0"/>
        <w:spacing w:line="360" w:lineRule="auto"/>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（二）资质性要求：无</w:t>
      </w:r>
    </w:p>
    <w:p w14:paraId="7DB6A76D">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（三）其他类似效力要求：无</w:t>
      </w:r>
      <w:bookmarkEnd w:id="301"/>
    </w:p>
    <w:p w14:paraId="52DA184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注：1、本项目确定投标人重大违法记录中较大数额罚款的金额标准为：</w:t>
      </w:r>
      <w:r>
        <w:rPr>
          <w:rFonts w:hint="eastAsia" w:ascii="宋体" w:hAnsi="宋体" w:eastAsia="宋体" w:cs="宋体"/>
          <w:color w:val="auto"/>
          <w:sz w:val="24"/>
          <w:highlight w:val="none"/>
        </w:rPr>
        <w:t>200万元以上的罚款；若法律、行政法规以及国务院有关部门明确规定相关领域“较大数额罚款”标准高于200万元的，从其规定。</w:t>
      </w:r>
    </w:p>
    <w:p w14:paraId="22C03907">
      <w:pPr>
        <w:numPr>
          <w:ilvl w:val="0"/>
          <w:numId w:val="11"/>
        </w:numPr>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ACE98B6">
      <w:pPr>
        <w:pStyle w:val="23"/>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AC58A01">
      <w:pPr>
        <w:pStyle w:val="2"/>
        <w:numPr>
          <w:ilvl w:val="0"/>
          <w:numId w:val="13"/>
        </w:numPr>
        <w:shd w:val="clear"/>
        <w:spacing w:before="0" w:after="0" w:line="360" w:lineRule="auto"/>
        <w:jc w:val="center"/>
        <w:rPr>
          <w:rFonts w:hint="eastAsia" w:ascii="宋体" w:hAnsi="宋体" w:eastAsia="宋体" w:cs="宋体"/>
          <w:color w:val="auto"/>
          <w:sz w:val="32"/>
          <w:szCs w:val="32"/>
          <w:highlight w:val="none"/>
        </w:rPr>
      </w:pPr>
      <w:bookmarkStart w:id="320" w:name="_Toc5865"/>
      <w:bookmarkStart w:id="321" w:name="_Toc31782"/>
      <w:bookmarkStart w:id="322" w:name="_Toc13373"/>
      <w:bookmarkStart w:id="323" w:name="_Toc22755"/>
      <w:r>
        <w:rPr>
          <w:rFonts w:hint="eastAsia" w:ascii="宋体" w:hAnsi="宋体" w:eastAsia="宋体" w:cs="宋体"/>
          <w:color w:val="auto"/>
          <w:sz w:val="32"/>
          <w:szCs w:val="32"/>
          <w:highlight w:val="none"/>
        </w:rPr>
        <w:t>投标人应当提供的资格、资质性及其他类似效力要求的</w:t>
      </w:r>
      <w:bookmarkEnd w:id="320"/>
      <w:bookmarkEnd w:id="321"/>
      <w:bookmarkEnd w:id="322"/>
      <w:bookmarkEnd w:id="323"/>
    </w:p>
    <w:p w14:paraId="6C70A31F">
      <w:pPr>
        <w:pStyle w:val="2"/>
        <w:shd w:val="clear"/>
        <w:spacing w:before="0" w:after="0" w:line="360" w:lineRule="auto"/>
        <w:jc w:val="center"/>
        <w:rPr>
          <w:rFonts w:hint="eastAsia" w:ascii="宋体" w:hAnsi="宋体" w:eastAsia="宋体" w:cs="宋体"/>
          <w:color w:val="auto"/>
          <w:sz w:val="32"/>
          <w:szCs w:val="32"/>
          <w:highlight w:val="none"/>
        </w:rPr>
      </w:pPr>
      <w:bookmarkStart w:id="324" w:name="_Toc31799"/>
      <w:bookmarkStart w:id="325" w:name="_Toc13137"/>
      <w:bookmarkStart w:id="326" w:name="_Toc4841"/>
      <w:bookmarkStart w:id="327" w:name="_Toc2955"/>
      <w:bookmarkStart w:id="328" w:name="_Toc887"/>
      <w:bookmarkStart w:id="329" w:name="_Toc25349"/>
      <w:r>
        <w:rPr>
          <w:rFonts w:hint="eastAsia" w:ascii="宋体" w:hAnsi="宋体" w:eastAsia="宋体" w:cs="宋体"/>
          <w:color w:val="auto"/>
          <w:sz w:val="32"/>
          <w:szCs w:val="32"/>
          <w:highlight w:val="none"/>
        </w:rPr>
        <w:t>相关证明材料</w:t>
      </w:r>
      <w:bookmarkEnd w:id="324"/>
      <w:bookmarkEnd w:id="325"/>
      <w:bookmarkEnd w:id="326"/>
      <w:bookmarkEnd w:id="327"/>
      <w:bookmarkEnd w:id="328"/>
      <w:bookmarkEnd w:id="329"/>
      <w:bookmarkStart w:id="330" w:name="_Toc25795"/>
    </w:p>
    <w:p w14:paraId="6C67B45B">
      <w:pPr>
        <w:pStyle w:val="2"/>
        <w:shd w:val="clear"/>
        <w:spacing w:before="0" w:after="0" w:line="360" w:lineRule="auto"/>
        <w:rPr>
          <w:rFonts w:hint="eastAsia" w:ascii="宋体" w:hAnsi="宋体" w:eastAsia="宋体" w:cs="宋体"/>
          <w:bCs w:val="0"/>
          <w:color w:val="auto"/>
          <w:sz w:val="24"/>
          <w:szCs w:val="24"/>
          <w:highlight w:val="none"/>
        </w:rPr>
      </w:pPr>
      <w:bookmarkStart w:id="331" w:name="_Toc10830"/>
      <w:bookmarkStart w:id="332" w:name="_Toc941"/>
      <w:bookmarkStart w:id="333" w:name="_Toc207"/>
      <w:bookmarkStart w:id="334" w:name="_Toc14844"/>
      <w:bookmarkStart w:id="335" w:name="_Toc29174"/>
      <w:r>
        <w:rPr>
          <w:rFonts w:hint="eastAsia" w:ascii="宋体" w:hAnsi="宋体" w:eastAsia="宋体" w:cs="宋体"/>
          <w:bCs w:val="0"/>
          <w:color w:val="auto"/>
          <w:sz w:val="24"/>
          <w:szCs w:val="24"/>
          <w:highlight w:val="none"/>
        </w:rPr>
        <w:t>一、投标人应当提供的资格、资质性文件及其他类似效力的要求的相关证明材料：</w:t>
      </w:r>
      <w:bookmarkEnd w:id="330"/>
      <w:bookmarkEnd w:id="331"/>
      <w:bookmarkEnd w:id="332"/>
      <w:bookmarkEnd w:id="333"/>
      <w:bookmarkEnd w:id="334"/>
      <w:bookmarkEnd w:id="335"/>
    </w:p>
    <w:p w14:paraId="481F7D0E">
      <w:pPr>
        <w:pStyle w:val="416"/>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（一）资格要求相关证明材料：</w:t>
      </w:r>
    </w:p>
    <w:p w14:paraId="719E45C7">
      <w:pPr>
        <w:shd w:val="clear"/>
        <w:spacing w:line="360" w:lineRule="auto"/>
        <w:ind w:firstLine="166" w:firstLineChars="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1、具有独立承担民事责任的能力证明材料：</w:t>
      </w:r>
    </w:p>
    <w:p w14:paraId="1ECBDB04">
      <w:pPr>
        <w:shd w:val="clear"/>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（1）投标人若为企业法人：提供“统一社会信用代码营业执照”；未换证的提供“营业执照、税务登记证、组织机构代码证或三证合一的营业执照”；</w:t>
      </w:r>
    </w:p>
    <w:p w14:paraId="6D37A325">
      <w:pPr>
        <w:shd w:val="clear"/>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（2）若为事业法人：提供“统一社会信用代码法人登记证书”；未换证的提交“事业法人登记证书、组织机构代码证”；</w:t>
      </w:r>
    </w:p>
    <w:p w14:paraId="502CAAE8">
      <w:pPr>
        <w:shd w:val="clear"/>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（3）若为其他组织：提供“对应主管部门颁发的准许执业证明文件或营业执照”；</w:t>
      </w:r>
    </w:p>
    <w:p w14:paraId="19867396">
      <w:pPr>
        <w:shd w:val="clear"/>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（4）若为自然人：提供“身份证明材料”。</w:t>
      </w:r>
    </w:p>
    <w:p w14:paraId="5A23EDD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2、具有良好的商业信誉和健全的财务会计制度证明材料：</w:t>
      </w:r>
    </w:p>
    <w:p w14:paraId="51DBAD12">
      <w:pPr>
        <w:pStyle w:val="23"/>
        <w:shd w:val="clear"/>
        <w:snapToGrid w:val="0"/>
        <w:spacing w:after="0" w:line="360" w:lineRule="auto"/>
        <w:ind w:right="152"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（1）投标人提供具有良好的商业信誉的承诺函。</w:t>
      </w:r>
    </w:p>
    <w:p w14:paraId="60AD9C02">
      <w:pPr>
        <w:pStyle w:val="23"/>
        <w:shd w:val="clear"/>
        <w:snapToGrid w:val="0"/>
        <w:spacing w:after="0" w:line="360" w:lineRule="auto"/>
        <w:ind w:right="152" w:firstLine="240" w:firstLineChars="1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（2）投标人提供健全的财务会计制度的证明材料。注：①可提供</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或</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年度经审计的财务报告复印件（包含审计报告和审计报告中所涉及的财务报表、报表附注和出具报告机构、人员的证照），②也可提供</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或</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度投标人内部的财务报表复印件（至少包含资产负债表），③也可提供距文件递交截止日一年内银行出具的资信证明（复印件），④投标人注册时间至文件递交截止日不足一年的，也可提供在工商备案的公司章程（复印件）。</w:t>
      </w:r>
    </w:p>
    <w:p w14:paraId="5A175F02">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3.具有履行合同所必需的设备和专业技术能力证明材料：</w:t>
      </w:r>
    </w:p>
    <w:p w14:paraId="660BC048">
      <w:pPr>
        <w:shd w:val="clea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投标人自行提供相关证明材料或承诺函。</w:t>
      </w:r>
    </w:p>
    <w:p w14:paraId="70D3E349">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4、有依法缴纳税收和社会保障资金的良好记录证明材料：</w:t>
      </w:r>
    </w:p>
    <w:p w14:paraId="5B5D040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（1）缴纳税收证明材料：</w:t>
      </w:r>
    </w:p>
    <w:p w14:paraId="05FA7213">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投标人提供</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1月1日</w:t>
      </w:r>
      <w:r>
        <w:rPr>
          <w:rFonts w:hint="eastAsia" w:ascii="宋体" w:hAnsi="宋体" w:eastAsia="宋体" w:cs="宋体"/>
          <w:color w:val="auto"/>
          <w:sz w:val="24"/>
          <w:szCs w:val="24"/>
          <w:highlight w:val="none"/>
          <w:lang w:val="en-US" w:eastAsia="zh-CN"/>
        </w:rPr>
        <w:t>至今</w:t>
      </w:r>
      <w:r>
        <w:rPr>
          <w:rFonts w:hint="eastAsia" w:ascii="宋体" w:hAnsi="宋体" w:eastAsia="宋体" w:cs="宋体"/>
          <w:color w:val="auto"/>
          <w:sz w:val="24"/>
          <w:szCs w:val="24"/>
          <w:highlight w:val="none"/>
        </w:rPr>
        <w:t>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个月的缴纳税收证明材料（银行电子回单或者税务部门出具的纳税证明或完税证明，新成立公司按实际应缴纳情况提供，事业单位除外）或依法缴纳税收的承诺函。</w:t>
      </w:r>
    </w:p>
    <w:p w14:paraId="41555CB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（2）缴纳社会保障资金：</w:t>
      </w:r>
    </w:p>
    <w:p w14:paraId="0AA7E77D">
      <w:pPr>
        <w:shd w:val="clea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投标人提供社保部门出具的</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1月1日</w:t>
      </w:r>
      <w:r>
        <w:rPr>
          <w:rFonts w:hint="eastAsia" w:ascii="宋体" w:hAnsi="宋体" w:eastAsia="宋体" w:cs="宋体"/>
          <w:color w:val="auto"/>
          <w:sz w:val="24"/>
          <w:szCs w:val="24"/>
          <w:highlight w:val="none"/>
          <w:lang w:val="en-US" w:eastAsia="zh-CN"/>
        </w:rPr>
        <w:t>至今</w:t>
      </w:r>
      <w:r>
        <w:rPr>
          <w:rFonts w:hint="eastAsia" w:ascii="宋体" w:hAnsi="宋体" w:eastAsia="宋体" w:cs="宋体"/>
          <w:color w:val="auto"/>
          <w:sz w:val="24"/>
          <w:szCs w:val="24"/>
          <w:highlight w:val="none"/>
        </w:rPr>
        <w:t>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个月社保缴纳的证明材料（以缴纳的银行电子回单或以社保部门出具的为准）或依法缴纳社会保障资金的承诺函。</w:t>
      </w:r>
    </w:p>
    <w:p w14:paraId="4289CB07">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5、参加政府采购活动前三年内，在经营活动中没有重大违法记录证明材料：</w:t>
      </w:r>
    </w:p>
    <w:p w14:paraId="1A0B8A27">
      <w:pPr>
        <w:shd w:val="clea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投标人</w:t>
      </w:r>
      <w:r>
        <w:rPr>
          <w:rFonts w:hint="eastAsia" w:ascii="宋体" w:hAnsi="宋体" w:eastAsia="宋体" w:cs="宋体"/>
          <w:color w:val="auto"/>
          <w:sz w:val="24"/>
          <w:szCs w:val="24"/>
          <w:highlight w:val="none"/>
        </w:rPr>
        <w:t>提供承诺函。</w:t>
      </w:r>
    </w:p>
    <w:p w14:paraId="21E5BFD4">
      <w:pPr>
        <w:shd w:val="clea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（2）投标人单位及其法定代表人、主要负责人不得具有行贿犯罪记录。（投标人自行提供承诺函，若发现虚假承诺，作无效投标处理）。</w:t>
      </w:r>
    </w:p>
    <w:p w14:paraId="6263D486">
      <w:pPr>
        <w:pStyle w:val="23"/>
        <w:shd w:val="clear"/>
        <w:snapToGrid w:val="0"/>
        <w:spacing w:after="0" w:line="360" w:lineRule="auto"/>
        <w:ind w:right="8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6、法律、行政法规规定的其他条件证明材料：</w:t>
      </w:r>
    </w:p>
    <w:p w14:paraId="7C66C38F">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（1）投标人与其他投标人之间，单位负责人不为同一人而且不存在直接控股、管理关系。（提供承诺函）</w:t>
      </w:r>
    </w:p>
    <w:p w14:paraId="6C80A459">
      <w:pPr>
        <w:shd w:val="clea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（2）投标人未对本次采购项目提供过整体设计、规范编制或者项目管理、监理、检测等服务。（提供承诺函）</w:t>
      </w:r>
    </w:p>
    <w:p w14:paraId="7BBC89E0">
      <w:pPr>
        <w:pStyle w:val="23"/>
        <w:shd w:val="clear"/>
        <w:snapToGrid w:val="0"/>
        <w:spacing w:after="0" w:line="360" w:lineRule="auto"/>
        <w:ind w:right="84"/>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7、未被列入失信被执行人、重大税收违法案件当事人名单、政府采购严重违法失信行为</w:t>
      </w:r>
      <w:r>
        <w:rPr>
          <w:rFonts w:hint="eastAsia" w:ascii="宋体" w:hAnsi="宋体" w:eastAsia="宋体" w:cs="宋体"/>
          <w:b/>
          <w:color w:val="auto"/>
          <w:sz w:val="24"/>
          <w:szCs w:val="24"/>
          <w:highlight w:val="none"/>
        </w:rPr>
        <w:t xml:space="preserve">记录名单证明材料：                                                                                          </w:t>
      </w:r>
    </w:p>
    <w:p w14:paraId="666CEF33">
      <w:pPr>
        <w:pStyle w:val="23"/>
        <w:shd w:val="clea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提供信用中国网站、中国政府采购网网站渠道查询网页截图或承诺函（加盖投标人公章）。</w:t>
      </w:r>
    </w:p>
    <w:p w14:paraId="1445B3E7">
      <w:pPr>
        <w:pStyle w:val="23"/>
        <w:shd w:val="clea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或采购代理机构将于本项目响应截止日在信用中国网站、中国政府采购网网站等渠道对投标人进行信用记录查询，并将查询记录存档。凡被列入失信被执行人、重大税收违法案件当事人名单、政府采购严重违法失信行为记录名单的，视为存在不良信用记录，参与本项目的将被拒绝。</w:t>
      </w:r>
    </w:p>
    <w:p w14:paraId="715A54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ascii="宋体" w:hAnsi="宋体" w:cs="宋体"/>
          <w:color w:val="auto"/>
          <w:kern w:val="2"/>
          <w:sz w:val="24"/>
          <w:szCs w:val="24"/>
          <w:highlight w:val="none"/>
          <w:lang w:val="en-US" w:eastAsia="zh-CN" w:bidi="ar-SA"/>
        </w:rPr>
        <w:t>本次两个包</w:t>
      </w:r>
      <w:r>
        <w:rPr>
          <w:rFonts w:hint="eastAsia" w:ascii="宋体" w:hAnsi="宋体" w:eastAsia="宋体" w:cs="宋体"/>
          <w:color w:val="auto"/>
          <w:kern w:val="2"/>
          <w:sz w:val="24"/>
          <w:szCs w:val="24"/>
          <w:highlight w:val="none"/>
          <w:lang w:val="en-US" w:eastAsia="zh-CN" w:bidi="ar-SA"/>
        </w:rPr>
        <w:t>专门面向中小企业</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，参加本次政府采购活动的供应商应当提供《中小企业声明函》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监狱企业应当提供《监狱企业证明》,残疾人福利性单位应当提供《残疾人福利性单位声明函》。</w:t>
      </w:r>
      <w:r>
        <w:rPr>
          <w:rFonts w:hint="eastAsia" w:ascii="宋体" w:hAnsi="宋体" w:cs="宋体"/>
          <w:color w:val="auto"/>
          <w:kern w:val="2"/>
          <w:sz w:val="24"/>
          <w:szCs w:val="24"/>
          <w:highlight w:val="none"/>
          <w:lang w:val="en-US" w:eastAsia="zh-CN" w:bidi="ar-SA"/>
        </w:rPr>
        <w:t>且须满足</w:t>
      </w:r>
      <w:r>
        <w:rPr>
          <w:rFonts w:hint="eastAsia" w:ascii="宋体" w:hAnsi="宋体" w:eastAsia="宋体" w:cs="宋体"/>
          <w:color w:val="auto"/>
          <w:sz w:val="24"/>
          <w:szCs w:val="24"/>
          <w:highlight w:val="none"/>
        </w:rPr>
        <w:t>投标人所投产品制造厂商为《政府采购促进中小企业发展管理办法》（财库[2020]46号）中所述中小企业或《关于政府采购支持监狱企业发展有关问题的通知》（财库[2014]6号）中所述监狱企业或《关于促进残疾人就业政府采 购政策的通知》（财库〔2017〕141号）中所述残疾人福利性单位。</w:t>
      </w:r>
    </w:p>
    <w:p w14:paraId="19F78C83">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（二）资质性要求相关证明材料：</w:t>
      </w:r>
      <w:r>
        <w:rPr>
          <w:rFonts w:hint="eastAsia" w:ascii="宋体" w:hAnsi="宋体" w:eastAsia="宋体" w:cs="宋体"/>
          <w:bCs/>
          <w:color w:val="auto"/>
          <w:sz w:val="24"/>
          <w:szCs w:val="24"/>
          <w:highlight w:val="none"/>
        </w:rPr>
        <w:t>无。</w:t>
      </w:r>
    </w:p>
    <w:p w14:paraId="25AC6E46">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（三）其他类似效力要求相关证明材料：</w:t>
      </w:r>
    </w:p>
    <w:p w14:paraId="79FD8B99">
      <w:pPr>
        <w:shd w:val="clear"/>
        <w:spacing w:line="360" w:lineRule="auto"/>
        <w:ind w:firstLine="359"/>
        <w:rPr>
          <w:rFonts w:hint="eastAsia" w:ascii="宋体" w:hAnsi="宋体" w:eastAsia="宋体" w:cs="宋体"/>
          <w:color w:val="auto"/>
          <w:sz w:val="24"/>
          <w:szCs w:val="24"/>
          <w:highlight w:val="none"/>
        </w:rPr>
      </w:pPr>
      <w:bookmarkStart w:id="336" w:name="_Toc15179"/>
      <w:bookmarkStart w:id="337" w:name="_Toc426657587"/>
      <w:r>
        <w:rPr>
          <w:rFonts w:hint="eastAsia" w:ascii="宋体" w:hAnsi="宋体" w:eastAsia="宋体" w:cs="宋体"/>
          <w:color w:val="auto"/>
          <w:sz w:val="24"/>
          <w:szCs w:val="24"/>
          <w:highlight w:val="none"/>
        </w:rPr>
        <w:t>1、 法定代表人/单位负责人身份证明书（注：如投标人为授权代表参加投标活动的，则可不提供）。</w:t>
      </w:r>
    </w:p>
    <w:p w14:paraId="215D6E3A">
      <w:pPr>
        <w:shd w:val="clear"/>
        <w:spacing w:line="360" w:lineRule="auto"/>
        <w:ind w:firstLine="3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2、法定代表人/单位负责人授权委托书（注：如投标人法定代表人/主要负责人参加投标活动的，则可不提供）。</w:t>
      </w:r>
    </w:p>
    <w:p w14:paraId="3AEDEB61">
      <w:pPr>
        <w:shd w:val="clear"/>
        <w:snapToGrid w:val="0"/>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 法定代表人/单位负责人身份证复印件（注：复印件加盖公章）。</w:t>
      </w:r>
      <w:r>
        <w:rPr>
          <w:rFonts w:hint="eastAsia" w:ascii="宋体" w:hAnsi="宋体" w:eastAsia="宋体" w:cs="宋体"/>
          <w:color w:val="auto"/>
          <w:sz w:val="24"/>
          <w:highlight w:val="none"/>
        </w:rPr>
        <w:t>［注：①身份证复印件（在有效期内、两面均应复印）或护照复印件（法定代表人</w:t>
      </w: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highlight w:val="none"/>
        </w:rPr>
        <w:t>为外籍人士的，按此提供）；②复印件加盖公章。</w:t>
      </w:r>
    </w:p>
    <w:p w14:paraId="26641BA0">
      <w:pPr>
        <w:shd w:val="clear"/>
        <w:snapToGrid w:val="0"/>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 授权代表人身份证复印件</w:t>
      </w:r>
      <w:r>
        <w:rPr>
          <w:rFonts w:hint="eastAsia" w:ascii="宋体" w:hAnsi="宋体" w:eastAsia="宋体" w:cs="宋体"/>
          <w:color w:val="auto"/>
          <w:sz w:val="24"/>
          <w:highlight w:val="none"/>
        </w:rPr>
        <w:t>（身份证两面均应复印）（注：①在有效期内；②复印件加盖公章；③由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法定代表人签署所有响应文件并参加投标活动的，则可不提供）。</w:t>
      </w:r>
    </w:p>
    <w:p w14:paraId="0B21E9A3">
      <w:pPr>
        <w:shd w:val="clear"/>
        <w:spacing w:line="360" w:lineRule="auto"/>
        <w:ind w:firstLine="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5、投标保证金交纳凭证复印件。</w:t>
      </w:r>
    </w:p>
    <w:p w14:paraId="2134FD6C">
      <w:pPr>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二、应当提供的投标产品的资格、资质性及其他类似效力要求的相关证明材料</w:t>
      </w:r>
      <w:bookmarkEnd w:id="336"/>
      <w:bookmarkEnd w:id="337"/>
      <w:r>
        <w:rPr>
          <w:rFonts w:hint="eastAsia" w:ascii="宋体" w:hAnsi="宋体" w:eastAsia="宋体" w:cs="宋体"/>
          <w:b/>
          <w:color w:val="auto"/>
          <w:sz w:val="24"/>
          <w:szCs w:val="24"/>
          <w:highlight w:val="none"/>
        </w:rPr>
        <w:t>：</w:t>
      </w:r>
    </w:p>
    <w:p w14:paraId="5D026262">
      <w:pPr>
        <w:shd w:val="clear"/>
        <w:tabs>
          <w:tab w:val="left" w:pos="780"/>
          <w:tab w:val="left" w:pos="3480"/>
        </w:tabs>
        <w:snapToGrid w:val="0"/>
        <w:spacing w:line="360" w:lineRule="auto"/>
        <w:ind w:left="723" w:hanging="723" w:hangingChars="300"/>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z w:val="24"/>
          <w:szCs w:val="24"/>
          <w:highlight w:val="none"/>
        </w:rPr>
        <w:t>（一）资格、资质性要求相关证明材料：</w:t>
      </w:r>
      <w:r>
        <w:rPr>
          <w:rFonts w:hint="eastAsia" w:ascii="宋体" w:hAnsi="宋体" w:eastAsia="宋体" w:cs="宋体"/>
          <w:color w:val="auto"/>
          <w:sz w:val="24"/>
          <w:szCs w:val="24"/>
          <w:highlight w:val="none"/>
          <w:lang w:val="en-US" w:eastAsia="zh-CN"/>
        </w:rPr>
        <w:t>无</w:t>
      </w:r>
    </w:p>
    <w:p w14:paraId="05D6033C">
      <w:pPr>
        <w:shd w:val="clear"/>
        <w:tabs>
          <w:tab w:val="left" w:pos="780"/>
        </w:tabs>
        <w:snapToGrid w:val="0"/>
        <w:spacing w:line="360" w:lineRule="auto"/>
        <w:ind w:left="723" w:hanging="723" w:hangingChars="3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（二）其他类似效力要求相关证明材料：</w:t>
      </w:r>
      <w:r>
        <w:rPr>
          <w:rFonts w:hint="eastAsia" w:ascii="宋体" w:hAnsi="宋体" w:eastAsia="宋体" w:cs="宋体"/>
          <w:color w:val="auto"/>
          <w:sz w:val="24"/>
          <w:szCs w:val="24"/>
          <w:highlight w:val="none"/>
          <w:lang w:val="en-US" w:eastAsia="zh-CN"/>
        </w:rPr>
        <w:t>无</w:t>
      </w:r>
    </w:p>
    <w:p w14:paraId="2B721354">
      <w:pPr>
        <w:pStyle w:val="2"/>
        <w:numPr>
          <w:ilvl w:val="0"/>
          <w:numId w:val="13"/>
        </w:numPr>
        <w:shd w:val="clear"/>
        <w:tabs>
          <w:tab w:val="left" w:pos="425"/>
          <w:tab w:val="clear" w:pos="1275"/>
        </w:tabs>
        <w:spacing w:after="0" w:line="360" w:lineRule="auto"/>
        <w:jc w:val="center"/>
        <w:rPr>
          <w:rFonts w:hint="eastAsia" w:ascii="宋体" w:hAnsi="宋体" w:eastAsia="宋体" w:cs="宋体"/>
          <w:color w:val="auto"/>
          <w:sz w:val="32"/>
          <w:szCs w:val="32"/>
          <w:highlight w:val="none"/>
        </w:rPr>
      </w:pPr>
      <w:bookmarkStart w:id="338" w:name="_Toc426657588"/>
      <w:bookmarkStart w:id="339" w:name="_Toc382946275"/>
      <w:bookmarkStart w:id="340" w:name="_Toc379036446"/>
      <w:bookmarkStart w:id="341" w:name="_Toc376549337"/>
      <w:bookmarkStart w:id="342" w:name="_Toc382903300"/>
      <w:bookmarkStart w:id="343" w:name="_Toc381358288"/>
      <w:bookmarkStart w:id="344" w:name="_Toc381261768"/>
      <w:bookmarkStart w:id="345" w:name="_Toc381358465"/>
      <w:bookmarkStart w:id="346" w:name="_Toc217446096"/>
      <w:bookmarkStart w:id="347" w:name="_Toc381358763"/>
      <w:bookmarkStart w:id="348" w:name="_Toc380775764"/>
      <w:bookmarkStart w:id="349" w:name="_Toc382903493"/>
      <w:bookmarkStart w:id="350" w:name="_Toc382296874"/>
      <w:bookmarkStart w:id="351" w:name="_Toc380780197"/>
      <w:r>
        <w:rPr>
          <w:rFonts w:hint="eastAsia" w:ascii="宋体" w:hAnsi="宋体" w:eastAsia="宋体" w:cs="宋体"/>
          <w:b w:val="0"/>
          <w:bCs w:val="0"/>
          <w:color w:val="auto"/>
          <w:kern w:val="2"/>
          <w:sz w:val="21"/>
          <w:szCs w:val="20"/>
          <w:highlight w:val="none"/>
        </w:rPr>
        <w:br w:type="page"/>
      </w:r>
      <w:r>
        <w:rPr>
          <w:rFonts w:hint="eastAsia" w:ascii="宋体" w:hAnsi="宋体" w:eastAsia="宋体" w:cs="宋体"/>
          <w:color w:val="auto"/>
          <w:sz w:val="32"/>
          <w:szCs w:val="32"/>
          <w:highlight w:val="none"/>
        </w:rPr>
        <w:t xml:space="preserve"> </w:t>
      </w:r>
      <w:bookmarkStart w:id="352" w:name="_Toc1573"/>
      <w:bookmarkStart w:id="353" w:name="_Toc25833"/>
      <w:bookmarkStart w:id="354" w:name="_Toc32029"/>
      <w:bookmarkStart w:id="355" w:name="_Toc26630"/>
      <w:r>
        <w:rPr>
          <w:rFonts w:hint="eastAsia" w:ascii="宋体" w:hAnsi="宋体" w:cs="宋体"/>
          <w:color w:val="auto"/>
          <w:sz w:val="32"/>
          <w:szCs w:val="32"/>
          <w:highlight w:val="none"/>
          <w:lang w:eastAsia="zh-CN"/>
        </w:rPr>
        <w:t>采购项目</w:t>
      </w:r>
      <w:r>
        <w:rPr>
          <w:rFonts w:hint="eastAsia" w:ascii="宋体" w:hAnsi="宋体" w:eastAsia="宋体" w:cs="宋体"/>
          <w:color w:val="auto"/>
          <w:sz w:val="32"/>
          <w:szCs w:val="32"/>
          <w:highlight w:val="none"/>
        </w:rPr>
        <w:t>技术、商务及其他要求</w:t>
      </w:r>
      <w:bookmarkEnd w:id="338"/>
      <w:bookmarkEnd w:id="352"/>
      <w:bookmarkEnd w:id="353"/>
      <w:bookmarkEnd w:id="354"/>
      <w:bookmarkEnd w:id="355"/>
    </w:p>
    <w:p w14:paraId="5D6CF5CD">
      <w:pPr>
        <w:shd w:val="clear"/>
        <w:rPr>
          <w:rFonts w:hint="eastAsia" w:ascii="宋体" w:hAnsi="宋体" w:eastAsia="宋体" w:cs="宋体"/>
          <w:b/>
          <w:bCs/>
          <w:color w:val="auto"/>
          <w:sz w:val="24"/>
          <w:szCs w:val="24"/>
          <w:highlight w:val="none"/>
        </w:rPr>
      </w:pPr>
    </w:p>
    <w:p w14:paraId="54A514F4">
      <w:pPr>
        <w:pStyle w:val="6"/>
        <w:shd w:val="clear"/>
        <w:spacing w:before="0" w:after="120" w:afterLines="50"/>
        <w:rPr>
          <w:rStyle w:val="633"/>
          <w:rFonts w:hint="eastAsia" w:asciiTheme="minorEastAsia" w:hAnsiTheme="minorEastAsia" w:eastAsiaTheme="minorEastAsia" w:cstheme="minorEastAsia"/>
          <w:b/>
          <w:bCs/>
          <w:color w:val="auto"/>
          <w:kern w:val="0"/>
          <w:sz w:val="24"/>
          <w:szCs w:val="24"/>
          <w:highlight w:val="none"/>
          <w:lang w:eastAsia="zh-TW"/>
        </w:rPr>
      </w:pPr>
      <w:r>
        <w:rPr>
          <w:rStyle w:val="633"/>
          <w:rFonts w:hint="eastAsia" w:asciiTheme="minorEastAsia" w:hAnsiTheme="minorEastAsia" w:eastAsiaTheme="minorEastAsia" w:cstheme="minorEastAsia"/>
          <w:b/>
          <w:bCs/>
          <w:color w:val="auto"/>
          <w:kern w:val="0"/>
          <w:sz w:val="24"/>
          <w:szCs w:val="24"/>
          <w:highlight w:val="none"/>
          <w:lang w:val="en-US" w:eastAsia="zh-CN" w:bidi="ar-SA"/>
        </w:rPr>
        <w:t>一、</w:t>
      </w:r>
      <w:r>
        <w:rPr>
          <w:rStyle w:val="633"/>
          <w:rFonts w:hint="eastAsia" w:asciiTheme="minorEastAsia" w:hAnsiTheme="minorEastAsia" w:eastAsiaTheme="minorEastAsia" w:cstheme="minorEastAsia"/>
          <w:b/>
          <w:bCs/>
          <w:color w:val="auto"/>
          <w:kern w:val="0"/>
          <w:sz w:val="24"/>
          <w:szCs w:val="24"/>
          <w:highlight w:val="none"/>
          <w:lang w:eastAsia="zh-TW"/>
        </w:rPr>
        <w:t>特别说明：</w:t>
      </w:r>
    </w:p>
    <w:p w14:paraId="38E7F33C">
      <w:pPr>
        <w:shd w:val="clear"/>
        <w:spacing w:line="360" w:lineRule="auto"/>
        <w:ind w:firstLine="480" w:firstLineChars="200"/>
        <w:rPr>
          <w:rStyle w:val="633"/>
          <w:rFonts w:hint="eastAsia" w:asciiTheme="minorEastAsia" w:hAnsiTheme="minorEastAsia" w:eastAsiaTheme="minorEastAsia" w:cstheme="minorEastAsia"/>
          <w:b w:val="0"/>
          <w:bCs w:val="0"/>
          <w:color w:val="auto"/>
          <w:kern w:val="0"/>
          <w:sz w:val="24"/>
          <w:szCs w:val="24"/>
          <w:highlight w:val="none"/>
          <w:lang w:eastAsia="zh-TW"/>
        </w:rPr>
      </w:pPr>
      <w:r>
        <w:rPr>
          <w:rStyle w:val="633"/>
          <w:rFonts w:hint="eastAsia" w:asciiTheme="minorEastAsia" w:hAnsiTheme="minorEastAsia" w:eastAsiaTheme="minorEastAsia" w:cstheme="minorEastAsia"/>
          <w:b w:val="0"/>
          <w:bCs w:val="0"/>
          <w:color w:val="auto"/>
          <w:kern w:val="0"/>
          <w:sz w:val="24"/>
          <w:szCs w:val="24"/>
          <w:highlight w:val="none"/>
          <w:lang w:eastAsia="zh-TW"/>
        </w:rPr>
        <w:t xml:space="preserve">1、2020年8月25日，中华人民共和国应急管理部《关于消防救援领域行业标准以“XF”代号重新编号发布的公告》（2020年 第5号）明确，消防救援领域165项现行行业标准类别由公安安全行业标准调整为消防救援行业标准，代号由“GA”调整为“XF”，顺序号和内容保持不变。 </w:t>
      </w:r>
    </w:p>
    <w:p w14:paraId="2E3E2033">
      <w:pPr>
        <w:shd w:val="clear"/>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Style w:val="633"/>
          <w:rFonts w:hint="eastAsia" w:asciiTheme="minorEastAsia" w:hAnsiTheme="minorEastAsia" w:eastAsiaTheme="minorEastAsia" w:cstheme="minorEastAsia"/>
          <w:b w:val="0"/>
          <w:bCs w:val="0"/>
          <w:color w:val="auto"/>
          <w:kern w:val="0"/>
          <w:sz w:val="24"/>
          <w:szCs w:val="24"/>
          <w:highlight w:val="none"/>
          <w:lang w:eastAsia="zh-TW"/>
        </w:rPr>
        <w:t>2、为了落实公告要求，采购人将技术参数中的标准代号调整为XF。目前，参考资料、检测报告等相关资料，在实际投标中，使用代号GA标准仍有效。</w:t>
      </w:r>
    </w:p>
    <w:p w14:paraId="4EB8B317">
      <w:pPr>
        <w:shd w:val="clear"/>
        <w:spacing w:line="36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、技术参数及要求</w:t>
      </w:r>
    </w:p>
    <w:p w14:paraId="5C09E1AD">
      <w:pPr>
        <w:pStyle w:val="2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第二包</w:t>
      </w:r>
    </w:p>
    <w:tbl>
      <w:tblPr>
        <w:tblStyle w:val="59"/>
        <w:tblW w:w="9664"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109"/>
        <w:gridCol w:w="564"/>
        <w:gridCol w:w="732"/>
        <w:gridCol w:w="6653"/>
      </w:tblGrid>
      <w:tr w14:paraId="5813E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6" w:type="dxa"/>
            <w:tcBorders>
              <w:bottom w:val="single" w:color="000000" w:sz="4" w:space="0"/>
              <w:right w:val="single" w:color="000000" w:sz="4" w:space="0"/>
            </w:tcBorders>
            <w:noWrap w:val="0"/>
            <w:vAlign w:val="center"/>
          </w:tcPr>
          <w:p w14:paraId="1CC9D9C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109" w:type="dxa"/>
            <w:tcBorders>
              <w:left w:val="single" w:color="000000" w:sz="4" w:space="0"/>
              <w:bottom w:val="single" w:color="000000" w:sz="4" w:space="0"/>
              <w:right w:val="single" w:color="000000" w:sz="4" w:space="0"/>
            </w:tcBorders>
            <w:noWrap w:val="0"/>
            <w:vAlign w:val="center"/>
          </w:tcPr>
          <w:p w14:paraId="0E4682B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装备（物资）名称</w:t>
            </w:r>
          </w:p>
        </w:tc>
        <w:tc>
          <w:tcPr>
            <w:tcW w:w="564" w:type="dxa"/>
            <w:tcBorders>
              <w:left w:val="single" w:color="000000" w:sz="4" w:space="0"/>
              <w:bottom w:val="single" w:color="000000" w:sz="4" w:space="0"/>
              <w:right w:val="single" w:color="000000" w:sz="4" w:space="0"/>
            </w:tcBorders>
            <w:noWrap w:val="0"/>
            <w:vAlign w:val="center"/>
          </w:tcPr>
          <w:p w14:paraId="565EEE6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32" w:type="dxa"/>
            <w:tcBorders>
              <w:left w:val="single" w:color="000000" w:sz="4" w:space="0"/>
              <w:bottom w:val="nil"/>
              <w:right w:val="single" w:color="000000" w:sz="4" w:space="0"/>
            </w:tcBorders>
            <w:noWrap w:val="0"/>
            <w:vAlign w:val="center"/>
          </w:tcPr>
          <w:p w14:paraId="26160B2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数量</w:t>
            </w:r>
          </w:p>
        </w:tc>
        <w:tc>
          <w:tcPr>
            <w:tcW w:w="6653" w:type="dxa"/>
            <w:tcBorders>
              <w:left w:val="single" w:color="000000" w:sz="4" w:space="0"/>
              <w:bottom w:val="nil"/>
            </w:tcBorders>
            <w:noWrap w:val="0"/>
            <w:vAlign w:val="center"/>
          </w:tcPr>
          <w:p w14:paraId="1F36322B">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技术要求</w:t>
            </w:r>
          </w:p>
        </w:tc>
      </w:tr>
      <w:tr w14:paraId="3FC56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6" w:type="dxa"/>
            <w:tcBorders>
              <w:top w:val="single" w:color="000000" w:sz="4" w:space="0"/>
              <w:bottom w:val="single" w:color="000000" w:sz="4" w:space="0"/>
              <w:right w:val="single" w:color="000000" w:sz="4" w:space="0"/>
            </w:tcBorders>
            <w:noWrap w:val="0"/>
            <w:vAlign w:val="center"/>
          </w:tcPr>
          <w:p w14:paraId="545E7A9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90EBC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过滤式综合防毒面具</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B9FE4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B7133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6653" w:type="dxa"/>
            <w:tcBorders>
              <w:top w:val="single" w:color="000000" w:sz="4" w:space="0"/>
              <w:left w:val="single" w:color="000000" w:sz="4" w:space="0"/>
              <w:bottom w:val="single" w:color="000000" w:sz="4" w:space="0"/>
            </w:tcBorders>
            <w:noWrap w:val="0"/>
            <w:vAlign w:val="center"/>
          </w:tcPr>
          <w:p w14:paraId="4810FCCB">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p>
          <w:p w14:paraId="62C96C80">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★符合GB 2890-2022《呼吸防护 自吸过滤式防毒面具》标准。</w:t>
            </w:r>
          </w:p>
          <w:p w14:paraId="197A6877">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2"/>
                <w:sz w:val="24"/>
                <w:szCs w:val="24"/>
                <w:lang w:val="en-US" w:eastAsia="zh-CN" w:bidi="ar-SA"/>
              </w:rPr>
              <w:t>1.</w:t>
            </w:r>
            <w:r>
              <w:rPr>
                <w:rFonts w:hint="eastAsia" w:ascii="宋体" w:hAnsi="宋体" w:eastAsia="宋体" w:cs="宋体"/>
                <w:b w:val="0"/>
                <w:bCs w:val="0"/>
                <w:i w:val="0"/>
                <w:iCs w:val="0"/>
                <w:color w:val="auto"/>
                <w:sz w:val="24"/>
                <w:szCs w:val="24"/>
                <w:u w:val="none"/>
                <w:lang w:val="en-US" w:eastAsia="zh-CN"/>
              </w:rPr>
              <w:t>全面罩：与面部密合,能遮盖住眼、面、鼻、口和下颌的面罩；</w:t>
            </w:r>
          </w:p>
          <w:p w14:paraId="07D3D750">
            <w:pPr>
              <w:keepNext w:val="0"/>
              <w:keepLines w:val="0"/>
              <w:widowControl/>
              <w:numPr>
                <w:ilvl w:val="0"/>
                <w:numId w:val="0"/>
              </w:numPr>
              <w:suppressLineNumbers w:val="0"/>
              <w:spacing w:line="360" w:lineRule="auto"/>
              <w:ind w:left="425" w:leftChars="0" w:hanging="425" w:firstLineChars="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2"/>
                <w:sz w:val="24"/>
                <w:szCs w:val="24"/>
                <w:lang w:val="en-US" w:eastAsia="zh-CN" w:bidi="ar-SA"/>
              </w:rPr>
              <w:t>2.</w:t>
            </w:r>
            <w:r>
              <w:rPr>
                <w:rFonts w:hint="eastAsia" w:ascii="宋体" w:hAnsi="宋体" w:eastAsia="宋体" w:cs="宋体"/>
                <w:b w:val="0"/>
                <w:bCs w:val="0"/>
                <w:i w:val="0"/>
                <w:iCs w:val="0"/>
                <w:color w:val="auto"/>
                <w:kern w:val="0"/>
                <w:sz w:val="24"/>
                <w:szCs w:val="24"/>
                <w:u w:val="none"/>
                <w:lang w:val="en-US" w:eastAsia="zh-CN" w:bidi="ar"/>
              </w:rPr>
              <w:t>过滤件：综合过滤件（KP95），过滤级别</w:t>
            </w:r>
            <w:r>
              <w:rPr>
                <w:rFonts w:hint="eastAsia" w:ascii="宋体" w:hAnsi="宋体" w:cs="宋体"/>
                <w:b w:val="0"/>
                <w:bCs w:val="0"/>
                <w:i w:val="0"/>
                <w:iCs w:val="0"/>
                <w:color w:val="auto"/>
                <w:kern w:val="0"/>
                <w:sz w:val="24"/>
                <w:szCs w:val="24"/>
                <w:highlight w:val="none"/>
                <w:u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级。</w:t>
            </w:r>
          </w:p>
        </w:tc>
      </w:tr>
      <w:tr w14:paraId="0DC19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6" w:type="dxa"/>
            <w:tcBorders>
              <w:top w:val="single" w:color="000000" w:sz="4" w:space="0"/>
              <w:bottom w:val="single" w:color="000000" w:sz="4" w:space="0"/>
              <w:right w:val="single" w:color="000000" w:sz="4" w:space="0"/>
            </w:tcBorders>
            <w:noWrap w:val="0"/>
            <w:vAlign w:val="center"/>
          </w:tcPr>
          <w:p w14:paraId="0548A19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F1477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二级化学防护服</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3BBA5D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17D45A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6653" w:type="dxa"/>
            <w:tcBorders>
              <w:top w:val="single" w:color="000000" w:sz="4" w:space="0"/>
              <w:left w:val="single" w:color="000000" w:sz="4" w:space="0"/>
              <w:bottom w:val="single" w:color="000000" w:sz="4" w:space="0"/>
            </w:tcBorders>
            <w:noWrap w:val="0"/>
            <w:vAlign w:val="center"/>
          </w:tcPr>
          <w:p w14:paraId="74A3090F">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★符合XF 770-2008《消防员化学防护服装》标准要求的二级化学防护服技术要求。连体结构，由头罩、连衣裤、防化手套、防化胶靴构成，能完全将使用者覆盖，其中头罩、防护服袖口有一定的弹性，防化手套和防化胶靴具有可拆卸功能，且不影响整体密封效果。防护服前方的拉链门襟为同种材料的至少两层保护层。手套与防护服有同等防护性能。可与消防过滤式综合防毒面具或正压式空气呼吸器配合使用。头套边缘用松紧带密封，下颌处采用粘扣进行密封防护。肘部和膝部进行加固。可手洗，可重复使用。</w:t>
            </w:r>
          </w:p>
          <w:p w14:paraId="11439F9B">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.整体抗水渗漏性20min 后无渗漏现象；</w:t>
            </w:r>
          </w:p>
          <w:p w14:paraId="26D608AD">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cs="宋体"/>
                <w:b w:val="0"/>
                <w:bCs w:val="0"/>
                <w:i w:val="0"/>
                <w:iCs w:val="0"/>
                <w:color w:val="auto"/>
                <w:kern w:val="0"/>
                <w:sz w:val="24"/>
                <w:szCs w:val="24"/>
                <w:u w:val="none"/>
                <w:lang w:val="en-US" w:eastAsia="zh-CN" w:bidi="ar"/>
              </w:rPr>
              <w:t>4</w:t>
            </w:r>
            <w:r>
              <w:rPr>
                <w:rFonts w:hint="eastAsia" w:ascii="宋体" w:hAnsi="宋体" w:eastAsia="宋体" w:cs="宋体"/>
                <w:b w:val="0"/>
                <w:bCs w:val="0"/>
                <w:i w:val="0"/>
                <w:iCs w:val="0"/>
                <w:color w:val="auto"/>
                <w:kern w:val="0"/>
                <w:sz w:val="24"/>
                <w:szCs w:val="24"/>
                <w:u w:val="none"/>
                <w:lang w:val="en-US" w:eastAsia="zh-CN" w:bidi="ar"/>
              </w:rPr>
              <w:t>.抗化学品渗透时间≥60min，粘贴强度≥0.78kN/m，拉伸强度≥9kN/m，撕裂强力≥30N；</w:t>
            </w:r>
          </w:p>
          <w:p w14:paraId="68B4F67A">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cs="宋体"/>
                <w:b w:val="0"/>
                <w:bCs w:val="0"/>
                <w:i w:val="0"/>
                <w:iCs w:val="0"/>
                <w:color w:val="auto"/>
                <w:kern w:val="0"/>
                <w:sz w:val="24"/>
                <w:szCs w:val="24"/>
                <w:u w:val="none"/>
                <w:lang w:val="en-US" w:eastAsia="zh-CN" w:bidi="ar"/>
              </w:rPr>
              <w:t>5</w:t>
            </w:r>
            <w:r>
              <w:rPr>
                <w:rFonts w:hint="eastAsia" w:ascii="宋体" w:hAnsi="宋体" w:eastAsia="宋体" w:cs="宋体"/>
                <w:b w:val="0"/>
                <w:bCs w:val="0"/>
                <w:i w:val="0"/>
                <w:iCs w:val="0"/>
                <w:color w:val="auto"/>
                <w:kern w:val="0"/>
                <w:sz w:val="24"/>
                <w:szCs w:val="24"/>
                <w:u w:val="none"/>
                <w:lang w:val="en-US" w:eastAsia="zh-CN" w:bidi="ar"/>
              </w:rPr>
              <w:t>.有焰燃烧时间≤10ｓ，无焰燃烧时间≤10s，损毁长度≤10cm；</w:t>
            </w:r>
          </w:p>
          <w:p w14:paraId="3B09B1DA">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6</w:t>
            </w:r>
            <w:r>
              <w:rPr>
                <w:rFonts w:hint="eastAsia" w:ascii="宋体" w:hAnsi="宋体" w:eastAsia="宋体" w:cs="宋体"/>
                <w:b w:val="0"/>
                <w:bCs w:val="0"/>
                <w:i w:val="0"/>
                <w:iCs w:val="0"/>
                <w:color w:val="auto"/>
                <w:kern w:val="0"/>
                <w:sz w:val="24"/>
                <w:szCs w:val="24"/>
                <w:u w:val="none"/>
                <w:lang w:val="en-US" w:eastAsia="zh-CN" w:bidi="ar"/>
              </w:rPr>
              <w:t>.耐热老化125℃×12h 不粘不脆，接缝强力≥200N；</w:t>
            </w:r>
          </w:p>
          <w:p w14:paraId="010A1FA2">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7</w:t>
            </w:r>
            <w:r>
              <w:rPr>
                <w:rFonts w:hint="eastAsia" w:ascii="宋体" w:hAnsi="宋体" w:eastAsia="宋体" w:cs="宋体"/>
                <w:b w:val="0"/>
                <w:bCs w:val="0"/>
                <w:i w:val="0"/>
                <w:iCs w:val="0"/>
                <w:color w:val="auto"/>
                <w:kern w:val="0"/>
                <w:sz w:val="24"/>
                <w:szCs w:val="24"/>
                <w:u w:val="none"/>
                <w:lang w:val="en-US" w:eastAsia="zh-CN" w:bidi="ar"/>
              </w:rPr>
              <w:t>.手套为氯丁橡胶手套，与防护服有同等防护性能；</w:t>
            </w:r>
          </w:p>
          <w:p w14:paraId="3BCCC258">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8</w:t>
            </w:r>
            <w:r>
              <w:rPr>
                <w:rFonts w:hint="eastAsia" w:ascii="宋体" w:hAnsi="宋体" w:eastAsia="宋体" w:cs="宋体"/>
                <w:b w:val="0"/>
                <w:bCs w:val="0"/>
                <w:i w:val="0"/>
                <w:iCs w:val="0"/>
                <w:color w:val="auto"/>
                <w:kern w:val="0"/>
                <w:sz w:val="24"/>
                <w:szCs w:val="24"/>
                <w:u w:val="none"/>
                <w:lang w:val="en-US" w:eastAsia="zh-CN" w:bidi="ar"/>
              </w:rPr>
              <w:t>.防化靴靴底抗刺穿力≥900N，击穿电压不小于5000V，且泄漏电流小于3mA，钢头钢底。与防护服有同等防护性能；</w:t>
            </w:r>
          </w:p>
          <w:p w14:paraId="64FB1325">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9</w:t>
            </w:r>
            <w:r>
              <w:rPr>
                <w:rFonts w:hint="eastAsia" w:ascii="宋体" w:hAnsi="宋体" w:eastAsia="宋体" w:cs="宋体"/>
                <w:b w:val="0"/>
                <w:bCs w:val="0"/>
                <w:i w:val="0"/>
                <w:iCs w:val="0"/>
                <w:color w:val="auto"/>
                <w:kern w:val="0"/>
                <w:sz w:val="24"/>
                <w:szCs w:val="24"/>
                <w:u w:val="none"/>
                <w:lang w:val="en-US" w:eastAsia="zh-CN" w:bidi="ar"/>
              </w:rPr>
              <w:t>.储存期：5年。</w:t>
            </w:r>
          </w:p>
        </w:tc>
      </w:tr>
      <w:tr w14:paraId="61E43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6" w:type="dxa"/>
            <w:tcBorders>
              <w:top w:val="single" w:color="000000" w:sz="4" w:space="0"/>
              <w:bottom w:val="single" w:color="000000" w:sz="4" w:space="0"/>
              <w:right w:val="single" w:color="000000" w:sz="4" w:space="0"/>
            </w:tcBorders>
            <w:noWrap w:val="0"/>
            <w:vAlign w:val="center"/>
          </w:tcPr>
          <w:p w14:paraId="5B66A1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CF0A9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一级化学防护服</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41023E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5E3B7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6653" w:type="dxa"/>
            <w:tcBorders>
              <w:top w:val="single" w:color="000000" w:sz="4" w:space="0"/>
              <w:left w:val="single" w:color="000000" w:sz="4" w:space="0"/>
              <w:bottom w:val="single" w:color="000000" w:sz="4" w:space="0"/>
            </w:tcBorders>
            <w:noWrap w:val="0"/>
            <w:vAlign w:val="center"/>
          </w:tcPr>
          <w:p w14:paraId="49A95176">
            <w:pPr>
              <w:spacing w:line="360" w:lineRule="auto"/>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★符合XF 770-2008《消防员化学防护服装》标准要求的一级化学防护服技术要求</w:t>
            </w:r>
            <w:r>
              <w:rPr>
                <w:rFonts w:hint="eastAsia" w:ascii="宋体" w:hAnsi="宋体" w:eastAsia="宋体" w:cs="宋体"/>
                <w:b w:val="0"/>
                <w:bCs w:val="0"/>
                <w:i w:val="0"/>
                <w:iCs w:val="0"/>
                <w:color w:val="auto"/>
                <w:sz w:val="24"/>
                <w:szCs w:val="24"/>
                <w:u w:val="none"/>
                <w:lang w:eastAsia="zh-CN"/>
              </w:rPr>
              <w:t>，</w:t>
            </w:r>
            <w:r>
              <w:rPr>
                <w:rFonts w:hint="eastAsia" w:ascii="宋体" w:hAnsi="宋体" w:eastAsia="宋体" w:cs="宋体"/>
                <w:b w:val="0"/>
                <w:bCs w:val="0"/>
                <w:i w:val="0"/>
                <w:iCs w:val="0"/>
                <w:color w:val="auto"/>
                <w:sz w:val="24"/>
                <w:szCs w:val="24"/>
                <w:u w:val="none"/>
              </w:rPr>
              <w:t>且配备气密检测装置</w:t>
            </w:r>
            <w:r>
              <w:rPr>
                <w:rFonts w:hint="eastAsia" w:ascii="宋体" w:hAnsi="宋体" w:eastAsia="宋体" w:cs="宋体"/>
                <w:b w:val="0"/>
                <w:bCs w:val="0"/>
                <w:i w:val="0"/>
                <w:iCs w:val="0"/>
                <w:color w:val="auto"/>
                <w:sz w:val="24"/>
                <w:szCs w:val="24"/>
                <w:u w:val="none"/>
                <w:lang w:eastAsia="zh-CN"/>
              </w:rPr>
              <w:t>，</w:t>
            </w:r>
            <w:r>
              <w:rPr>
                <w:rFonts w:hint="eastAsia" w:ascii="宋体" w:hAnsi="宋体" w:eastAsia="宋体" w:cs="宋体"/>
                <w:b w:val="0"/>
                <w:bCs w:val="0"/>
                <w:i w:val="0"/>
                <w:iCs w:val="0"/>
                <w:color w:val="auto"/>
                <w:sz w:val="24"/>
                <w:szCs w:val="24"/>
                <w:u w:val="none"/>
                <w:lang w:val="en-US" w:eastAsia="zh-CN"/>
              </w:rPr>
              <w:t>本项目配备不少于</w:t>
            </w:r>
            <w:r>
              <w:rPr>
                <w:rFonts w:hint="eastAsia" w:ascii="宋体" w:hAnsi="宋体" w:cs="宋体"/>
                <w:b w:val="0"/>
                <w:bCs w:val="0"/>
                <w:i w:val="0"/>
                <w:iCs w:val="0"/>
                <w:color w:val="auto"/>
                <w:sz w:val="24"/>
                <w:szCs w:val="24"/>
                <w:u w:val="none"/>
                <w:lang w:val="en-US" w:eastAsia="zh-CN"/>
              </w:rPr>
              <w:t>4</w:t>
            </w:r>
            <w:r>
              <w:rPr>
                <w:rFonts w:hint="eastAsia" w:ascii="宋体" w:hAnsi="宋体" w:eastAsia="宋体" w:cs="宋体"/>
                <w:b w:val="0"/>
                <w:bCs w:val="0"/>
                <w:i w:val="0"/>
                <w:iCs w:val="0"/>
                <w:color w:val="auto"/>
                <w:sz w:val="24"/>
                <w:szCs w:val="24"/>
                <w:u w:val="none"/>
                <w:lang w:val="en-US" w:eastAsia="zh-CN"/>
              </w:rPr>
              <w:t>套</w:t>
            </w:r>
            <w:r>
              <w:rPr>
                <w:rFonts w:hint="eastAsia" w:ascii="宋体" w:hAnsi="宋体" w:eastAsia="宋体" w:cs="宋体"/>
                <w:b w:val="0"/>
                <w:bCs w:val="0"/>
                <w:i w:val="0"/>
                <w:iCs w:val="0"/>
                <w:color w:val="auto"/>
                <w:sz w:val="24"/>
                <w:szCs w:val="24"/>
                <w:u w:val="none"/>
              </w:rPr>
              <w:t>。</w:t>
            </w:r>
          </w:p>
          <w:p w14:paraId="79381013">
            <w:pPr>
              <w:spacing w:line="360" w:lineRule="auto"/>
              <w:jc w:val="left"/>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rPr>
              <w:t>1</w:t>
            </w:r>
            <w:r>
              <w:rPr>
                <w:rFonts w:hint="eastAsia" w:ascii="宋体" w:hAnsi="宋体" w:cs="宋体"/>
                <w:b w:val="0"/>
                <w:bCs w:val="0"/>
                <w:i w:val="0"/>
                <w:iCs w:val="0"/>
                <w:color w:val="auto"/>
                <w:sz w:val="24"/>
                <w:szCs w:val="24"/>
                <w:u w:val="none"/>
                <w:lang w:val="en-US" w:eastAsia="zh-CN"/>
              </w:rPr>
              <w:t>0</w:t>
            </w:r>
            <w:r>
              <w:rPr>
                <w:rFonts w:hint="eastAsia" w:ascii="宋体" w:hAnsi="宋体" w:eastAsia="宋体" w:cs="宋体"/>
                <w:b w:val="0"/>
                <w:bCs w:val="0"/>
                <w:i w:val="0"/>
                <w:iCs w:val="0"/>
                <w:color w:val="auto"/>
                <w:sz w:val="24"/>
                <w:szCs w:val="24"/>
                <w:u w:val="none"/>
              </w:rPr>
              <w:t>.同正压式消防空气呼吸器、冷却设备、消防员呼救器及通信器材等设备配合使用。颜色为橙黄色。外观质量，面料表面应平整，不应有破洞、气泡、脱层、表面露布、死褶现象。化学防护靴不应有脱齿弹边、脱空、开胶、喷霜、过硫、欠硫现象。化学防护服的外贴条应整齐，不应有部件欠缺</w:t>
            </w:r>
            <w:r>
              <w:rPr>
                <w:rFonts w:hint="eastAsia" w:ascii="宋体" w:hAnsi="宋体" w:eastAsia="宋体" w:cs="宋体"/>
                <w:b w:val="0"/>
                <w:bCs w:val="0"/>
                <w:i w:val="0"/>
                <w:iCs w:val="0"/>
                <w:color w:val="auto"/>
                <w:sz w:val="24"/>
                <w:szCs w:val="24"/>
                <w:u w:val="none"/>
                <w:lang w:eastAsia="zh-CN"/>
              </w:rPr>
              <w:t>；</w:t>
            </w:r>
          </w:p>
          <w:p w14:paraId="78BCCE16">
            <w:pPr>
              <w:numPr>
                <w:ilvl w:val="0"/>
                <w:numId w:val="0"/>
              </w:numPr>
              <w:spacing w:line="360" w:lineRule="auto"/>
              <w:ind w:left="0" w:leftChars="0" w:firstLine="0" w:firstLineChars="0"/>
              <w:jc w:val="left"/>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sz w:val="24"/>
                <w:szCs w:val="24"/>
                <w:u w:val="none"/>
                <w:lang w:val="en-US" w:eastAsia="zh-CN"/>
              </w:rPr>
              <w:t>11</w:t>
            </w:r>
            <w:r>
              <w:rPr>
                <w:rFonts w:hint="eastAsia" w:ascii="宋体" w:hAnsi="宋体" w:eastAsia="宋体" w:cs="宋体"/>
                <w:b w:val="0"/>
                <w:bCs w:val="0"/>
                <w:i w:val="0"/>
                <w:iCs w:val="0"/>
                <w:color w:val="auto"/>
                <w:sz w:val="24"/>
                <w:szCs w:val="24"/>
                <w:u w:val="none"/>
              </w:rPr>
              <w:t>.连体式设计，全封闭式，由聚脂纤维 PVC 材料制成，涂层为防火。采用一个气密型拉链，保证服装最大限度的密封，可完全打开连体服，保证紧急情况下可以迅速穿戴；剪裁方式使接缝数量达到最低，组件和内贴接缝经过内部和外部的双硫化，可密封接缝；可内置空气呼吸器，对有毒、腐蚀性气体、液体和固态化学品进行高级别的防护，具有绝缘、防水、密封等特性。能够防化、防酸碱、防硫等有毒、有害气体和液体。</w:t>
            </w:r>
          </w:p>
        </w:tc>
      </w:tr>
      <w:tr w14:paraId="608EB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6" w:type="dxa"/>
            <w:tcBorders>
              <w:top w:val="single" w:color="000000" w:sz="4" w:space="0"/>
              <w:bottom w:val="single" w:color="000000" w:sz="4" w:space="0"/>
              <w:right w:val="single" w:color="000000" w:sz="4" w:space="0"/>
            </w:tcBorders>
            <w:noWrap w:val="0"/>
            <w:vAlign w:val="center"/>
          </w:tcPr>
          <w:p w14:paraId="356D65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26D365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防高温手套</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458D058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双</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8C85E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150</w:t>
            </w:r>
          </w:p>
        </w:tc>
        <w:tc>
          <w:tcPr>
            <w:tcW w:w="6653" w:type="dxa"/>
            <w:tcBorders>
              <w:top w:val="single" w:color="000000" w:sz="4" w:space="0"/>
              <w:left w:val="single" w:color="000000" w:sz="4" w:space="0"/>
              <w:bottom w:val="single" w:color="000000" w:sz="4" w:space="0"/>
            </w:tcBorders>
            <w:noWrap w:val="0"/>
            <w:vAlign w:val="center"/>
          </w:tcPr>
          <w:p w14:paraId="79EBF8B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rPr>
              <w:t>★</w:t>
            </w:r>
            <w:r>
              <w:rPr>
                <w:rFonts w:hint="eastAsia" w:ascii="宋体" w:hAnsi="宋体" w:eastAsia="宋体" w:cs="宋体"/>
                <w:b w:val="0"/>
                <w:bCs w:val="0"/>
                <w:i w:val="0"/>
                <w:iCs w:val="0"/>
                <w:color w:val="auto"/>
                <w:kern w:val="0"/>
                <w:sz w:val="24"/>
                <w:szCs w:val="24"/>
                <w:u w:val="none"/>
                <w:lang w:val="en-US" w:eastAsia="zh-CN" w:bidi="ar"/>
              </w:rPr>
              <w:t>符合XF7-2004《消防手套》标准。</w:t>
            </w:r>
          </w:p>
          <w:p w14:paraId="78B1F0A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12</w:t>
            </w:r>
            <w:r>
              <w:rPr>
                <w:rFonts w:hint="eastAsia" w:ascii="宋体" w:hAnsi="宋体" w:eastAsia="宋体" w:cs="宋体"/>
                <w:b w:val="0"/>
                <w:bCs w:val="0"/>
                <w:i w:val="0"/>
                <w:iCs w:val="0"/>
                <w:color w:val="auto"/>
                <w:kern w:val="0"/>
                <w:sz w:val="24"/>
                <w:szCs w:val="24"/>
                <w:u w:val="none"/>
                <w:lang w:val="en-US" w:eastAsia="zh-CN" w:bidi="ar"/>
              </w:rPr>
              <w:t>.采用凯夫拉防火纤维或同等质量材质密织而成；</w:t>
            </w:r>
          </w:p>
          <w:p w14:paraId="674470E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13</w:t>
            </w:r>
            <w:r>
              <w:rPr>
                <w:rFonts w:hint="eastAsia" w:ascii="宋体" w:hAnsi="宋体" w:eastAsia="宋体" w:cs="宋体"/>
                <w:b w:val="0"/>
                <w:bCs w:val="0"/>
                <w:i w:val="0"/>
                <w:iCs w:val="0"/>
                <w:color w:val="auto"/>
                <w:kern w:val="0"/>
                <w:sz w:val="24"/>
                <w:szCs w:val="24"/>
                <w:u w:val="none"/>
                <w:lang w:val="en-US" w:eastAsia="zh-CN" w:bidi="ar"/>
              </w:rPr>
              <w:t>.耐热温度≥450℃。</w:t>
            </w:r>
          </w:p>
        </w:tc>
      </w:tr>
      <w:tr w14:paraId="1F1D2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6" w:type="dxa"/>
            <w:tcBorders>
              <w:top w:val="single" w:color="000000" w:sz="4" w:space="0"/>
              <w:bottom w:val="single" w:color="000000" w:sz="4" w:space="0"/>
              <w:right w:val="single" w:color="000000" w:sz="4" w:space="0"/>
            </w:tcBorders>
            <w:noWrap w:val="0"/>
            <w:vAlign w:val="center"/>
          </w:tcPr>
          <w:p w14:paraId="743AAC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FAB04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水域救援防水背包</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BF13EF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0D4870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6653" w:type="dxa"/>
            <w:tcBorders>
              <w:top w:val="single" w:color="000000" w:sz="4" w:space="0"/>
              <w:left w:val="single" w:color="000000" w:sz="4" w:space="0"/>
              <w:bottom w:val="single" w:color="000000" w:sz="4" w:space="0"/>
            </w:tcBorders>
            <w:noWrap w:val="0"/>
            <w:vAlign w:val="center"/>
          </w:tcPr>
          <w:p w14:paraId="2EAA00F9">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14.</w:t>
            </w:r>
            <w:r>
              <w:rPr>
                <w:rFonts w:hint="eastAsia" w:ascii="宋体" w:hAnsi="宋体" w:eastAsia="宋体" w:cs="宋体"/>
                <w:b w:val="0"/>
                <w:bCs w:val="0"/>
                <w:i w:val="0"/>
                <w:iCs w:val="0"/>
                <w:color w:val="auto"/>
                <w:kern w:val="0"/>
                <w:sz w:val="24"/>
                <w:szCs w:val="24"/>
                <w:u w:val="none"/>
                <w:lang w:val="en-US" w:eastAsia="zh-CN" w:bidi="ar"/>
              </w:rPr>
              <w:t>容量：≥90L；</w:t>
            </w:r>
          </w:p>
          <w:p w14:paraId="7B3665AD">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15.</w:t>
            </w:r>
            <w:r>
              <w:rPr>
                <w:rFonts w:hint="eastAsia" w:ascii="宋体" w:hAnsi="宋体" w:eastAsia="宋体" w:cs="宋体"/>
                <w:b w:val="0"/>
                <w:bCs w:val="0"/>
                <w:i w:val="0"/>
                <w:iCs w:val="0"/>
                <w:color w:val="auto"/>
                <w:kern w:val="0"/>
                <w:sz w:val="24"/>
                <w:szCs w:val="24"/>
                <w:u w:val="none"/>
                <w:lang w:val="en-US" w:eastAsia="zh-CN" w:bidi="ar"/>
              </w:rPr>
              <w:t>重量：≤2kg；</w:t>
            </w:r>
          </w:p>
          <w:p w14:paraId="3B9A0916">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16.</w:t>
            </w:r>
            <w:r>
              <w:rPr>
                <w:rFonts w:hint="eastAsia" w:ascii="宋体" w:hAnsi="宋体" w:eastAsia="宋体" w:cs="宋体"/>
                <w:b w:val="0"/>
                <w:bCs w:val="0"/>
                <w:i w:val="0"/>
                <w:iCs w:val="0"/>
                <w:color w:val="auto"/>
                <w:kern w:val="0"/>
                <w:sz w:val="24"/>
                <w:szCs w:val="24"/>
                <w:u w:val="none"/>
                <w:lang w:val="en-US" w:eastAsia="zh-CN" w:bidi="ar"/>
              </w:rPr>
              <w:t>具有防水功能；</w:t>
            </w:r>
          </w:p>
          <w:p w14:paraId="66D9617D">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i w:val="0"/>
                <w:iCs w:val="0"/>
                <w:color w:val="auto"/>
                <w:kern w:val="0"/>
                <w:sz w:val="24"/>
                <w:szCs w:val="24"/>
                <w:u w:val="none"/>
                <w:lang w:val="en-US" w:eastAsia="zh-CN" w:bidi="ar"/>
              </w:rPr>
              <w:t>17.</w:t>
            </w:r>
            <w:r>
              <w:rPr>
                <w:rFonts w:hint="eastAsia" w:ascii="宋体" w:hAnsi="宋体" w:eastAsia="宋体" w:cs="宋体"/>
                <w:b w:val="0"/>
                <w:bCs w:val="0"/>
                <w:i w:val="0"/>
                <w:iCs w:val="0"/>
                <w:color w:val="auto"/>
                <w:kern w:val="0"/>
                <w:sz w:val="24"/>
                <w:szCs w:val="24"/>
                <w:u w:val="none"/>
                <w:lang w:val="en-US" w:eastAsia="zh-CN" w:bidi="ar"/>
              </w:rPr>
              <w:t>颜色：根据采购人要求定制；</w:t>
            </w:r>
          </w:p>
          <w:p w14:paraId="5C83A353">
            <w:pPr>
              <w:numPr>
                <w:ilvl w:val="0"/>
                <w:numId w:val="0"/>
              </w:numPr>
              <w:spacing w:line="360" w:lineRule="auto"/>
              <w:ind w:leftChars="0"/>
              <w:textAlignment w:val="center"/>
              <w:rPr>
                <w:rFonts w:hint="eastAsia" w:ascii="宋体" w:hAnsi="宋体" w:eastAsia="宋体" w:cs="宋体"/>
                <w:b w:val="0"/>
                <w:bCs w:val="0"/>
                <w:color w:val="auto"/>
                <w:sz w:val="24"/>
                <w:szCs w:val="24"/>
                <w:lang w:val="en-US"/>
              </w:rPr>
            </w:pPr>
            <w:r>
              <w:rPr>
                <w:rFonts w:hint="eastAsia" w:ascii="宋体" w:hAnsi="宋体" w:cs="宋体"/>
                <w:b w:val="0"/>
                <w:bCs w:val="0"/>
                <w:i w:val="0"/>
                <w:iCs w:val="0"/>
                <w:color w:val="auto"/>
                <w:kern w:val="0"/>
                <w:sz w:val="24"/>
                <w:szCs w:val="24"/>
                <w:u w:val="none"/>
                <w:lang w:val="en-US" w:eastAsia="zh-CN" w:bidi="ar"/>
              </w:rPr>
              <w:t>18.</w:t>
            </w:r>
            <w:r>
              <w:rPr>
                <w:rFonts w:hint="eastAsia" w:ascii="宋体" w:hAnsi="宋体" w:eastAsia="宋体" w:cs="宋体"/>
                <w:b w:val="0"/>
                <w:bCs w:val="0"/>
                <w:i w:val="0"/>
                <w:iCs w:val="0"/>
                <w:color w:val="auto"/>
                <w:kern w:val="0"/>
                <w:sz w:val="24"/>
                <w:szCs w:val="24"/>
                <w:u w:val="none"/>
                <w:lang w:val="en-US" w:eastAsia="zh-CN" w:bidi="ar"/>
              </w:rPr>
              <w:t>具有高亮反标识；</w:t>
            </w:r>
          </w:p>
          <w:p w14:paraId="2546D0E1">
            <w:pPr>
              <w:numPr>
                <w:ilvl w:val="0"/>
                <w:numId w:val="0"/>
              </w:numPr>
              <w:spacing w:line="360" w:lineRule="auto"/>
              <w:ind w:leftChars="0"/>
              <w:textAlignment w:val="center"/>
              <w:rPr>
                <w:rFonts w:hint="eastAsia" w:ascii="宋体" w:hAnsi="宋体" w:eastAsia="宋体" w:cs="宋体"/>
                <w:b w:val="0"/>
                <w:bCs w:val="0"/>
                <w:color w:val="auto"/>
                <w:sz w:val="24"/>
                <w:szCs w:val="24"/>
                <w:lang w:val="en-US"/>
              </w:rPr>
            </w:pPr>
            <w:r>
              <w:rPr>
                <w:rFonts w:hint="eastAsia" w:ascii="宋体" w:hAnsi="宋体" w:cs="宋体"/>
                <w:b w:val="0"/>
                <w:bCs w:val="0"/>
                <w:color w:val="auto"/>
                <w:sz w:val="24"/>
                <w:szCs w:val="24"/>
                <w:lang w:val="en-US" w:eastAsia="zh-CN"/>
              </w:rPr>
              <w:t>19.</w:t>
            </w:r>
            <w:r>
              <w:rPr>
                <w:rFonts w:hint="eastAsia" w:ascii="宋体" w:hAnsi="宋体" w:eastAsia="宋体" w:cs="宋体"/>
                <w:b w:val="0"/>
                <w:bCs w:val="0"/>
                <w:color w:val="auto"/>
                <w:sz w:val="24"/>
                <w:szCs w:val="24"/>
                <w:lang w:val="en-US"/>
              </w:rPr>
              <w:t>背包采用人体工程学背负设计，肩带、腰带可调节，双侧设置网兜，挂钩，各连接处缝制牢固，双层加固缝制</w:t>
            </w:r>
            <w:r>
              <w:rPr>
                <w:rFonts w:hint="eastAsia" w:ascii="宋体" w:hAnsi="宋体" w:eastAsia="宋体" w:cs="宋体"/>
                <w:b w:val="0"/>
                <w:bCs w:val="0"/>
                <w:color w:val="auto"/>
                <w:sz w:val="24"/>
                <w:szCs w:val="24"/>
                <w:lang w:val="en-US" w:eastAsia="zh-CN"/>
              </w:rPr>
              <w:t>。</w:t>
            </w:r>
          </w:p>
        </w:tc>
      </w:tr>
      <w:tr w14:paraId="3BD8E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06" w:type="dxa"/>
            <w:tcBorders>
              <w:top w:val="single" w:color="000000" w:sz="4" w:space="0"/>
              <w:bottom w:val="single" w:color="000000" w:sz="4" w:space="0"/>
              <w:right w:val="single" w:color="000000" w:sz="4" w:space="0"/>
            </w:tcBorders>
            <w:noWrap w:val="0"/>
            <w:vAlign w:val="center"/>
          </w:tcPr>
          <w:p w14:paraId="03FDC23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109" w:type="dxa"/>
            <w:tcBorders>
              <w:top w:val="single" w:color="000000" w:sz="4" w:space="0"/>
              <w:left w:val="single" w:color="000000" w:sz="4" w:space="0"/>
              <w:bottom w:val="single" w:color="000000" w:sz="4" w:space="0"/>
              <w:right w:val="nil"/>
            </w:tcBorders>
            <w:noWrap w:val="0"/>
            <w:vAlign w:val="center"/>
          </w:tcPr>
          <w:p w14:paraId="0000D1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防静电服</w:t>
            </w:r>
          </w:p>
        </w:tc>
        <w:tc>
          <w:tcPr>
            <w:tcW w:w="564" w:type="dxa"/>
            <w:tcBorders>
              <w:top w:val="single" w:color="000000" w:sz="4" w:space="0"/>
              <w:left w:val="single" w:color="000000" w:sz="4" w:space="0"/>
              <w:bottom w:val="single" w:color="000000" w:sz="4" w:space="0"/>
              <w:right w:val="nil"/>
            </w:tcBorders>
            <w:noWrap w:val="0"/>
            <w:vAlign w:val="center"/>
          </w:tcPr>
          <w:p w14:paraId="5BD526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732" w:type="dxa"/>
            <w:tcBorders>
              <w:top w:val="single" w:color="000000" w:sz="4" w:space="0"/>
              <w:left w:val="single" w:color="000000" w:sz="4" w:space="0"/>
              <w:bottom w:val="single" w:color="000000" w:sz="4" w:space="0"/>
              <w:right w:val="nil"/>
            </w:tcBorders>
            <w:noWrap w:val="0"/>
            <w:vAlign w:val="center"/>
          </w:tcPr>
          <w:p w14:paraId="491D30D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6653" w:type="dxa"/>
            <w:tcBorders>
              <w:top w:val="single" w:color="000000" w:sz="4" w:space="0"/>
              <w:left w:val="single" w:color="000000" w:sz="4" w:space="0"/>
              <w:bottom w:val="single" w:color="000000" w:sz="4" w:space="0"/>
            </w:tcBorders>
            <w:noWrap w:val="0"/>
            <w:vAlign w:val="center"/>
          </w:tcPr>
          <w:p w14:paraId="56057924">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★符合《防护服装 防静电服》（GB12014-2019）标准。</w:t>
            </w:r>
          </w:p>
          <w:p w14:paraId="4CC036A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cs="宋体"/>
                <w:b w:val="0"/>
                <w:bCs w:val="0"/>
                <w:i w:val="0"/>
                <w:iCs w:val="0"/>
                <w:color w:val="auto"/>
                <w:kern w:val="0"/>
                <w:sz w:val="24"/>
                <w:szCs w:val="24"/>
                <w:highlight w:val="none"/>
                <w:u w:val="none"/>
                <w:lang w:val="en-US" w:eastAsia="zh-CN" w:bidi="ar"/>
              </w:rPr>
              <w:t>20</w:t>
            </w:r>
            <w:r>
              <w:rPr>
                <w:rFonts w:hint="eastAsia" w:ascii="宋体" w:hAnsi="宋体" w:eastAsia="宋体" w:cs="宋体"/>
                <w:b w:val="0"/>
                <w:bCs w:val="0"/>
                <w:i w:val="0"/>
                <w:iCs w:val="0"/>
                <w:color w:val="auto"/>
                <w:kern w:val="0"/>
                <w:sz w:val="24"/>
                <w:szCs w:val="24"/>
                <w:highlight w:val="none"/>
                <w:u w:val="none"/>
                <w:lang w:val="en-US" w:eastAsia="zh-CN" w:bidi="ar"/>
              </w:rPr>
              <w:t>.由防静电织物、静电耗散材料、导电纤维等材质组成。</w:t>
            </w:r>
          </w:p>
        </w:tc>
      </w:tr>
      <w:tr w14:paraId="2654B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6" w:type="dxa"/>
            <w:tcBorders>
              <w:top w:val="single" w:color="000000" w:sz="4" w:space="0"/>
              <w:bottom w:val="single" w:color="000000" w:sz="4" w:space="0"/>
              <w:right w:val="single" w:color="000000" w:sz="4" w:space="0"/>
            </w:tcBorders>
            <w:noWrap w:val="0"/>
            <w:vAlign w:val="center"/>
          </w:tcPr>
          <w:p w14:paraId="23C9C1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1109" w:type="dxa"/>
            <w:tcBorders>
              <w:top w:val="single" w:color="000000" w:sz="4" w:space="0"/>
              <w:left w:val="single" w:color="000000" w:sz="4" w:space="0"/>
              <w:bottom w:val="single" w:color="000000" w:sz="4" w:space="0"/>
              <w:right w:val="nil"/>
            </w:tcBorders>
            <w:noWrap w:val="0"/>
            <w:vAlign w:val="center"/>
          </w:tcPr>
          <w:p w14:paraId="57749D6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消防阻燃毛衣</w:t>
            </w:r>
          </w:p>
        </w:tc>
        <w:tc>
          <w:tcPr>
            <w:tcW w:w="564" w:type="dxa"/>
            <w:tcBorders>
              <w:top w:val="single" w:color="000000" w:sz="4" w:space="0"/>
              <w:left w:val="single" w:color="000000" w:sz="4" w:space="0"/>
              <w:bottom w:val="single" w:color="000000" w:sz="4" w:space="0"/>
              <w:right w:val="nil"/>
            </w:tcBorders>
            <w:noWrap w:val="0"/>
            <w:vAlign w:val="center"/>
          </w:tcPr>
          <w:p w14:paraId="7106F4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732" w:type="dxa"/>
            <w:tcBorders>
              <w:top w:val="single" w:color="000000" w:sz="4" w:space="0"/>
              <w:left w:val="single" w:color="000000" w:sz="4" w:space="0"/>
              <w:bottom w:val="single" w:color="000000" w:sz="4" w:space="0"/>
              <w:right w:val="nil"/>
            </w:tcBorders>
            <w:noWrap w:val="0"/>
            <w:vAlign w:val="center"/>
          </w:tcPr>
          <w:p w14:paraId="2A1693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6653" w:type="dxa"/>
            <w:tcBorders>
              <w:top w:val="single" w:color="000000" w:sz="4" w:space="0"/>
              <w:left w:val="single" w:color="000000" w:sz="4" w:space="0"/>
              <w:bottom w:val="single" w:color="000000" w:sz="4" w:space="0"/>
            </w:tcBorders>
            <w:noWrap w:val="0"/>
            <w:vAlign w:val="center"/>
          </w:tcPr>
          <w:p w14:paraId="216F5EE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★符合XF1274-2015《消防员防护辅助装备 阻燃毛衣》标准的要求。款式：长袖款。</w:t>
            </w:r>
          </w:p>
          <w:p w14:paraId="37DDE545">
            <w:pPr>
              <w:keepNext w:val="0"/>
              <w:keepLines w:val="0"/>
              <w:widowControl/>
              <w:suppressLineNumbers w:val="0"/>
              <w:spacing w:line="360" w:lineRule="auto"/>
              <w:jc w:val="left"/>
              <w:textAlignment w:val="center"/>
              <w:rPr>
                <w:rFonts w:hint="eastAsia" w:ascii="宋体" w:hAnsi="宋体" w:eastAsia="宋体" w:cs="宋体"/>
                <w:b w:val="0"/>
                <w:bCs w:val="0"/>
                <w:color w:val="auto"/>
                <w:sz w:val="24"/>
                <w:szCs w:val="24"/>
                <w:highlight w:val="none"/>
              </w:rPr>
            </w:pPr>
            <w:r>
              <w:rPr>
                <w:rFonts w:hint="eastAsia" w:ascii="宋体" w:hAnsi="宋体" w:cs="宋体"/>
                <w:b w:val="0"/>
                <w:bCs w:val="0"/>
                <w:i w:val="0"/>
                <w:iCs w:val="0"/>
                <w:color w:val="auto"/>
                <w:kern w:val="0"/>
                <w:sz w:val="24"/>
                <w:szCs w:val="24"/>
                <w:highlight w:val="none"/>
                <w:u w:val="none"/>
                <w:lang w:val="en-US" w:eastAsia="zh-CN" w:bidi="ar"/>
              </w:rPr>
              <w:t>21</w:t>
            </w:r>
            <w:r>
              <w:rPr>
                <w:rFonts w:hint="eastAsia" w:ascii="宋体" w:hAnsi="宋体" w:eastAsia="宋体" w:cs="宋体"/>
                <w:b w:val="0"/>
                <w:bCs w:val="0"/>
                <w:i w:val="0"/>
                <w:iCs w:val="0"/>
                <w:color w:val="auto"/>
                <w:kern w:val="0"/>
                <w:sz w:val="24"/>
                <w:szCs w:val="24"/>
                <w:highlight w:val="none"/>
                <w:u w:val="none"/>
                <w:lang w:val="en-US" w:eastAsia="zh-CN" w:bidi="ar"/>
              </w:rPr>
              <w:t>、肩部和肘部有加强处理。</w:t>
            </w:r>
          </w:p>
        </w:tc>
      </w:tr>
      <w:tr w14:paraId="59755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606" w:type="dxa"/>
            <w:tcBorders>
              <w:top w:val="single" w:color="000000" w:sz="4" w:space="0"/>
              <w:bottom w:val="single" w:color="000000" w:sz="4" w:space="0"/>
              <w:right w:val="single" w:color="000000" w:sz="4" w:space="0"/>
            </w:tcBorders>
            <w:noWrap w:val="0"/>
            <w:vAlign w:val="center"/>
          </w:tcPr>
          <w:p w14:paraId="7AD3616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109" w:type="dxa"/>
            <w:tcBorders>
              <w:top w:val="single" w:color="000000" w:sz="4" w:space="0"/>
              <w:left w:val="single" w:color="000000" w:sz="4" w:space="0"/>
              <w:bottom w:val="single" w:color="000000" w:sz="4" w:space="0"/>
              <w:right w:val="nil"/>
            </w:tcBorders>
            <w:noWrap w:val="0"/>
            <w:vAlign w:val="center"/>
          </w:tcPr>
          <w:p w14:paraId="64CA09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消防员隔热防护服</w:t>
            </w:r>
          </w:p>
        </w:tc>
        <w:tc>
          <w:tcPr>
            <w:tcW w:w="564" w:type="dxa"/>
            <w:tcBorders>
              <w:top w:val="single" w:color="000000" w:sz="4" w:space="0"/>
              <w:left w:val="single" w:color="000000" w:sz="4" w:space="0"/>
              <w:bottom w:val="single" w:color="000000" w:sz="4" w:space="0"/>
              <w:right w:val="nil"/>
            </w:tcBorders>
            <w:noWrap w:val="0"/>
            <w:vAlign w:val="center"/>
          </w:tcPr>
          <w:p w14:paraId="4D16D8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732" w:type="dxa"/>
            <w:tcBorders>
              <w:top w:val="single" w:color="000000" w:sz="4" w:space="0"/>
              <w:left w:val="single" w:color="000000" w:sz="4" w:space="0"/>
              <w:bottom w:val="single" w:color="000000" w:sz="4" w:space="0"/>
              <w:right w:val="nil"/>
            </w:tcBorders>
            <w:noWrap w:val="0"/>
            <w:vAlign w:val="center"/>
          </w:tcPr>
          <w:p w14:paraId="560E004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6653" w:type="dxa"/>
            <w:tcBorders>
              <w:top w:val="single" w:color="000000" w:sz="4" w:space="0"/>
              <w:left w:val="single" w:color="000000" w:sz="4" w:space="0"/>
              <w:bottom w:val="single" w:color="000000" w:sz="4" w:space="0"/>
            </w:tcBorders>
            <w:noWrap w:val="0"/>
            <w:vAlign w:val="center"/>
          </w:tcPr>
          <w:p w14:paraId="70CCFBC6">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★符合XF634-2015《消防员隔热防护服》要求。分体式。包括隔热上衣、隔热裤、隔热头罩、隔热手套以及隔热脚盖等。</w:t>
            </w:r>
          </w:p>
          <w:p w14:paraId="38DCF676">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一、总体要求</w:t>
            </w:r>
          </w:p>
          <w:p w14:paraId="53981A1B">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22</w:t>
            </w:r>
            <w:r>
              <w:rPr>
                <w:rFonts w:hint="eastAsia" w:ascii="宋体" w:hAnsi="宋体" w:eastAsia="宋体" w:cs="宋体"/>
                <w:b w:val="0"/>
                <w:bCs w:val="0"/>
                <w:i w:val="0"/>
                <w:iCs w:val="0"/>
                <w:color w:val="auto"/>
                <w:kern w:val="0"/>
                <w:sz w:val="24"/>
                <w:szCs w:val="24"/>
                <w:u w:val="none"/>
                <w:lang w:val="en-US" w:eastAsia="zh-CN" w:bidi="ar"/>
              </w:rPr>
              <w:t>.由外层、隔热层、舒适层等多层织物复合而成。</w:t>
            </w:r>
          </w:p>
          <w:p w14:paraId="35B31FC9">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.外层采用具有反射辐射热的金属铝箔表面材料或同等质量材质，并能满足基本服装制作工艺要求和辅料相对应标准的性能要求。</w:t>
            </w:r>
          </w:p>
          <w:p w14:paraId="5086356D">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24</w:t>
            </w:r>
            <w:r>
              <w:rPr>
                <w:rFonts w:hint="eastAsia" w:ascii="宋体" w:hAnsi="宋体" w:eastAsia="宋体" w:cs="宋体"/>
                <w:b w:val="0"/>
                <w:bCs w:val="0"/>
                <w:i w:val="0"/>
                <w:iCs w:val="0"/>
                <w:color w:val="auto"/>
                <w:kern w:val="0"/>
                <w:sz w:val="24"/>
                <w:szCs w:val="24"/>
                <w:u w:val="none"/>
                <w:lang w:val="en-US" w:eastAsia="zh-CN" w:bidi="ar"/>
              </w:rPr>
              <w:t>.各部位缝制平整，无脱线、跳针以及破损等缺陷。粘合衬无脱胶及表面渗胶。铝箔多次弯折不易分层、脱落。</w:t>
            </w:r>
          </w:p>
          <w:p w14:paraId="192D56E4">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★上衣背部设有背囊，应能与9L空气呼吸器配合使用。</w:t>
            </w:r>
          </w:p>
          <w:p w14:paraId="60E241D9">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二、技术要求</w:t>
            </w:r>
          </w:p>
          <w:p w14:paraId="73FF7522">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外层面料性能：</w:t>
            </w:r>
          </w:p>
          <w:p w14:paraId="0F53AB31">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25</w:t>
            </w:r>
            <w:r>
              <w:rPr>
                <w:rFonts w:hint="eastAsia" w:ascii="宋体" w:hAnsi="宋体" w:eastAsia="宋体" w:cs="宋体"/>
                <w:b w:val="0"/>
                <w:bCs w:val="0"/>
                <w:color w:val="auto"/>
                <w:sz w:val="24"/>
                <w:szCs w:val="24"/>
              </w:rPr>
              <w:t>.阻燃性能：续燃时间≤2S，损毁长度经向≤100mm、纬 向≤100mm。</w:t>
            </w:r>
            <w:r>
              <w:rPr>
                <w:rFonts w:hint="eastAsia" w:ascii="宋体" w:hAnsi="宋体" w:eastAsia="宋体" w:cs="宋体"/>
                <w:b w:val="0"/>
                <w:bCs w:val="0"/>
                <w:i w:val="0"/>
                <w:iCs w:val="0"/>
                <w:color w:val="auto"/>
                <w:sz w:val="24"/>
                <w:szCs w:val="24"/>
                <w:u w:val="none"/>
                <w:lang w:val="en-US" w:eastAsia="zh-CN"/>
              </w:rPr>
              <w:t xml:space="preserve"> </w:t>
            </w:r>
          </w:p>
          <w:p w14:paraId="38469121">
            <w:pPr>
              <w:spacing w:line="360" w:lineRule="auto"/>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断裂强力：经向≥650N，纬向≥650N。</w:t>
            </w:r>
          </w:p>
          <w:p w14:paraId="39EAEE0F">
            <w:pPr>
              <w:spacing w:line="360" w:lineRule="auto"/>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27</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 xml:space="preserve">撕破强力：经向≥100N，纬向≥100N </w:t>
            </w:r>
          </w:p>
          <w:p w14:paraId="4307114B">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28</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热稳定性能：尺寸变化率，经向≤10%、纬向≤10%， 260℃5分钟，无变色、脱层、碳化、熔融和滴落现象。</w:t>
            </w:r>
          </w:p>
          <w:p w14:paraId="308C06F1">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29</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 xml:space="preserve">耐静水压性能≥17Kpa </w:t>
            </w:r>
          </w:p>
          <w:p w14:paraId="7BA36E6F">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30</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抗辐射热渗透性能：内表面温升达到24℃的时间≥60秒 。</w:t>
            </w:r>
          </w:p>
          <w:p w14:paraId="018C1EF5">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 xml:space="preserve">隔热层性能: </w:t>
            </w:r>
          </w:p>
          <w:p w14:paraId="330D2BA5">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31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阻燃性能：续燃时间≤0S, 经向损毁长度≤55mm，纬向 损毁长度≤45m。</w:t>
            </w:r>
            <w:r>
              <w:rPr>
                <w:rFonts w:hint="eastAsia" w:ascii="宋体" w:hAnsi="宋体" w:eastAsia="宋体" w:cs="宋体"/>
                <w:b w:val="0"/>
                <w:bCs w:val="0"/>
                <w:i w:val="0"/>
                <w:iCs w:val="0"/>
                <w:color w:val="auto"/>
                <w:sz w:val="24"/>
                <w:szCs w:val="24"/>
                <w:u w:val="none"/>
                <w:lang w:val="en-US" w:eastAsia="zh-CN"/>
              </w:rPr>
              <w:t xml:space="preserve">  </w:t>
            </w:r>
          </w:p>
          <w:p w14:paraId="7462233C">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热稳定性能：经纬向尺寸变化率≤2%。</w:t>
            </w:r>
          </w:p>
          <w:p w14:paraId="162182F9">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）舒适层性能：</w:t>
            </w:r>
          </w:p>
          <w:p w14:paraId="13D83A74">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33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阻燃性能：续燃时间≤2S, 经向损毁长度≤100mm，纬向损毁长度≤100m</w:t>
            </w:r>
            <w:r>
              <w:rPr>
                <w:rFonts w:hint="eastAsia" w:ascii="宋体" w:hAnsi="宋体" w:eastAsia="宋体" w:cs="宋体"/>
                <w:b w:val="0"/>
                <w:bCs w:val="0"/>
                <w:color w:val="auto"/>
                <w:sz w:val="24"/>
                <w:szCs w:val="24"/>
                <w:lang w:eastAsia="zh-CN"/>
              </w:rPr>
              <w:t>；</w:t>
            </w:r>
          </w:p>
          <w:p w14:paraId="0AEEE797">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断裂强力：经向≥300N，纬向≥300N</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 </w:t>
            </w:r>
          </w:p>
          <w:p w14:paraId="688D64AD">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整体接缝断裂强力≥650N</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 xml:space="preserve"> </w:t>
            </w:r>
          </w:p>
          <w:p w14:paraId="66C7CCD9">
            <w:pPr>
              <w:keepNext w:val="0"/>
              <w:keepLines w:val="0"/>
              <w:widowControl/>
              <w:numPr>
                <w:ilvl w:val="0"/>
                <w:numId w:val="0"/>
              </w:numPr>
              <w:suppressLineNumbers w:val="0"/>
              <w:spacing w:line="360" w:lineRule="auto"/>
              <w:ind w:left="0" w:leftChars="0" w:firstLine="0" w:firstLineChars="0"/>
              <w:jc w:val="left"/>
              <w:textAlignment w:val="center"/>
              <w:rPr>
                <w:rFonts w:hint="eastAsia" w:ascii="宋体" w:hAnsi="宋体" w:eastAsia="宋体" w:cs="宋体"/>
                <w:b w:val="0"/>
                <w:bCs w:val="0"/>
                <w:i w:val="0"/>
                <w:iCs w:val="0"/>
                <w:color w:val="auto"/>
                <w:sz w:val="24"/>
                <w:szCs w:val="24"/>
                <w:u w:val="none"/>
              </w:rPr>
            </w:pPr>
            <w:r>
              <w:rPr>
                <w:rFonts w:hint="eastAsia" w:ascii="宋体" w:hAnsi="宋体" w:cs="宋体"/>
                <w:b w:val="0"/>
                <w:bCs w:val="0"/>
                <w:color w:val="auto"/>
                <w:sz w:val="24"/>
                <w:szCs w:val="24"/>
                <w:lang w:val="en-US" w:eastAsia="zh-CN"/>
              </w:rPr>
              <w:t>36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火焰和辐射热防护性能：TPP≥28cal/c㎡</w:t>
            </w:r>
          </w:p>
        </w:tc>
      </w:tr>
    </w:tbl>
    <w:p w14:paraId="0D8616DB">
      <w:pPr>
        <w:rPr>
          <w:rFonts w:hint="eastAsia" w:asciiTheme="minorEastAsia" w:hAnsiTheme="minorEastAsia" w:eastAsiaTheme="minorEastAsia" w:cstheme="minorEastAsia"/>
          <w:b/>
          <w:bCs/>
          <w:color w:val="auto"/>
          <w:sz w:val="24"/>
          <w:szCs w:val="24"/>
        </w:rPr>
      </w:pPr>
    </w:p>
    <w:p w14:paraId="7A2D3DB7">
      <w:pPr>
        <w:shd w:val="clea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第三包</w:t>
      </w:r>
    </w:p>
    <w:tbl>
      <w:tblPr>
        <w:tblStyle w:val="59"/>
        <w:tblW w:w="9664"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109"/>
        <w:gridCol w:w="564"/>
        <w:gridCol w:w="732"/>
        <w:gridCol w:w="6653"/>
      </w:tblGrid>
      <w:tr w14:paraId="4D02C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06" w:type="dxa"/>
            <w:tcBorders>
              <w:top w:val="single" w:color="000000" w:sz="4" w:space="0"/>
              <w:bottom w:val="single" w:color="000000" w:sz="4" w:space="0"/>
              <w:right w:val="single" w:color="auto" w:sz="4" w:space="0"/>
            </w:tcBorders>
            <w:noWrap w:val="0"/>
            <w:vAlign w:val="center"/>
          </w:tcPr>
          <w:p w14:paraId="49FDB3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bookmarkStart w:id="356" w:name="OLE_LINK11"/>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1109" w:type="dxa"/>
            <w:tcBorders>
              <w:top w:val="single" w:color="auto" w:sz="4" w:space="0"/>
              <w:left w:val="single" w:color="auto" w:sz="4" w:space="0"/>
              <w:bottom w:val="single" w:color="auto" w:sz="4" w:space="0"/>
              <w:right w:val="single" w:color="000000" w:sz="4" w:space="0"/>
            </w:tcBorders>
            <w:noWrap w:val="0"/>
            <w:vAlign w:val="center"/>
          </w:tcPr>
          <w:p w14:paraId="584C38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装备（物资）名称</w:t>
            </w:r>
          </w:p>
        </w:tc>
        <w:tc>
          <w:tcPr>
            <w:tcW w:w="564" w:type="dxa"/>
            <w:tcBorders>
              <w:top w:val="single" w:color="auto" w:sz="4" w:space="0"/>
              <w:left w:val="single" w:color="000000" w:sz="4" w:space="0"/>
              <w:bottom w:val="single" w:color="auto" w:sz="4" w:space="0"/>
              <w:right w:val="single" w:color="000000" w:sz="4" w:space="0"/>
            </w:tcBorders>
            <w:noWrap/>
            <w:vAlign w:val="center"/>
          </w:tcPr>
          <w:p w14:paraId="465297A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w:t>
            </w:r>
          </w:p>
        </w:tc>
        <w:tc>
          <w:tcPr>
            <w:tcW w:w="732" w:type="dxa"/>
            <w:tcBorders>
              <w:top w:val="single" w:color="auto" w:sz="4" w:space="0"/>
              <w:left w:val="single" w:color="000000" w:sz="4" w:space="0"/>
              <w:bottom w:val="single" w:color="auto" w:sz="4" w:space="0"/>
              <w:right w:val="single" w:color="000000" w:sz="4" w:space="0"/>
            </w:tcBorders>
            <w:noWrap/>
            <w:vAlign w:val="center"/>
          </w:tcPr>
          <w:p w14:paraId="0F0E4F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sz w:val="24"/>
                <w:szCs w:val="24"/>
                <w:u w:val="none"/>
                <w:lang w:val="en-US" w:eastAsia="zh-CN"/>
              </w:rPr>
              <w:t>数量</w:t>
            </w:r>
          </w:p>
        </w:tc>
        <w:tc>
          <w:tcPr>
            <w:tcW w:w="6653" w:type="dxa"/>
            <w:tcBorders>
              <w:top w:val="single" w:color="auto" w:sz="4" w:space="0"/>
              <w:left w:val="nil"/>
              <w:bottom w:val="single" w:color="auto" w:sz="4" w:space="0"/>
            </w:tcBorders>
            <w:noWrap w:val="0"/>
            <w:vAlign w:val="center"/>
          </w:tcPr>
          <w:p w14:paraId="0CE5B405">
            <w:pPr>
              <w:keepNext w:val="0"/>
              <w:keepLines w:val="0"/>
              <w:widowControl/>
              <w:suppressLineNumbers w:val="0"/>
              <w:spacing w:line="360" w:lineRule="auto"/>
              <w:jc w:val="center"/>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技术要求</w:t>
            </w:r>
          </w:p>
        </w:tc>
      </w:tr>
      <w:tr w14:paraId="6ECD1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06" w:type="dxa"/>
            <w:tcBorders>
              <w:top w:val="single" w:color="000000" w:sz="4" w:space="0"/>
              <w:bottom w:val="single" w:color="000000" w:sz="4" w:space="0"/>
              <w:right w:val="single" w:color="auto" w:sz="4" w:space="0"/>
            </w:tcBorders>
            <w:noWrap w:val="0"/>
            <w:vAlign w:val="center"/>
          </w:tcPr>
          <w:p w14:paraId="33E548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lang w:val="en-US"/>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w:t>
            </w:r>
          </w:p>
        </w:tc>
        <w:tc>
          <w:tcPr>
            <w:tcW w:w="1109" w:type="dxa"/>
            <w:tcBorders>
              <w:top w:val="single" w:color="auto" w:sz="4" w:space="0"/>
              <w:left w:val="single" w:color="auto" w:sz="4" w:space="0"/>
              <w:bottom w:val="single" w:color="auto" w:sz="4" w:space="0"/>
              <w:right w:val="single" w:color="000000" w:sz="4" w:space="0"/>
            </w:tcBorders>
            <w:noWrap w:val="0"/>
            <w:vAlign w:val="center"/>
          </w:tcPr>
          <w:p w14:paraId="3F9976A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泡沫枪</w:t>
            </w:r>
          </w:p>
        </w:tc>
        <w:tc>
          <w:tcPr>
            <w:tcW w:w="564" w:type="dxa"/>
            <w:tcBorders>
              <w:top w:val="single" w:color="auto" w:sz="4" w:space="0"/>
              <w:left w:val="single" w:color="000000" w:sz="4" w:space="0"/>
              <w:bottom w:val="single" w:color="auto" w:sz="4" w:space="0"/>
              <w:right w:val="single" w:color="000000" w:sz="4" w:space="0"/>
            </w:tcBorders>
            <w:noWrap/>
            <w:vAlign w:val="center"/>
          </w:tcPr>
          <w:p w14:paraId="35B1C44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支</w:t>
            </w:r>
          </w:p>
        </w:tc>
        <w:tc>
          <w:tcPr>
            <w:tcW w:w="732" w:type="dxa"/>
            <w:tcBorders>
              <w:top w:val="single" w:color="auto" w:sz="4" w:space="0"/>
              <w:left w:val="single" w:color="000000" w:sz="4" w:space="0"/>
              <w:bottom w:val="single" w:color="auto" w:sz="4" w:space="0"/>
              <w:right w:val="single" w:color="000000" w:sz="4" w:space="0"/>
            </w:tcBorders>
            <w:noWrap/>
            <w:vAlign w:val="center"/>
          </w:tcPr>
          <w:p w14:paraId="6EB74D6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w:t>
            </w:r>
          </w:p>
        </w:tc>
        <w:tc>
          <w:tcPr>
            <w:tcW w:w="6653" w:type="dxa"/>
            <w:tcBorders>
              <w:top w:val="single" w:color="auto" w:sz="4" w:space="0"/>
              <w:left w:val="nil"/>
              <w:bottom w:val="single" w:color="auto" w:sz="4" w:space="0"/>
            </w:tcBorders>
            <w:noWrap w:val="0"/>
            <w:vAlign w:val="center"/>
          </w:tcPr>
          <w:p w14:paraId="6F76CB02">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★符合GB25202-2010《泡沫枪》标准。卡式雄接口，口径：65mm；带开关手柄、可旋转接口；</w:t>
            </w:r>
          </w:p>
          <w:p w14:paraId="445481DC">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1.混合液额定流量：≥16L/s；</w:t>
            </w:r>
          </w:p>
          <w:p w14:paraId="547F0F08">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2.额定工作压力：≤0.8Mpa；</w:t>
            </w:r>
          </w:p>
          <w:p w14:paraId="2440B2C6">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3.发泡倍数：5≤N＜20；</w:t>
            </w:r>
          </w:p>
          <w:p w14:paraId="55F9A236">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4.25%析液时间：≥2min；</w:t>
            </w:r>
          </w:p>
          <w:p w14:paraId="6AD3691D">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▲5.射程：≥28m；</w:t>
            </w:r>
          </w:p>
          <w:p w14:paraId="3E3F24D3">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6.配备自吸式设备，泡沫混合比：6%。</w:t>
            </w:r>
          </w:p>
          <w:p w14:paraId="27B8D7B3">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color w:val="auto"/>
                <w:sz w:val="24"/>
                <w:szCs w:val="24"/>
              </w:rPr>
            </w:pPr>
            <w:r>
              <w:rPr>
                <w:rStyle w:val="632"/>
                <w:rFonts w:hint="eastAsia" w:asciiTheme="minorEastAsia" w:hAnsiTheme="minorEastAsia" w:eastAsiaTheme="minorEastAsia" w:cstheme="minorEastAsia"/>
                <w:b w:val="0"/>
                <w:bCs w:val="0"/>
                <w:iCs w:val="0"/>
                <w:color w:val="auto"/>
                <w:sz w:val="24"/>
                <w:szCs w:val="24"/>
                <w:lang w:val="en-US" w:eastAsia="zh-CN" w:bidi="ar"/>
              </w:rPr>
              <w:t>7.与泡沫液或泡沫混合液直接接触的零部件、枪筒采用耐腐蚀材料制作。</w:t>
            </w:r>
          </w:p>
        </w:tc>
      </w:tr>
      <w:tr w14:paraId="4F8D0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6" w:type="dxa"/>
            <w:tcBorders>
              <w:top w:val="single" w:color="000000" w:sz="4" w:space="0"/>
              <w:bottom w:val="single" w:color="000000" w:sz="4" w:space="0"/>
              <w:right w:val="single" w:color="000000" w:sz="4" w:space="0"/>
            </w:tcBorders>
            <w:noWrap w:val="0"/>
            <w:vAlign w:val="center"/>
          </w:tcPr>
          <w:p w14:paraId="45828EF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w:t>
            </w:r>
          </w:p>
        </w:tc>
        <w:tc>
          <w:tcPr>
            <w:tcW w:w="1109" w:type="dxa"/>
            <w:tcBorders>
              <w:top w:val="single" w:color="auto" w:sz="4" w:space="0"/>
              <w:left w:val="single" w:color="000000" w:sz="4" w:space="0"/>
              <w:bottom w:val="single" w:color="000000" w:sz="4" w:space="0"/>
              <w:right w:val="single" w:color="000000" w:sz="4" w:space="0"/>
            </w:tcBorders>
            <w:noWrap w:val="0"/>
            <w:vAlign w:val="center"/>
          </w:tcPr>
          <w:p w14:paraId="78F60AC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止水器</w:t>
            </w:r>
          </w:p>
        </w:tc>
        <w:tc>
          <w:tcPr>
            <w:tcW w:w="564" w:type="dxa"/>
            <w:tcBorders>
              <w:top w:val="single" w:color="auto" w:sz="4" w:space="0"/>
              <w:left w:val="single" w:color="000000" w:sz="4" w:space="0"/>
              <w:bottom w:val="single" w:color="000000" w:sz="4" w:space="0"/>
              <w:right w:val="single" w:color="000000" w:sz="4" w:space="0"/>
            </w:tcBorders>
            <w:noWrap/>
            <w:vAlign w:val="center"/>
          </w:tcPr>
          <w:p w14:paraId="5621424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个</w:t>
            </w:r>
          </w:p>
        </w:tc>
        <w:tc>
          <w:tcPr>
            <w:tcW w:w="732" w:type="dxa"/>
            <w:tcBorders>
              <w:top w:val="single" w:color="auto" w:sz="4" w:space="0"/>
              <w:left w:val="single" w:color="000000" w:sz="4" w:space="0"/>
              <w:bottom w:val="single" w:color="000000" w:sz="4" w:space="0"/>
              <w:right w:val="single" w:color="000000" w:sz="4" w:space="0"/>
            </w:tcBorders>
            <w:noWrap w:val="0"/>
            <w:vAlign w:val="center"/>
          </w:tcPr>
          <w:p w14:paraId="4CFBA3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50</w:t>
            </w:r>
          </w:p>
        </w:tc>
        <w:tc>
          <w:tcPr>
            <w:tcW w:w="6653" w:type="dxa"/>
            <w:tcBorders>
              <w:top w:val="single" w:color="auto" w:sz="4" w:space="0"/>
              <w:left w:val="single" w:color="000000" w:sz="4" w:space="0"/>
              <w:bottom w:val="single" w:color="000000" w:sz="4" w:space="0"/>
            </w:tcBorders>
            <w:noWrap w:val="0"/>
            <w:vAlign w:val="center"/>
          </w:tcPr>
          <w:p w14:paraId="24CEF6FA">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★配中压卡式接口，接口性能：进水口为1个65mm卡式雄接口，出水口为1个65mm卡式雌接口，性能符合GB 12514.1-2005《消防接口 第1部分：消防接口通用技术条件》的标准要求。</w:t>
            </w:r>
          </w:p>
          <w:p w14:paraId="048CB7D6">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8.公称压力：≥2.5MPa，操作力矩：≤15（N•m）；</w:t>
            </w:r>
          </w:p>
          <w:p w14:paraId="28194568">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9.阀门形式：球阀式；</w:t>
            </w:r>
          </w:p>
          <w:p w14:paraId="398ED9F5">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10.重量：≤2.5kg。</w:t>
            </w:r>
          </w:p>
        </w:tc>
      </w:tr>
      <w:tr w14:paraId="73BD0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06" w:type="dxa"/>
            <w:tcBorders>
              <w:top w:val="single" w:color="000000" w:sz="4" w:space="0"/>
              <w:bottom w:val="single" w:color="000000" w:sz="4" w:space="0"/>
              <w:right w:val="single" w:color="000000" w:sz="4" w:space="0"/>
            </w:tcBorders>
            <w:noWrap w:val="0"/>
            <w:vAlign w:val="center"/>
          </w:tcPr>
          <w:p w14:paraId="55F0D4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20DF6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水带（65-25）</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33AC72C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C02A3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950</w:t>
            </w:r>
          </w:p>
        </w:tc>
        <w:tc>
          <w:tcPr>
            <w:tcW w:w="6653" w:type="dxa"/>
            <w:tcBorders>
              <w:top w:val="single" w:color="000000" w:sz="4" w:space="0"/>
              <w:left w:val="single" w:color="000000" w:sz="4" w:space="0"/>
              <w:bottom w:val="single" w:color="000000" w:sz="4" w:space="0"/>
            </w:tcBorders>
            <w:noWrap w:val="0"/>
            <w:vAlign w:val="center"/>
          </w:tcPr>
          <w:p w14:paraId="7EA97ACB">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★水带符合GB6246-2011《消防水带》，接口符合GB12514.1-2005《消防接口第1部分：消防接口通用技术条件》、GB12514.3-2006《消防接口第3部分：卡式消防接口型式和基本参数》。</w:t>
            </w:r>
          </w:p>
          <w:p w14:paraId="1DBF974F">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bCs/>
                <w:iCs w:val="0"/>
                <w:color w:val="auto"/>
                <w:sz w:val="24"/>
                <w:szCs w:val="24"/>
                <w:lang w:val="en-US" w:eastAsia="zh-CN" w:bidi="ar"/>
              </w:rPr>
            </w:pPr>
            <w:r>
              <w:rPr>
                <w:rStyle w:val="632"/>
                <w:rFonts w:hint="eastAsia" w:asciiTheme="minorEastAsia" w:hAnsiTheme="minorEastAsia" w:eastAsiaTheme="minorEastAsia" w:cstheme="minorEastAsia"/>
                <w:b/>
                <w:bCs/>
                <w:iCs w:val="0"/>
                <w:color w:val="auto"/>
                <w:sz w:val="24"/>
                <w:szCs w:val="24"/>
                <w:lang w:val="en-US" w:eastAsia="zh-CN" w:bidi="ar"/>
              </w:rPr>
              <w:t>一、水带</w:t>
            </w:r>
          </w:p>
          <w:p w14:paraId="0A161E63">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★标识：在水带表面编制非黑色反光条（宽度8-10mm），在端部附近中心线两侧用不易脱落的油墨，清晰地印有：产品名称、规格型号、生产厂名、注册商标和生产日期；</w:t>
            </w:r>
          </w:p>
          <w:p w14:paraId="336414E0">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11.材质：编织层使用涤纶长丝材质。衬里使用聚氨酯材质。</w:t>
            </w:r>
          </w:p>
          <w:p w14:paraId="2D42CE7D">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★每盘长度：≥20m；</w:t>
            </w:r>
          </w:p>
          <w:p w14:paraId="12F8CF66">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▲12.工作压力（含连接设备）≥2.5MPa，爆破压力≥7.5MPa；</w:t>
            </w:r>
          </w:p>
          <w:p w14:paraId="088024B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b w:val="0"/>
                <w:bCs w:val="0"/>
                <w:color w:val="auto"/>
                <w:sz w:val="24"/>
                <w:szCs w:val="24"/>
              </w:rPr>
            </w:pPr>
            <w:r>
              <w:rPr>
                <w:rStyle w:val="632"/>
                <w:rFonts w:hint="eastAsia" w:asciiTheme="minorEastAsia" w:hAnsiTheme="minorEastAsia" w:eastAsiaTheme="minorEastAsia" w:cstheme="minorEastAsia"/>
                <w:b w:val="0"/>
                <w:bCs w:val="0"/>
                <w:iCs w:val="0"/>
                <w:color w:val="auto"/>
                <w:sz w:val="24"/>
                <w:szCs w:val="24"/>
                <w:lang w:val="en-US" w:eastAsia="zh-CN" w:bidi="ar"/>
              </w:rPr>
              <w:t>▲13.单位长度质量≤400g/m，延展率≤6%，附着强度≥35N/25mm；</w:t>
            </w:r>
          </w:p>
          <w:p w14:paraId="3892DDC0">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14.颜色：白色。原丝染色，使用水带时不掉色；</w:t>
            </w:r>
          </w:p>
          <w:p w14:paraId="003D51A9">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bCs/>
                <w:iCs w:val="0"/>
                <w:color w:val="auto"/>
                <w:sz w:val="24"/>
                <w:szCs w:val="24"/>
                <w:lang w:val="en-US" w:eastAsia="zh-CN" w:bidi="ar"/>
              </w:rPr>
            </w:pPr>
            <w:r>
              <w:rPr>
                <w:rStyle w:val="632"/>
                <w:rFonts w:hint="eastAsia" w:asciiTheme="minorEastAsia" w:hAnsiTheme="minorEastAsia" w:eastAsiaTheme="minorEastAsia" w:cstheme="minorEastAsia"/>
                <w:b/>
                <w:bCs/>
                <w:iCs w:val="0"/>
                <w:color w:val="auto"/>
                <w:sz w:val="24"/>
                <w:szCs w:val="24"/>
                <w:lang w:val="en-US" w:eastAsia="zh-CN" w:bidi="ar"/>
              </w:rPr>
              <w:t>二、接口</w:t>
            </w:r>
          </w:p>
          <w:p w14:paraId="289573A7">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★接口公称通径65mm</w:t>
            </w:r>
          </w:p>
          <w:p w14:paraId="7CB2CCAB">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15.水带两端有捆扎好的卡式接口（一雌一雄），，压力≥2.5MPa；</w:t>
            </w:r>
          </w:p>
          <w:p w14:paraId="323B19AB">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16.水带两端有3个以上凹槽缠绕，且每个凹槽不少于5圈360度的高强度镀锌铁丝捆扎，带护套；</w:t>
            </w:r>
          </w:p>
          <w:p w14:paraId="4F5E41DC">
            <w:pPr>
              <w:spacing w:line="360" w:lineRule="auto"/>
              <w:textAlignment w:val="center"/>
              <w:rPr>
                <w:rFonts w:hint="eastAsia" w:asciiTheme="minorEastAsia" w:hAnsiTheme="minorEastAsia" w:eastAsiaTheme="minorEastAsia" w:cstheme="minorEastAsia"/>
                <w:b w:val="0"/>
                <w:bCs w:val="0"/>
                <w:color w:val="auto"/>
                <w:sz w:val="24"/>
                <w:szCs w:val="24"/>
              </w:rPr>
            </w:pPr>
            <w:r>
              <w:rPr>
                <w:rStyle w:val="632"/>
                <w:rFonts w:hint="eastAsia" w:asciiTheme="minorEastAsia" w:hAnsiTheme="minorEastAsia" w:eastAsiaTheme="minorEastAsia" w:cstheme="minorEastAsia"/>
                <w:b w:val="0"/>
                <w:bCs w:val="0"/>
                <w:iCs w:val="0"/>
                <w:color w:val="auto"/>
                <w:sz w:val="24"/>
                <w:szCs w:val="24"/>
                <w:lang w:val="en-US" w:eastAsia="zh-CN" w:bidi="ar"/>
              </w:rPr>
              <w:t>17.水带与消防接口连接处无渗漏、爆破或滑脱。</w:t>
            </w:r>
          </w:p>
        </w:tc>
      </w:tr>
      <w:tr w14:paraId="0C844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06" w:type="dxa"/>
            <w:tcBorders>
              <w:top w:val="single" w:color="000000" w:sz="4" w:space="0"/>
              <w:bottom w:val="single" w:color="000000" w:sz="4" w:space="0"/>
              <w:right w:val="single" w:color="000000" w:sz="4" w:space="0"/>
            </w:tcBorders>
            <w:noWrap w:val="0"/>
            <w:vAlign w:val="center"/>
          </w:tcPr>
          <w:p w14:paraId="43B650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5E5722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水带（80-25）</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0648E6F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盘</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53B95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1050</w:t>
            </w:r>
          </w:p>
        </w:tc>
        <w:tc>
          <w:tcPr>
            <w:tcW w:w="6653" w:type="dxa"/>
            <w:tcBorders>
              <w:top w:val="single" w:color="000000" w:sz="4" w:space="0"/>
              <w:left w:val="single" w:color="000000" w:sz="4" w:space="0"/>
              <w:bottom w:val="single" w:color="000000" w:sz="4" w:space="0"/>
            </w:tcBorders>
            <w:noWrap w:val="0"/>
            <w:vAlign w:val="center"/>
          </w:tcPr>
          <w:p w14:paraId="7CCBEA4E">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★水带符合GB6246-2011《消防水带》，接口符合GB12514.1-2005《消防接口第1部分：消防接口通用技术条件》、GB12514.3-2006《消防接口第3部分：卡式消防接口型式和基本参数》。</w:t>
            </w:r>
          </w:p>
          <w:p w14:paraId="762E26BD">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bCs/>
                <w:iCs w:val="0"/>
                <w:color w:val="auto"/>
                <w:sz w:val="24"/>
                <w:szCs w:val="24"/>
                <w:lang w:val="en-US" w:eastAsia="zh-CN" w:bidi="ar"/>
              </w:rPr>
            </w:pPr>
            <w:r>
              <w:rPr>
                <w:rStyle w:val="632"/>
                <w:rFonts w:hint="eastAsia" w:asciiTheme="minorEastAsia" w:hAnsiTheme="minorEastAsia" w:eastAsiaTheme="minorEastAsia" w:cstheme="minorEastAsia"/>
                <w:b/>
                <w:bCs/>
                <w:iCs w:val="0"/>
                <w:color w:val="auto"/>
                <w:sz w:val="24"/>
                <w:szCs w:val="24"/>
                <w:lang w:val="en-US" w:eastAsia="zh-CN" w:bidi="ar"/>
              </w:rPr>
              <w:t>一、水带</w:t>
            </w:r>
          </w:p>
          <w:p w14:paraId="5BEE0E52">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★标识：在水带表面编制非黑色反光条（宽度8-10mm），在端部附近中心线两侧用不易脱落的油墨，清晰地印有：产品名称、规格型号、生产厂名、注册商标和生产日期；</w:t>
            </w:r>
          </w:p>
          <w:p w14:paraId="7A8DB26A">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18.材质：编织层使用涤纶长丝材质。衬里使用聚氨酯材质；</w:t>
            </w:r>
          </w:p>
          <w:p w14:paraId="731AF1C2">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★每盘长度：≥20m；</w:t>
            </w:r>
          </w:p>
          <w:p w14:paraId="1BDC5638">
            <w:pPr>
              <w:spacing w:line="360" w:lineRule="auto"/>
              <w:rPr>
                <w:rFonts w:hint="eastAsia" w:asciiTheme="minorEastAsia" w:hAnsiTheme="minorEastAsia" w:eastAsiaTheme="minorEastAsia" w:cstheme="minorEastAsia"/>
                <w:b w:val="0"/>
                <w:bCs w:val="0"/>
                <w:i w:val="0"/>
                <w:iCs w:val="0"/>
                <w:color w:val="auto"/>
                <w:sz w:val="24"/>
                <w:szCs w:val="24"/>
                <w:u w:val="none"/>
                <w:lang w:val="en-US" w:eastAsia="zh-CN"/>
              </w:rPr>
            </w:pPr>
            <w:r>
              <w:rPr>
                <w:rStyle w:val="632"/>
                <w:rFonts w:hint="eastAsia" w:asciiTheme="minorEastAsia" w:hAnsiTheme="minorEastAsia" w:eastAsiaTheme="minorEastAsia" w:cstheme="minorEastAsia"/>
                <w:b w:val="0"/>
                <w:bCs w:val="0"/>
                <w:iCs w:val="0"/>
                <w:color w:val="auto"/>
                <w:sz w:val="24"/>
                <w:szCs w:val="24"/>
                <w:lang w:val="en-US" w:eastAsia="zh-CN" w:bidi="ar"/>
              </w:rPr>
              <w:t>▲19.工作压力（含连接设备）≥2.5MPa，爆破压力≥7.5MPa；</w:t>
            </w:r>
          </w:p>
          <w:p w14:paraId="42A92EF1">
            <w:pPr>
              <w:spacing w:line="360" w:lineRule="auto"/>
              <w:rPr>
                <w:rFonts w:hint="eastAsia" w:asciiTheme="minorEastAsia" w:hAnsiTheme="minorEastAsia" w:eastAsiaTheme="minorEastAsia" w:cstheme="minorEastAsia"/>
                <w:b w:val="0"/>
                <w:bCs w:val="0"/>
                <w:i w:val="0"/>
                <w:iCs w:val="0"/>
                <w:color w:val="auto"/>
                <w:sz w:val="24"/>
                <w:szCs w:val="24"/>
                <w:u w:val="none"/>
                <w:lang w:val="en-US" w:eastAsia="zh-CN"/>
              </w:rPr>
            </w:pPr>
            <w:r>
              <w:rPr>
                <w:rStyle w:val="632"/>
                <w:rFonts w:hint="eastAsia" w:asciiTheme="minorEastAsia" w:hAnsiTheme="minorEastAsia" w:eastAsiaTheme="minorEastAsia" w:cstheme="minorEastAsia"/>
                <w:b w:val="0"/>
                <w:bCs w:val="0"/>
                <w:iCs w:val="0"/>
                <w:color w:val="auto"/>
                <w:sz w:val="24"/>
                <w:szCs w:val="24"/>
                <w:lang w:val="en-US" w:eastAsia="zh-CN" w:bidi="ar"/>
              </w:rPr>
              <w:t>▲20.单位长度质量≤500g/m，延展率≤6%，附着强度≥32N/25mm；</w:t>
            </w:r>
          </w:p>
          <w:p w14:paraId="31E703D7">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21.颜色：红色。原丝染色，使用水带时不掉色；</w:t>
            </w:r>
          </w:p>
          <w:p w14:paraId="1C2D75E8">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bCs/>
                <w:iCs w:val="0"/>
                <w:color w:val="auto"/>
                <w:sz w:val="24"/>
                <w:szCs w:val="24"/>
                <w:lang w:val="en-US" w:eastAsia="zh-CN" w:bidi="ar"/>
              </w:rPr>
            </w:pPr>
            <w:r>
              <w:rPr>
                <w:rStyle w:val="632"/>
                <w:rFonts w:hint="eastAsia" w:asciiTheme="minorEastAsia" w:hAnsiTheme="minorEastAsia" w:eastAsiaTheme="minorEastAsia" w:cstheme="minorEastAsia"/>
                <w:b/>
                <w:bCs/>
                <w:iCs w:val="0"/>
                <w:color w:val="auto"/>
                <w:sz w:val="24"/>
                <w:szCs w:val="24"/>
                <w:lang w:val="en-US" w:eastAsia="zh-CN" w:bidi="ar"/>
              </w:rPr>
              <w:t>二、接口</w:t>
            </w:r>
          </w:p>
          <w:p w14:paraId="2E9FA068">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★接口公称通径80mm。</w:t>
            </w:r>
          </w:p>
          <w:p w14:paraId="4D64CE8F">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22.水带两端有捆扎好的卡式接口（一雌一雄），压力≥2.5MPa；</w:t>
            </w:r>
          </w:p>
          <w:p w14:paraId="5F9501ED">
            <w:pPr>
              <w:keepNext w:val="0"/>
              <w:keepLines w:val="0"/>
              <w:widowControl/>
              <w:suppressLineNumbers w:val="0"/>
              <w:spacing w:line="360" w:lineRule="auto"/>
              <w:jc w:val="left"/>
              <w:textAlignment w:val="center"/>
              <w:rPr>
                <w:rStyle w:val="632"/>
                <w:rFonts w:hint="eastAsia" w:asciiTheme="minorEastAsia" w:hAnsiTheme="minorEastAsia" w:eastAsiaTheme="minorEastAsia" w:cstheme="minorEastAsia"/>
                <w:b w:val="0"/>
                <w:bCs w:val="0"/>
                <w:iCs w:val="0"/>
                <w:color w:val="auto"/>
                <w:sz w:val="24"/>
                <w:szCs w:val="24"/>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23.水带两端有3个以上凹槽缠绕，且每个凹槽不少于5圈360度的高强度镀锌铁丝捆扎，带护套；</w:t>
            </w:r>
          </w:p>
          <w:p w14:paraId="6058D1A7">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color w:val="auto"/>
                <w:sz w:val="24"/>
                <w:szCs w:val="24"/>
              </w:rPr>
            </w:pPr>
            <w:r>
              <w:rPr>
                <w:rStyle w:val="632"/>
                <w:rFonts w:hint="eastAsia" w:asciiTheme="minorEastAsia" w:hAnsiTheme="minorEastAsia" w:eastAsiaTheme="minorEastAsia" w:cstheme="minorEastAsia"/>
                <w:b w:val="0"/>
                <w:bCs w:val="0"/>
                <w:iCs w:val="0"/>
                <w:color w:val="auto"/>
                <w:sz w:val="24"/>
                <w:szCs w:val="24"/>
                <w:lang w:val="en-US" w:eastAsia="zh-CN" w:bidi="ar"/>
              </w:rPr>
              <w:t>24.水带与消防接口连接处无渗漏、爆破或滑脱。</w:t>
            </w:r>
          </w:p>
        </w:tc>
      </w:tr>
      <w:tr w14:paraId="628E2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06" w:type="dxa"/>
            <w:tcBorders>
              <w:top w:val="single" w:color="000000" w:sz="4" w:space="0"/>
              <w:bottom w:val="single" w:color="000000" w:sz="4" w:space="0"/>
              <w:right w:val="single" w:color="000000" w:sz="4" w:space="0"/>
            </w:tcBorders>
            <w:noWrap w:val="0"/>
            <w:vAlign w:val="center"/>
          </w:tcPr>
          <w:p w14:paraId="5A66E14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E3928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水幕水带</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00AAA5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盘</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A8EA41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75</w:t>
            </w:r>
          </w:p>
        </w:tc>
        <w:tc>
          <w:tcPr>
            <w:tcW w:w="6653" w:type="dxa"/>
            <w:tcBorders>
              <w:top w:val="single" w:color="000000" w:sz="4" w:space="0"/>
              <w:left w:val="single" w:color="000000" w:sz="4" w:space="0"/>
              <w:bottom w:val="single" w:color="000000" w:sz="4" w:space="0"/>
            </w:tcBorders>
            <w:noWrap w:val="0"/>
            <w:vAlign w:val="center"/>
          </w:tcPr>
          <w:p w14:paraId="579DC9AA">
            <w:pPr>
              <w:pStyle w:val="23"/>
              <w:numPr>
                <w:ilvl w:val="0"/>
                <w:numId w:val="0"/>
              </w:numPr>
              <w:spacing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水带主体（开孔前）符合GB6246-2011《消防水带》标准。水带接口符合GB12514.1-2005《消防接口第1部分：消防接口通用技术条件》、GB12514.3-2006《消防接口第3部分：卡式消防接口型式和基本参数》标准要求。</w:t>
            </w:r>
          </w:p>
          <w:p w14:paraId="523C8F37">
            <w:pPr>
              <w:pStyle w:val="23"/>
              <w:numPr>
                <w:ilvl w:val="0"/>
                <w:numId w:val="0"/>
              </w:numPr>
              <w:spacing w:beforeAutospacing="0"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★总体要求</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：编织层经、纬线使用涤纶长丝材质，衬里使用聚氨酯材质；</w:t>
            </w:r>
          </w:p>
          <w:p w14:paraId="13E48DAB">
            <w:pPr>
              <w:pStyle w:val="23"/>
              <w:numPr>
                <w:ilvl w:val="0"/>
                <w:numId w:val="0"/>
              </w:numPr>
              <w:spacing w:beforeAutospacing="0"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标志：在水带表面编制非黑色反光条（宽度8-10mm），在端部附近中心线两侧用不易脱落的油墨，清晰地印有：产品名称、规格型号、生产厂名、注册商标和生产日期；</w:t>
            </w:r>
          </w:p>
          <w:p w14:paraId="52F0D598">
            <w:pPr>
              <w:pStyle w:val="23"/>
              <w:numPr>
                <w:ilvl w:val="0"/>
                <w:numId w:val="0"/>
              </w:numPr>
              <w:spacing w:beforeAutospacing="0"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★水带</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规格65mm；每盘长度≥20m；接口公称通径65mm。</w:t>
            </w:r>
          </w:p>
          <w:p w14:paraId="44EE1F92">
            <w:pPr>
              <w:pStyle w:val="23"/>
              <w:numPr>
                <w:ilvl w:val="0"/>
                <w:numId w:val="0"/>
              </w:numPr>
              <w:spacing w:beforeAutospacing="0"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25.编织层：织物层编制均匀，表面整洁，无跳双经、断双经、跳纬及划伤；</w:t>
            </w:r>
          </w:p>
          <w:p w14:paraId="3B20D664">
            <w:pPr>
              <w:pStyle w:val="23"/>
              <w:numPr>
                <w:ilvl w:val="0"/>
                <w:numId w:val="0"/>
              </w:numPr>
              <w:spacing w:beforeAutospacing="0"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26.厚度均匀，表面光滑平整，无褶皱或其它缺陷；</w:t>
            </w:r>
          </w:p>
          <w:p w14:paraId="4A6484F6">
            <w:pPr>
              <w:pStyle w:val="23"/>
              <w:numPr>
                <w:ilvl w:val="0"/>
                <w:numId w:val="0"/>
              </w:numPr>
              <w:spacing w:beforeAutospacing="0" w:after="0" w:afterLines="0" w:afterAutospacing="0" w:line="360" w:lineRule="auto"/>
              <w:ind w:left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27.带身开孔孔距20cm，孔有铆钉保护，铆钉结实牢固；</w:t>
            </w:r>
          </w:p>
          <w:p w14:paraId="4DE68EDD">
            <w:pPr>
              <w:spacing w:beforeAutospacing="0" w:line="360" w:lineRule="auto"/>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▲28.工作压力（含连接设备）≥1.6MPa；</w:t>
            </w:r>
          </w:p>
          <w:p w14:paraId="23EA5832">
            <w:pPr>
              <w:pStyle w:val="23"/>
              <w:numPr>
                <w:ilvl w:val="0"/>
                <w:numId w:val="0"/>
              </w:numPr>
              <w:spacing w:beforeAutospacing="0"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29.水带两端有捆扎好的卡式接口（一雌一雄），公称压力≥1.6MPa（与水幕水带主体保持一致）。水带两端有3个以上凹槽缠绕，且每个凹槽不少于5圈360度的高强度镀锌铁丝捆扎，带护套。</w:t>
            </w:r>
          </w:p>
          <w:p w14:paraId="436D194C">
            <w:pPr>
              <w:pStyle w:val="23"/>
              <w:numPr>
                <w:ilvl w:val="0"/>
                <w:numId w:val="0"/>
              </w:numPr>
              <w:spacing w:beforeAutospacing="0"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30.水带与消防接口连接处无渗漏、爆破或滑脱；</w:t>
            </w:r>
          </w:p>
        </w:tc>
      </w:tr>
      <w:tr w14:paraId="79124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6" w:type="dxa"/>
            <w:tcBorders>
              <w:top w:val="single" w:color="000000" w:sz="4" w:space="0"/>
              <w:bottom w:val="single" w:color="000000" w:sz="4" w:space="0"/>
              <w:right w:val="single" w:color="000000" w:sz="4" w:space="0"/>
            </w:tcBorders>
            <w:noWrap w:val="0"/>
            <w:vAlign w:val="center"/>
          </w:tcPr>
          <w:p w14:paraId="780679C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C86F63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高压水带80mm-40型</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750F14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盘</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02FFA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225</w:t>
            </w:r>
          </w:p>
        </w:tc>
        <w:tc>
          <w:tcPr>
            <w:tcW w:w="6653" w:type="dxa"/>
            <w:tcBorders>
              <w:top w:val="single" w:color="000000" w:sz="4" w:space="0"/>
              <w:left w:val="single" w:color="000000" w:sz="4" w:space="0"/>
              <w:bottom w:val="single" w:color="000000" w:sz="4" w:space="0"/>
            </w:tcBorders>
            <w:noWrap w:val="0"/>
            <w:vAlign w:val="center"/>
          </w:tcPr>
          <w:p w14:paraId="15A98322">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接口符合GB12514.1-2005《消防接口第1部分：消防接口通用技术条件》、GB12514.3-2006《消防接口第3部分：卡式消防接口型式和基本参数》。</w:t>
            </w:r>
          </w:p>
          <w:p w14:paraId="127F9FE1">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一、水带</w:t>
            </w:r>
          </w:p>
          <w:p w14:paraId="7E345AC2">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标识：在水带表面编制非黑色反光条（宽度8-10mm），在端部附近中心线两侧用不易脱落的油墨，清晰地印有：产品名称、规格型号、生产厂名、注册商标和生产日期；</w:t>
            </w:r>
          </w:p>
          <w:p w14:paraId="5537E473">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Style w:val="632"/>
                <w:rFonts w:hint="eastAsia" w:asciiTheme="minorEastAsia" w:hAnsiTheme="minorEastAsia" w:eastAsiaTheme="minorEastAsia" w:cstheme="minorEastAsia"/>
                <w:b w:val="0"/>
                <w:bCs w:val="0"/>
                <w:iCs w:val="0"/>
                <w:color w:val="auto"/>
                <w:sz w:val="24"/>
                <w:szCs w:val="24"/>
                <w:lang w:val="en-US" w:eastAsia="zh-CN" w:bidi="ar"/>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水带内径直径80mm；每盘长度：≥20m。</w:t>
            </w:r>
          </w:p>
          <w:p w14:paraId="625D3BF3">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31.材质：编织层使用涤纶长丝材质。衬里使用聚氨酯材质；</w:t>
            </w:r>
          </w:p>
          <w:p w14:paraId="1B1C169F">
            <w:pPr>
              <w:spacing w:line="360" w:lineRule="auto"/>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▲32.工作压力（含连接设备）≥4.0MPa，爆破压力≥12MPa；</w:t>
            </w:r>
          </w:p>
          <w:p w14:paraId="18842058">
            <w:pPr>
              <w:spacing w:line="360" w:lineRule="auto"/>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▲33.单位长度质量≤850g/m，延展率≤8%，附着强度≥33N/25mm；</w:t>
            </w:r>
          </w:p>
          <w:p w14:paraId="73814860">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34.颜色：红色。原丝染色，使用水带时不掉色；</w:t>
            </w:r>
          </w:p>
          <w:p w14:paraId="5EA2621F">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二、接口</w:t>
            </w:r>
          </w:p>
          <w:p w14:paraId="022B6C3E">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35.接口公称通径80mm。</w:t>
            </w:r>
          </w:p>
          <w:p w14:paraId="3B4C9649">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36.水带两端有捆扎好的卡式接口（一雌一雄），压力≥4MPa；</w:t>
            </w:r>
          </w:p>
          <w:p w14:paraId="52A1E43C">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37.水带两端有3个以上凹槽缠绕，且每个凹槽不少于5圈360度的高强度镀锌铁丝捆扎，带护套；</w:t>
            </w:r>
          </w:p>
          <w:p w14:paraId="27F54261">
            <w:pPr>
              <w:numPr>
                <w:ilvl w:val="0"/>
                <w:numId w:val="0"/>
              </w:numPr>
              <w:spacing w:line="360" w:lineRule="auto"/>
              <w:ind w:left="0" w:firstLine="0"/>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38.水带与消防接口连接处无渗漏、爆破或滑脱；</w:t>
            </w:r>
          </w:p>
        </w:tc>
      </w:tr>
      <w:tr w14:paraId="72465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6" w:type="dxa"/>
            <w:tcBorders>
              <w:top w:val="single" w:color="000000" w:sz="4" w:space="0"/>
              <w:bottom w:val="single" w:color="000000" w:sz="4" w:space="0"/>
              <w:right w:val="single" w:color="000000" w:sz="4" w:space="0"/>
            </w:tcBorders>
            <w:noWrap w:val="0"/>
            <w:vAlign w:val="center"/>
          </w:tcPr>
          <w:p w14:paraId="0C5683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44B08F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消防移动储水装置（水囊）10000L</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773D4A5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E03D84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w:t>
            </w:r>
          </w:p>
        </w:tc>
        <w:tc>
          <w:tcPr>
            <w:tcW w:w="6653" w:type="dxa"/>
            <w:tcBorders>
              <w:top w:val="single" w:color="000000" w:sz="4" w:space="0"/>
              <w:left w:val="single" w:color="000000" w:sz="4" w:space="0"/>
              <w:bottom w:val="single" w:color="000000" w:sz="4" w:space="0"/>
            </w:tcBorders>
            <w:noWrap w:val="0"/>
            <w:vAlign w:val="center"/>
          </w:tcPr>
          <w:p w14:paraId="159F7641">
            <w:pPr>
              <w:pStyle w:val="23"/>
              <w:numPr>
                <w:ilvl w:val="0"/>
                <w:numId w:val="0"/>
              </w:numPr>
              <w:spacing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规格容量：≥10000L；</w:t>
            </w:r>
          </w:p>
          <w:p w14:paraId="6ECE1AF2">
            <w:pPr>
              <w:pStyle w:val="23"/>
              <w:numPr>
                <w:ilvl w:val="0"/>
                <w:numId w:val="0"/>
              </w:numPr>
              <w:spacing w:beforeAutospacing="0"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 xml:space="preserve">39.主体材质：双层复合PVC或同等质量材质，装置底部采用耐磨、防穿刺、柔软的材质；          </w:t>
            </w:r>
          </w:p>
          <w:p w14:paraId="335D389B">
            <w:pPr>
              <w:pStyle w:val="23"/>
              <w:numPr>
                <w:ilvl w:val="0"/>
                <w:numId w:val="0"/>
              </w:numPr>
              <w:spacing w:beforeAutospacing="0"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40.颜色：红色；</w:t>
            </w:r>
          </w:p>
          <w:p w14:paraId="71E48D9E">
            <w:pPr>
              <w:pStyle w:val="23"/>
              <w:numPr>
                <w:ilvl w:val="0"/>
                <w:numId w:val="0"/>
              </w:numPr>
              <w:spacing w:beforeAutospacing="0"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41.可折叠，抗紫外线；</w:t>
            </w:r>
          </w:p>
          <w:p w14:paraId="2BE100E9">
            <w:pPr>
              <w:pStyle w:val="23"/>
              <w:numPr>
                <w:ilvl w:val="0"/>
                <w:numId w:val="0"/>
              </w:numPr>
              <w:spacing w:beforeAutospacing="0" w:after="0" w:afterLines="0" w:afterAutospacing="0" w:line="360" w:lineRule="auto"/>
              <w:ind w:left="0" w:leftChars="0" w:firstLine="0" w:firstLineChars="0"/>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42.设置进出水口，配备充气泵和修补包。</w:t>
            </w:r>
          </w:p>
        </w:tc>
      </w:tr>
      <w:tr w14:paraId="00AD8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6" w:type="dxa"/>
            <w:tcBorders>
              <w:top w:val="single" w:color="000000" w:sz="4" w:space="0"/>
              <w:bottom w:val="single" w:color="000000" w:sz="4" w:space="0"/>
              <w:right w:val="single" w:color="000000" w:sz="4" w:space="0"/>
            </w:tcBorders>
            <w:noWrap w:val="0"/>
            <w:vAlign w:val="center"/>
          </w:tcPr>
          <w:p w14:paraId="53E6CB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BF7CF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分水器</w:t>
            </w:r>
          </w:p>
        </w:tc>
        <w:tc>
          <w:tcPr>
            <w:tcW w:w="564" w:type="dxa"/>
            <w:tcBorders>
              <w:top w:val="single" w:color="000000" w:sz="4" w:space="0"/>
              <w:left w:val="single" w:color="000000" w:sz="4" w:space="0"/>
              <w:bottom w:val="single" w:color="000000" w:sz="4" w:space="0"/>
              <w:right w:val="single" w:color="000000" w:sz="4" w:space="0"/>
            </w:tcBorders>
            <w:noWrap/>
            <w:vAlign w:val="center"/>
          </w:tcPr>
          <w:p w14:paraId="2F0854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90BD0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30</w:t>
            </w:r>
          </w:p>
        </w:tc>
        <w:tc>
          <w:tcPr>
            <w:tcW w:w="6653" w:type="dxa"/>
            <w:tcBorders>
              <w:top w:val="single" w:color="000000" w:sz="4" w:space="0"/>
              <w:left w:val="single" w:color="000000" w:sz="4" w:space="0"/>
              <w:bottom w:val="single" w:color="000000" w:sz="4" w:space="0"/>
            </w:tcBorders>
            <w:noWrap w:val="0"/>
            <w:vAlign w:val="center"/>
          </w:tcPr>
          <w:p w14:paraId="5A7A6633">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★符合XF 868-2010《分水器和集水器》标准</w:t>
            </w:r>
            <w:r>
              <w:rPr>
                <w:rStyle w:val="632"/>
                <w:rFonts w:hint="eastAsia" w:asciiTheme="minorEastAsia" w:hAnsiTheme="minorEastAsia" w:eastAsiaTheme="minorEastAsia" w:cstheme="minorEastAsia"/>
                <w:b w:val="0"/>
                <w:bCs w:val="0"/>
                <w:iCs w:val="0"/>
                <w:color w:val="auto"/>
                <w:sz w:val="24"/>
                <w:szCs w:val="24"/>
                <w:lang w:val="en-US" w:eastAsia="zh-CN" w:bidi="ar"/>
              </w:rPr>
              <w:t>。</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进水口:卡式接口,口径：80mm；出水口:卡式接口,口径：3*65mm；</w:t>
            </w:r>
          </w:p>
          <w:p w14:paraId="3C15BC62">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43.工作压力：≥2.5MPa；</w:t>
            </w:r>
          </w:p>
          <w:p w14:paraId="6AEA33D3">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44.开关形式：球阀；</w:t>
            </w:r>
          </w:p>
          <w:p w14:paraId="1EC0213B">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45.开启压力≤200N；</w:t>
            </w:r>
          </w:p>
        </w:tc>
      </w:tr>
      <w:tr w14:paraId="624C7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06" w:type="dxa"/>
            <w:tcBorders>
              <w:top w:val="single" w:color="000000" w:sz="4" w:space="0"/>
              <w:bottom w:val="single" w:color="000000" w:sz="4" w:space="0"/>
              <w:right w:val="single" w:color="000000" w:sz="4" w:space="0"/>
            </w:tcBorders>
            <w:noWrap w:val="0"/>
            <w:vAlign w:val="center"/>
          </w:tcPr>
          <w:p w14:paraId="17AD9EA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w:t>
            </w:r>
          </w:p>
        </w:tc>
        <w:tc>
          <w:tcPr>
            <w:tcW w:w="1109" w:type="dxa"/>
            <w:tcBorders>
              <w:top w:val="single" w:color="000000" w:sz="4" w:space="0"/>
              <w:left w:val="single" w:color="000000" w:sz="4" w:space="0"/>
              <w:bottom w:val="single" w:color="000000" w:sz="4" w:space="0"/>
              <w:right w:val="nil"/>
            </w:tcBorders>
            <w:noWrap w:val="0"/>
            <w:vAlign w:val="center"/>
          </w:tcPr>
          <w:p w14:paraId="02BC4B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直流开关水枪</w:t>
            </w:r>
          </w:p>
        </w:tc>
        <w:tc>
          <w:tcPr>
            <w:tcW w:w="564" w:type="dxa"/>
            <w:tcBorders>
              <w:top w:val="single" w:color="000000" w:sz="4" w:space="0"/>
              <w:left w:val="single" w:color="000000" w:sz="4" w:space="0"/>
              <w:bottom w:val="single" w:color="000000" w:sz="4" w:space="0"/>
              <w:right w:val="nil"/>
            </w:tcBorders>
            <w:noWrap w:val="0"/>
            <w:vAlign w:val="center"/>
          </w:tcPr>
          <w:p w14:paraId="434BCB4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把</w:t>
            </w:r>
          </w:p>
        </w:tc>
        <w:tc>
          <w:tcPr>
            <w:tcW w:w="732" w:type="dxa"/>
            <w:tcBorders>
              <w:top w:val="single" w:color="000000" w:sz="4" w:space="0"/>
              <w:left w:val="single" w:color="000000" w:sz="4" w:space="0"/>
              <w:bottom w:val="single" w:color="000000" w:sz="4" w:space="0"/>
              <w:right w:val="nil"/>
            </w:tcBorders>
            <w:noWrap w:val="0"/>
            <w:vAlign w:val="center"/>
          </w:tcPr>
          <w:p w14:paraId="1ECB1F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20</w:t>
            </w:r>
          </w:p>
        </w:tc>
        <w:tc>
          <w:tcPr>
            <w:tcW w:w="6653" w:type="dxa"/>
            <w:tcBorders>
              <w:top w:val="single" w:color="000000" w:sz="4" w:space="0"/>
              <w:left w:val="single" w:color="000000" w:sz="4" w:space="0"/>
              <w:bottom w:val="single" w:color="000000" w:sz="4" w:space="0"/>
            </w:tcBorders>
            <w:noWrap w:val="0"/>
            <w:vAlign w:val="center"/>
          </w:tcPr>
          <w:p w14:paraId="74258B3F">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★符合GB8181-2005《消防水枪》标准。喷嘴直径19mm；接口公称通径65mm，接口样式为卡式雄接口；</w:t>
            </w:r>
          </w:p>
          <w:p w14:paraId="012BE9C3">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★直流开关水枪，具有开启和关闭功能，杆式手柄指向水枪出口是“开”，杆式手柄垂直水枪轴线是“关”，并且在这两个位置有限制功能；</w:t>
            </w:r>
          </w:p>
          <w:p w14:paraId="478382A3">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46.铸件表面无结疤、裂纹及孔眼。铝制件表面须作阳极氧化处理。螺丝紧固不易脱落。枪体及各密封部位不渗漏。</w:t>
            </w:r>
          </w:p>
          <w:p w14:paraId="71199E11">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47.水枪于离地2m±0.02m高处按标准跌落后能正常操作使用。</w:t>
            </w:r>
          </w:p>
        </w:tc>
      </w:tr>
      <w:tr w14:paraId="34CBA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606" w:type="dxa"/>
            <w:tcBorders>
              <w:top w:val="single" w:color="000000" w:sz="4" w:space="0"/>
              <w:bottom w:val="single" w:color="000000" w:sz="4" w:space="0"/>
              <w:right w:val="single" w:color="000000" w:sz="4" w:space="0"/>
            </w:tcBorders>
            <w:noWrap w:val="0"/>
            <w:vAlign w:val="center"/>
          </w:tcPr>
          <w:p w14:paraId="17771C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lang w:val="en-US"/>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w:t>
            </w:r>
          </w:p>
        </w:tc>
        <w:tc>
          <w:tcPr>
            <w:tcW w:w="1109" w:type="dxa"/>
            <w:tcBorders>
              <w:top w:val="single" w:color="000000" w:sz="4" w:space="0"/>
              <w:left w:val="single" w:color="000000" w:sz="4" w:space="0"/>
              <w:bottom w:val="single" w:color="000000" w:sz="4" w:space="0"/>
              <w:right w:val="nil"/>
            </w:tcBorders>
            <w:noWrap w:val="0"/>
            <w:vAlign w:val="center"/>
          </w:tcPr>
          <w:p w14:paraId="5051A2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水带护桥（橡胶）</w:t>
            </w:r>
          </w:p>
        </w:tc>
        <w:tc>
          <w:tcPr>
            <w:tcW w:w="564" w:type="dxa"/>
            <w:tcBorders>
              <w:top w:val="single" w:color="000000" w:sz="4" w:space="0"/>
              <w:left w:val="single" w:color="000000" w:sz="4" w:space="0"/>
              <w:bottom w:val="single" w:color="000000" w:sz="4" w:space="0"/>
              <w:right w:val="nil"/>
            </w:tcBorders>
            <w:noWrap w:val="0"/>
            <w:vAlign w:val="center"/>
          </w:tcPr>
          <w:p w14:paraId="285E23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付</w:t>
            </w:r>
          </w:p>
        </w:tc>
        <w:tc>
          <w:tcPr>
            <w:tcW w:w="732" w:type="dxa"/>
            <w:tcBorders>
              <w:top w:val="single" w:color="000000" w:sz="4" w:space="0"/>
              <w:left w:val="single" w:color="000000" w:sz="4" w:space="0"/>
              <w:bottom w:val="single" w:color="000000" w:sz="4" w:space="0"/>
              <w:right w:val="nil"/>
            </w:tcBorders>
            <w:noWrap w:val="0"/>
            <w:vAlign w:val="center"/>
          </w:tcPr>
          <w:p w14:paraId="4C0771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50</w:t>
            </w:r>
          </w:p>
        </w:tc>
        <w:tc>
          <w:tcPr>
            <w:tcW w:w="6653" w:type="dxa"/>
            <w:tcBorders>
              <w:top w:val="single" w:color="000000" w:sz="4" w:space="0"/>
              <w:left w:val="single" w:color="000000" w:sz="4" w:space="0"/>
              <w:bottom w:val="single" w:color="000000" w:sz="4" w:space="0"/>
            </w:tcBorders>
            <w:noWrap w:val="0"/>
            <w:vAlign w:val="center"/>
          </w:tcPr>
          <w:p w14:paraId="794FC5D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48.护桥采用天然橡胶；</w:t>
            </w:r>
          </w:p>
          <w:p w14:paraId="4B8F3937">
            <w:pPr>
              <w:pStyle w:val="23"/>
              <w:spacing w:after="0" w:afterLines="0" w:afterAutospacing="0" w:line="360" w:lineRule="auto"/>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49.护桥:长≥800mm *宽≥550mm；</w:t>
            </w:r>
          </w:p>
          <w:p w14:paraId="2537D0FB">
            <w:pPr>
              <w:pStyle w:val="23"/>
              <w:spacing w:beforeAutospacing="0" w:after="0" w:afterLines="0" w:afterAutospacing="0" w:line="360" w:lineRule="auto"/>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50.双凹槽，能容纳直径≥80mm的水带。</w:t>
            </w:r>
          </w:p>
        </w:tc>
      </w:tr>
      <w:tr w14:paraId="11A06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606" w:type="dxa"/>
            <w:tcBorders>
              <w:top w:val="single" w:color="000000" w:sz="4" w:space="0"/>
              <w:bottom w:val="single" w:color="000000" w:sz="4" w:space="0"/>
              <w:right w:val="single" w:color="000000" w:sz="4" w:space="0"/>
            </w:tcBorders>
            <w:noWrap w:val="0"/>
            <w:vAlign w:val="center"/>
          </w:tcPr>
          <w:p w14:paraId="3FDCFC3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lang w:val="en-US"/>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11</w:t>
            </w:r>
          </w:p>
        </w:tc>
        <w:tc>
          <w:tcPr>
            <w:tcW w:w="1109" w:type="dxa"/>
            <w:tcBorders>
              <w:top w:val="single" w:color="000000" w:sz="4" w:space="0"/>
              <w:left w:val="single" w:color="000000" w:sz="4" w:space="0"/>
              <w:bottom w:val="single" w:color="000000" w:sz="4" w:space="0"/>
              <w:right w:val="nil"/>
            </w:tcBorders>
            <w:noWrap w:val="0"/>
            <w:vAlign w:val="center"/>
          </w:tcPr>
          <w:p w14:paraId="5B9B2A3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泡沫输转泵</w:t>
            </w:r>
          </w:p>
        </w:tc>
        <w:tc>
          <w:tcPr>
            <w:tcW w:w="564" w:type="dxa"/>
            <w:tcBorders>
              <w:top w:val="single" w:color="000000" w:sz="4" w:space="0"/>
              <w:left w:val="single" w:color="000000" w:sz="4" w:space="0"/>
              <w:bottom w:val="single" w:color="000000" w:sz="4" w:space="0"/>
              <w:right w:val="nil"/>
            </w:tcBorders>
            <w:noWrap w:val="0"/>
            <w:vAlign w:val="center"/>
          </w:tcPr>
          <w:p w14:paraId="4C96D3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台</w:t>
            </w:r>
          </w:p>
        </w:tc>
        <w:tc>
          <w:tcPr>
            <w:tcW w:w="732" w:type="dxa"/>
            <w:tcBorders>
              <w:top w:val="single" w:color="000000" w:sz="4" w:space="0"/>
              <w:left w:val="single" w:color="000000" w:sz="4" w:space="0"/>
              <w:bottom w:val="single" w:color="000000" w:sz="4" w:space="0"/>
              <w:right w:val="nil"/>
            </w:tcBorders>
            <w:noWrap w:val="0"/>
            <w:vAlign w:val="center"/>
          </w:tcPr>
          <w:p w14:paraId="12E74B5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w:t>
            </w:r>
          </w:p>
        </w:tc>
        <w:tc>
          <w:tcPr>
            <w:tcW w:w="6653" w:type="dxa"/>
            <w:tcBorders>
              <w:top w:val="single" w:color="000000" w:sz="4" w:space="0"/>
              <w:left w:val="single" w:color="000000" w:sz="4" w:space="0"/>
              <w:bottom w:val="single" w:color="000000" w:sz="4" w:space="0"/>
            </w:tcBorders>
            <w:noWrap w:val="0"/>
            <w:vAlign w:val="center"/>
          </w:tcPr>
          <w:p w14:paraId="11E4B2D8">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sz w:val="24"/>
                <w:szCs w:val="24"/>
                <w:u w:val="none"/>
                <w:lang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auto"/>
                <w:sz w:val="24"/>
                <w:szCs w:val="24"/>
                <w:u w:val="none"/>
              </w:rPr>
              <w:t>发动机型式</w:t>
            </w:r>
            <w:r>
              <w:rPr>
                <w:rFonts w:hint="eastAsia" w:asciiTheme="minorEastAsia" w:hAnsiTheme="minorEastAsia" w:eastAsiaTheme="minorEastAsia" w:cstheme="minorEastAsia"/>
                <w:b w:val="0"/>
                <w:bCs w:val="0"/>
                <w:i w:val="0"/>
                <w:iCs w:val="0"/>
                <w:color w:val="auto"/>
                <w:sz w:val="24"/>
                <w:szCs w:val="24"/>
                <w:u w:val="none"/>
                <w:lang w:eastAsia="zh-CN"/>
              </w:rPr>
              <w:t>：</w:t>
            </w:r>
            <w:r>
              <w:rPr>
                <w:rFonts w:hint="eastAsia" w:asciiTheme="minorEastAsia" w:hAnsiTheme="minorEastAsia" w:eastAsiaTheme="minorEastAsia" w:cstheme="minorEastAsia"/>
                <w:b w:val="0"/>
                <w:bCs w:val="0"/>
                <w:i w:val="0"/>
                <w:iCs w:val="0"/>
                <w:color w:val="auto"/>
                <w:sz w:val="24"/>
                <w:szCs w:val="24"/>
                <w:u w:val="none"/>
              </w:rPr>
              <w:t>四冲程单缸风冷</w:t>
            </w:r>
            <w:r>
              <w:rPr>
                <w:rFonts w:hint="eastAsia" w:asciiTheme="minorEastAsia" w:hAnsiTheme="minorEastAsia" w:eastAsiaTheme="minorEastAsia" w:cstheme="minorEastAsia"/>
                <w:b w:val="0"/>
                <w:bCs w:val="0"/>
                <w:i w:val="0"/>
                <w:iCs w:val="0"/>
                <w:color w:val="auto"/>
                <w:sz w:val="24"/>
                <w:szCs w:val="24"/>
                <w:u w:val="none"/>
                <w:lang w:eastAsia="zh-CN"/>
              </w:rPr>
              <w:t>。</w:t>
            </w:r>
          </w:p>
          <w:p w14:paraId="16655D02">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sz w:val="24"/>
                <w:szCs w:val="24"/>
                <w:u w:val="none"/>
                <w:lang w:val="en-US" w:eastAsia="zh-CN"/>
              </w:rPr>
              <w:t>51.</w:t>
            </w:r>
            <w:r>
              <w:rPr>
                <w:rFonts w:hint="eastAsia" w:asciiTheme="minorEastAsia" w:hAnsiTheme="minorEastAsia" w:eastAsiaTheme="minorEastAsia" w:cstheme="minorEastAsia"/>
                <w:b w:val="0"/>
                <w:bCs w:val="0"/>
                <w:i w:val="0"/>
                <w:iCs w:val="0"/>
                <w:color w:val="auto"/>
                <w:sz w:val="24"/>
                <w:szCs w:val="24"/>
                <w:u w:val="none"/>
              </w:rPr>
              <w:t>吸水及排出口径≥</w:t>
            </w:r>
            <w:r>
              <w:rPr>
                <w:rFonts w:hint="eastAsia" w:asciiTheme="minorEastAsia" w:hAnsiTheme="minorEastAsia" w:eastAsiaTheme="minorEastAsia" w:cstheme="minorEastAsia"/>
                <w:b w:val="0"/>
                <w:bCs w:val="0"/>
                <w:i w:val="0"/>
                <w:iCs w:val="0"/>
                <w:color w:val="auto"/>
                <w:sz w:val="24"/>
                <w:szCs w:val="24"/>
                <w:u w:val="none"/>
                <w:lang w:val="en-US" w:eastAsia="zh-CN"/>
              </w:rPr>
              <w:t>5</w:t>
            </w:r>
            <w:r>
              <w:rPr>
                <w:rFonts w:hint="eastAsia" w:asciiTheme="minorEastAsia" w:hAnsiTheme="minorEastAsia" w:eastAsiaTheme="minorEastAsia" w:cstheme="minorEastAsia"/>
                <w:b w:val="0"/>
                <w:bCs w:val="0"/>
                <w:i w:val="0"/>
                <w:iCs w:val="0"/>
                <w:color w:val="auto"/>
                <w:sz w:val="24"/>
                <w:szCs w:val="24"/>
                <w:u w:val="none"/>
              </w:rPr>
              <w:t>0mm</w:t>
            </w:r>
            <w:r>
              <w:rPr>
                <w:rFonts w:hint="eastAsia" w:asciiTheme="minorEastAsia" w:hAnsiTheme="minorEastAsia" w:eastAsiaTheme="minorEastAsia" w:cstheme="minorEastAsia"/>
                <w:b w:val="0"/>
                <w:bCs w:val="0"/>
                <w:i w:val="0"/>
                <w:iCs w:val="0"/>
                <w:color w:val="auto"/>
                <w:sz w:val="24"/>
                <w:szCs w:val="24"/>
                <w:u w:val="none"/>
                <w:lang w:eastAsia="zh-CN"/>
              </w:rPr>
              <w:t>；</w:t>
            </w:r>
          </w:p>
          <w:p w14:paraId="02AEFEAF">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sz w:val="24"/>
                <w:szCs w:val="24"/>
                <w:u w:val="none"/>
                <w:lang w:val="en-US" w:eastAsia="zh-CN"/>
              </w:rPr>
              <w:t>52.</w:t>
            </w:r>
            <w:r>
              <w:rPr>
                <w:rFonts w:hint="eastAsia" w:asciiTheme="minorEastAsia" w:hAnsiTheme="minorEastAsia" w:eastAsiaTheme="minorEastAsia" w:cstheme="minorEastAsia"/>
                <w:b w:val="0"/>
                <w:bCs w:val="0"/>
                <w:i w:val="0"/>
                <w:iCs w:val="0"/>
                <w:color w:val="auto"/>
                <w:sz w:val="24"/>
                <w:szCs w:val="24"/>
                <w:u w:val="none"/>
              </w:rPr>
              <w:t>▲功率≥</w:t>
            </w:r>
            <w:r>
              <w:rPr>
                <w:rFonts w:hint="eastAsia" w:asciiTheme="minorEastAsia" w:hAnsiTheme="minorEastAsia" w:eastAsiaTheme="minorEastAsia" w:cstheme="minorEastAsia"/>
                <w:b w:val="0"/>
                <w:bCs w:val="0"/>
                <w:i w:val="0"/>
                <w:iCs w:val="0"/>
                <w:color w:val="auto"/>
                <w:sz w:val="24"/>
                <w:szCs w:val="24"/>
                <w:u w:val="none"/>
                <w:lang w:val="en-US" w:eastAsia="zh-CN"/>
              </w:rPr>
              <w:t xml:space="preserve">4.5kw； </w:t>
            </w:r>
          </w:p>
          <w:p w14:paraId="3AC18485">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sz w:val="24"/>
                <w:szCs w:val="24"/>
                <w:u w:val="none"/>
                <w:lang w:val="en-US" w:eastAsia="zh-CN"/>
              </w:rPr>
              <w:t>53.</w:t>
            </w:r>
            <w:r>
              <w:rPr>
                <w:rFonts w:hint="eastAsia" w:asciiTheme="minorEastAsia" w:hAnsiTheme="minorEastAsia" w:eastAsiaTheme="minorEastAsia" w:cstheme="minorEastAsia"/>
                <w:b w:val="0"/>
                <w:bCs w:val="0"/>
                <w:i w:val="0"/>
                <w:iCs w:val="0"/>
                <w:color w:val="auto"/>
                <w:sz w:val="24"/>
                <w:szCs w:val="24"/>
                <w:u w:val="none"/>
              </w:rPr>
              <w:t>流量≥</w:t>
            </w:r>
            <w:r>
              <w:rPr>
                <w:rFonts w:hint="eastAsia" w:asciiTheme="minorEastAsia" w:hAnsiTheme="minorEastAsia" w:eastAsiaTheme="minorEastAsia" w:cstheme="minorEastAsia"/>
                <w:b w:val="0"/>
                <w:bCs w:val="0"/>
                <w:i w:val="0"/>
                <w:iCs w:val="0"/>
                <w:color w:val="auto"/>
                <w:sz w:val="24"/>
                <w:szCs w:val="24"/>
                <w:u w:val="none"/>
                <w:lang w:val="en-US" w:eastAsia="zh-CN"/>
              </w:rPr>
              <w:t>200</w:t>
            </w:r>
            <w:r>
              <w:rPr>
                <w:rFonts w:hint="eastAsia" w:asciiTheme="minorEastAsia" w:hAnsiTheme="minorEastAsia" w:eastAsiaTheme="minorEastAsia" w:cstheme="minorEastAsia"/>
                <w:b w:val="0"/>
                <w:bCs w:val="0"/>
                <w:i w:val="0"/>
                <w:iCs w:val="0"/>
                <w:color w:val="auto"/>
                <w:sz w:val="24"/>
                <w:szCs w:val="24"/>
                <w:u w:val="none"/>
              </w:rPr>
              <w:t>L/min</w:t>
            </w:r>
            <w:r>
              <w:rPr>
                <w:rFonts w:hint="eastAsia" w:asciiTheme="minorEastAsia" w:hAnsiTheme="minorEastAsia" w:eastAsiaTheme="minorEastAsia" w:cstheme="minorEastAsia"/>
                <w:b w:val="0"/>
                <w:bCs w:val="0"/>
                <w:i w:val="0"/>
                <w:iCs w:val="0"/>
                <w:color w:val="auto"/>
                <w:sz w:val="24"/>
                <w:szCs w:val="24"/>
                <w:u w:val="none"/>
                <w:lang w:eastAsia="zh-CN"/>
              </w:rPr>
              <w:t>；</w:t>
            </w:r>
          </w:p>
          <w:p w14:paraId="2C1B68B0">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sz w:val="24"/>
                <w:szCs w:val="24"/>
                <w:u w:val="none"/>
                <w:lang w:val="en-US" w:eastAsia="zh-CN"/>
              </w:rPr>
              <w:t>54.</w:t>
            </w:r>
            <w:r>
              <w:rPr>
                <w:rFonts w:hint="eastAsia" w:asciiTheme="minorEastAsia" w:hAnsiTheme="minorEastAsia" w:eastAsiaTheme="minorEastAsia" w:cstheme="minorEastAsia"/>
                <w:b w:val="0"/>
                <w:bCs w:val="0"/>
                <w:i w:val="0"/>
                <w:iCs w:val="0"/>
                <w:color w:val="auto"/>
                <w:sz w:val="24"/>
                <w:szCs w:val="24"/>
                <w:u w:val="none"/>
              </w:rPr>
              <w:t>吸入高度≥3</w:t>
            </w:r>
            <w:r>
              <w:rPr>
                <w:rFonts w:hint="eastAsia" w:asciiTheme="minorEastAsia" w:hAnsiTheme="minorEastAsia" w:eastAsiaTheme="minorEastAsia" w:cstheme="minorEastAsia"/>
                <w:b w:val="0"/>
                <w:bCs w:val="0"/>
                <w:i w:val="0"/>
                <w:iCs w:val="0"/>
                <w:color w:val="auto"/>
                <w:sz w:val="24"/>
                <w:szCs w:val="24"/>
                <w:u w:val="none"/>
                <w:lang w:val="en-US" w:eastAsia="zh-CN"/>
              </w:rPr>
              <w:t>m；</w:t>
            </w:r>
          </w:p>
          <w:p w14:paraId="4D78D2CE">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sz w:val="24"/>
                <w:szCs w:val="24"/>
                <w:u w:val="none"/>
                <w:lang w:val="en-US" w:eastAsia="zh-CN"/>
              </w:rPr>
              <w:t>55.</w:t>
            </w:r>
            <w:r>
              <w:rPr>
                <w:rFonts w:hint="eastAsia" w:asciiTheme="minorEastAsia" w:hAnsiTheme="minorEastAsia" w:eastAsiaTheme="minorEastAsia" w:cstheme="minorEastAsia"/>
                <w:b w:val="0"/>
                <w:bCs w:val="0"/>
                <w:i w:val="0"/>
                <w:iCs w:val="0"/>
                <w:color w:val="auto"/>
                <w:sz w:val="24"/>
                <w:szCs w:val="24"/>
                <w:u w:val="none"/>
              </w:rPr>
              <w:t>▲</w:t>
            </w:r>
            <w:r>
              <w:rPr>
                <w:rFonts w:hint="eastAsia" w:asciiTheme="minorEastAsia" w:hAnsiTheme="minorEastAsia" w:eastAsiaTheme="minorEastAsia" w:cstheme="minorEastAsia"/>
                <w:b w:val="0"/>
                <w:bCs w:val="0"/>
                <w:i w:val="0"/>
                <w:iCs w:val="0"/>
                <w:color w:val="auto"/>
                <w:sz w:val="24"/>
                <w:szCs w:val="24"/>
                <w:u w:val="none"/>
                <w:lang w:val="en-US" w:eastAsia="zh-CN"/>
              </w:rPr>
              <w:t>扬程</w:t>
            </w:r>
            <w:r>
              <w:rPr>
                <w:rFonts w:hint="eastAsia" w:asciiTheme="minorEastAsia" w:hAnsiTheme="minorEastAsia" w:eastAsiaTheme="minorEastAsia" w:cstheme="minorEastAsia"/>
                <w:b w:val="0"/>
                <w:bCs w:val="0"/>
                <w:i w:val="0"/>
                <w:iCs w:val="0"/>
                <w:color w:val="auto"/>
                <w:sz w:val="24"/>
                <w:szCs w:val="24"/>
                <w:u w:val="none"/>
              </w:rPr>
              <w:t>≥</w:t>
            </w:r>
            <w:r>
              <w:rPr>
                <w:rFonts w:hint="eastAsia" w:asciiTheme="minorEastAsia" w:hAnsiTheme="minorEastAsia" w:eastAsiaTheme="minorEastAsia" w:cstheme="minorEastAsia"/>
                <w:b w:val="0"/>
                <w:bCs w:val="0"/>
                <w:i w:val="0"/>
                <w:iCs w:val="0"/>
                <w:color w:val="auto"/>
                <w:sz w:val="24"/>
                <w:szCs w:val="24"/>
                <w:u w:val="none"/>
                <w:lang w:val="en-US" w:eastAsia="zh-CN"/>
              </w:rPr>
              <w:t xml:space="preserve">20m </w:t>
            </w:r>
          </w:p>
        </w:tc>
      </w:tr>
      <w:tr w14:paraId="7370A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606" w:type="dxa"/>
            <w:tcBorders>
              <w:top w:val="single" w:color="000000" w:sz="4" w:space="0"/>
              <w:right w:val="single" w:color="000000" w:sz="4" w:space="0"/>
            </w:tcBorders>
            <w:noWrap w:val="0"/>
            <w:vAlign w:val="center"/>
          </w:tcPr>
          <w:p w14:paraId="35159D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lang w:val="en-US"/>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12</w:t>
            </w:r>
          </w:p>
        </w:tc>
        <w:tc>
          <w:tcPr>
            <w:tcW w:w="1109" w:type="dxa"/>
            <w:tcBorders>
              <w:top w:val="single" w:color="000000" w:sz="4" w:space="0"/>
              <w:left w:val="single" w:color="000000" w:sz="4" w:space="0"/>
              <w:right w:val="nil"/>
            </w:tcBorders>
            <w:noWrap w:val="0"/>
            <w:vAlign w:val="center"/>
          </w:tcPr>
          <w:p w14:paraId="1A722A0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防爆输转泵</w:t>
            </w:r>
          </w:p>
        </w:tc>
        <w:tc>
          <w:tcPr>
            <w:tcW w:w="564" w:type="dxa"/>
            <w:tcBorders>
              <w:top w:val="single" w:color="000000" w:sz="4" w:space="0"/>
              <w:left w:val="single" w:color="000000" w:sz="4" w:space="0"/>
              <w:right w:val="nil"/>
            </w:tcBorders>
            <w:noWrap w:val="0"/>
            <w:vAlign w:val="center"/>
          </w:tcPr>
          <w:p w14:paraId="595AA5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台</w:t>
            </w:r>
          </w:p>
        </w:tc>
        <w:tc>
          <w:tcPr>
            <w:tcW w:w="732" w:type="dxa"/>
            <w:tcBorders>
              <w:top w:val="single" w:color="000000" w:sz="4" w:space="0"/>
              <w:left w:val="single" w:color="000000" w:sz="4" w:space="0"/>
              <w:right w:val="nil"/>
            </w:tcBorders>
            <w:noWrap w:val="0"/>
            <w:vAlign w:val="center"/>
          </w:tcPr>
          <w:p w14:paraId="4075335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w:t>
            </w:r>
          </w:p>
        </w:tc>
        <w:tc>
          <w:tcPr>
            <w:tcW w:w="6653" w:type="dxa"/>
            <w:tcBorders>
              <w:top w:val="single" w:color="000000" w:sz="4" w:space="0"/>
              <w:left w:val="single" w:color="000000" w:sz="4" w:space="0"/>
            </w:tcBorders>
            <w:noWrap w:val="0"/>
            <w:vAlign w:val="center"/>
          </w:tcPr>
          <w:p w14:paraId="2A5AA204">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56.工作压力：≥0.8MPa；</w:t>
            </w:r>
          </w:p>
          <w:p w14:paraId="100588DA">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57.流量：≥12m³/h；</w:t>
            </w:r>
          </w:p>
          <w:p w14:paraId="31D365C0">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58.重量≤70kg</w:t>
            </w:r>
          </w:p>
          <w:p w14:paraId="278F72A2">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59.持续工作时间：≥8h。</w:t>
            </w:r>
          </w:p>
          <w:p w14:paraId="3C205D4C">
            <w:pPr>
              <w:keepNext w:val="0"/>
              <w:keepLines w:val="0"/>
              <w:widowControl/>
              <w:numPr>
                <w:ilvl w:val="0"/>
                <w:numId w:val="0"/>
              </w:numPr>
              <w:suppressLineNumbers w:val="0"/>
              <w:spacing w:line="360" w:lineRule="auto"/>
              <w:ind w:leftChars="0"/>
              <w:jc w:val="left"/>
              <w:textAlignment w:val="center"/>
              <w:rPr>
                <w:rFonts w:hint="eastAsia" w:asciiTheme="minorEastAsia" w:hAnsiTheme="minorEastAsia" w:eastAsiaTheme="minorEastAsia" w:cstheme="minorEastAsia"/>
                <w:b w:val="0"/>
                <w:bCs w:val="0"/>
                <w:color w:val="auto"/>
                <w:sz w:val="24"/>
                <w:szCs w:val="24"/>
                <w:lang w:val="en-US"/>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60.供出水口径:65mm</w:t>
            </w:r>
          </w:p>
        </w:tc>
      </w:tr>
      <w:bookmarkEnd w:id="356"/>
    </w:tbl>
    <w:p w14:paraId="3158AE66">
      <w:pPr>
        <w:pStyle w:val="23"/>
        <w:rPr>
          <w:rFonts w:hint="eastAsia"/>
          <w:color w:val="auto"/>
          <w:lang w:val="en-US" w:eastAsia="zh-CN"/>
        </w:rPr>
      </w:pPr>
    </w:p>
    <w:p w14:paraId="148AE54B">
      <w:pPr>
        <w:shd w:val="clea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备注：技术参数中要求提供的产品第三方检测机构出具证书（检测、认证、测试等），除在投标文件中一并提供外，投标人还可提供在线查询途径。</w:t>
      </w:r>
    </w:p>
    <w:p w14:paraId="298D734A">
      <w:pPr>
        <w:pStyle w:val="23"/>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en-US" w:eastAsia="zh-CN"/>
        </w:rPr>
        <w:t>其他要求：</w:t>
      </w:r>
    </w:p>
    <w:p w14:paraId="6B619CC1">
      <w:pPr>
        <w:keepNext w:val="0"/>
        <w:keepLines w:val="0"/>
        <w:widowControl/>
        <w:suppressLineNumbers w:val="0"/>
        <w:spacing w:line="360" w:lineRule="auto"/>
        <w:jc w:val="left"/>
        <w:rPr>
          <w:rFonts w:hint="default"/>
          <w:color w:val="auto"/>
          <w:sz w:val="24"/>
          <w:szCs w:val="24"/>
          <w:lang w:val="en-US"/>
        </w:rPr>
      </w:pPr>
      <w:r>
        <w:rPr>
          <w:rFonts w:hint="eastAsia" w:ascii="宋体" w:hAnsi="宋体" w:eastAsia="宋体" w:cs="宋体"/>
          <w:b/>
          <w:bCs/>
          <w:color w:val="auto"/>
          <w:sz w:val="24"/>
          <w:szCs w:val="24"/>
          <w:lang w:val="en-US" w:eastAsia="zh-CN"/>
        </w:rPr>
        <w:t>①供应商须书面承诺在交货时，须在</w:t>
      </w:r>
      <w:r>
        <w:rPr>
          <w:rFonts w:hint="eastAsia" w:ascii="宋体" w:hAnsi="宋体" w:eastAsia="宋体" w:cs="宋体"/>
          <w:b/>
          <w:bCs/>
          <w:color w:val="auto"/>
          <w:kern w:val="0"/>
          <w:sz w:val="24"/>
          <w:szCs w:val="24"/>
          <w:lang w:val="en-US" w:eastAsia="zh-CN" w:bidi="ar"/>
        </w:rPr>
        <w:t>每件产品粘贴二维码或RFID射频电子标签。二维码内容或电子标签内容以合同签订时约定为准。</w:t>
      </w:r>
    </w:p>
    <w:p w14:paraId="0587F243">
      <w:pPr>
        <w:numPr>
          <w:ilvl w:val="0"/>
          <w:numId w:val="0"/>
        </w:numPr>
        <w:spacing w:line="360" w:lineRule="auto"/>
        <w:ind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②本次采购产品有涉及到强制3C强制认证证书的，供应商须在中标后供货商时提供3C强制认证证书。</w:t>
      </w:r>
    </w:p>
    <w:p w14:paraId="48A89846">
      <w:pPr>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三</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商务及其他要求</w:t>
      </w:r>
    </w:p>
    <w:p w14:paraId="16E80EB5">
      <w:pPr>
        <w:keepNext w:val="0"/>
        <w:keepLines w:val="0"/>
        <w:widowControl/>
        <w:suppressLineNumbers w:val="0"/>
        <w:spacing w:line="360" w:lineRule="auto"/>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交货时及要求</w:t>
      </w:r>
    </w:p>
    <w:p w14:paraId="6EE29796">
      <w:pPr>
        <w:keepNext w:val="0"/>
        <w:keepLines w:val="0"/>
        <w:widowControl/>
        <w:suppressLineNumbers w:val="0"/>
        <w:spacing w:line="360" w:lineRule="auto"/>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交货时间：合同签订后，60日内送货至采购人指定地点并安装调试完成。</w:t>
      </w:r>
    </w:p>
    <w:p w14:paraId="4D07CE41">
      <w:pPr>
        <w:snapToGrid w:val="0"/>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分期付款</w:t>
      </w:r>
    </w:p>
    <w:p w14:paraId="7B745254">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①合同签订后 15 日内，采购人向中标人支付合同总金额的 30%</w:t>
      </w:r>
      <w:r>
        <w:rPr>
          <w:rFonts w:hint="eastAsia" w:ascii="宋体" w:hAnsi="宋体" w:eastAsia="宋体" w:cs="宋体"/>
          <w:color w:val="auto"/>
          <w:sz w:val="24"/>
          <w:szCs w:val="24"/>
        </w:rPr>
        <w:t>。</w:t>
      </w:r>
    </w:p>
    <w:p w14:paraId="07052D95">
      <w:pPr>
        <w:keepNext w:val="0"/>
        <w:keepLines w:val="0"/>
        <w:widowControl/>
        <w:suppressLineNumbers w:val="0"/>
        <w:spacing w:line="360" w:lineRule="auto"/>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②所供产品送达采购人指定地点经采购人验收合格后15日内，支付合同总金额的70%。</w:t>
      </w:r>
    </w:p>
    <w:p w14:paraId="3CA674A9">
      <w:pPr>
        <w:keepNext w:val="0"/>
        <w:keepLines w:val="0"/>
        <w:widowControl/>
        <w:suppressLineNumbers w:val="0"/>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color w:val="auto"/>
          <w:sz w:val="24"/>
          <w:szCs w:val="24"/>
        </w:rPr>
        <w:t>★</w:t>
      </w:r>
      <w:r>
        <w:rPr>
          <w:rFonts w:hint="eastAsia" w:ascii="宋体" w:hAnsi="宋体" w:eastAsia="宋体" w:cs="宋体"/>
          <w:b w:val="0"/>
          <w:bCs w:val="0"/>
          <w:snapToGrid w:val="0"/>
          <w:color w:val="auto"/>
          <w:kern w:val="0"/>
          <w:sz w:val="24"/>
          <w:szCs w:val="24"/>
          <w:lang w:val="en-US" w:eastAsia="zh-CN" w:bidi="ar"/>
        </w:rPr>
        <w:t>（3）质保期：需符合国家（行业）标准，所有产品至少满足1年的质保期（技术要求中有特殊质保要求的以技术要求描述为准）。</w:t>
      </w:r>
    </w:p>
    <w:p w14:paraId="66B37E04">
      <w:pPr>
        <w:keepNext w:val="0"/>
        <w:keepLines w:val="0"/>
        <w:widowControl/>
        <w:suppressLineNumbers w:val="0"/>
        <w:spacing w:line="360" w:lineRule="auto"/>
        <w:ind w:firstLine="240" w:firstLineChars="100"/>
        <w:jc w:val="left"/>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kern w:val="0"/>
          <w:sz w:val="24"/>
          <w:szCs w:val="24"/>
          <w:lang w:val="en-US" w:eastAsia="zh-CN" w:bidi="ar"/>
        </w:rPr>
        <w:t>（4）验收标准和方法</w:t>
      </w:r>
    </w:p>
    <w:p w14:paraId="40C3E2E4">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履约验收主体：四川省消防救援总队训练与战勤保障支队；</w:t>
      </w:r>
    </w:p>
    <w:p w14:paraId="7663573C">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履约验收时间：投标人提出验收申请之日起10日内组织验收；</w:t>
      </w:r>
    </w:p>
    <w:p w14:paraId="304E46BA">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验收组织方式：采购人可在送达产品中，随机抽取各产品进行送样检验检测，检验检测机构为经国家认证认可的省级及以上单位；对检测出不合格的产品，其检测费用由中标人支付；对检测合格的产品，其检测费用由采购人支付。履约验收程序：中标人在验收时需提供招标文件技术要求中带★号产品中涉及到的国家标准或行业标准的，须提供第三方检测机构出具的带CMA标识的检测报告。（其中检测内容须包含国家或行业标准中要求满足的技术要求）</w:t>
      </w:r>
    </w:p>
    <w:p w14:paraId="210BDA2F">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 xml:space="preserve">验收结果合格，中标人办理履约保证金的退付手续；一次验收结果不合格的，履约保证金不予退还；二次验收不合格的，合同终止，由中标人向采购人退还采购人已支付的货款，同时向采购人支付合同总金额 10%的违约金，并终止合同。（验收结果合格指：送检产品均 </w:t>
      </w:r>
    </w:p>
    <w:p w14:paraId="481F1196">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通过检验检测，符合招标文件技术要求、投标文件响应要求、国标要求）</w:t>
      </w:r>
    </w:p>
    <w:p w14:paraId="1700EEDA">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技术履约验收内容：按照本项目招标文件中“技术要求”、中标人的投标文件及相关法律法规进行验收；</w:t>
      </w:r>
    </w:p>
    <w:p w14:paraId="0C8A4528">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商务履约验收内容：按照本项目招标文件中“商务要求”、中标人的投标文件及相关法律法规进行验收；</w:t>
      </w:r>
    </w:p>
    <w:p w14:paraId="41511F53">
      <w:pPr>
        <w:keepNext w:val="0"/>
        <w:keepLines w:val="0"/>
        <w:widowControl/>
        <w:numPr>
          <w:ilvl w:val="0"/>
          <w:numId w:val="15"/>
        </w:numPr>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履约验收标准：应严格按照《财政部关于进一步加强政府采购需求和履约验收管理的指导意见》(财库〔2016〕205 号)、《政府采购需求管理办法》（财库〔2021〕22 号）文件的要求进行验收。符合国家相关规定， 并按照相关技术要求进行开展，并完全满足采购需求。</w:t>
      </w:r>
    </w:p>
    <w:p w14:paraId="76B20D12">
      <w:pPr>
        <w:pStyle w:val="23"/>
        <w:keepNext w:val="0"/>
        <w:keepLines w:val="0"/>
        <w:pageBreakBefore w:val="0"/>
        <w:widowControl w:val="0"/>
        <w:shd w:val="clear"/>
        <w:kinsoku/>
        <w:wordWrap/>
        <w:overflowPunct/>
        <w:topLinePunct w:val="0"/>
        <w:bidi w:val="0"/>
        <w:snapToGrid/>
        <w:spacing w:after="0" w:line="360" w:lineRule="auto"/>
        <w:ind w:firstLine="482" w:firstLineChars="200"/>
        <w:textAlignment w:val="auto"/>
        <w:rPr>
          <w:rFonts w:hint="eastAsia" w:ascii="宋体" w:hAnsi="宋体" w:cs="宋体"/>
          <w:b/>
          <w:bCs/>
          <w:color w:val="auto"/>
          <w:sz w:val="24"/>
          <w:szCs w:val="24"/>
          <w:highlight w:val="none"/>
        </w:rPr>
      </w:pPr>
    </w:p>
    <w:p w14:paraId="24EC69F4">
      <w:pPr>
        <w:pStyle w:val="23"/>
        <w:keepNext w:val="0"/>
        <w:keepLines w:val="0"/>
        <w:pageBreakBefore w:val="0"/>
        <w:widowControl w:val="0"/>
        <w:shd w:val="clear"/>
        <w:kinsoku/>
        <w:wordWrap/>
        <w:overflowPunct/>
        <w:topLinePunct w:val="0"/>
        <w:bidi w:val="0"/>
        <w:snapToGrid/>
        <w:spacing w:after="0"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注：1、★项为实质性要求，不允许负偏离，</w:t>
      </w:r>
      <w:r>
        <w:rPr>
          <w:rFonts w:hint="eastAsia" w:ascii="宋体" w:hAnsi="宋体" w:cs="宋体"/>
          <w:b/>
          <w:bCs/>
          <w:color w:val="auto"/>
          <w:sz w:val="24"/>
          <w:szCs w:val="24"/>
          <w:highlight w:val="none"/>
          <w:lang w:eastAsia="zh-CN"/>
        </w:rPr>
        <w:t>技术</w:t>
      </w:r>
      <w:r>
        <w:rPr>
          <w:rFonts w:hint="eastAsia" w:ascii="宋体" w:hAnsi="宋体" w:cs="宋体"/>
          <w:b/>
          <w:bCs/>
          <w:color w:val="auto"/>
          <w:sz w:val="24"/>
          <w:szCs w:val="24"/>
          <w:highlight w:val="none"/>
          <w:lang w:val="en-US" w:eastAsia="zh-CN"/>
        </w:rPr>
        <w:t>参数中有要求提供证明材料的，还应按要求提供证明材料，</w:t>
      </w:r>
      <w:r>
        <w:rPr>
          <w:rFonts w:hint="eastAsia" w:ascii="宋体" w:hAnsi="宋体" w:cs="宋体"/>
          <w:b/>
          <w:bCs/>
          <w:color w:val="auto"/>
          <w:sz w:val="24"/>
          <w:szCs w:val="24"/>
          <w:highlight w:val="none"/>
        </w:rPr>
        <w:t>否则作无效投标处理；▲项为重要参数，无标记项为一般参数</w:t>
      </w:r>
      <w:r>
        <w:rPr>
          <w:rFonts w:hint="eastAsia" w:ascii="宋体" w:hAnsi="宋体" w:cs="宋体"/>
          <w:b/>
          <w:bCs/>
          <w:color w:val="auto"/>
          <w:sz w:val="24"/>
          <w:szCs w:val="24"/>
          <w:highlight w:val="none"/>
          <w:lang w:eastAsia="zh-CN"/>
        </w:rPr>
        <w:t>（技术</w:t>
      </w:r>
      <w:r>
        <w:rPr>
          <w:rFonts w:hint="eastAsia" w:ascii="宋体" w:hAnsi="宋体" w:cs="宋体"/>
          <w:b/>
          <w:bCs/>
          <w:color w:val="auto"/>
          <w:sz w:val="24"/>
          <w:szCs w:val="24"/>
          <w:highlight w:val="none"/>
          <w:lang w:val="en-US" w:eastAsia="zh-CN"/>
        </w:rPr>
        <w:t>参数中有要求提供证明材料的，还应按要求提供证明材料</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，若为负偏离将作不同分值的扣分(详见各标包评分明细表)。</w:t>
      </w:r>
    </w:p>
    <w:p w14:paraId="1206EDEC">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2、带有“▲”标志的技术参数指标，</w:t>
      </w:r>
      <w:r>
        <w:rPr>
          <w:rFonts w:hint="eastAsia" w:ascii="宋体" w:hAnsi="宋体" w:cs="宋体"/>
          <w:b/>
          <w:bCs/>
          <w:color w:val="auto"/>
          <w:sz w:val="24"/>
          <w:szCs w:val="24"/>
          <w:highlight w:val="none"/>
          <w:lang w:val="en-US" w:eastAsia="zh-CN"/>
        </w:rPr>
        <w:t>需</w:t>
      </w:r>
      <w:r>
        <w:rPr>
          <w:rFonts w:hint="eastAsia" w:ascii="宋体" w:hAnsi="宋体" w:cs="宋体"/>
          <w:b/>
          <w:bCs/>
          <w:color w:val="auto"/>
          <w:sz w:val="24"/>
          <w:szCs w:val="24"/>
          <w:highlight w:val="none"/>
        </w:rPr>
        <w:t>提供国家认可的具备相关资质的第三方检测机构出具的检测检验报告佐证（技术参数中另有要求提供其它证明材料的除外），所提供的检测（检验）报告应完整有效</w:t>
      </w:r>
      <w:r>
        <w:rPr>
          <w:rFonts w:hint="eastAsia" w:ascii="宋体" w:hAnsi="宋体" w:cs="宋体"/>
          <w:b/>
          <w:bCs/>
          <w:color w:val="auto"/>
          <w:sz w:val="24"/>
          <w:szCs w:val="24"/>
          <w:highlight w:val="none"/>
          <w:lang w:eastAsia="zh-CN"/>
        </w:rPr>
        <w:t>。</w:t>
      </w:r>
    </w:p>
    <w:p w14:paraId="59037D1D">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3、响应内容与所提供检测报告不一致的内容，以检测</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检验</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报告为准。</w:t>
      </w:r>
    </w:p>
    <w:p w14:paraId="171ADED4">
      <w:pPr>
        <w:shd w:val="clear"/>
        <w:spacing w:line="360" w:lineRule="auto"/>
        <w:ind w:firstLine="480" w:firstLineChars="200"/>
        <w:rPr>
          <w:rFonts w:hint="eastAsia" w:ascii="宋体" w:hAnsi="宋体" w:eastAsia="宋体" w:cs="宋体"/>
          <w:color w:val="auto"/>
          <w:sz w:val="24"/>
          <w:szCs w:val="24"/>
          <w:highlight w:val="none"/>
        </w:rPr>
      </w:pPr>
    </w:p>
    <w:bookmarkEnd w:id="339"/>
    <w:bookmarkEnd w:id="340"/>
    <w:bookmarkEnd w:id="341"/>
    <w:bookmarkEnd w:id="342"/>
    <w:bookmarkEnd w:id="343"/>
    <w:bookmarkEnd w:id="344"/>
    <w:bookmarkEnd w:id="345"/>
    <w:bookmarkEnd w:id="346"/>
    <w:bookmarkEnd w:id="347"/>
    <w:bookmarkEnd w:id="348"/>
    <w:bookmarkEnd w:id="349"/>
    <w:bookmarkEnd w:id="350"/>
    <w:bookmarkEnd w:id="351"/>
    <w:p w14:paraId="4E2A7AB6">
      <w:pPr>
        <w:pStyle w:val="2"/>
        <w:shd w:val="clear"/>
        <w:spacing w:before="0" w:after="0" w:line="360" w:lineRule="auto"/>
        <w:jc w:val="center"/>
        <w:rPr>
          <w:rFonts w:hint="eastAsia" w:ascii="宋体" w:hAnsi="宋体" w:eastAsia="宋体" w:cs="宋体"/>
          <w:color w:val="auto"/>
          <w:sz w:val="32"/>
          <w:szCs w:val="32"/>
          <w:highlight w:val="none"/>
        </w:rPr>
      </w:pPr>
      <w:bookmarkStart w:id="357" w:name="_Toc7747"/>
      <w:bookmarkStart w:id="358" w:name="_Toc426657604"/>
      <w:bookmarkStart w:id="359" w:name="_Toc27529"/>
      <w:bookmarkStart w:id="360" w:name="_Toc3231"/>
      <w:bookmarkStart w:id="361" w:name="_Toc32645"/>
      <w:bookmarkStart w:id="362" w:name="_Toc183682415"/>
      <w:bookmarkStart w:id="363" w:name="_Toc183582280"/>
      <w:bookmarkStart w:id="364" w:name="_Toc217446097"/>
      <w:bookmarkStart w:id="365" w:name="_Toc208849007"/>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第七章  评标办法</w:t>
      </w:r>
      <w:bookmarkEnd w:id="357"/>
      <w:bookmarkEnd w:id="358"/>
      <w:bookmarkEnd w:id="359"/>
      <w:bookmarkEnd w:id="360"/>
      <w:bookmarkEnd w:id="361"/>
    </w:p>
    <w:p w14:paraId="659124FF">
      <w:pPr>
        <w:pStyle w:val="3"/>
        <w:shd w:val="clear"/>
        <w:spacing w:before="0" w:after="0" w:line="360" w:lineRule="auto"/>
        <w:rPr>
          <w:rFonts w:hint="eastAsia" w:ascii="宋体" w:hAnsi="宋体" w:eastAsia="宋体" w:cs="宋体"/>
          <w:bCs w:val="0"/>
          <w:color w:val="auto"/>
          <w:sz w:val="24"/>
          <w:szCs w:val="24"/>
          <w:highlight w:val="none"/>
        </w:rPr>
      </w:pPr>
      <w:bookmarkStart w:id="366" w:name="_Toc426648272"/>
      <w:bookmarkStart w:id="367" w:name="_Toc21845"/>
      <w:bookmarkStart w:id="368" w:name="_Toc15353"/>
      <w:bookmarkStart w:id="369" w:name="_Toc426657605"/>
      <w:bookmarkStart w:id="370" w:name="_Toc217446060"/>
      <w:r>
        <w:rPr>
          <w:rFonts w:hint="eastAsia" w:ascii="宋体" w:hAnsi="宋体" w:eastAsia="宋体" w:cs="宋体"/>
          <w:color w:val="auto"/>
          <w:sz w:val="24"/>
          <w:szCs w:val="24"/>
          <w:highlight w:val="none"/>
        </w:rPr>
        <w:t>1. 总则</w:t>
      </w:r>
      <w:bookmarkEnd w:id="366"/>
      <w:bookmarkEnd w:id="367"/>
      <w:bookmarkEnd w:id="368"/>
      <w:bookmarkEnd w:id="369"/>
    </w:p>
    <w:p w14:paraId="7F0CDB67">
      <w:pPr>
        <w:shd w:val="clear"/>
        <w:snapToGrid w:val="0"/>
        <w:spacing w:line="360" w:lineRule="auto"/>
        <w:ind w:firstLine="480" w:firstLineChars="200"/>
        <w:rPr>
          <w:rFonts w:hint="eastAsia" w:ascii="宋体" w:hAnsi="宋体" w:eastAsia="宋体" w:cs="宋体"/>
          <w:color w:val="auto"/>
          <w:sz w:val="24"/>
          <w:szCs w:val="24"/>
          <w:highlight w:val="none"/>
        </w:rPr>
      </w:pPr>
      <w:bookmarkStart w:id="371" w:name="_Toc217446098"/>
      <w:r>
        <w:rPr>
          <w:rFonts w:hint="eastAsia" w:ascii="宋体" w:hAnsi="宋体" w:eastAsia="宋体" w:cs="宋体"/>
          <w:color w:val="auto"/>
          <w:sz w:val="24"/>
          <w:szCs w:val="24"/>
          <w:highlight w:val="none"/>
        </w:rPr>
        <w:t>1.1 根据《中华人民共和国政府采购法》、《中华人民共和国政府采购法实施条例》、《政府采购货物和服务招标投标管理办法》等法律制度，结合采购项目特点制定本评标办法。</w:t>
      </w:r>
    </w:p>
    <w:p w14:paraId="094618C4">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评标工作由采购代理机构负责组织，具体评标事务由采购代理机构依法组建的评标委员会负责。评标委员会由采购人代表和有关技术、经济、法律等方面的专家组成。</w:t>
      </w:r>
    </w:p>
    <w:p w14:paraId="43633CD0">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评标工作应遵循公平、公正、科学及择优的原则，并以相同的评标程序和标准对待所有的投标人。</w:t>
      </w:r>
    </w:p>
    <w:p w14:paraId="1473F90C">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753A30BB">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（一）熟悉和理解招标文件；</w:t>
      </w:r>
    </w:p>
    <w:p w14:paraId="3BA7644C">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（二）审查投标人投标文件等是否满足招标文件要求，并作出评价；</w:t>
      </w:r>
    </w:p>
    <w:p w14:paraId="3E9D14EB">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（三）根据需要要求招标采购单位对招标文件作出解释；根据需要要求投标人对投标文件有关事项作出澄清、说明或者补正；</w:t>
      </w:r>
    </w:p>
    <w:p w14:paraId="49D5A41A">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（四）推荐中标候选人；</w:t>
      </w:r>
    </w:p>
    <w:p w14:paraId="0FF9AA92">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（五）起草评标报告并进行签署；</w:t>
      </w:r>
    </w:p>
    <w:p w14:paraId="7571A826">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（六）向招标采购单位、财政部门或者其他监督部门报告非法干预评标工作的行为；</w:t>
      </w:r>
    </w:p>
    <w:p w14:paraId="62B42745">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（七）法律、法规和规章规定的其他职责。</w:t>
      </w:r>
    </w:p>
    <w:p w14:paraId="73F537CC">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评标过程独立、保密。投标人非法干预评标过程的行为将导致其投标文件作为无效处理。</w:t>
      </w:r>
    </w:p>
    <w:p w14:paraId="025AADCD">
      <w:pPr>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1.6评标委员会评价投标文件的响应性，对于投标人而言，除评标委员会要求其澄清、说明或者补正而提供的资料外，仅依据投标文件本身的内容，不寻求其他外部证据。</w:t>
      </w:r>
    </w:p>
    <w:bookmarkEnd w:id="371"/>
    <w:p w14:paraId="0C904D53">
      <w:pPr>
        <w:pStyle w:val="4"/>
        <w:shd w:val="clear"/>
        <w:spacing w:before="0" w:after="0" w:line="360" w:lineRule="auto"/>
        <w:ind w:firstLine="482"/>
        <w:rPr>
          <w:rFonts w:hint="eastAsia" w:ascii="宋体" w:hAnsi="宋体" w:eastAsia="宋体" w:cs="宋体"/>
          <w:color w:val="auto"/>
          <w:sz w:val="24"/>
          <w:szCs w:val="24"/>
          <w:highlight w:val="none"/>
        </w:rPr>
      </w:pPr>
      <w:bookmarkStart w:id="372" w:name="_Toc12304"/>
      <w:bookmarkStart w:id="373" w:name="_Toc426648276"/>
      <w:bookmarkStart w:id="374" w:name="_Toc426657610"/>
      <w:r>
        <w:rPr>
          <w:rFonts w:hint="eastAsia" w:ascii="宋体" w:hAnsi="宋体" w:eastAsia="宋体" w:cs="宋体"/>
          <w:color w:val="auto"/>
          <w:sz w:val="24"/>
          <w:szCs w:val="24"/>
          <w:highlight w:val="none"/>
        </w:rPr>
        <w:t>2、评标方法</w:t>
      </w:r>
    </w:p>
    <w:p w14:paraId="66257DB6">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39C81B1A">
      <w:pPr>
        <w:pStyle w:val="4"/>
        <w:shd w:val="clear"/>
        <w:spacing w:before="0" w:after="0" w:line="360" w:lineRule="auto"/>
        <w:ind w:firstLine="482"/>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3、评标程序</w:t>
      </w:r>
    </w:p>
    <w:p w14:paraId="69AE76AF">
      <w:pPr>
        <w:shd w:val="clear"/>
        <w:snapToGrid w:val="0"/>
        <w:spacing w:line="360" w:lineRule="auto"/>
        <w:ind w:firstLine="480" w:firstLineChars="200"/>
        <w:rPr>
          <w:rFonts w:hint="eastAsia" w:ascii="宋体" w:hAnsi="宋体" w:eastAsia="宋体" w:cs="宋体"/>
          <w:color w:val="auto"/>
          <w:sz w:val="24"/>
          <w:szCs w:val="24"/>
          <w:highlight w:val="none"/>
        </w:rPr>
      </w:pPr>
      <w:bookmarkStart w:id="375" w:name="_Toc217446103"/>
      <w:r>
        <w:rPr>
          <w:rFonts w:hint="eastAsia" w:ascii="宋体" w:hAnsi="宋体" w:eastAsia="宋体" w:cs="宋体"/>
          <w:color w:val="auto"/>
          <w:sz w:val="24"/>
          <w:szCs w:val="24"/>
          <w:highlight w:val="none"/>
        </w:rPr>
        <w:t>3.1熟悉和理解招标文件和停止评标。</w:t>
      </w:r>
    </w:p>
    <w:p w14:paraId="6C34D30B">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3.1.1评标委员会正式评标前，应当对招标文件进行熟悉和理解，内容主要包括招标文件中投标人的采购项目技术、服务和商务要求、评标方法和标准以及可能涉及签订政府采购合同的内容等。</w:t>
      </w:r>
    </w:p>
    <w:p w14:paraId="399913E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3.1.2评标委员会熟悉和理解招标文件以及评标过程中，发现本招标文件有下列情形之一的，评标委员会应当停止评标：</w:t>
      </w:r>
    </w:p>
    <w:p w14:paraId="2D7C55B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（1）招标文件的规定存在歧义、重大缺陷的；</w:t>
      </w:r>
    </w:p>
    <w:p w14:paraId="2F04F74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（2）招标文件明显以不合理条件对投标人实行差别待遇或者歧视待遇的；</w:t>
      </w:r>
    </w:p>
    <w:p w14:paraId="1AADA94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（3）采购项目属于国家规定的优先、强制采购范围，但是招标文件未依法体现优先、强制采购相关规定的；</w:t>
      </w:r>
    </w:p>
    <w:p w14:paraId="6660443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（4）采购项目属于政府采购促进中小企业发展的范围，但是招标文件未依法体现促进中小企业发展相关规定的；</w:t>
      </w:r>
    </w:p>
    <w:p w14:paraId="465C095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（5）招标文件规定的评标方法是综合评分法之外的评标方法，或者虽然名称为综合评分法，但实际上不符合国家规定；</w:t>
      </w:r>
    </w:p>
    <w:p w14:paraId="4D5F7A0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（6）招标文件将投标人的资格条件列为评分因素的；</w:t>
      </w:r>
    </w:p>
    <w:p w14:paraId="4A973D4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（7）招标文件有违反国家其他有关强制性规定的情形。</w:t>
      </w:r>
    </w:p>
    <w:p w14:paraId="62EAC750">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出现本条3.1.2规定应当停止评标情形的，评标委员会成员应当向招标采购单位书面说明情况。除本条规定和评标委员会无法依法组建的情形外，评标委员会成员不得以任何方式和理由停止评标。</w:t>
      </w:r>
    </w:p>
    <w:p w14:paraId="6A96756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3.2资格性检查。</w:t>
      </w:r>
    </w:p>
    <w:p w14:paraId="59018AF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采购人或者采购代理机构应依据法律法规和本招标文件的规定，对投标文件是否按照规定要求提供资格性证明材料、是否属于禁止参加投标的投标人等进行审查，以确定投标人是否具备投标资格。</w:t>
      </w:r>
    </w:p>
    <w:p w14:paraId="511A7C8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3.3符合性检查。</w:t>
      </w:r>
    </w:p>
    <w:p w14:paraId="341704C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93B2F5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3.3.2投标文件（包括单独递交的开标一览表）有下列情形的，本项目不作为实质性要求进行规定，即不作为符合性审查事项，不得作为无效投标处理：</w:t>
      </w:r>
    </w:p>
    <w:p w14:paraId="7BF6207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（一）正副本数量齐全、密封完好，只是未按照招标文件要求进行分装或者统装的；</w:t>
      </w:r>
    </w:p>
    <w:p w14:paraId="52F1F935">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（二）存在个别地方（不超过2个）没有法定代表人签字，但有法定代表人的私人印章或者有效授权代理人签字的；</w:t>
      </w:r>
    </w:p>
    <w:p w14:paraId="793EB79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（三）除招标文件明确要求加盖单位(法人)公章的以外，其他地方以相关专用章加盖的；</w:t>
      </w:r>
    </w:p>
    <w:p w14:paraId="6171091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（四）以骑缝章的形式代替投标文件内容逐页盖章的（但是骑缝章模糊不清，印章名称无法辨认的除外）；</w:t>
      </w:r>
    </w:p>
    <w:p w14:paraId="2E880A8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（五）其他不影响采购项目实质性要求的情形。</w:t>
      </w:r>
    </w:p>
    <w:p w14:paraId="46E24C4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3.3.3除政府采购法律制度规定的情形外，本项目投标人或者其投标文件有下列情形之一的，作为无效投标处理：</w:t>
      </w:r>
    </w:p>
    <w:p w14:paraId="1499FB8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（一）投标文件正副本数量不足的或无单独递交的“开标一览表”和投标文件电子文档的。</w:t>
      </w:r>
    </w:p>
    <w:p w14:paraId="2E62481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（二）投标文件组成明显不符合招标文件的规定要求，影响评标委员会评判的；</w:t>
      </w:r>
    </w:p>
    <w:p w14:paraId="46AEDF0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（三）投标文件的格式、语言、计量单位、报价货币、知识产权、投标有效期等不符合招标文件的规定，影响评标委员会评判的；</w:t>
      </w:r>
    </w:p>
    <w:p w14:paraId="5769C9C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（四）投标报价不符合招标文件规定的价格标底和其他报价规定的；</w:t>
      </w:r>
    </w:p>
    <w:p w14:paraId="6DE0986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技术应答内容完全或者绝大部分复制招标文件规定要求，且无相关证明材料的（主要适用于专用设备和电子信息化建设采购项目，政府采购工程、政府采购协议供货或定点供应商采购、政府采购的货物属于规格标准统一或者订制产品及服务项目的除外）；</w:t>
      </w:r>
    </w:p>
    <w:p w14:paraId="2492E3C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（六）技术、服务应答内容没有完全响应招标文件的实质性要求的；</w:t>
      </w:r>
    </w:p>
    <w:p w14:paraId="40A7757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（七）招标文件有明确要求，但投标文件未载明或者载明的采购项目履约时间、方式、数量与招标文件要求不一致的。</w:t>
      </w:r>
    </w:p>
    <w:p w14:paraId="00E6035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3.4比较与评价。按招标文件中规定的评标方法和标准，对未作无效投标处理的投标文件进行技术、服务、商务等方面评估，综合比较与评价。</w:t>
      </w:r>
    </w:p>
    <w:p w14:paraId="23B9AB4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3.5复核。评分汇总结束后，评标委员会应当进行复核，特别要对拟推荐为中标候选人的、报价最低的、投标文件被认定为无效的进行重点复核。</w:t>
      </w:r>
    </w:p>
    <w:p w14:paraId="78545FF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推荐3家及以上中标候选人。中标候选人应当排序。评标结果按评审后得分由高到低顺序排列；在得分相同时,按投标报价由低到高顺序排列；得分且投标报价相同的并列，投标文件满足招标文件全部实质性要求且按照评审因素的量化指标评审得分最高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报价相同且满足招标文件全部实质性要求且按照评审因素的量化指标评审得分也相同的，若存在不发达地区或少数民族地区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，优先选择该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，若不存在，则并列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由采购人自主采取公平、择优的方式选择</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w:t>
      </w:r>
    </w:p>
    <w:p w14:paraId="66ABF5D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可推荐的中标候选人数量不能满足招标文件规定的数量的，只有在获得采购人书面同意后，可以根据实际情况推荐中标候选人。未获得采购人的书面同意,评标委员会不得在招标文件规定之外推荐中标候选人，否则，采购人可不予认可。</w:t>
      </w:r>
    </w:p>
    <w:p w14:paraId="7C9CCEF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3.7出具评标报告。评标委员会推荐中标候选人后，应当向招标采购单位出具评标报告。评标报告应当包括下列内容：</w:t>
      </w:r>
    </w:p>
    <w:p w14:paraId="285C84B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（一）招标公告刊登的媒体名称、开标日期和地点；</w:t>
      </w:r>
    </w:p>
    <w:p w14:paraId="108DA4D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（二）获取招标文件的投标人名单和评标委员会成员名单；</w:t>
      </w:r>
    </w:p>
    <w:p w14:paraId="6542C82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（三）评标方法和标准；</w:t>
      </w:r>
    </w:p>
    <w:p w14:paraId="4324174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（四）开标记录和评标情况及说明，包括无效投标人名单及原因；</w:t>
      </w:r>
    </w:p>
    <w:p w14:paraId="3130EDC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（五）评标结果和中标候选人排序表；</w:t>
      </w:r>
    </w:p>
    <w:p w14:paraId="3343A2A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（六）评标委员会授标建议；</w:t>
      </w:r>
    </w:p>
    <w:p w14:paraId="29F1EB0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（七）报价最高的投标人为中标候选人的，评标委员会应当对其报价的合理性予以特别说明。</w:t>
      </w:r>
    </w:p>
    <w:p w14:paraId="08B9501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4A80FA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128B9C6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3.9投标人应当书面澄清、说明或者补正。</w:t>
      </w:r>
    </w:p>
    <w:p w14:paraId="1C201909">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3.9.1在评标过程中，对于投标文件中含义不明确、同类问题表述不一致或者有明显文字和计算错误的内容，评标委员会应当以书面形式要求投标人作出必要的澄清、说明或者补正。</w:t>
      </w:r>
    </w:p>
    <w:p w14:paraId="4A59E6C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投标人应当书面澄清、说明或者补正，并加盖公章或签字确认（投标人为法人的，应当由其法定代表人或者代理人签字确认；投标人为其他组织的，应当由其主要负责人或者代理人签字确认；投标人为自然人的，应当由其本人或者代理人签字确认），否则无效。澄清、说明或者补正不影响投标文件的效力，有效的澄清、说明或者补正材料，是投标文件的组成部分。</w:t>
      </w:r>
    </w:p>
    <w:p w14:paraId="1A77084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3.9.3评标委员会要求投标人澄清、说明或者补正，不得超出招标文件的范围，不得以此让投标人实质改变投标文件的内容，不得影响投标人公平竞争。本项目下列内容不得澄清：</w:t>
      </w:r>
    </w:p>
    <w:p w14:paraId="776448C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（一）按财政部规定应当在评标时不予承认的投标文件内容事项；</w:t>
      </w:r>
    </w:p>
    <w:p w14:paraId="21621ED0">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（二）投标文件中已经明确的内容事项；</w:t>
      </w:r>
    </w:p>
    <w:p w14:paraId="5BAA230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（三）投标文件未提供的材料。</w:t>
      </w:r>
    </w:p>
    <w:p w14:paraId="4FBC751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 本项目采购过程中，投标文件出现下列情况的，不需要投标人澄清、说明或者补正，按照以下原则处理：</w:t>
      </w:r>
    </w:p>
    <w:p w14:paraId="3BA6E0E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（一）投标文件的大写金额和小写金额不一致的，以大写金额为准，但大写金额出现文字错误，导致金额无法判断的除外；</w:t>
      </w:r>
    </w:p>
    <w:p w14:paraId="76A1332B">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（二）总价金额与按单价汇总金额不一致的，以单价汇总金额计算结果为准，但是单价金额出现计算错误、明显人为工作失误的除外；</w:t>
      </w:r>
    </w:p>
    <w:p w14:paraId="2FD3F16A">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（三）单价金额小数点有明显错位的，应以总价为准，并修改单价；</w:t>
      </w:r>
    </w:p>
    <w:p w14:paraId="22BB4E72">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（四）对不同语言文本投标文件的解释发生异议的，以中文文本为准。</w:t>
      </w:r>
    </w:p>
    <w:p w14:paraId="40E0D3A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本条第（二）项规定情形，单价汇总金额比总价金额高，且超过政府采购预算或者本项目最高限价的，投标人投标文件应作为无效投标处理；单价汇总金额比总价金额高，但未超过政府采购预算或者本项目最高限价的，应以单价汇总金额作为价格评分依据。</w:t>
      </w:r>
    </w:p>
    <w:p w14:paraId="33C3CE80">
      <w:pPr>
        <w:shd w:val="clea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注：评标委员会当积极履行澄清、说明或者补正的职责，不得滥用权力。投标人的投标文件可以要求澄清、说明或者补正的，不得未经澄清、说明或者补正而直接作无效投标处理。</w:t>
      </w:r>
    </w:p>
    <w:p w14:paraId="3EBAF85B">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3.10 低于成本价投标处理。在评标过程中，</w:t>
      </w:r>
      <w:r>
        <w:rPr>
          <w:rFonts w:hint="eastAsia" w:ascii="宋体" w:hAnsi="宋体" w:eastAsia="宋体" w:cs="宋体"/>
          <w:color w:val="auto"/>
          <w:highlight w:val="none"/>
          <w:lang w:val="zh-CN"/>
        </w:rPr>
        <w:t>评审委员会认为投标人的报价明显低于成本价或其他</w:t>
      </w:r>
      <w:r>
        <w:rPr>
          <w:rFonts w:hint="eastAsia" w:ascii="宋体" w:hAnsi="宋体" w:eastAsia="宋体" w:cs="宋体"/>
          <w:color w:val="auto"/>
          <w:highlight w:val="none"/>
        </w:rPr>
        <w:t>投标人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6E2BF3B6">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0AB2E67E">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58284F53">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3.11 招标采购单位现场复核评标结果。</w:t>
      </w:r>
    </w:p>
    <w:p w14:paraId="7C863F85">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3.11.1评标结果汇总完成后，评标委员会拟出具评标报告前，招标采购单位应当组织2名以上的本单位工作人员，在采购现场监督人员的监督之下，依据有关的法律制度和招标文件对评标结果进行复核，出具复核报告。存在下列情形之一的，招标采购单位应当根据情况书面建议评标委员会现场修改评标结果或者重新评标：</w:t>
      </w:r>
    </w:p>
    <w:p w14:paraId="5FB8DCBD">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（一）符合性审查认定错误的；</w:t>
      </w:r>
    </w:p>
    <w:p w14:paraId="1AC3198F">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（二）分值汇总计算错误的；</w:t>
      </w:r>
    </w:p>
    <w:p w14:paraId="3A894233">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（三）分项评分超出评分标准范围的；</w:t>
      </w:r>
    </w:p>
    <w:p w14:paraId="4A015C5F">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（四）客观评分不一致的。</w:t>
      </w:r>
    </w:p>
    <w:p w14:paraId="10884D26">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存在本条上述规定情形的，由评标委员会自主决定是否采纳招标采购单位的书面建议，并承担独立评审责任。评标委员会采纳招标采购单位书面建议的，应当按照规定现场修改评标结果或者重新评标，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14:paraId="1F2A0D9E">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3.11.2有下列情形之一的，不得修改评标结果或者重新评标：</w:t>
      </w:r>
    </w:p>
    <w:p w14:paraId="0AAB9C26">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（一）评标委员会已经出具评标报告并且离开评标现场的；</w:t>
      </w:r>
    </w:p>
    <w:p w14:paraId="761B2F45">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（二）招标采购单位现场复核时，复核工作人员数量不足的；</w:t>
      </w:r>
    </w:p>
    <w:p w14:paraId="74E11D4B">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（三）招标采购单位现场复核时，没有采购监督人员现场监督的；</w:t>
      </w:r>
    </w:p>
    <w:p w14:paraId="38894630">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（四）招标采购单位现场复核内容超出规定范围的；</w:t>
      </w:r>
    </w:p>
    <w:p w14:paraId="196450B6">
      <w:pPr>
        <w:pStyle w:val="464"/>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（五）招标采购单位未提供书面建议的。</w:t>
      </w:r>
    </w:p>
    <w:p w14:paraId="78468B8C">
      <w:pPr>
        <w:pStyle w:val="4"/>
        <w:shd w:val="clear"/>
        <w:spacing w:before="0" w:after="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4、评标细则及标准</w:t>
      </w:r>
      <w:bookmarkEnd w:id="375"/>
    </w:p>
    <w:p w14:paraId="008BB0A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4.1本次综合评分的因素是：详见综合评分明细表。</w:t>
      </w:r>
    </w:p>
    <w:p w14:paraId="1B61141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4.2综合评分明细表</w:t>
      </w:r>
    </w:p>
    <w:p w14:paraId="789CF7A0">
      <w:pPr>
        <w:pStyle w:val="23"/>
        <w:shd w:val="clear"/>
        <w:rPr>
          <w:rFonts w:hint="eastAsia" w:ascii="宋体" w:hAnsi="宋体" w:eastAsia="宋体" w:cs="宋体"/>
          <w:color w:val="auto"/>
          <w:highlight w:val="none"/>
        </w:rPr>
      </w:pPr>
    </w:p>
    <w:p w14:paraId="57EE78DA">
      <w:pPr>
        <w:shd w:val="clear"/>
        <w:rPr>
          <w:rFonts w:hint="eastAsia" w:ascii="宋体" w:hAnsi="宋体" w:eastAsia="宋体" w:cs="宋体"/>
          <w:color w:val="auto"/>
          <w:highlight w:val="none"/>
        </w:rPr>
      </w:pPr>
    </w:p>
    <w:p w14:paraId="4295E95F">
      <w:pPr>
        <w:pStyle w:val="23"/>
        <w:shd w:val="clear"/>
        <w:rPr>
          <w:rFonts w:hint="eastAsia" w:ascii="宋体" w:hAnsi="宋体" w:eastAsia="宋体" w:cs="宋体"/>
          <w:color w:val="auto"/>
          <w:highlight w:val="none"/>
        </w:rPr>
      </w:pPr>
    </w:p>
    <w:p w14:paraId="0D3F73AA">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376" w:name="OLE_LINK12"/>
    </w:p>
    <w:bookmarkEnd w:id="376"/>
    <w:p w14:paraId="3553A0CE">
      <w:pPr>
        <w:shd w:val="clear"/>
        <w:spacing w:line="360" w:lineRule="auto"/>
        <w:rPr>
          <w:rFonts w:hint="eastAsia" w:ascii="宋体" w:hAnsi="宋体" w:eastAsia="宋体" w:cs="宋体"/>
          <w:b/>
          <w:bCs/>
          <w:color w:val="auto"/>
          <w:sz w:val="24"/>
          <w:highlight w:val="none"/>
        </w:rPr>
      </w:pPr>
      <w:bookmarkStart w:id="377" w:name="OLE_LINK14"/>
      <w:r>
        <w:rPr>
          <w:rFonts w:hint="eastAsia" w:ascii="宋体" w:hAnsi="宋体" w:cs="宋体"/>
          <w:b/>
          <w:bCs/>
          <w:color w:val="auto"/>
          <w:sz w:val="24"/>
          <w:highlight w:val="none"/>
          <w:lang w:val="en-US" w:eastAsia="zh-CN"/>
        </w:rPr>
        <w:t>标包二</w:t>
      </w:r>
      <w:r>
        <w:rPr>
          <w:rFonts w:hint="eastAsia" w:ascii="宋体" w:hAnsi="宋体" w:eastAsia="宋体" w:cs="宋体"/>
          <w:b/>
          <w:bCs/>
          <w:color w:val="auto"/>
          <w:sz w:val="24"/>
          <w:highlight w:val="none"/>
        </w:rPr>
        <w:t>：</w:t>
      </w:r>
    </w:p>
    <w:tbl>
      <w:tblPr>
        <w:tblStyle w:val="5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27"/>
        <w:gridCol w:w="778"/>
        <w:gridCol w:w="5591"/>
        <w:gridCol w:w="1036"/>
      </w:tblGrid>
      <w:tr w14:paraId="1F9E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3D661DC8">
            <w:pPr>
              <w:spacing w:line="360" w:lineRule="auto"/>
              <w:jc w:val="center"/>
              <w:rPr>
                <w:rFonts w:hint="eastAsia" w:ascii="宋体" w:hAnsi="宋体" w:eastAsia="宋体" w:cs="宋体"/>
                <w:b/>
                <w:bCs/>
                <w:color w:val="auto"/>
                <w:sz w:val="24"/>
                <w:szCs w:val="24"/>
                <w:highlight w:val="none"/>
                <w:shd w:val="clear" w:color="auto" w:fill="auto"/>
              </w:rPr>
            </w:pPr>
          </w:p>
          <w:p w14:paraId="3F612F75">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序号</w:t>
            </w:r>
          </w:p>
        </w:tc>
        <w:tc>
          <w:tcPr>
            <w:tcW w:w="1227" w:type="dxa"/>
            <w:noWrap w:val="0"/>
            <w:vAlign w:val="top"/>
          </w:tcPr>
          <w:p w14:paraId="304318EF">
            <w:pPr>
              <w:spacing w:line="360" w:lineRule="auto"/>
              <w:jc w:val="center"/>
              <w:rPr>
                <w:rFonts w:hint="eastAsia" w:ascii="宋体" w:hAnsi="宋体" w:eastAsia="宋体" w:cs="宋体"/>
                <w:b/>
                <w:bCs/>
                <w:color w:val="auto"/>
                <w:sz w:val="24"/>
                <w:szCs w:val="24"/>
                <w:highlight w:val="none"/>
                <w:shd w:val="clear" w:color="auto" w:fill="auto"/>
              </w:rPr>
            </w:pPr>
          </w:p>
          <w:p w14:paraId="75F6396F">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评分因数及权重</w:t>
            </w:r>
          </w:p>
        </w:tc>
        <w:tc>
          <w:tcPr>
            <w:tcW w:w="778" w:type="dxa"/>
            <w:noWrap w:val="0"/>
            <w:vAlign w:val="top"/>
          </w:tcPr>
          <w:p w14:paraId="37B2804E">
            <w:pPr>
              <w:spacing w:line="360" w:lineRule="auto"/>
              <w:jc w:val="center"/>
              <w:rPr>
                <w:rFonts w:hint="eastAsia" w:ascii="宋体" w:hAnsi="宋体" w:eastAsia="宋体" w:cs="宋体"/>
                <w:b/>
                <w:bCs/>
                <w:color w:val="auto"/>
                <w:sz w:val="24"/>
                <w:szCs w:val="24"/>
                <w:highlight w:val="none"/>
                <w:shd w:val="clear" w:color="auto" w:fill="auto"/>
              </w:rPr>
            </w:pPr>
          </w:p>
          <w:p w14:paraId="205509C6">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分值</w:t>
            </w:r>
          </w:p>
        </w:tc>
        <w:tc>
          <w:tcPr>
            <w:tcW w:w="5591" w:type="dxa"/>
            <w:noWrap w:val="0"/>
            <w:vAlign w:val="top"/>
          </w:tcPr>
          <w:p w14:paraId="5685F76B">
            <w:pPr>
              <w:spacing w:line="360" w:lineRule="auto"/>
              <w:jc w:val="center"/>
              <w:rPr>
                <w:rFonts w:hint="eastAsia" w:ascii="宋体" w:hAnsi="宋体" w:eastAsia="宋体" w:cs="宋体"/>
                <w:b/>
                <w:bCs/>
                <w:color w:val="auto"/>
                <w:sz w:val="24"/>
                <w:szCs w:val="24"/>
                <w:highlight w:val="none"/>
                <w:shd w:val="clear" w:color="auto" w:fill="auto"/>
              </w:rPr>
            </w:pPr>
          </w:p>
          <w:p w14:paraId="461256F8">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评分标准</w:t>
            </w:r>
          </w:p>
        </w:tc>
        <w:tc>
          <w:tcPr>
            <w:tcW w:w="1036" w:type="dxa"/>
            <w:noWrap w:val="0"/>
            <w:vAlign w:val="center"/>
          </w:tcPr>
          <w:p w14:paraId="06360B66">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说明</w:t>
            </w:r>
          </w:p>
        </w:tc>
      </w:tr>
      <w:tr w14:paraId="40B7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0197E90B">
            <w:pPr>
              <w:spacing w:line="360" w:lineRule="auto"/>
              <w:jc w:val="center"/>
              <w:rPr>
                <w:rFonts w:hint="eastAsia" w:ascii="宋体" w:hAnsi="宋体" w:eastAsia="宋体" w:cs="宋体"/>
                <w:color w:val="auto"/>
                <w:sz w:val="24"/>
                <w:szCs w:val="24"/>
                <w:highlight w:val="none"/>
                <w:shd w:val="clear" w:color="auto" w:fill="auto"/>
              </w:rPr>
            </w:pPr>
          </w:p>
          <w:p w14:paraId="451D0B83">
            <w:pPr>
              <w:spacing w:line="360" w:lineRule="auto"/>
              <w:jc w:val="center"/>
              <w:rPr>
                <w:rFonts w:hint="eastAsia" w:ascii="宋体" w:hAnsi="宋体" w:eastAsia="宋体" w:cs="宋体"/>
                <w:color w:val="auto"/>
                <w:sz w:val="24"/>
                <w:szCs w:val="24"/>
                <w:highlight w:val="none"/>
                <w:shd w:val="clear" w:color="auto" w:fill="auto"/>
              </w:rPr>
            </w:pPr>
          </w:p>
          <w:p w14:paraId="75A0D74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p w14:paraId="5FFB3E8C">
            <w:pPr>
              <w:spacing w:line="360" w:lineRule="auto"/>
              <w:jc w:val="center"/>
              <w:rPr>
                <w:rFonts w:hint="eastAsia" w:ascii="宋体" w:hAnsi="宋体" w:eastAsia="宋体" w:cs="宋体"/>
                <w:color w:val="auto"/>
                <w:sz w:val="24"/>
                <w:szCs w:val="24"/>
                <w:highlight w:val="none"/>
                <w:shd w:val="clear" w:color="auto" w:fill="auto"/>
              </w:rPr>
            </w:pPr>
          </w:p>
          <w:p w14:paraId="4E9915FE">
            <w:pPr>
              <w:spacing w:line="360" w:lineRule="auto"/>
              <w:jc w:val="center"/>
              <w:rPr>
                <w:rFonts w:hint="eastAsia" w:ascii="宋体" w:hAnsi="宋体" w:eastAsia="宋体" w:cs="宋体"/>
                <w:color w:val="auto"/>
                <w:sz w:val="24"/>
                <w:szCs w:val="24"/>
                <w:highlight w:val="none"/>
                <w:shd w:val="clear" w:color="auto" w:fill="auto"/>
              </w:rPr>
            </w:pPr>
          </w:p>
        </w:tc>
        <w:tc>
          <w:tcPr>
            <w:tcW w:w="1227" w:type="dxa"/>
            <w:noWrap w:val="0"/>
            <w:vAlign w:val="top"/>
          </w:tcPr>
          <w:p w14:paraId="7EEB0CCF">
            <w:pPr>
              <w:spacing w:line="360" w:lineRule="auto"/>
              <w:jc w:val="center"/>
              <w:rPr>
                <w:rFonts w:hint="eastAsia" w:ascii="宋体" w:hAnsi="宋体" w:eastAsia="宋体" w:cs="宋体"/>
                <w:color w:val="auto"/>
                <w:sz w:val="24"/>
                <w:szCs w:val="24"/>
                <w:highlight w:val="none"/>
                <w:shd w:val="clear" w:color="auto" w:fill="auto"/>
              </w:rPr>
            </w:pPr>
          </w:p>
          <w:p w14:paraId="144A3149">
            <w:pPr>
              <w:spacing w:line="360" w:lineRule="auto"/>
              <w:jc w:val="center"/>
              <w:rPr>
                <w:rFonts w:hint="eastAsia" w:ascii="宋体" w:hAnsi="宋体" w:eastAsia="宋体" w:cs="宋体"/>
                <w:color w:val="auto"/>
                <w:sz w:val="24"/>
                <w:szCs w:val="24"/>
                <w:highlight w:val="none"/>
                <w:shd w:val="clear" w:color="auto" w:fill="auto"/>
              </w:rPr>
            </w:pPr>
          </w:p>
          <w:p w14:paraId="3C650EFE">
            <w:pPr>
              <w:spacing w:line="360" w:lineRule="auto"/>
              <w:jc w:val="center"/>
              <w:rPr>
                <w:rFonts w:hint="eastAsia" w:ascii="宋体" w:hAnsi="宋体" w:eastAsia="宋体" w:cs="宋体"/>
                <w:color w:val="auto"/>
                <w:sz w:val="24"/>
                <w:szCs w:val="24"/>
                <w:highlight w:val="none"/>
                <w:shd w:val="clear" w:color="auto" w:fill="auto"/>
              </w:rPr>
            </w:pPr>
          </w:p>
          <w:p w14:paraId="488B671B">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报价部分30%</w:t>
            </w:r>
          </w:p>
        </w:tc>
        <w:tc>
          <w:tcPr>
            <w:tcW w:w="778" w:type="dxa"/>
            <w:noWrap w:val="0"/>
            <w:vAlign w:val="top"/>
          </w:tcPr>
          <w:p w14:paraId="1B19B32F">
            <w:pPr>
              <w:spacing w:line="360" w:lineRule="auto"/>
              <w:rPr>
                <w:rFonts w:hint="eastAsia" w:ascii="宋体" w:hAnsi="宋体" w:eastAsia="宋体" w:cs="宋体"/>
                <w:color w:val="auto"/>
                <w:sz w:val="24"/>
                <w:szCs w:val="24"/>
                <w:highlight w:val="none"/>
                <w:shd w:val="clear" w:color="auto" w:fill="auto"/>
              </w:rPr>
            </w:pPr>
          </w:p>
          <w:p w14:paraId="053C974C">
            <w:pPr>
              <w:spacing w:line="360" w:lineRule="auto"/>
              <w:rPr>
                <w:rFonts w:hint="eastAsia" w:ascii="宋体" w:hAnsi="宋体" w:eastAsia="宋体" w:cs="宋体"/>
                <w:color w:val="auto"/>
                <w:sz w:val="24"/>
                <w:szCs w:val="24"/>
                <w:highlight w:val="none"/>
                <w:shd w:val="clear" w:color="auto" w:fill="auto"/>
              </w:rPr>
            </w:pPr>
          </w:p>
          <w:p w14:paraId="04C3B793">
            <w:pPr>
              <w:spacing w:line="360" w:lineRule="auto"/>
              <w:rPr>
                <w:rFonts w:hint="eastAsia" w:ascii="宋体" w:hAnsi="宋体" w:eastAsia="宋体" w:cs="宋体"/>
                <w:color w:val="auto"/>
                <w:sz w:val="24"/>
                <w:szCs w:val="24"/>
                <w:highlight w:val="none"/>
                <w:shd w:val="clear" w:color="auto" w:fill="auto"/>
              </w:rPr>
            </w:pPr>
          </w:p>
          <w:p w14:paraId="6D6D1743">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30分</w:t>
            </w:r>
          </w:p>
        </w:tc>
        <w:tc>
          <w:tcPr>
            <w:tcW w:w="5591" w:type="dxa"/>
            <w:noWrap w:val="0"/>
            <w:vAlign w:val="top"/>
          </w:tcPr>
          <w:p w14:paraId="7E230340">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综合评分法中的价格分统一采用低价优先法计算，即满足招标文件要求（通过资格性、符合性审查）且投标价格最低的有效投标报价为评标基准价，其价格分为满分。其他投标人的价格分统一按照下列公式计算：</w:t>
            </w:r>
          </w:p>
          <w:p w14:paraId="3E7E5667">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2、投标报价得分=(评标基准价/投标报价)×价格权值×100%</w:t>
            </w:r>
          </w:p>
        </w:tc>
        <w:tc>
          <w:tcPr>
            <w:tcW w:w="1036" w:type="dxa"/>
            <w:noWrap w:val="0"/>
            <w:vAlign w:val="center"/>
          </w:tcPr>
          <w:p w14:paraId="3BE15B23">
            <w:pPr>
              <w:spacing w:line="360" w:lineRule="auto"/>
              <w:jc w:val="center"/>
              <w:rPr>
                <w:rFonts w:hint="eastAsia" w:ascii="宋体" w:hAnsi="宋体" w:eastAsia="宋体" w:cs="宋体"/>
                <w:color w:val="auto"/>
                <w:sz w:val="24"/>
                <w:szCs w:val="24"/>
                <w:highlight w:val="none"/>
                <w:shd w:val="clear" w:color="auto" w:fill="auto"/>
              </w:rPr>
            </w:pPr>
          </w:p>
        </w:tc>
      </w:tr>
      <w:tr w14:paraId="6F89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9" w:type="dxa"/>
            <w:noWrap w:val="0"/>
            <w:vAlign w:val="center"/>
          </w:tcPr>
          <w:p w14:paraId="710E59E8">
            <w:pPr>
              <w:spacing w:line="360" w:lineRule="auto"/>
              <w:jc w:val="center"/>
              <w:rPr>
                <w:rFonts w:hint="eastAsia" w:ascii="宋体" w:hAnsi="宋体" w:eastAsia="宋体" w:cs="宋体"/>
                <w:color w:val="auto"/>
                <w:sz w:val="24"/>
                <w:szCs w:val="24"/>
                <w:highlight w:val="none"/>
                <w:shd w:val="clear" w:color="auto" w:fill="auto"/>
              </w:rPr>
            </w:pPr>
          </w:p>
          <w:p w14:paraId="3E9E89F6">
            <w:pPr>
              <w:spacing w:line="360" w:lineRule="auto"/>
              <w:jc w:val="center"/>
              <w:rPr>
                <w:rFonts w:hint="eastAsia" w:ascii="宋体" w:hAnsi="宋体" w:eastAsia="宋体" w:cs="宋体"/>
                <w:color w:val="auto"/>
                <w:sz w:val="24"/>
                <w:szCs w:val="24"/>
                <w:highlight w:val="none"/>
                <w:shd w:val="clear" w:color="auto" w:fill="auto"/>
              </w:rPr>
            </w:pPr>
          </w:p>
          <w:p w14:paraId="21CC9DDD">
            <w:pPr>
              <w:spacing w:line="360" w:lineRule="auto"/>
              <w:jc w:val="center"/>
              <w:rPr>
                <w:rFonts w:hint="eastAsia" w:ascii="宋体" w:hAnsi="宋体" w:eastAsia="宋体" w:cs="宋体"/>
                <w:color w:val="auto"/>
                <w:sz w:val="24"/>
                <w:szCs w:val="24"/>
                <w:highlight w:val="none"/>
                <w:shd w:val="clear" w:color="auto" w:fill="auto"/>
              </w:rPr>
            </w:pPr>
          </w:p>
          <w:p w14:paraId="54EFAE0A">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p w14:paraId="6C4AB5DD">
            <w:pPr>
              <w:spacing w:line="360" w:lineRule="auto"/>
              <w:jc w:val="center"/>
              <w:rPr>
                <w:rFonts w:hint="eastAsia" w:ascii="宋体" w:hAnsi="宋体" w:eastAsia="宋体" w:cs="宋体"/>
                <w:color w:val="auto"/>
                <w:sz w:val="24"/>
                <w:szCs w:val="24"/>
                <w:highlight w:val="none"/>
                <w:shd w:val="clear" w:color="auto" w:fill="auto"/>
              </w:rPr>
            </w:pPr>
          </w:p>
          <w:p w14:paraId="5B13AB9D">
            <w:pPr>
              <w:spacing w:line="360" w:lineRule="auto"/>
              <w:jc w:val="center"/>
              <w:rPr>
                <w:rFonts w:hint="eastAsia" w:ascii="宋体" w:hAnsi="宋体" w:eastAsia="宋体" w:cs="宋体"/>
                <w:color w:val="auto"/>
                <w:sz w:val="24"/>
                <w:szCs w:val="24"/>
                <w:highlight w:val="none"/>
                <w:shd w:val="clear" w:color="auto" w:fill="auto"/>
              </w:rPr>
            </w:pPr>
          </w:p>
          <w:p w14:paraId="645D0333">
            <w:pPr>
              <w:spacing w:line="360" w:lineRule="auto"/>
              <w:jc w:val="center"/>
              <w:rPr>
                <w:rFonts w:hint="eastAsia" w:ascii="宋体" w:hAnsi="宋体" w:eastAsia="宋体" w:cs="宋体"/>
                <w:color w:val="auto"/>
                <w:sz w:val="24"/>
                <w:szCs w:val="24"/>
                <w:highlight w:val="none"/>
                <w:shd w:val="clear" w:color="auto" w:fill="auto"/>
              </w:rPr>
            </w:pPr>
          </w:p>
        </w:tc>
        <w:tc>
          <w:tcPr>
            <w:tcW w:w="1227" w:type="dxa"/>
            <w:noWrap w:val="0"/>
            <w:vAlign w:val="top"/>
          </w:tcPr>
          <w:p w14:paraId="2BE00D09">
            <w:pPr>
              <w:spacing w:line="360" w:lineRule="auto"/>
              <w:jc w:val="center"/>
              <w:rPr>
                <w:rFonts w:hint="eastAsia" w:ascii="宋体" w:hAnsi="宋体" w:eastAsia="宋体" w:cs="宋体"/>
                <w:color w:val="auto"/>
                <w:sz w:val="24"/>
                <w:szCs w:val="24"/>
                <w:highlight w:val="none"/>
                <w:shd w:val="clear" w:color="auto" w:fill="auto"/>
              </w:rPr>
            </w:pPr>
          </w:p>
          <w:p w14:paraId="1AC4D5F3">
            <w:pPr>
              <w:spacing w:line="360" w:lineRule="auto"/>
              <w:jc w:val="center"/>
              <w:rPr>
                <w:rFonts w:hint="eastAsia" w:ascii="宋体" w:hAnsi="宋体" w:eastAsia="宋体" w:cs="宋体"/>
                <w:color w:val="auto"/>
                <w:sz w:val="24"/>
                <w:szCs w:val="24"/>
                <w:highlight w:val="none"/>
                <w:shd w:val="clear" w:color="auto" w:fill="auto"/>
              </w:rPr>
            </w:pPr>
          </w:p>
          <w:p w14:paraId="173C55FA">
            <w:pPr>
              <w:spacing w:line="360" w:lineRule="auto"/>
              <w:jc w:val="center"/>
              <w:rPr>
                <w:rFonts w:hint="eastAsia" w:ascii="宋体" w:hAnsi="宋体" w:eastAsia="宋体" w:cs="宋体"/>
                <w:color w:val="auto"/>
                <w:sz w:val="24"/>
                <w:szCs w:val="24"/>
                <w:highlight w:val="none"/>
                <w:shd w:val="clear" w:color="auto" w:fill="auto"/>
              </w:rPr>
            </w:pPr>
          </w:p>
          <w:p w14:paraId="346C9C31">
            <w:pPr>
              <w:spacing w:line="360" w:lineRule="auto"/>
              <w:jc w:val="center"/>
              <w:rPr>
                <w:rFonts w:hint="eastAsia" w:ascii="宋体" w:hAnsi="宋体" w:eastAsia="宋体" w:cs="宋体"/>
                <w:color w:val="auto"/>
                <w:sz w:val="24"/>
                <w:szCs w:val="24"/>
                <w:highlight w:val="none"/>
                <w:shd w:val="clear" w:color="auto" w:fill="auto"/>
              </w:rPr>
            </w:pPr>
          </w:p>
          <w:p w14:paraId="4722107D">
            <w:pPr>
              <w:spacing w:line="360" w:lineRule="auto"/>
              <w:jc w:val="center"/>
              <w:rPr>
                <w:rFonts w:hint="eastAsia" w:ascii="宋体" w:hAnsi="宋体" w:eastAsia="宋体" w:cs="宋体"/>
                <w:color w:val="auto"/>
                <w:sz w:val="24"/>
                <w:szCs w:val="24"/>
                <w:highlight w:val="none"/>
                <w:shd w:val="clear" w:color="auto" w:fill="auto"/>
              </w:rPr>
            </w:pPr>
          </w:p>
          <w:p w14:paraId="0CC32A57">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技术部分</w:t>
            </w:r>
            <w:r>
              <w:rPr>
                <w:rFonts w:hint="eastAsia" w:ascii="宋体" w:hAnsi="宋体" w:eastAsia="宋体" w:cs="宋体"/>
                <w:color w:val="auto"/>
                <w:sz w:val="24"/>
                <w:szCs w:val="24"/>
                <w:highlight w:val="none"/>
                <w:shd w:val="clear" w:color="auto" w:fill="auto"/>
                <w:lang w:val="en-US" w:eastAsia="zh-CN"/>
              </w:rPr>
              <w:t>46</w:t>
            </w:r>
            <w:r>
              <w:rPr>
                <w:rFonts w:hint="eastAsia" w:ascii="宋体" w:hAnsi="宋体" w:eastAsia="宋体" w:cs="宋体"/>
                <w:color w:val="auto"/>
                <w:sz w:val="24"/>
                <w:szCs w:val="24"/>
                <w:highlight w:val="none"/>
                <w:shd w:val="clear" w:color="auto" w:fill="auto"/>
              </w:rPr>
              <w:t>%</w:t>
            </w:r>
          </w:p>
        </w:tc>
        <w:tc>
          <w:tcPr>
            <w:tcW w:w="778" w:type="dxa"/>
            <w:noWrap w:val="0"/>
            <w:vAlign w:val="top"/>
          </w:tcPr>
          <w:p w14:paraId="642624BD">
            <w:pPr>
              <w:spacing w:line="360" w:lineRule="auto"/>
              <w:rPr>
                <w:rFonts w:hint="eastAsia" w:ascii="宋体" w:hAnsi="宋体" w:eastAsia="宋体" w:cs="宋体"/>
                <w:color w:val="auto"/>
                <w:sz w:val="24"/>
                <w:szCs w:val="24"/>
                <w:highlight w:val="none"/>
                <w:shd w:val="clear" w:color="auto" w:fill="auto"/>
              </w:rPr>
            </w:pPr>
          </w:p>
          <w:p w14:paraId="67FA8511">
            <w:pPr>
              <w:spacing w:line="360" w:lineRule="auto"/>
              <w:rPr>
                <w:rFonts w:hint="eastAsia" w:ascii="宋体" w:hAnsi="宋体" w:eastAsia="宋体" w:cs="宋体"/>
                <w:color w:val="auto"/>
                <w:sz w:val="24"/>
                <w:szCs w:val="24"/>
                <w:highlight w:val="none"/>
                <w:shd w:val="clear" w:color="auto" w:fill="auto"/>
              </w:rPr>
            </w:pPr>
          </w:p>
          <w:p w14:paraId="31C153E1">
            <w:pPr>
              <w:spacing w:line="360" w:lineRule="auto"/>
              <w:rPr>
                <w:rFonts w:hint="eastAsia" w:ascii="宋体" w:hAnsi="宋体" w:eastAsia="宋体" w:cs="宋体"/>
                <w:color w:val="auto"/>
                <w:sz w:val="24"/>
                <w:szCs w:val="24"/>
                <w:highlight w:val="none"/>
                <w:shd w:val="clear" w:color="auto" w:fill="auto"/>
              </w:rPr>
            </w:pPr>
          </w:p>
          <w:p w14:paraId="6A4B1386">
            <w:pPr>
              <w:spacing w:line="360" w:lineRule="auto"/>
              <w:rPr>
                <w:rFonts w:hint="eastAsia" w:ascii="宋体" w:hAnsi="宋体" w:eastAsia="宋体" w:cs="宋体"/>
                <w:color w:val="auto"/>
                <w:sz w:val="24"/>
                <w:szCs w:val="24"/>
                <w:highlight w:val="none"/>
                <w:shd w:val="clear" w:color="auto" w:fill="auto"/>
              </w:rPr>
            </w:pPr>
          </w:p>
          <w:p w14:paraId="20497DCE">
            <w:pPr>
              <w:spacing w:line="360" w:lineRule="auto"/>
              <w:rPr>
                <w:rFonts w:hint="eastAsia" w:ascii="宋体" w:hAnsi="宋体" w:eastAsia="宋体" w:cs="宋体"/>
                <w:color w:val="auto"/>
                <w:sz w:val="24"/>
                <w:szCs w:val="24"/>
                <w:highlight w:val="none"/>
                <w:shd w:val="clear" w:color="auto" w:fill="auto"/>
              </w:rPr>
            </w:pPr>
          </w:p>
          <w:p w14:paraId="3995A019">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46</w:t>
            </w:r>
            <w:r>
              <w:rPr>
                <w:rFonts w:hint="eastAsia" w:ascii="宋体" w:hAnsi="宋体" w:eastAsia="宋体" w:cs="宋体"/>
                <w:color w:val="auto"/>
                <w:sz w:val="24"/>
                <w:szCs w:val="24"/>
                <w:highlight w:val="none"/>
                <w:shd w:val="clear" w:color="auto" w:fill="auto"/>
              </w:rPr>
              <w:t>分</w:t>
            </w:r>
          </w:p>
        </w:tc>
        <w:tc>
          <w:tcPr>
            <w:tcW w:w="5591" w:type="dxa"/>
            <w:noWrap w:val="0"/>
            <w:vAlign w:val="top"/>
          </w:tcPr>
          <w:p w14:paraId="118A015A">
            <w:pPr>
              <w:pStyle w:val="23"/>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投标人针对招标文件技术参数条款的响应得分规则如下：</w:t>
            </w:r>
          </w:p>
          <w:p w14:paraId="09B379D1">
            <w:pPr>
              <w:pStyle w:val="23"/>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【①技术条款以序号1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3……为单位；②序号中未标注“▲”的条款，视为一般技术参数条款；③序号中标注“▲”的条款，视为重要技术参数条款。】 </w:t>
            </w:r>
          </w:p>
          <w:p w14:paraId="2CCB7775">
            <w:pPr>
              <w:pStyle w:val="23"/>
              <w:spacing w:after="0" w:line="360" w:lineRule="auto"/>
              <w:rPr>
                <w:rFonts w:ascii="宋体" w:hAnsi="宋体" w:cs="宋体"/>
                <w:color w:val="0000FF"/>
                <w:sz w:val="24"/>
                <w:szCs w:val="24"/>
              </w:rPr>
            </w:pPr>
            <w:r>
              <w:rPr>
                <w:rFonts w:hint="eastAsia" w:ascii="宋体" w:hAnsi="宋体" w:cs="宋体"/>
                <w:color w:val="0000FF"/>
                <w:sz w:val="24"/>
                <w:szCs w:val="24"/>
              </w:rPr>
              <w:t>1、投标人针对招标文件一般技术参数条款的响应得分规则如下：</w:t>
            </w:r>
          </w:p>
          <w:p w14:paraId="73B35D8B">
            <w:pPr>
              <w:pStyle w:val="23"/>
              <w:spacing w:after="0" w:line="360" w:lineRule="auto"/>
              <w:rPr>
                <w:rFonts w:ascii="宋体" w:hAnsi="宋体" w:cs="宋体"/>
                <w:color w:val="0000FF"/>
                <w:sz w:val="24"/>
                <w:szCs w:val="24"/>
              </w:rPr>
            </w:pPr>
            <w:r>
              <w:rPr>
                <w:rFonts w:hint="eastAsia" w:ascii="宋体" w:hAnsi="宋体" w:cs="宋体"/>
                <w:color w:val="0000FF"/>
                <w:sz w:val="24"/>
                <w:szCs w:val="24"/>
              </w:rPr>
              <w:t>满足或优于该指标得</w:t>
            </w:r>
            <w:r>
              <w:rPr>
                <w:rFonts w:hint="eastAsia" w:ascii="宋体" w:hAnsi="宋体" w:cs="宋体"/>
                <w:color w:val="0000FF"/>
                <w:sz w:val="24"/>
                <w:szCs w:val="24"/>
                <w:lang w:val="en-US" w:eastAsia="zh-CN"/>
              </w:rPr>
              <w:t>0.78</w:t>
            </w:r>
            <w:r>
              <w:rPr>
                <w:rFonts w:hint="eastAsia" w:ascii="宋体" w:hAnsi="宋体" w:cs="宋体"/>
                <w:color w:val="0000FF"/>
                <w:sz w:val="24"/>
                <w:szCs w:val="24"/>
              </w:rPr>
              <w:t>分，不满足不得分，共计</w:t>
            </w:r>
            <w:r>
              <w:rPr>
                <w:rFonts w:hint="eastAsia" w:ascii="宋体" w:hAnsi="宋体" w:cs="宋体"/>
                <w:color w:val="0000FF"/>
                <w:sz w:val="24"/>
                <w:szCs w:val="24"/>
                <w:lang w:val="en-US" w:eastAsia="zh-CN"/>
              </w:rPr>
              <w:t>29</w:t>
            </w:r>
            <w:r>
              <w:rPr>
                <w:rFonts w:hint="eastAsia" w:ascii="宋体" w:hAnsi="宋体" w:cs="宋体"/>
                <w:color w:val="0000FF"/>
                <w:sz w:val="24"/>
                <w:szCs w:val="24"/>
              </w:rPr>
              <w:t>项，共计</w:t>
            </w:r>
            <w:r>
              <w:rPr>
                <w:rFonts w:hint="eastAsia" w:ascii="宋体" w:hAnsi="宋体" w:cs="宋体"/>
                <w:color w:val="0000FF"/>
                <w:sz w:val="24"/>
                <w:szCs w:val="24"/>
                <w:lang w:val="en-US" w:eastAsia="zh-CN"/>
              </w:rPr>
              <w:t>22.62</w:t>
            </w:r>
            <w:r>
              <w:rPr>
                <w:rFonts w:hint="eastAsia" w:ascii="宋体" w:hAnsi="宋体" w:cs="宋体"/>
                <w:color w:val="0000FF"/>
                <w:sz w:val="24"/>
                <w:szCs w:val="24"/>
              </w:rPr>
              <w:t>分。</w:t>
            </w:r>
          </w:p>
          <w:p w14:paraId="361F70E9">
            <w:pPr>
              <w:pStyle w:val="23"/>
              <w:spacing w:after="0" w:line="360" w:lineRule="auto"/>
              <w:rPr>
                <w:rFonts w:ascii="宋体" w:hAnsi="宋体" w:cs="宋体"/>
                <w:color w:val="0000FF"/>
                <w:sz w:val="24"/>
                <w:szCs w:val="24"/>
              </w:rPr>
            </w:pPr>
            <w:r>
              <w:rPr>
                <w:rFonts w:hint="eastAsia" w:ascii="宋体" w:hAnsi="宋体" w:cs="宋体"/>
                <w:color w:val="0000FF"/>
                <w:sz w:val="24"/>
                <w:szCs w:val="24"/>
              </w:rPr>
              <w:t>2、投标人针对招标文件“</w:t>
            </w:r>
            <w:r>
              <w:rPr>
                <w:rFonts w:hint="eastAsia" w:ascii="宋体" w:hAnsi="宋体" w:cs="宋体"/>
                <w:color w:val="0000FF"/>
                <w:kern w:val="0"/>
                <w:sz w:val="24"/>
                <w:szCs w:val="24"/>
              </w:rPr>
              <w:t>▲</w:t>
            </w:r>
            <w:r>
              <w:rPr>
                <w:rFonts w:hint="eastAsia" w:ascii="宋体" w:hAnsi="宋体" w:cs="宋体"/>
                <w:color w:val="0000FF"/>
                <w:sz w:val="24"/>
                <w:szCs w:val="24"/>
              </w:rPr>
              <w:t>”技术参数条款的响应得分规则如下：</w:t>
            </w:r>
          </w:p>
          <w:p w14:paraId="6FEA8100">
            <w:pPr>
              <w:pStyle w:val="23"/>
              <w:spacing w:after="0" w:line="360" w:lineRule="auto"/>
              <w:rPr>
                <w:rFonts w:ascii="宋体" w:hAnsi="宋体" w:cs="宋体"/>
                <w:color w:val="0000FF"/>
                <w:sz w:val="24"/>
                <w:szCs w:val="24"/>
              </w:rPr>
            </w:pPr>
            <w:r>
              <w:rPr>
                <w:rFonts w:hint="eastAsia" w:ascii="宋体" w:hAnsi="宋体" w:cs="宋体"/>
                <w:color w:val="0000FF"/>
                <w:sz w:val="24"/>
                <w:szCs w:val="24"/>
              </w:rPr>
              <w:t>满足或优于该指标得</w:t>
            </w:r>
            <w:r>
              <w:rPr>
                <w:rFonts w:hint="eastAsia" w:ascii="宋体" w:hAnsi="宋体" w:cs="宋体"/>
                <w:color w:val="0000FF"/>
                <w:sz w:val="24"/>
                <w:szCs w:val="24"/>
                <w:lang w:val="en-US" w:eastAsia="zh-CN"/>
              </w:rPr>
              <w:t>3.34</w:t>
            </w:r>
            <w:r>
              <w:rPr>
                <w:rFonts w:hint="eastAsia" w:ascii="宋体" w:hAnsi="宋体" w:cs="宋体"/>
                <w:color w:val="0000FF"/>
                <w:sz w:val="24"/>
                <w:szCs w:val="24"/>
              </w:rPr>
              <w:t>分，不满足不得分，共计</w:t>
            </w:r>
            <w:r>
              <w:rPr>
                <w:rFonts w:hint="eastAsia" w:ascii="宋体" w:hAnsi="宋体" w:cs="宋体"/>
                <w:color w:val="0000FF"/>
                <w:sz w:val="24"/>
                <w:szCs w:val="24"/>
                <w:lang w:val="en-US" w:eastAsia="zh-CN"/>
              </w:rPr>
              <w:t>7</w:t>
            </w:r>
            <w:r>
              <w:rPr>
                <w:rFonts w:hint="eastAsia" w:ascii="宋体" w:hAnsi="宋体" w:cs="宋体"/>
                <w:color w:val="0000FF"/>
                <w:sz w:val="24"/>
                <w:szCs w:val="24"/>
              </w:rPr>
              <w:t>项，共计</w:t>
            </w:r>
            <w:r>
              <w:rPr>
                <w:rFonts w:hint="eastAsia" w:ascii="宋体" w:hAnsi="宋体" w:cs="宋体"/>
                <w:color w:val="0000FF"/>
                <w:sz w:val="24"/>
                <w:szCs w:val="24"/>
                <w:lang w:val="en-US" w:eastAsia="zh-CN"/>
              </w:rPr>
              <w:t>23.38</w:t>
            </w:r>
            <w:r>
              <w:rPr>
                <w:rFonts w:hint="eastAsia" w:ascii="宋体" w:hAnsi="宋体" w:cs="宋体"/>
                <w:color w:val="0000FF"/>
                <w:sz w:val="24"/>
                <w:szCs w:val="24"/>
              </w:rPr>
              <w:t>分。</w:t>
            </w:r>
          </w:p>
          <w:p w14:paraId="058904E4">
            <w:pPr>
              <w:pStyle w:val="23"/>
              <w:spacing w:line="360" w:lineRule="auto"/>
              <w:rPr>
                <w:rFonts w:hint="eastAsia" w:ascii="宋体" w:hAnsi="宋体" w:eastAsia="宋体" w:cs="宋体"/>
                <w:color w:val="auto"/>
                <w:sz w:val="24"/>
                <w:szCs w:val="24"/>
                <w:highlight w:val="none"/>
                <w:shd w:val="clear" w:color="auto" w:fill="auto"/>
              </w:rPr>
            </w:pPr>
            <w:r>
              <w:rPr>
                <w:rFonts w:hint="eastAsia" w:ascii="宋体" w:hAnsi="宋体" w:cs="宋体"/>
                <w:sz w:val="24"/>
                <w:szCs w:val="24"/>
              </w:rPr>
              <w:t>若技术要求中需要提供相关证明材料，未提供视为未响应。</w:t>
            </w:r>
          </w:p>
        </w:tc>
        <w:tc>
          <w:tcPr>
            <w:tcW w:w="1036" w:type="dxa"/>
            <w:noWrap w:val="0"/>
            <w:vAlign w:val="center"/>
          </w:tcPr>
          <w:p w14:paraId="37E2F576">
            <w:pPr>
              <w:pStyle w:val="2"/>
              <w:spacing w:line="360" w:lineRule="auto"/>
              <w:jc w:val="center"/>
              <w:rPr>
                <w:rFonts w:hint="eastAsia" w:ascii="宋体" w:hAnsi="宋体" w:eastAsia="宋体" w:cs="宋体"/>
                <w:b w:val="0"/>
                <w:bCs w:val="0"/>
                <w:color w:val="auto"/>
                <w:sz w:val="24"/>
                <w:szCs w:val="24"/>
                <w:highlight w:val="none"/>
                <w:shd w:val="clear" w:color="auto" w:fill="auto"/>
              </w:rPr>
            </w:pPr>
          </w:p>
        </w:tc>
      </w:tr>
      <w:tr w14:paraId="2531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29" w:type="dxa"/>
            <w:noWrap w:val="0"/>
            <w:vAlign w:val="center"/>
          </w:tcPr>
          <w:p w14:paraId="1A85748C">
            <w:pPr>
              <w:spacing w:line="360" w:lineRule="auto"/>
              <w:jc w:val="center"/>
              <w:rPr>
                <w:rFonts w:hint="eastAsia" w:ascii="宋体" w:hAnsi="宋体" w:eastAsia="宋体" w:cs="宋体"/>
                <w:color w:val="auto"/>
                <w:sz w:val="24"/>
                <w:szCs w:val="24"/>
                <w:highlight w:val="none"/>
                <w:shd w:val="clear" w:color="auto" w:fill="auto"/>
              </w:rPr>
            </w:pPr>
          </w:p>
          <w:p w14:paraId="05B2D4DA">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p>
        </w:tc>
        <w:tc>
          <w:tcPr>
            <w:tcW w:w="1227" w:type="dxa"/>
            <w:noWrap w:val="0"/>
            <w:vAlign w:val="top"/>
          </w:tcPr>
          <w:p w14:paraId="53762D82">
            <w:pPr>
              <w:spacing w:line="360" w:lineRule="auto"/>
              <w:jc w:val="center"/>
              <w:rPr>
                <w:rFonts w:hint="eastAsia" w:ascii="宋体" w:hAnsi="宋体" w:eastAsia="宋体" w:cs="宋体"/>
                <w:color w:val="auto"/>
                <w:sz w:val="24"/>
                <w:szCs w:val="24"/>
                <w:highlight w:val="none"/>
                <w:shd w:val="clear" w:color="auto" w:fill="auto"/>
                <w:lang w:val="en-US" w:eastAsia="zh-CN"/>
              </w:rPr>
            </w:pPr>
          </w:p>
          <w:p w14:paraId="0AB484F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履约能力</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w:t>
            </w:r>
          </w:p>
        </w:tc>
        <w:tc>
          <w:tcPr>
            <w:tcW w:w="778" w:type="dxa"/>
            <w:noWrap w:val="0"/>
            <w:vAlign w:val="top"/>
          </w:tcPr>
          <w:p w14:paraId="35AC5268">
            <w:pPr>
              <w:spacing w:line="360" w:lineRule="auto"/>
              <w:ind w:left="210" w:leftChars="100" w:firstLine="240" w:firstLineChars="1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p>
          <w:p w14:paraId="061991E8">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tc>
        <w:tc>
          <w:tcPr>
            <w:tcW w:w="5591" w:type="dxa"/>
            <w:noWrap w:val="0"/>
            <w:vAlign w:val="center"/>
          </w:tcPr>
          <w:p w14:paraId="05DAA339">
            <w:pPr>
              <w:numPr>
                <w:ilvl w:val="0"/>
                <w:numId w:val="0"/>
              </w:num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投标人自20</w:t>
            </w: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rPr>
              <w:t>年1月1日至今，有1个同类项目供货业绩的得</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分，最高</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p w14:paraId="3FC8A8E7">
            <w:pPr>
              <w:numPr>
                <w:ilvl w:val="0"/>
                <w:numId w:val="0"/>
              </w:numPr>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注：1、提供每个业绩的合同复印件以及投标人与合同需求方转账凭证复印件（或对应发票复印件）。</w:t>
            </w:r>
          </w:p>
          <w:p w14:paraId="03F539DC">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FF0000"/>
                <w:sz w:val="24"/>
                <w:szCs w:val="24"/>
                <w:highlight w:val="none"/>
                <w:shd w:val="clear" w:color="auto" w:fill="auto"/>
                <w:lang w:val="en-US" w:eastAsia="zh-CN"/>
              </w:rPr>
              <w:t>2、以合同签订时间为准。</w:t>
            </w:r>
          </w:p>
        </w:tc>
        <w:tc>
          <w:tcPr>
            <w:tcW w:w="1036" w:type="dxa"/>
            <w:noWrap w:val="0"/>
            <w:vAlign w:val="center"/>
          </w:tcPr>
          <w:p w14:paraId="6DC2F00F">
            <w:pPr>
              <w:spacing w:line="360" w:lineRule="auto"/>
              <w:jc w:val="center"/>
              <w:rPr>
                <w:rFonts w:hint="eastAsia" w:ascii="宋体" w:hAnsi="宋体" w:eastAsia="宋体" w:cs="宋体"/>
                <w:color w:val="auto"/>
                <w:sz w:val="24"/>
                <w:szCs w:val="24"/>
                <w:highlight w:val="none"/>
                <w:shd w:val="clear" w:color="auto" w:fill="auto"/>
              </w:rPr>
            </w:pPr>
          </w:p>
        </w:tc>
      </w:tr>
      <w:tr w14:paraId="4E18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noWrap w:val="0"/>
            <w:vAlign w:val="center"/>
          </w:tcPr>
          <w:p w14:paraId="686813D5">
            <w:pPr>
              <w:spacing w:line="360" w:lineRule="auto"/>
              <w:jc w:val="center"/>
              <w:rPr>
                <w:rFonts w:hint="eastAsia" w:ascii="宋体" w:hAnsi="宋体" w:eastAsia="宋体" w:cs="宋体"/>
                <w:color w:val="auto"/>
                <w:sz w:val="24"/>
                <w:szCs w:val="24"/>
                <w:highlight w:val="none"/>
                <w:shd w:val="clear" w:color="auto" w:fill="auto"/>
              </w:rPr>
            </w:pPr>
          </w:p>
          <w:p w14:paraId="1787C3FD">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p>
        </w:tc>
        <w:tc>
          <w:tcPr>
            <w:tcW w:w="1227" w:type="dxa"/>
            <w:noWrap w:val="0"/>
            <w:vAlign w:val="center"/>
          </w:tcPr>
          <w:p w14:paraId="3788E4F9">
            <w:pPr>
              <w:spacing w:line="360" w:lineRule="auto"/>
              <w:jc w:val="center"/>
              <w:rPr>
                <w:rFonts w:hint="eastAsia" w:ascii="宋体" w:hAnsi="宋体" w:eastAsia="宋体" w:cs="宋体"/>
                <w:color w:val="auto"/>
                <w:sz w:val="24"/>
                <w:szCs w:val="24"/>
                <w:highlight w:val="none"/>
                <w:shd w:val="clear" w:color="auto" w:fill="auto"/>
              </w:rPr>
            </w:pPr>
          </w:p>
          <w:p w14:paraId="1549206A">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技术培训8</w:t>
            </w:r>
            <w:r>
              <w:rPr>
                <w:rFonts w:hint="eastAsia" w:ascii="宋体" w:hAnsi="宋体" w:eastAsia="宋体" w:cs="宋体"/>
                <w:color w:val="auto"/>
                <w:sz w:val="24"/>
                <w:szCs w:val="24"/>
                <w:highlight w:val="none"/>
                <w:shd w:val="clear" w:color="auto" w:fill="auto"/>
              </w:rPr>
              <w:t>%</w:t>
            </w:r>
          </w:p>
        </w:tc>
        <w:tc>
          <w:tcPr>
            <w:tcW w:w="778" w:type="dxa"/>
            <w:noWrap w:val="0"/>
            <w:vAlign w:val="center"/>
          </w:tcPr>
          <w:p w14:paraId="70685CA4">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tc>
        <w:tc>
          <w:tcPr>
            <w:tcW w:w="5591" w:type="dxa"/>
            <w:noWrap w:val="0"/>
            <w:vAlign w:val="top"/>
          </w:tcPr>
          <w:p w14:paraId="3685382E">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根据投标人针对本项目的</w:t>
            </w:r>
            <w:r>
              <w:rPr>
                <w:rFonts w:hint="eastAsia" w:ascii="宋体" w:hAnsi="宋体" w:eastAsia="宋体" w:cs="宋体"/>
                <w:color w:val="auto"/>
                <w:sz w:val="24"/>
                <w:szCs w:val="24"/>
                <w:highlight w:val="none"/>
                <w:shd w:val="clear" w:color="auto" w:fill="auto"/>
                <w:lang w:val="en-US" w:eastAsia="zh-CN"/>
              </w:rPr>
              <w:t>投标产品</w:t>
            </w:r>
            <w:r>
              <w:rPr>
                <w:rFonts w:hint="eastAsia" w:ascii="宋体" w:hAnsi="宋体" w:eastAsia="宋体" w:cs="宋体"/>
                <w:color w:val="auto"/>
                <w:sz w:val="24"/>
                <w:szCs w:val="24"/>
                <w:highlight w:val="none"/>
                <w:shd w:val="clear" w:color="auto" w:fill="auto"/>
              </w:rPr>
              <w:t>技术培训方案进行评分，方案内容至少包括</w:t>
            </w:r>
            <w:r>
              <w:rPr>
                <w:rFonts w:hint="eastAsia" w:ascii="宋体" w:hAnsi="宋体" w:eastAsia="宋体" w:cs="宋体"/>
                <w:b/>
                <w:bCs/>
                <w:color w:val="auto"/>
                <w:sz w:val="24"/>
                <w:szCs w:val="24"/>
                <w:highlight w:val="none"/>
                <w:shd w:val="clear" w:color="auto" w:fill="auto"/>
              </w:rPr>
              <w:t>①培训内容，②培训方式，③培训计划，④培训团队配备等。</w:t>
            </w:r>
          </w:p>
          <w:p w14:paraId="5B0ACECB">
            <w:pPr>
              <w:spacing w:line="360" w:lineRule="auto"/>
              <w:rPr>
                <w:rFonts w:hint="eastAsia" w:ascii="宋体" w:hAnsi="宋体" w:eastAsia="宋体" w:cs="宋体"/>
                <w:color w:val="0000FF"/>
                <w:sz w:val="24"/>
                <w:szCs w:val="24"/>
                <w:highlight w:val="none"/>
                <w:shd w:val="clear" w:color="auto" w:fill="auto"/>
              </w:rPr>
            </w:pPr>
            <w:r>
              <w:rPr>
                <w:rFonts w:hint="eastAsia" w:ascii="宋体" w:hAnsi="宋体" w:eastAsia="宋体" w:cs="宋体"/>
                <w:color w:val="0000FF"/>
                <w:sz w:val="24"/>
                <w:szCs w:val="24"/>
                <w:highlight w:val="none"/>
                <w:shd w:val="clear" w:color="auto" w:fill="auto"/>
              </w:rPr>
              <w:t>根据供应商针对上述</w:t>
            </w:r>
            <w:r>
              <w:rPr>
                <w:rFonts w:hint="eastAsia" w:ascii="宋体" w:hAnsi="宋体" w:cs="宋体"/>
                <w:color w:val="0000FF"/>
                <w:sz w:val="24"/>
                <w:szCs w:val="24"/>
                <w:highlight w:val="none"/>
                <w:shd w:val="clear" w:color="auto" w:fill="auto"/>
                <w:lang w:val="en-US" w:eastAsia="zh-CN"/>
              </w:rPr>
              <w:t>4</w:t>
            </w:r>
            <w:r>
              <w:rPr>
                <w:rFonts w:hint="eastAsia" w:ascii="宋体" w:hAnsi="宋体" w:eastAsia="宋体" w:cs="宋体"/>
                <w:color w:val="0000FF"/>
                <w:sz w:val="24"/>
                <w:szCs w:val="24"/>
                <w:highlight w:val="none"/>
                <w:shd w:val="clear" w:color="auto" w:fill="auto"/>
              </w:rPr>
              <w:t>个方面内容在响应文件中的响应情况进行综合评审：其中每有一方面内容满足要求的得</w:t>
            </w:r>
            <w:r>
              <w:rPr>
                <w:rFonts w:hint="eastAsia" w:ascii="宋体" w:hAnsi="宋体" w:cs="宋体"/>
                <w:color w:val="0000FF"/>
                <w:sz w:val="24"/>
                <w:szCs w:val="24"/>
                <w:highlight w:val="none"/>
                <w:shd w:val="clear" w:color="auto" w:fill="auto"/>
                <w:lang w:val="en-US" w:eastAsia="zh-CN"/>
              </w:rPr>
              <w:t>2</w:t>
            </w:r>
            <w:r>
              <w:rPr>
                <w:rFonts w:hint="eastAsia" w:ascii="宋体" w:hAnsi="宋体" w:eastAsia="宋体" w:cs="宋体"/>
                <w:color w:val="0000FF"/>
                <w:sz w:val="24"/>
                <w:szCs w:val="24"/>
                <w:highlight w:val="none"/>
                <w:shd w:val="clear" w:color="auto" w:fill="auto"/>
              </w:rPr>
              <w:t>分，该方面中每有一处存在不足的扣</w:t>
            </w:r>
            <w:r>
              <w:rPr>
                <w:rFonts w:hint="eastAsia" w:ascii="宋体" w:hAnsi="宋体" w:cs="宋体"/>
                <w:color w:val="0000FF"/>
                <w:sz w:val="24"/>
                <w:szCs w:val="24"/>
                <w:highlight w:val="none"/>
                <w:shd w:val="clear" w:color="auto" w:fill="auto"/>
                <w:lang w:val="en-US" w:eastAsia="zh-CN"/>
              </w:rPr>
              <w:t>1</w:t>
            </w:r>
            <w:r>
              <w:rPr>
                <w:rFonts w:hint="eastAsia" w:ascii="宋体" w:hAnsi="宋体" w:eastAsia="宋体" w:cs="宋体"/>
                <w:color w:val="0000FF"/>
                <w:sz w:val="24"/>
                <w:szCs w:val="24"/>
                <w:highlight w:val="none"/>
                <w:shd w:val="clear" w:color="auto" w:fill="auto"/>
              </w:rPr>
              <w:t>分，最多扣</w:t>
            </w:r>
            <w:r>
              <w:rPr>
                <w:rFonts w:hint="eastAsia" w:ascii="宋体" w:hAnsi="宋体" w:cs="宋体"/>
                <w:color w:val="0000FF"/>
                <w:sz w:val="24"/>
                <w:szCs w:val="24"/>
                <w:highlight w:val="none"/>
                <w:shd w:val="clear" w:color="auto" w:fill="auto"/>
                <w:lang w:val="en-US" w:eastAsia="zh-CN"/>
              </w:rPr>
              <w:t>8</w:t>
            </w:r>
            <w:r>
              <w:rPr>
                <w:rFonts w:hint="eastAsia" w:ascii="宋体" w:hAnsi="宋体" w:eastAsia="宋体" w:cs="宋体"/>
                <w:color w:val="0000FF"/>
                <w:sz w:val="24"/>
                <w:szCs w:val="24"/>
                <w:highlight w:val="none"/>
                <w:shd w:val="clear" w:color="auto" w:fill="auto"/>
              </w:rPr>
              <w:t>分；每有一方面内容缺失的则该方面不得分。</w:t>
            </w:r>
          </w:p>
          <w:p w14:paraId="105F54CE">
            <w:pPr>
              <w:spacing w:line="360" w:lineRule="auto"/>
              <w:rPr>
                <w:rFonts w:hint="eastAsia" w:ascii="宋体" w:hAnsi="宋体" w:eastAsia="宋体" w:cs="宋体"/>
                <w:color w:val="0000FF"/>
                <w:sz w:val="24"/>
                <w:szCs w:val="24"/>
                <w:highlight w:val="none"/>
                <w:shd w:val="clear" w:color="auto" w:fill="auto"/>
              </w:rPr>
            </w:pPr>
            <w:r>
              <w:rPr>
                <w:rFonts w:hint="eastAsia" w:ascii="宋体" w:hAnsi="宋体" w:eastAsia="宋体" w:cs="宋体"/>
                <w:color w:val="0000FF"/>
                <w:sz w:val="24"/>
                <w:szCs w:val="24"/>
                <w:highlight w:val="none"/>
                <w:shd w:val="clear" w:color="auto" w:fill="auto"/>
              </w:rPr>
              <w:t>1、本表方案中（1）内容满足要求是指①内容与项目技术服务需求吻合，有具体详细的阐述；②内容从实际出发，切合项目背景、项目需求；③内容符合国家、地方、行业标准、行业惯例以及项目特点。④内容清楚明了、表述规范、含义准确。</w:t>
            </w:r>
          </w:p>
          <w:p w14:paraId="2A056BD2">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0000FF"/>
                <w:sz w:val="24"/>
                <w:szCs w:val="24"/>
                <w:highlight w:val="none"/>
                <w:shd w:val="clear" w:color="auto" w:fill="auto"/>
              </w:rPr>
              <w:t>（2）存在不足是指①存在与本项目无关的其他行业、其他区域地点或无关的文字内容；②文字错误语言表述错误；③内容与本项目需求无关、方案内容矛盾、仅有框架或标题；④不符合本项目涉及的相关规范或标准要求等情形。</w:t>
            </w:r>
          </w:p>
        </w:tc>
        <w:tc>
          <w:tcPr>
            <w:tcW w:w="1036" w:type="dxa"/>
            <w:noWrap w:val="0"/>
            <w:vAlign w:val="center"/>
          </w:tcPr>
          <w:p w14:paraId="3FFBE457">
            <w:pPr>
              <w:spacing w:line="360" w:lineRule="auto"/>
              <w:jc w:val="center"/>
              <w:rPr>
                <w:rFonts w:hint="eastAsia" w:ascii="宋体" w:hAnsi="宋体" w:eastAsia="宋体" w:cs="宋体"/>
                <w:color w:val="auto"/>
                <w:sz w:val="24"/>
                <w:szCs w:val="24"/>
                <w:highlight w:val="none"/>
                <w:shd w:val="clear" w:color="auto" w:fill="auto"/>
              </w:rPr>
            </w:pPr>
          </w:p>
        </w:tc>
      </w:tr>
      <w:tr w14:paraId="7E8A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noWrap w:val="0"/>
            <w:vAlign w:val="center"/>
          </w:tcPr>
          <w:p w14:paraId="4037E224">
            <w:pPr>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1227" w:type="dxa"/>
            <w:noWrap w:val="0"/>
            <w:vAlign w:val="center"/>
          </w:tcPr>
          <w:p w14:paraId="45017CB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售后服务</w:t>
            </w:r>
            <w:r>
              <w:rPr>
                <w:rFonts w:hint="eastAsia" w:ascii="宋体" w:hAnsi="宋体" w:eastAsia="宋体" w:cs="宋体"/>
                <w:color w:val="auto"/>
                <w:sz w:val="24"/>
                <w:szCs w:val="24"/>
                <w:highlight w:val="none"/>
                <w:shd w:val="clear" w:color="auto" w:fill="auto"/>
                <w:lang w:val="en-US" w:eastAsia="zh-CN"/>
              </w:rPr>
              <w:t>方案8</w:t>
            </w:r>
            <w:r>
              <w:rPr>
                <w:rFonts w:hint="eastAsia" w:ascii="宋体" w:hAnsi="宋体" w:eastAsia="宋体" w:cs="宋体"/>
                <w:color w:val="auto"/>
                <w:sz w:val="24"/>
                <w:szCs w:val="24"/>
                <w:highlight w:val="none"/>
                <w:shd w:val="clear" w:color="auto" w:fill="auto"/>
              </w:rPr>
              <w:t>%</w:t>
            </w:r>
          </w:p>
        </w:tc>
        <w:tc>
          <w:tcPr>
            <w:tcW w:w="778" w:type="dxa"/>
            <w:noWrap w:val="0"/>
            <w:vAlign w:val="center"/>
          </w:tcPr>
          <w:p w14:paraId="30F72AA0">
            <w:pPr>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tc>
        <w:tc>
          <w:tcPr>
            <w:tcW w:w="5591" w:type="dxa"/>
            <w:noWrap w:val="0"/>
            <w:vAlign w:val="top"/>
          </w:tcPr>
          <w:p w14:paraId="5B860A73">
            <w:pPr>
              <w:spacing w:line="36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根据投标人针对本项目的售后服务方案进行评分，方案内容至少包括</w:t>
            </w:r>
            <w:r>
              <w:rPr>
                <w:rFonts w:hint="eastAsia" w:ascii="宋体" w:hAnsi="宋体" w:eastAsia="宋体" w:cs="宋体"/>
                <w:b/>
                <w:bCs/>
                <w:color w:val="auto"/>
                <w:sz w:val="24"/>
                <w:szCs w:val="24"/>
                <w:highlight w:val="none"/>
                <w:shd w:val="clear" w:color="auto" w:fill="auto"/>
              </w:rPr>
              <w:t>①服务承诺及响应方案，②备件（易耗品）供应方案，③服务人员配备及应急措施，④质保外服务措施等售后服务。</w:t>
            </w:r>
          </w:p>
          <w:p w14:paraId="529CD41F">
            <w:pPr>
              <w:spacing w:line="360" w:lineRule="auto"/>
              <w:rPr>
                <w:rFonts w:hint="eastAsia" w:ascii="宋体" w:hAnsi="宋体" w:eastAsia="宋体" w:cs="宋体"/>
                <w:color w:val="0000FF"/>
                <w:sz w:val="24"/>
                <w:szCs w:val="24"/>
                <w:highlight w:val="none"/>
                <w:shd w:val="clear" w:color="auto" w:fill="auto"/>
              </w:rPr>
            </w:pPr>
            <w:r>
              <w:rPr>
                <w:rFonts w:hint="eastAsia" w:ascii="宋体" w:hAnsi="宋体" w:eastAsia="宋体" w:cs="宋体"/>
                <w:color w:val="0000FF"/>
                <w:sz w:val="24"/>
                <w:szCs w:val="24"/>
                <w:highlight w:val="none"/>
                <w:shd w:val="clear" w:color="auto" w:fill="auto"/>
              </w:rPr>
              <w:t>根据供应商针对上述</w:t>
            </w:r>
            <w:r>
              <w:rPr>
                <w:rFonts w:hint="eastAsia" w:ascii="宋体" w:hAnsi="宋体" w:cs="宋体"/>
                <w:color w:val="0000FF"/>
                <w:sz w:val="24"/>
                <w:szCs w:val="24"/>
                <w:highlight w:val="none"/>
                <w:shd w:val="clear" w:color="auto" w:fill="auto"/>
                <w:lang w:val="en-US" w:eastAsia="zh-CN"/>
              </w:rPr>
              <w:t>4</w:t>
            </w:r>
            <w:r>
              <w:rPr>
                <w:rFonts w:hint="eastAsia" w:ascii="宋体" w:hAnsi="宋体" w:eastAsia="宋体" w:cs="宋体"/>
                <w:color w:val="0000FF"/>
                <w:sz w:val="24"/>
                <w:szCs w:val="24"/>
                <w:highlight w:val="none"/>
                <w:shd w:val="clear" w:color="auto" w:fill="auto"/>
              </w:rPr>
              <w:t>个方面内容在响应文件中的响应情况进行综合评审：其中每有一方面内容满足要求的得</w:t>
            </w:r>
            <w:r>
              <w:rPr>
                <w:rFonts w:hint="eastAsia" w:ascii="宋体" w:hAnsi="宋体" w:cs="宋体"/>
                <w:color w:val="0000FF"/>
                <w:sz w:val="24"/>
                <w:szCs w:val="24"/>
                <w:highlight w:val="none"/>
                <w:shd w:val="clear" w:color="auto" w:fill="auto"/>
                <w:lang w:val="en-US" w:eastAsia="zh-CN"/>
              </w:rPr>
              <w:t>2</w:t>
            </w:r>
            <w:r>
              <w:rPr>
                <w:rFonts w:hint="eastAsia" w:ascii="宋体" w:hAnsi="宋体" w:eastAsia="宋体" w:cs="宋体"/>
                <w:color w:val="0000FF"/>
                <w:sz w:val="24"/>
                <w:szCs w:val="24"/>
                <w:highlight w:val="none"/>
                <w:shd w:val="clear" w:color="auto" w:fill="auto"/>
              </w:rPr>
              <w:t>分，该方面中每有一处存在不足的扣</w:t>
            </w:r>
            <w:r>
              <w:rPr>
                <w:rFonts w:hint="eastAsia" w:ascii="宋体" w:hAnsi="宋体" w:cs="宋体"/>
                <w:color w:val="0000FF"/>
                <w:sz w:val="24"/>
                <w:szCs w:val="24"/>
                <w:highlight w:val="none"/>
                <w:shd w:val="clear" w:color="auto" w:fill="auto"/>
                <w:lang w:val="en-US" w:eastAsia="zh-CN"/>
              </w:rPr>
              <w:t>1</w:t>
            </w:r>
            <w:r>
              <w:rPr>
                <w:rFonts w:hint="eastAsia" w:ascii="宋体" w:hAnsi="宋体" w:eastAsia="宋体" w:cs="宋体"/>
                <w:color w:val="0000FF"/>
                <w:sz w:val="24"/>
                <w:szCs w:val="24"/>
                <w:highlight w:val="none"/>
                <w:shd w:val="clear" w:color="auto" w:fill="auto"/>
              </w:rPr>
              <w:t>分，最多扣</w:t>
            </w:r>
            <w:r>
              <w:rPr>
                <w:rFonts w:hint="eastAsia" w:ascii="宋体" w:hAnsi="宋体" w:cs="宋体"/>
                <w:color w:val="0000FF"/>
                <w:sz w:val="24"/>
                <w:szCs w:val="24"/>
                <w:highlight w:val="none"/>
                <w:shd w:val="clear" w:color="auto" w:fill="auto"/>
                <w:lang w:val="en-US" w:eastAsia="zh-CN"/>
              </w:rPr>
              <w:t>8</w:t>
            </w:r>
            <w:r>
              <w:rPr>
                <w:rFonts w:hint="eastAsia" w:ascii="宋体" w:hAnsi="宋体" w:eastAsia="宋体" w:cs="宋体"/>
                <w:color w:val="0000FF"/>
                <w:sz w:val="24"/>
                <w:szCs w:val="24"/>
                <w:highlight w:val="none"/>
                <w:shd w:val="clear" w:color="auto" w:fill="auto"/>
              </w:rPr>
              <w:t>分；每有一方面内容缺失的则该方面不得分。</w:t>
            </w:r>
          </w:p>
          <w:p w14:paraId="2DFAE4DA">
            <w:pPr>
              <w:spacing w:line="360" w:lineRule="auto"/>
              <w:rPr>
                <w:rFonts w:hint="eastAsia" w:ascii="宋体" w:hAnsi="宋体" w:eastAsia="宋体" w:cs="宋体"/>
                <w:color w:val="0000FF"/>
                <w:sz w:val="24"/>
                <w:szCs w:val="24"/>
                <w:highlight w:val="none"/>
                <w:shd w:val="clear" w:color="auto" w:fill="auto"/>
              </w:rPr>
            </w:pPr>
            <w:r>
              <w:rPr>
                <w:rFonts w:hint="eastAsia" w:ascii="宋体" w:hAnsi="宋体" w:eastAsia="宋体" w:cs="宋体"/>
                <w:color w:val="0000FF"/>
                <w:sz w:val="24"/>
                <w:szCs w:val="24"/>
                <w:highlight w:val="none"/>
                <w:shd w:val="clear" w:color="auto" w:fill="auto"/>
              </w:rPr>
              <w:t>1、本表方案中（1）内容满足要求是指①内容与项目技术服务需求吻合，有具体详细的阐述；②内容从实际出发，切合项目背景、项目需求；③内容符合国家、地方、行业标准、行业惯例以及项目特点。④内容清楚明了、表述规范、含义准确。</w:t>
            </w:r>
          </w:p>
          <w:p w14:paraId="175AE990">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0000FF"/>
                <w:sz w:val="24"/>
                <w:szCs w:val="24"/>
                <w:highlight w:val="none"/>
                <w:shd w:val="clear" w:color="auto" w:fill="auto"/>
              </w:rPr>
              <w:t>（2）存在不足是指①存在与本项目无关的其他行业、其他区域地点或无关的文字内容；②文字错误语言表述错误；③内容与本项目需求无关、方案内容矛盾、仅有框架或标题；④不符合本项目涉及的相关规范或标准要求等情形。</w:t>
            </w:r>
          </w:p>
        </w:tc>
        <w:tc>
          <w:tcPr>
            <w:tcW w:w="1036" w:type="dxa"/>
            <w:noWrap w:val="0"/>
            <w:vAlign w:val="center"/>
          </w:tcPr>
          <w:p w14:paraId="15C76483">
            <w:pPr>
              <w:spacing w:line="360" w:lineRule="auto"/>
              <w:jc w:val="center"/>
              <w:rPr>
                <w:rFonts w:hint="eastAsia" w:ascii="宋体" w:hAnsi="宋体" w:eastAsia="宋体" w:cs="宋体"/>
                <w:color w:val="auto"/>
                <w:sz w:val="24"/>
                <w:szCs w:val="24"/>
                <w:highlight w:val="none"/>
                <w:shd w:val="clear" w:color="auto" w:fill="auto"/>
              </w:rPr>
            </w:pPr>
          </w:p>
        </w:tc>
      </w:tr>
      <w:bookmarkEnd w:id="377"/>
    </w:tbl>
    <w:p w14:paraId="1B296846">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0FEAF605">
      <w:pPr>
        <w:shd w:val="clea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标包三</w:t>
      </w:r>
      <w:r>
        <w:rPr>
          <w:rFonts w:hint="eastAsia" w:ascii="宋体" w:hAnsi="宋体" w:eastAsia="宋体" w:cs="宋体"/>
          <w:b/>
          <w:bCs/>
          <w:color w:val="auto"/>
          <w:sz w:val="24"/>
          <w:highlight w:val="none"/>
        </w:rPr>
        <w:t>：</w:t>
      </w:r>
    </w:p>
    <w:tbl>
      <w:tblPr>
        <w:tblStyle w:val="59"/>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27"/>
        <w:gridCol w:w="778"/>
        <w:gridCol w:w="5591"/>
        <w:gridCol w:w="1036"/>
      </w:tblGrid>
      <w:tr w14:paraId="003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2BF140E7">
            <w:pPr>
              <w:spacing w:line="360" w:lineRule="auto"/>
              <w:jc w:val="center"/>
              <w:rPr>
                <w:rFonts w:hint="eastAsia" w:ascii="宋体" w:hAnsi="宋体" w:eastAsia="宋体" w:cs="宋体"/>
                <w:b/>
                <w:bCs/>
                <w:color w:val="auto"/>
                <w:sz w:val="24"/>
                <w:szCs w:val="24"/>
                <w:highlight w:val="none"/>
                <w:shd w:val="clear" w:color="auto" w:fill="auto"/>
              </w:rPr>
            </w:pPr>
          </w:p>
          <w:p w14:paraId="5450E4E1">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序号</w:t>
            </w:r>
          </w:p>
        </w:tc>
        <w:tc>
          <w:tcPr>
            <w:tcW w:w="1227" w:type="dxa"/>
            <w:noWrap w:val="0"/>
            <w:vAlign w:val="top"/>
          </w:tcPr>
          <w:p w14:paraId="57A0AF7D">
            <w:pPr>
              <w:spacing w:line="360" w:lineRule="auto"/>
              <w:jc w:val="center"/>
              <w:rPr>
                <w:rFonts w:hint="eastAsia" w:ascii="宋体" w:hAnsi="宋体" w:eastAsia="宋体" w:cs="宋体"/>
                <w:b/>
                <w:bCs/>
                <w:color w:val="auto"/>
                <w:sz w:val="24"/>
                <w:szCs w:val="24"/>
                <w:highlight w:val="none"/>
                <w:shd w:val="clear" w:color="auto" w:fill="auto"/>
              </w:rPr>
            </w:pPr>
          </w:p>
          <w:p w14:paraId="0D102FCB">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评分因数及权重</w:t>
            </w:r>
          </w:p>
        </w:tc>
        <w:tc>
          <w:tcPr>
            <w:tcW w:w="778" w:type="dxa"/>
            <w:noWrap w:val="0"/>
            <w:vAlign w:val="top"/>
          </w:tcPr>
          <w:p w14:paraId="14A1357D">
            <w:pPr>
              <w:spacing w:line="360" w:lineRule="auto"/>
              <w:jc w:val="center"/>
              <w:rPr>
                <w:rFonts w:hint="eastAsia" w:ascii="宋体" w:hAnsi="宋体" w:eastAsia="宋体" w:cs="宋体"/>
                <w:b/>
                <w:bCs/>
                <w:color w:val="auto"/>
                <w:sz w:val="24"/>
                <w:szCs w:val="24"/>
                <w:highlight w:val="none"/>
                <w:shd w:val="clear" w:color="auto" w:fill="auto"/>
              </w:rPr>
            </w:pPr>
          </w:p>
          <w:p w14:paraId="577773AA">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分值</w:t>
            </w:r>
          </w:p>
        </w:tc>
        <w:tc>
          <w:tcPr>
            <w:tcW w:w="5591" w:type="dxa"/>
            <w:noWrap w:val="0"/>
            <w:vAlign w:val="top"/>
          </w:tcPr>
          <w:p w14:paraId="51368FE6">
            <w:pPr>
              <w:spacing w:line="360" w:lineRule="auto"/>
              <w:jc w:val="center"/>
              <w:rPr>
                <w:rFonts w:hint="eastAsia" w:ascii="宋体" w:hAnsi="宋体" w:eastAsia="宋体" w:cs="宋体"/>
                <w:b/>
                <w:bCs/>
                <w:color w:val="auto"/>
                <w:sz w:val="24"/>
                <w:szCs w:val="24"/>
                <w:highlight w:val="none"/>
                <w:shd w:val="clear" w:color="auto" w:fill="auto"/>
              </w:rPr>
            </w:pPr>
          </w:p>
          <w:p w14:paraId="4DE9E9A7">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评分标准</w:t>
            </w:r>
          </w:p>
        </w:tc>
        <w:tc>
          <w:tcPr>
            <w:tcW w:w="1036" w:type="dxa"/>
            <w:noWrap w:val="0"/>
            <w:vAlign w:val="center"/>
          </w:tcPr>
          <w:p w14:paraId="04838B57">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说明</w:t>
            </w:r>
          </w:p>
        </w:tc>
      </w:tr>
      <w:tr w14:paraId="10B8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14:paraId="3913C800">
            <w:pPr>
              <w:spacing w:line="360" w:lineRule="auto"/>
              <w:jc w:val="center"/>
              <w:rPr>
                <w:rFonts w:hint="eastAsia" w:ascii="宋体" w:hAnsi="宋体" w:eastAsia="宋体" w:cs="宋体"/>
                <w:color w:val="auto"/>
                <w:sz w:val="24"/>
                <w:szCs w:val="24"/>
                <w:highlight w:val="none"/>
                <w:shd w:val="clear" w:color="auto" w:fill="auto"/>
              </w:rPr>
            </w:pPr>
          </w:p>
          <w:p w14:paraId="1A0C447D">
            <w:pPr>
              <w:spacing w:line="360" w:lineRule="auto"/>
              <w:jc w:val="center"/>
              <w:rPr>
                <w:rFonts w:hint="eastAsia" w:ascii="宋体" w:hAnsi="宋体" w:eastAsia="宋体" w:cs="宋体"/>
                <w:color w:val="auto"/>
                <w:sz w:val="24"/>
                <w:szCs w:val="24"/>
                <w:highlight w:val="none"/>
                <w:shd w:val="clear" w:color="auto" w:fill="auto"/>
              </w:rPr>
            </w:pPr>
          </w:p>
          <w:p w14:paraId="4C507CA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p w14:paraId="479BDECC">
            <w:pPr>
              <w:spacing w:line="360" w:lineRule="auto"/>
              <w:jc w:val="center"/>
              <w:rPr>
                <w:rFonts w:hint="eastAsia" w:ascii="宋体" w:hAnsi="宋体" w:eastAsia="宋体" w:cs="宋体"/>
                <w:color w:val="auto"/>
                <w:sz w:val="24"/>
                <w:szCs w:val="24"/>
                <w:highlight w:val="none"/>
                <w:shd w:val="clear" w:color="auto" w:fill="auto"/>
              </w:rPr>
            </w:pPr>
          </w:p>
          <w:p w14:paraId="1E94D1B6">
            <w:pPr>
              <w:spacing w:line="360" w:lineRule="auto"/>
              <w:jc w:val="center"/>
              <w:rPr>
                <w:rFonts w:hint="eastAsia" w:ascii="宋体" w:hAnsi="宋体" w:eastAsia="宋体" w:cs="宋体"/>
                <w:color w:val="auto"/>
                <w:sz w:val="24"/>
                <w:szCs w:val="24"/>
                <w:highlight w:val="none"/>
                <w:shd w:val="clear" w:color="auto" w:fill="auto"/>
              </w:rPr>
            </w:pPr>
          </w:p>
        </w:tc>
        <w:tc>
          <w:tcPr>
            <w:tcW w:w="1227" w:type="dxa"/>
            <w:noWrap w:val="0"/>
            <w:vAlign w:val="top"/>
          </w:tcPr>
          <w:p w14:paraId="6376EC50">
            <w:pPr>
              <w:spacing w:line="360" w:lineRule="auto"/>
              <w:jc w:val="center"/>
              <w:rPr>
                <w:rFonts w:hint="eastAsia" w:ascii="宋体" w:hAnsi="宋体" w:eastAsia="宋体" w:cs="宋体"/>
                <w:color w:val="auto"/>
                <w:sz w:val="24"/>
                <w:szCs w:val="24"/>
                <w:highlight w:val="none"/>
                <w:shd w:val="clear" w:color="auto" w:fill="auto"/>
              </w:rPr>
            </w:pPr>
          </w:p>
          <w:p w14:paraId="22235E58">
            <w:pPr>
              <w:spacing w:line="360" w:lineRule="auto"/>
              <w:jc w:val="center"/>
              <w:rPr>
                <w:rFonts w:hint="eastAsia" w:ascii="宋体" w:hAnsi="宋体" w:eastAsia="宋体" w:cs="宋体"/>
                <w:color w:val="auto"/>
                <w:sz w:val="24"/>
                <w:szCs w:val="24"/>
                <w:highlight w:val="none"/>
                <w:shd w:val="clear" w:color="auto" w:fill="auto"/>
              </w:rPr>
            </w:pPr>
          </w:p>
          <w:p w14:paraId="65C15A1B">
            <w:pPr>
              <w:spacing w:line="360" w:lineRule="auto"/>
              <w:jc w:val="center"/>
              <w:rPr>
                <w:rFonts w:hint="eastAsia" w:ascii="宋体" w:hAnsi="宋体" w:eastAsia="宋体" w:cs="宋体"/>
                <w:color w:val="auto"/>
                <w:sz w:val="24"/>
                <w:szCs w:val="24"/>
                <w:highlight w:val="none"/>
                <w:shd w:val="clear" w:color="auto" w:fill="auto"/>
              </w:rPr>
            </w:pPr>
          </w:p>
          <w:p w14:paraId="55D4F551">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报价部分30%</w:t>
            </w:r>
          </w:p>
        </w:tc>
        <w:tc>
          <w:tcPr>
            <w:tcW w:w="778" w:type="dxa"/>
            <w:noWrap w:val="0"/>
            <w:vAlign w:val="top"/>
          </w:tcPr>
          <w:p w14:paraId="28CBA3D3">
            <w:pPr>
              <w:spacing w:line="360" w:lineRule="auto"/>
              <w:rPr>
                <w:rFonts w:hint="eastAsia" w:ascii="宋体" w:hAnsi="宋体" w:eastAsia="宋体" w:cs="宋体"/>
                <w:color w:val="auto"/>
                <w:sz w:val="24"/>
                <w:szCs w:val="24"/>
                <w:highlight w:val="none"/>
                <w:shd w:val="clear" w:color="auto" w:fill="auto"/>
              </w:rPr>
            </w:pPr>
          </w:p>
          <w:p w14:paraId="089C0C36">
            <w:pPr>
              <w:spacing w:line="360" w:lineRule="auto"/>
              <w:rPr>
                <w:rFonts w:hint="eastAsia" w:ascii="宋体" w:hAnsi="宋体" w:eastAsia="宋体" w:cs="宋体"/>
                <w:color w:val="auto"/>
                <w:sz w:val="24"/>
                <w:szCs w:val="24"/>
                <w:highlight w:val="none"/>
                <w:shd w:val="clear" w:color="auto" w:fill="auto"/>
              </w:rPr>
            </w:pPr>
          </w:p>
          <w:p w14:paraId="6D5F3A7F">
            <w:pPr>
              <w:spacing w:line="360" w:lineRule="auto"/>
              <w:rPr>
                <w:rFonts w:hint="eastAsia" w:ascii="宋体" w:hAnsi="宋体" w:eastAsia="宋体" w:cs="宋体"/>
                <w:color w:val="auto"/>
                <w:sz w:val="24"/>
                <w:szCs w:val="24"/>
                <w:highlight w:val="none"/>
                <w:shd w:val="clear" w:color="auto" w:fill="auto"/>
              </w:rPr>
            </w:pPr>
          </w:p>
          <w:p w14:paraId="675C41AA">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30分</w:t>
            </w:r>
          </w:p>
        </w:tc>
        <w:tc>
          <w:tcPr>
            <w:tcW w:w="5591" w:type="dxa"/>
            <w:noWrap w:val="0"/>
            <w:vAlign w:val="top"/>
          </w:tcPr>
          <w:p w14:paraId="430AA320">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综合评分法中的价格分统一采用低价优先法计算，即满足招标文件要求（通过资格性、符合性审查）且投标价格最低的有效投标报价为评标基准价，其价格分为满分。其他投标人的价格分统一按照下列公式计算：</w:t>
            </w:r>
          </w:p>
          <w:p w14:paraId="159B5F51">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2、投标报价得分=(评标基准价/投标报价)×价格权值×100%</w:t>
            </w:r>
          </w:p>
        </w:tc>
        <w:tc>
          <w:tcPr>
            <w:tcW w:w="1036" w:type="dxa"/>
            <w:noWrap w:val="0"/>
            <w:vAlign w:val="center"/>
          </w:tcPr>
          <w:p w14:paraId="631459E5">
            <w:pPr>
              <w:spacing w:line="360" w:lineRule="auto"/>
              <w:jc w:val="center"/>
              <w:rPr>
                <w:rFonts w:hint="eastAsia" w:ascii="宋体" w:hAnsi="宋体" w:eastAsia="宋体" w:cs="宋体"/>
                <w:color w:val="auto"/>
                <w:sz w:val="24"/>
                <w:szCs w:val="24"/>
                <w:highlight w:val="none"/>
                <w:shd w:val="clear" w:color="auto" w:fill="auto"/>
              </w:rPr>
            </w:pPr>
          </w:p>
        </w:tc>
      </w:tr>
      <w:tr w14:paraId="76B1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9" w:type="dxa"/>
            <w:noWrap w:val="0"/>
            <w:vAlign w:val="center"/>
          </w:tcPr>
          <w:p w14:paraId="348456EF">
            <w:pPr>
              <w:spacing w:line="360" w:lineRule="auto"/>
              <w:jc w:val="center"/>
              <w:rPr>
                <w:rFonts w:hint="eastAsia" w:ascii="宋体" w:hAnsi="宋体" w:eastAsia="宋体" w:cs="宋体"/>
                <w:color w:val="auto"/>
                <w:sz w:val="24"/>
                <w:szCs w:val="24"/>
                <w:highlight w:val="none"/>
                <w:shd w:val="clear" w:color="auto" w:fill="auto"/>
              </w:rPr>
            </w:pPr>
          </w:p>
          <w:p w14:paraId="458AAA26">
            <w:pPr>
              <w:spacing w:line="360" w:lineRule="auto"/>
              <w:jc w:val="center"/>
              <w:rPr>
                <w:rFonts w:hint="eastAsia" w:ascii="宋体" w:hAnsi="宋体" w:eastAsia="宋体" w:cs="宋体"/>
                <w:color w:val="auto"/>
                <w:sz w:val="24"/>
                <w:szCs w:val="24"/>
                <w:highlight w:val="none"/>
                <w:shd w:val="clear" w:color="auto" w:fill="auto"/>
              </w:rPr>
            </w:pPr>
          </w:p>
          <w:p w14:paraId="31D1C465">
            <w:pPr>
              <w:spacing w:line="360" w:lineRule="auto"/>
              <w:jc w:val="center"/>
              <w:rPr>
                <w:rFonts w:hint="eastAsia" w:ascii="宋体" w:hAnsi="宋体" w:eastAsia="宋体" w:cs="宋体"/>
                <w:color w:val="auto"/>
                <w:sz w:val="24"/>
                <w:szCs w:val="24"/>
                <w:highlight w:val="none"/>
                <w:shd w:val="clear" w:color="auto" w:fill="auto"/>
              </w:rPr>
            </w:pPr>
          </w:p>
          <w:p w14:paraId="7E4DFFF3">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p w14:paraId="690F406F">
            <w:pPr>
              <w:spacing w:line="360" w:lineRule="auto"/>
              <w:jc w:val="center"/>
              <w:rPr>
                <w:rFonts w:hint="eastAsia" w:ascii="宋体" w:hAnsi="宋体" w:eastAsia="宋体" w:cs="宋体"/>
                <w:color w:val="auto"/>
                <w:sz w:val="24"/>
                <w:szCs w:val="24"/>
                <w:highlight w:val="none"/>
                <w:shd w:val="clear" w:color="auto" w:fill="auto"/>
              </w:rPr>
            </w:pPr>
          </w:p>
          <w:p w14:paraId="4DD09D8E">
            <w:pPr>
              <w:spacing w:line="360" w:lineRule="auto"/>
              <w:jc w:val="center"/>
              <w:rPr>
                <w:rFonts w:hint="eastAsia" w:ascii="宋体" w:hAnsi="宋体" w:eastAsia="宋体" w:cs="宋体"/>
                <w:color w:val="auto"/>
                <w:sz w:val="24"/>
                <w:szCs w:val="24"/>
                <w:highlight w:val="none"/>
                <w:shd w:val="clear" w:color="auto" w:fill="auto"/>
              </w:rPr>
            </w:pPr>
          </w:p>
          <w:p w14:paraId="4A644B6D">
            <w:pPr>
              <w:spacing w:line="360" w:lineRule="auto"/>
              <w:jc w:val="center"/>
              <w:rPr>
                <w:rFonts w:hint="eastAsia" w:ascii="宋体" w:hAnsi="宋体" w:eastAsia="宋体" w:cs="宋体"/>
                <w:color w:val="auto"/>
                <w:sz w:val="24"/>
                <w:szCs w:val="24"/>
                <w:highlight w:val="none"/>
                <w:shd w:val="clear" w:color="auto" w:fill="auto"/>
              </w:rPr>
            </w:pPr>
          </w:p>
        </w:tc>
        <w:tc>
          <w:tcPr>
            <w:tcW w:w="1227" w:type="dxa"/>
            <w:noWrap w:val="0"/>
            <w:vAlign w:val="top"/>
          </w:tcPr>
          <w:p w14:paraId="2582BBAE">
            <w:pPr>
              <w:spacing w:line="360" w:lineRule="auto"/>
              <w:jc w:val="center"/>
              <w:rPr>
                <w:rFonts w:hint="eastAsia" w:ascii="宋体" w:hAnsi="宋体" w:eastAsia="宋体" w:cs="宋体"/>
                <w:color w:val="auto"/>
                <w:sz w:val="24"/>
                <w:szCs w:val="24"/>
                <w:highlight w:val="none"/>
                <w:shd w:val="clear" w:color="auto" w:fill="auto"/>
              </w:rPr>
            </w:pPr>
          </w:p>
          <w:p w14:paraId="15B45AEB">
            <w:pPr>
              <w:spacing w:line="360" w:lineRule="auto"/>
              <w:jc w:val="center"/>
              <w:rPr>
                <w:rFonts w:hint="eastAsia" w:ascii="宋体" w:hAnsi="宋体" w:eastAsia="宋体" w:cs="宋体"/>
                <w:color w:val="auto"/>
                <w:sz w:val="24"/>
                <w:szCs w:val="24"/>
                <w:highlight w:val="none"/>
                <w:shd w:val="clear" w:color="auto" w:fill="auto"/>
              </w:rPr>
            </w:pPr>
          </w:p>
          <w:p w14:paraId="391AE5D5">
            <w:pPr>
              <w:spacing w:line="360" w:lineRule="auto"/>
              <w:jc w:val="center"/>
              <w:rPr>
                <w:rFonts w:hint="eastAsia" w:ascii="宋体" w:hAnsi="宋体" w:eastAsia="宋体" w:cs="宋体"/>
                <w:color w:val="auto"/>
                <w:sz w:val="24"/>
                <w:szCs w:val="24"/>
                <w:highlight w:val="none"/>
                <w:shd w:val="clear" w:color="auto" w:fill="auto"/>
              </w:rPr>
            </w:pPr>
          </w:p>
          <w:p w14:paraId="3E934E29">
            <w:pPr>
              <w:spacing w:line="360" w:lineRule="auto"/>
              <w:jc w:val="center"/>
              <w:rPr>
                <w:rFonts w:hint="eastAsia" w:ascii="宋体" w:hAnsi="宋体" w:eastAsia="宋体" w:cs="宋体"/>
                <w:color w:val="auto"/>
                <w:sz w:val="24"/>
                <w:szCs w:val="24"/>
                <w:highlight w:val="none"/>
                <w:shd w:val="clear" w:color="auto" w:fill="auto"/>
              </w:rPr>
            </w:pPr>
          </w:p>
          <w:p w14:paraId="71134435">
            <w:pPr>
              <w:spacing w:line="360" w:lineRule="auto"/>
              <w:jc w:val="center"/>
              <w:rPr>
                <w:rFonts w:hint="eastAsia" w:ascii="宋体" w:hAnsi="宋体" w:eastAsia="宋体" w:cs="宋体"/>
                <w:color w:val="auto"/>
                <w:sz w:val="24"/>
                <w:szCs w:val="24"/>
                <w:highlight w:val="none"/>
                <w:shd w:val="clear" w:color="auto" w:fill="auto"/>
              </w:rPr>
            </w:pPr>
          </w:p>
          <w:p w14:paraId="681067C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技术部分</w:t>
            </w:r>
            <w:r>
              <w:rPr>
                <w:rFonts w:hint="eastAsia" w:ascii="宋体" w:hAnsi="宋体" w:eastAsia="宋体" w:cs="宋体"/>
                <w:color w:val="auto"/>
                <w:sz w:val="24"/>
                <w:szCs w:val="24"/>
                <w:highlight w:val="none"/>
                <w:shd w:val="clear" w:color="auto" w:fill="auto"/>
                <w:lang w:val="en-US" w:eastAsia="zh-CN"/>
              </w:rPr>
              <w:t>46</w:t>
            </w:r>
            <w:r>
              <w:rPr>
                <w:rFonts w:hint="eastAsia" w:ascii="宋体" w:hAnsi="宋体" w:eastAsia="宋体" w:cs="宋体"/>
                <w:color w:val="auto"/>
                <w:sz w:val="24"/>
                <w:szCs w:val="24"/>
                <w:highlight w:val="none"/>
                <w:shd w:val="clear" w:color="auto" w:fill="auto"/>
              </w:rPr>
              <w:t>%</w:t>
            </w:r>
          </w:p>
        </w:tc>
        <w:tc>
          <w:tcPr>
            <w:tcW w:w="778" w:type="dxa"/>
            <w:noWrap w:val="0"/>
            <w:vAlign w:val="top"/>
          </w:tcPr>
          <w:p w14:paraId="0C49C456">
            <w:pPr>
              <w:spacing w:line="360" w:lineRule="auto"/>
              <w:rPr>
                <w:rFonts w:hint="eastAsia" w:ascii="宋体" w:hAnsi="宋体" w:eastAsia="宋体" w:cs="宋体"/>
                <w:color w:val="auto"/>
                <w:sz w:val="24"/>
                <w:szCs w:val="24"/>
                <w:highlight w:val="none"/>
                <w:shd w:val="clear" w:color="auto" w:fill="auto"/>
              </w:rPr>
            </w:pPr>
          </w:p>
          <w:p w14:paraId="46781B80">
            <w:pPr>
              <w:spacing w:line="360" w:lineRule="auto"/>
              <w:rPr>
                <w:rFonts w:hint="eastAsia" w:ascii="宋体" w:hAnsi="宋体" w:eastAsia="宋体" w:cs="宋体"/>
                <w:color w:val="auto"/>
                <w:sz w:val="24"/>
                <w:szCs w:val="24"/>
                <w:highlight w:val="none"/>
                <w:shd w:val="clear" w:color="auto" w:fill="auto"/>
              </w:rPr>
            </w:pPr>
          </w:p>
          <w:p w14:paraId="10E1680B">
            <w:pPr>
              <w:spacing w:line="360" w:lineRule="auto"/>
              <w:rPr>
                <w:rFonts w:hint="eastAsia" w:ascii="宋体" w:hAnsi="宋体" w:eastAsia="宋体" w:cs="宋体"/>
                <w:color w:val="auto"/>
                <w:sz w:val="24"/>
                <w:szCs w:val="24"/>
                <w:highlight w:val="none"/>
                <w:shd w:val="clear" w:color="auto" w:fill="auto"/>
              </w:rPr>
            </w:pPr>
          </w:p>
          <w:p w14:paraId="70458F7D">
            <w:pPr>
              <w:spacing w:line="360" w:lineRule="auto"/>
              <w:rPr>
                <w:rFonts w:hint="eastAsia" w:ascii="宋体" w:hAnsi="宋体" w:eastAsia="宋体" w:cs="宋体"/>
                <w:color w:val="auto"/>
                <w:sz w:val="24"/>
                <w:szCs w:val="24"/>
                <w:highlight w:val="none"/>
                <w:shd w:val="clear" w:color="auto" w:fill="auto"/>
              </w:rPr>
            </w:pPr>
          </w:p>
          <w:p w14:paraId="01A3868B">
            <w:pPr>
              <w:spacing w:line="360" w:lineRule="auto"/>
              <w:rPr>
                <w:rFonts w:hint="eastAsia" w:ascii="宋体" w:hAnsi="宋体" w:eastAsia="宋体" w:cs="宋体"/>
                <w:color w:val="auto"/>
                <w:sz w:val="24"/>
                <w:szCs w:val="24"/>
                <w:highlight w:val="none"/>
                <w:shd w:val="clear" w:color="auto" w:fill="auto"/>
              </w:rPr>
            </w:pPr>
          </w:p>
          <w:p w14:paraId="5E4F6CF2">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46</w:t>
            </w:r>
            <w:r>
              <w:rPr>
                <w:rFonts w:hint="eastAsia" w:ascii="宋体" w:hAnsi="宋体" w:eastAsia="宋体" w:cs="宋体"/>
                <w:color w:val="auto"/>
                <w:sz w:val="24"/>
                <w:szCs w:val="24"/>
                <w:highlight w:val="none"/>
                <w:shd w:val="clear" w:color="auto" w:fill="auto"/>
              </w:rPr>
              <w:t>分</w:t>
            </w:r>
          </w:p>
        </w:tc>
        <w:tc>
          <w:tcPr>
            <w:tcW w:w="5591" w:type="dxa"/>
            <w:noWrap w:val="0"/>
            <w:vAlign w:val="top"/>
          </w:tcPr>
          <w:p w14:paraId="5D6D38CD">
            <w:pPr>
              <w:pStyle w:val="23"/>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投标人针对招标文件技术参数条款的响应得分规则如下：</w:t>
            </w:r>
          </w:p>
          <w:p w14:paraId="4DAFAB31">
            <w:pPr>
              <w:pStyle w:val="23"/>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【①技术条款以序号1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 xml:space="preserve">3……为单位；②序号中未标注“▲”的条款，视为一般技术参数条款；③序号中标注“▲”的条款，视为重要技术参数条款。】 </w:t>
            </w:r>
          </w:p>
          <w:p w14:paraId="7323F15B">
            <w:pPr>
              <w:pStyle w:val="23"/>
              <w:spacing w:after="0" w:line="360" w:lineRule="auto"/>
              <w:rPr>
                <w:rFonts w:ascii="宋体" w:hAnsi="宋体" w:cs="宋体"/>
                <w:color w:val="auto"/>
                <w:sz w:val="24"/>
                <w:szCs w:val="24"/>
              </w:rPr>
            </w:pPr>
            <w:r>
              <w:rPr>
                <w:rFonts w:hint="eastAsia" w:ascii="宋体" w:hAnsi="宋体" w:cs="宋体"/>
                <w:color w:val="auto"/>
                <w:sz w:val="24"/>
                <w:szCs w:val="24"/>
              </w:rPr>
              <w:t>1、投标人针对招标文件一般技术参数条款的响应得分规则如下：</w:t>
            </w:r>
          </w:p>
          <w:p w14:paraId="18D002CD">
            <w:pPr>
              <w:pStyle w:val="23"/>
              <w:spacing w:after="0" w:line="360" w:lineRule="auto"/>
              <w:rPr>
                <w:rFonts w:ascii="宋体" w:hAnsi="宋体" w:cs="宋体"/>
                <w:color w:val="auto"/>
                <w:sz w:val="24"/>
                <w:szCs w:val="24"/>
              </w:rPr>
            </w:pPr>
            <w:r>
              <w:rPr>
                <w:rFonts w:hint="eastAsia" w:ascii="宋体" w:hAnsi="宋体" w:cs="宋体"/>
                <w:color w:val="auto"/>
                <w:sz w:val="24"/>
                <w:szCs w:val="24"/>
              </w:rPr>
              <w:t>满足或优于该指标得</w:t>
            </w:r>
            <w:r>
              <w:rPr>
                <w:rFonts w:hint="eastAsia" w:ascii="宋体" w:hAnsi="宋体" w:cs="宋体"/>
                <w:color w:val="auto"/>
                <w:sz w:val="24"/>
                <w:szCs w:val="24"/>
                <w:lang w:val="en-US" w:eastAsia="zh-CN"/>
              </w:rPr>
              <w:t>0.32</w:t>
            </w:r>
            <w:r>
              <w:rPr>
                <w:rFonts w:hint="eastAsia" w:ascii="宋体" w:hAnsi="宋体" w:cs="宋体"/>
                <w:color w:val="auto"/>
                <w:sz w:val="24"/>
                <w:szCs w:val="24"/>
              </w:rPr>
              <w:t>分，不满足不得分，共计</w:t>
            </w:r>
            <w:r>
              <w:rPr>
                <w:rFonts w:hint="eastAsia" w:ascii="宋体" w:hAnsi="宋体" w:cs="宋体"/>
                <w:color w:val="auto"/>
                <w:sz w:val="24"/>
                <w:szCs w:val="24"/>
                <w:lang w:val="en-US" w:eastAsia="zh-CN"/>
              </w:rPr>
              <w:t>50</w:t>
            </w:r>
            <w:r>
              <w:rPr>
                <w:rFonts w:hint="eastAsia" w:ascii="宋体" w:hAnsi="宋体" w:cs="宋体"/>
                <w:color w:val="auto"/>
                <w:sz w:val="24"/>
                <w:szCs w:val="24"/>
              </w:rPr>
              <w:t>项，共计</w:t>
            </w:r>
            <w:r>
              <w:rPr>
                <w:rFonts w:hint="eastAsia" w:ascii="宋体" w:hAnsi="宋体" w:cs="宋体"/>
                <w:color w:val="auto"/>
                <w:sz w:val="24"/>
                <w:szCs w:val="24"/>
                <w:lang w:val="en-US" w:eastAsia="zh-CN"/>
              </w:rPr>
              <w:t>16</w:t>
            </w:r>
            <w:r>
              <w:rPr>
                <w:rFonts w:hint="eastAsia" w:ascii="宋体" w:hAnsi="宋体" w:cs="宋体"/>
                <w:color w:val="auto"/>
                <w:sz w:val="24"/>
                <w:szCs w:val="24"/>
              </w:rPr>
              <w:t>分。</w:t>
            </w:r>
          </w:p>
          <w:p w14:paraId="61D5173C">
            <w:pPr>
              <w:pStyle w:val="23"/>
              <w:spacing w:after="0" w:line="360" w:lineRule="auto"/>
              <w:rPr>
                <w:rFonts w:ascii="宋体" w:hAnsi="宋体" w:cs="宋体"/>
                <w:color w:val="auto"/>
                <w:sz w:val="24"/>
                <w:szCs w:val="24"/>
              </w:rPr>
            </w:pPr>
            <w:r>
              <w:rPr>
                <w:rFonts w:hint="eastAsia" w:ascii="宋体" w:hAnsi="宋体" w:cs="宋体"/>
                <w:color w:val="auto"/>
                <w:sz w:val="24"/>
                <w:szCs w:val="24"/>
              </w:rPr>
              <w:t>2、投标人针对招标文件“</w:t>
            </w:r>
            <w:r>
              <w:rPr>
                <w:rFonts w:hint="eastAsia" w:ascii="宋体" w:hAnsi="宋体" w:cs="宋体"/>
                <w:color w:val="auto"/>
                <w:kern w:val="0"/>
                <w:sz w:val="24"/>
                <w:szCs w:val="24"/>
              </w:rPr>
              <w:t>▲</w:t>
            </w:r>
            <w:r>
              <w:rPr>
                <w:rFonts w:hint="eastAsia" w:ascii="宋体" w:hAnsi="宋体" w:cs="宋体"/>
                <w:color w:val="auto"/>
                <w:sz w:val="24"/>
                <w:szCs w:val="24"/>
              </w:rPr>
              <w:t>”技术参数条款的响应得分规则如下：</w:t>
            </w:r>
          </w:p>
          <w:p w14:paraId="05888CD8">
            <w:pPr>
              <w:pStyle w:val="23"/>
              <w:spacing w:after="0" w:line="360" w:lineRule="auto"/>
              <w:rPr>
                <w:rFonts w:ascii="宋体" w:hAnsi="宋体" w:cs="宋体"/>
                <w:color w:val="auto"/>
                <w:sz w:val="24"/>
                <w:szCs w:val="24"/>
              </w:rPr>
            </w:pPr>
            <w:r>
              <w:rPr>
                <w:rFonts w:hint="eastAsia" w:ascii="宋体" w:hAnsi="宋体" w:cs="宋体"/>
                <w:color w:val="auto"/>
                <w:sz w:val="24"/>
                <w:szCs w:val="24"/>
              </w:rPr>
              <w:t>满足或优于该指标得</w:t>
            </w:r>
            <w:r>
              <w:rPr>
                <w:rFonts w:hint="eastAsia" w:ascii="宋体" w:hAnsi="宋体" w:cs="宋体"/>
                <w:color w:val="auto"/>
                <w:sz w:val="24"/>
                <w:szCs w:val="24"/>
                <w:lang w:val="en-US" w:eastAsia="zh-CN"/>
              </w:rPr>
              <w:t>3</w:t>
            </w:r>
            <w:r>
              <w:rPr>
                <w:rFonts w:hint="eastAsia" w:ascii="宋体" w:hAnsi="宋体" w:cs="宋体"/>
                <w:color w:val="auto"/>
                <w:sz w:val="24"/>
                <w:szCs w:val="24"/>
              </w:rPr>
              <w:t>分，不满足不得分，共计</w:t>
            </w:r>
            <w:r>
              <w:rPr>
                <w:rFonts w:hint="eastAsia" w:ascii="宋体" w:hAnsi="宋体" w:cs="宋体"/>
                <w:color w:val="auto"/>
                <w:sz w:val="24"/>
                <w:szCs w:val="24"/>
                <w:lang w:val="en-US" w:eastAsia="zh-CN"/>
              </w:rPr>
              <w:t>10</w:t>
            </w:r>
            <w:r>
              <w:rPr>
                <w:rFonts w:hint="eastAsia" w:ascii="宋体" w:hAnsi="宋体" w:cs="宋体"/>
                <w:color w:val="auto"/>
                <w:sz w:val="24"/>
                <w:szCs w:val="24"/>
              </w:rPr>
              <w:t>项，共计</w:t>
            </w:r>
            <w:r>
              <w:rPr>
                <w:rFonts w:hint="eastAsia" w:ascii="宋体" w:hAnsi="宋体" w:cs="宋体"/>
                <w:color w:val="auto"/>
                <w:sz w:val="24"/>
                <w:szCs w:val="24"/>
                <w:lang w:val="en-US" w:eastAsia="zh-CN"/>
              </w:rPr>
              <w:t>30</w:t>
            </w:r>
            <w:r>
              <w:rPr>
                <w:rFonts w:hint="eastAsia" w:ascii="宋体" w:hAnsi="宋体" w:cs="宋体"/>
                <w:color w:val="auto"/>
                <w:sz w:val="24"/>
                <w:szCs w:val="24"/>
              </w:rPr>
              <w:t>分。</w:t>
            </w:r>
          </w:p>
          <w:p w14:paraId="04CECE08">
            <w:pPr>
              <w:pStyle w:val="23"/>
              <w:spacing w:line="360" w:lineRule="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rPr>
              <w:t>若技术要求中需要提供相关证明材料，未提供视为未响应。</w:t>
            </w:r>
          </w:p>
        </w:tc>
        <w:tc>
          <w:tcPr>
            <w:tcW w:w="1036" w:type="dxa"/>
            <w:noWrap w:val="0"/>
            <w:vAlign w:val="center"/>
          </w:tcPr>
          <w:p w14:paraId="5D74882A">
            <w:pPr>
              <w:pStyle w:val="2"/>
              <w:spacing w:line="360" w:lineRule="auto"/>
              <w:jc w:val="center"/>
              <w:rPr>
                <w:rFonts w:hint="eastAsia" w:ascii="宋体" w:hAnsi="宋体" w:eastAsia="宋体" w:cs="宋体"/>
                <w:b w:val="0"/>
                <w:bCs w:val="0"/>
                <w:color w:val="auto"/>
                <w:sz w:val="24"/>
                <w:szCs w:val="24"/>
                <w:highlight w:val="none"/>
                <w:shd w:val="clear" w:color="auto" w:fill="auto"/>
              </w:rPr>
            </w:pPr>
          </w:p>
        </w:tc>
      </w:tr>
      <w:tr w14:paraId="4FDE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29" w:type="dxa"/>
            <w:noWrap w:val="0"/>
            <w:vAlign w:val="center"/>
          </w:tcPr>
          <w:p w14:paraId="1B089B93">
            <w:pPr>
              <w:spacing w:line="360" w:lineRule="auto"/>
              <w:jc w:val="center"/>
              <w:rPr>
                <w:rFonts w:hint="eastAsia" w:ascii="宋体" w:hAnsi="宋体" w:eastAsia="宋体" w:cs="宋体"/>
                <w:color w:val="auto"/>
                <w:sz w:val="24"/>
                <w:szCs w:val="24"/>
                <w:highlight w:val="none"/>
                <w:shd w:val="clear" w:color="auto" w:fill="auto"/>
              </w:rPr>
            </w:pPr>
          </w:p>
          <w:p w14:paraId="62213F48">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p>
        </w:tc>
        <w:tc>
          <w:tcPr>
            <w:tcW w:w="1227" w:type="dxa"/>
            <w:noWrap w:val="0"/>
            <w:vAlign w:val="top"/>
          </w:tcPr>
          <w:p w14:paraId="65E2CE60">
            <w:pPr>
              <w:spacing w:line="360" w:lineRule="auto"/>
              <w:jc w:val="center"/>
              <w:rPr>
                <w:rFonts w:hint="eastAsia" w:ascii="宋体" w:hAnsi="宋体" w:eastAsia="宋体" w:cs="宋体"/>
                <w:color w:val="auto"/>
                <w:sz w:val="24"/>
                <w:szCs w:val="24"/>
                <w:highlight w:val="none"/>
                <w:shd w:val="clear" w:color="auto" w:fill="auto"/>
                <w:lang w:val="en-US" w:eastAsia="zh-CN"/>
              </w:rPr>
            </w:pPr>
          </w:p>
          <w:p w14:paraId="1B43508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履约能力</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w:t>
            </w:r>
          </w:p>
        </w:tc>
        <w:tc>
          <w:tcPr>
            <w:tcW w:w="778" w:type="dxa"/>
            <w:noWrap w:val="0"/>
            <w:vAlign w:val="top"/>
          </w:tcPr>
          <w:p w14:paraId="28E6475D">
            <w:pPr>
              <w:spacing w:line="360" w:lineRule="auto"/>
              <w:ind w:left="210" w:leftChars="100" w:firstLine="240" w:firstLineChars="1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w:t>
            </w:r>
          </w:p>
          <w:p w14:paraId="6DC8172D">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tc>
        <w:tc>
          <w:tcPr>
            <w:tcW w:w="5591" w:type="dxa"/>
            <w:noWrap w:val="0"/>
            <w:vAlign w:val="center"/>
          </w:tcPr>
          <w:p w14:paraId="6DDFF066">
            <w:pPr>
              <w:numPr>
                <w:ilvl w:val="0"/>
                <w:numId w:val="0"/>
              </w:num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投标人自20</w:t>
            </w: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rPr>
              <w:t>年1月1日至今，有1个同类项目供货业绩的得</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分，最高</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p w14:paraId="7CD6D231">
            <w:pPr>
              <w:numPr>
                <w:ilvl w:val="0"/>
                <w:numId w:val="0"/>
              </w:numPr>
              <w:spacing w:line="360" w:lineRule="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注：1、提供每个业绩的合同复印件以及投标人与合同需求方转账凭证复印件（或对应发票复印件）。</w:t>
            </w:r>
          </w:p>
          <w:p w14:paraId="34F71012">
            <w:pPr>
              <w:numPr>
                <w:ilvl w:val="0"/>
                <w:numId w:val="0"/>
              </w:num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2、以合同签订时间为准。</w:t>
            </w:r>
          </w:p>
        </w:tc>
        <w:tc>
          <w:tcPr>
            <w:tcW w:w="1036" w:type="dxa"/>
            <w:noWrap w:val="0"/>
            <w:vAlign w:val="center"/>
          </w:tcPr>
          <w:p w14:paraId="57A7074C">
            <w:pPr>
              <w:spacing w:line="360" w:lineRule="auto"/>
              <w:jc w:val="center"/>
              <w:rPr>
                <w:rFonts w:hint="eastAsia" w:ascii="宋体" w:hAnsi="宋体" w:eastAsia="宋体" w:cs="宋体"/>
                <w:color w:val="auto"/>
                <w:sz w:val="24"/>
                <w:szCs w:val="24"/>
                <w:highlight w:val="none"/>
                <w:shd w:val="clear" w:color="auto" w:fill="auto"/>
              </w:rPr>
            </w:pPr>
          </w:p>
        </w:tc>
      </w:tr>
      <w:tr w14:paraId="7934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noWrap w:val="0"/>
            <w:vAlign w:val="center"/>
          </w:tcPr>
          <w:p w14:paraId="5A00F0D8">
            <w:pPr>
              <w:spacing w:line="360" w:lineRule="auto"/>
              <w:jc w:val="center"/>
              <w:rPr>
                <w:rFonts w:hint="eastAsia" w:ascii="宋体" w:hAnsi="宋体" w:eastAsia="宋体" w:cs="宋体"/>
                <w:color w:val="auto"/>
                <w:sz w:val="24"/>
                <w:szCs w:val="24"/>
                <w:highlight w:val="none"/>
                <w:shd w:val="clear" w:color="auto" w:fill="auto"/>
              </w:rPr>
            </w:pPr>
          </w:p>
          <w:p w14:paraId="33E15B21">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p>
        </w:tc>
        <w:tc>
          <w:tcPr>
            <w:tcW w:w="1227" w:type="dxa"/>
            <w:noWrap w:val="0"/>
            <w:vAlign w:val="center"/>
          </w:tcPr>
          <w:p w14:paraId="5F7EB5CA">
            <w:pPr>
              <w:spacing w:line="360" w:lineRule="auto"/>
              <w:jc w:val="center"/>
              <w:rPr>
                <w:rFonts w:hint="eastAsia" w:ascii="宋体" w:hAnsi="宋体" w:eastAsia="宋体" w:cs="宋体"/>
                <w:color w:val="auto"/>
                <w:sz w:val="24"/>
                <w:szCs w:val="24"/>
                <w:highlight w:val="none"/>
                <w:shd w:val="clear" w:color="auto" w:fill="auto"/>
              </w:rPr>
            </w:pPr>
          </w:p>
          <w:p w14:paraId="4C0862B7">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技术培训8</w:t>
            </w:r>
            <w:r>
              <w:rPr>
                <w:rFonts w:hint="eastAsia" w:ascii="宋体" w:hAnsi="宋体" w:eastAsia="宋体" w:cs="宋体"/>
                <w:color w:val="auto"/>
                <w:sz w:val="24"/>
                <w:szCs w:val="24"/>
                <w:highlight w:val="none"/>
                <w:shd w:val="clear" w:color="auto" w:fill="auto"/>
              </w:rPr>
              <w:t>%</w:t>
            </w:r>
          </w:p>
        </w:tc>
        <w:tc>
          <w:tcPr>
            <w:tcW w:w="778" w:type="dxa"/>
            <w:noWrap w:val="0"/>
            <w:vAlign w:val="center"/>
          </w:tcPr>
          <w:p w14:paraId="5ED884E0">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tc>
        <w:tc>
          <w:tcPr>
            <w:tcW w:w="5591" w:type="dxa"/>
            <w:noWrap w:val="0"/>
            <w:vAlign w:val="top"/>
          </w:tcPr>
          <w:p w14:paraId="3994A83C">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根据投标人针对本项目的</w:t>
            </w:r>
            <w:r>
              <w:rPr>
                <w:rFonts w:hint="eastAsia" w:ascii="宋体" w:hAnsi="宋体" w:eastAsia="宋体" w:cs="宋体"/>
                <w:color w:val="auto"/>
                <w:sz w:val="24"/>
                <w:szCs w:val="24"/>
                <w:highlight w:val="none"/>
                <w:shd w:val="clear" w:color="auto" w:fill="auto"/>
                <w:lang w:val="en-US" w:eastAsia="zh-CN"/>
              </w:rPr>
              <w:t>投标产品</w:t>
            </w:r>
            <w:r>
              <w:rPr>
                <w:rFonts w:hint="eastAsia" w:ascii="宋体" w:hAnsi="宋体" w:eastAsia="宋体" w:cs="宋体"/>
                <w:color w:val="auto"/>
                <w:sz w:val="24"/>
                <w:szCs w:val="24"/>
                <w:highlight w:val="none"/>
                <w:shd w:val="clear" w:color="auto" w:fill="auto"/>
              </w:rPr>
              <w:t>技术培训方案进行评分，方案内容至少包括</w:t>
            </w:r>
            <w:r>
              <w:rPr>
                <w:rFonts w:hint="eastAsia" w:ascii="宋体" w:hAnsi="宋体" w:eastAsia="宋体" w:cs="宋体"/>
                <w:b/>
                <w:bCs/>
                <w:color w:val="auto"/>
                <w:sz w:val="24"/>
                <w:szCs w:val="24"/>
                <w:highlight w:val="none"/>
                <w:shd w:val="clear" w:color="auto" w:fill="auto"/>
              </w:rPr>
              <w:t>①培训内容，②培训方式，③培训计划，④培训团队配备等。</w:t>
            </w:r>
          </w:p>
          <w:p w14:paraId="3ABD0A68">
            <w:pPr>
              <w:spacing w:line="360" w:lineRule="auto"/>
              <w:rPr>
                <w:rFonts w:hint="eastAsia" w:ascii="宋体" w:hAnsi="宋体" w:eastAsia="宋体" w:cs="宋体"/>
                <w:color w:val="auto"/>
                <w:sz w:val="24"/>
                <w:szCs w:val="24"/>
                <w:highlight w:val="none"/>
                <w:shd w:val="clear" w:color="auto" w:fill="auto"/>
              </w:rPr>
            </w:pPr>
            <w:bookmarkStart w:id="378" w:name="OLE_LINK15"/>
            <w:r>
              <w:rPr>
                <w:rFonts w:hint="eastAsia" w:ascii="宋体" w:hAnsi="宋体" w:eastAsia="宋体" w:cs="宋体"/>
                <w:color w:val="auto"/>
                <w:sz w:val="24"/>
                <w:szCs w:val="24"/>
                <w:highlight w:val="none"/>
                <w:shd w:val="clear" w:color="auto" w:fill="auto"/>
              </w:rPr>
              <w:t>根据供应商针对上述</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个方面内容在响应文件中的响应情况进行综合评审：其中每有一方面内容满足要求的得</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分，该方面中每有一处存在不足的扣</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分，最多扣</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分；每有一方面内容缺失的则该方面不得分。</w:t>
            </w:r>
          </w:p>
          <w:p w14:paraId="65D10C18">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表方案中（1）内容满足要求是指①内容与项目技术服务需求吻合，有具体详细的阐述；②内容从实际出发，切合项目背景、项目需求；③内容符合国家、地方、行业标准、行业惯例以及项目特点。④内容清楚明了、表述规范、含义准确。</w:t>
            </w:r>
          </w:p>
          <w:p w14:paraId="1B9675C3">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存在不足是指①存在与本项目无关的其他行业、其他区域地点或无关的文字内容；②文字错误语言表述错误；③内容与本项目需求无关、方案内容矛盾、仅有框架或标题；④不符合本项目涉及的相关规范或标准要求等情形。</w:t>
            </w:r>
            <w:bookmarkEnd w:id="378"/>
          </w:p>
        </w:tc>
        <w:tc>
          <w:tcPr>
            <w:tcW w:w="1036" w:type="dxa"/>
            <w:noWrap w:val="0"/>
            <w:vAlign w:val="center"/>
          </w:tcPr>
          <w:p w14:paraId="2343ABE3">
            <w:pPr>
              <w:spacing w:line="360" w:lineRule="auto"/>
              <w:jc w:val="center"/>
              <w:rPr>
                <w:rFonts w:hint="eastAsia" w:ascii="宋体" w:hAnsi="宋体" w:eastAsia="宋体" w:cs="宋体"/>
                <w:color w:val="auto"/>
                <w:sz w:val="24"/>
                <w:szCs w:val="24"/>
                <w:highlight w:val="none"/>
                <w:shd w:val="clear" w:color="auto" w:fill="auto"/>
              </w:rPr>
            </w:pPr>
          </w:p>
        </w:tc>
      </w:tr>
      <w:tr w14:paraId="009A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9" w:type="dxa"/>
            <w:noWrap w:val="0"/>
            <w:vAlign w:val="center"/>
          </w:tcPr>
          <w:p w14:paraId="0FECAE48">
            <w:pPr>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w:t>
            </w:r>
          </w:p>
        </w:tc>
        <w:tc>
          <w:tcPr>
            <w:tcW w:w="1227" w:type="dxa"/>
            <w:noWrap w:val="0"/>
            <w:vAlign w:val="center"/>
          </w:tcPr>
          <w:p w14:paraId="35BD69D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售后服务</w:t>
            </w:r>
            <w:r>
              <w:rPr>
                <w:rFonts w:hint="eastAsia" w:ascii="宋体" w:hAnsi="宋体" w:eastAsia="宋体" w:cs="宋体"/>
                <w:color w:val="auto"/>
                <w:sz w:val="24"/>
                <w:szCs w:val="24"/>
                <w:highlight w:val="none"/>
                <w:shd w:val="clear" w:color="auto" w:fill="auto"/>
                <w:lang w:val="en-US" w:eastAsia="zh-CN"/>
              </w:rPr>
              <w:t>方案8</w:t>
            </w:r>
            <w:r>
              <w:rPr>
                <w:rFonts w:hint="eastAsia" w:ascii="宋体" w:hAnsi="宋体" w:eastAsia="宋体" w:cs="宋体"/>
                <w:color w:val="auto"/>
                <w:sz w:val="24"/>
                <w:szCs w:val="24"/>
                <w:highlight w:val="none"/>
                <w:shd w:val="clear" w:color="auto" w:fill="auto"/>
              </w:rPr>
              <w:t>%</w:t>
            </w:r>
          </w:p>
        </w:tc>
        <w:tc>
          <w:tcPr>
            <w:tcW w:w="778" w:type="dxa"/>
            <w:noWrap w:val="0"/>
            <w:vAlign w:val="center"/>
          </w:tcPr>
          <w:p w14:paraId="4D31FAA2">
            <w:pPr>
              <w:spacing w:line="360" w:lineRule="auto"/>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w:t>
            </w:r>
          </w:p>
        </w:tc>
        <w:tc>
          <w:tcPr>
            <w:tcW w:w="5591" w:type="dxa"/>
            <w:noWrap w:val="0"/>
            <w:vAlign w:val="top"/>
          </w:tcPr>
          <w:p w14:paraId="31382AC7">
            <w:pPr>
              <w:spacing w:line="36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根据投标人针对本项目的售后服务方案进行评分，方案内容至少包括</w:t>
            </w:r>
            <w:r>
              <w:rPr>
                <w:rFonts w:hint="eastAsia" w:ascii="宋体" w:hAnsi="宋体" w:eastAsia="宋体" w:cs="宋体"/>
                <w:b/>
                <w:bCs/>
                <w:color w:val="auto"/>
                <w:sz w:val="24"/>
                <w:szCs w:val="24"/>
                <w:highlight w:val="none"/>
                <w:shd w:val="clear" w:color="auto" w:fill="auto"/>
              </w:rPr>
              <w:t>①服务承诺及响应方案，②备件（易耗品）供应方案，③服务人员配备及应急措施，④质保外服务措施等售后服务。</w:t>
            </w:r>
          </w:p>
          <w:p w14:paraId="33E0AE32">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根据供应商针对上述</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个方面内容在响应文件中的响应情况进行综合评审：其中每有一方面内容满足要求的得</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分，该方面中每有一处存在不足的扣</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分，最多扣</w:t>
            </w:r>
            <w:r>
              <w:rPr>
                <w:rFonts w:hint="eastAsia" w:ascii="宋体" w:hAnsi="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分；每有一方面内容缺失的则该方面不得分。</w:t>
            </w:r>
          </w:p>
          <w:p w14:paraId="251C0E52">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表方案中（1）内容满足要求是指①内容与项目技术服务需求吻合，有具体详细的阐述；②内容从实际出发，切合项目背景、项目需求；③内容符合国家、地方、行业标准、行业惯例以及项目特点。④内容清楚明了、表述规范、含义准确。</w:t>
            </w:r>
          </w:p>
          <w:p w14:paraId="590B0D1C">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存在不足是指①存在与本项目无关的其他行业、其他区域地点或无关的文字内容；②文字错误语言表述错误；③内容与本项目需求无关、方案内容矛盾、仅有框架或标题；④不符合本项目涉及的相关规范或标准要求等情形。</w:t>
            </w:r>
          </w:p>
        </w:tc>
        <w:tc>
          <w:tcPr>
            <w:tcW w:w="1036" w:type="dxa"/>
            <w:noWrap w:val="0"/>
            <w:vAlign w:val="center"/>
          </w:tcPr>
          <w:p w14:paraId="08E90335">
            <w:pPr>
              <w:spacing w:line="360" w:lineRule="auto"/>
              <w:jc w:val="center"/>
              <w:rPr>
                <w:rFonts w:hint="eastAsia" w:ascii="宋体" w:hAnsi="宋体" w:eastAsia="宋体" w:cs="宋体"/>
                <w:color w:val="auto"/>
                <w:sz w:val="24"/>
                <w:szCs w:val="24"/>
                <w:highlight w:val="none"/>
                <w:shd w:val="clear" w:color="auto" w:fill="auto"/>
              </w:rPr>
            </w:pPr>
          </w:p>
        </w:tc>
      </w:tr>
    </w:tbl>
    <w:p w14:paraId="04965691">
      <w:pPr>
        <w:shd w:val="clear"/>
        <w:rPr>
          <w:rFonts w:hint="eastAsia" w:ascii="宋体" w:hAnsi="宋体" w:cs="宋体"/>
          <w:b/>
          <w:bCs/>
          <w:color w:val="auto"/>
          <w:sz w:val="24"/>
          <w:szCs w:val="24"/>
          <w:highlight w:val="none"/>
          <w:lang w:val="en-US" w:eastAsia="zh-CN"/>
        </w:rPr>
      </w:pPr>
    </w:p>
    <w:p w14:paraId="4405B402">
      <w:pPr>
        <w:shd w:val="clear"/>
        <w:ind w:firstLine="241" w:firstLineChars="1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注：评审得分保留小数点后两位。</w:t>
      </w:r>
    </w:p>
    <w:p w14:paraId="162DBBE1">
      <w:pPr>
        <w:pStyle w:val="23"/>
        <w:shd w:val="clear"/>
        <w:rPr>
          <w:rFonts w:hint="eastAsia" w:ascii="宋体" w:hAnsi="宋体" w:eastAsia="宋体" w:cs="宋体"/>
          <w:color w:val="auto"/>
          <w:sz w:val="2"/>
          <w:szCs w:val="2"/>
          <w:highlight w:val="none"/>
        </w:rPr>
      </w:pPr>
    </w:p>
    <w:bookmarkEnd w:id="370"/>
    <w:bookmarkEnd w:id="372"/>
    <w:bookmarkEnd w:id="373"/>
    <w:bookmarkEnd w:id="374"/>
    <w:p w14:paraId="670FD17D">
      <w:pPr>
        <w:shd w:val="clea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5、废 标</w:t>
      </w:r>
    </w:p>
    <w:p w14:paraId="3275B0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5.1本次政府采购活动中，出现下列情形之一的，予以废标：</w:t>
      </w:r>
    </w:p>
    <w:p w14:paraId="1538DDC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各标包</w:t>
      </w:r>
      <w:r>
        <w:rPr>
          <w:rFonts w:hint="eastAsia" w:ascii="宋体" w:hAnsi="宋体" w:eastAsia="宋体" w:cs="宋体"/>
          <w:color w:val="auto"/>
          <w:sz w:val="24"/>
          <w:highlight w:val="none"/>
        </w:rPr>
        <w:t>符合专业条件的投标人或者对招标文件作实质响应的投标人不足三家的；</w:t>
      </w:r>
    </w:p>
    <w:p w14:paraId="332F133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4FAA6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7BED7D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5507655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废标后，采购代理机构应在中国政府采购网上公告，并公告废标的情形。投标人需要知晓导致废标情形的具体原因和理由的，可以通过书面形式询问招标采购单位。</w:t>
      </w:r>
    </w:p>
    <w:p w14:paraId="509156C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5.2对于评标过程中废标的采购项目，评标委员会应当对招标文件是否存在倾向性和歧视性、是否存在不合理条款进行论证，并出具书面论证意见。</w:t>
      </w:r>
    </w:p>
    <w:p w14:paraId="461F0279">
      <w:pPr>
        <w:pStyle w:val="4"/>
        <w:shd w:val="clear"/>
        <w:spacing w:before="0" w:after="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6、定标</w:t>
      </w:r>
      <w:bookmarkStart w:id="379" w:name="_Toc217446061"/>
    </w:p>
    <w:p w14:paraId="3FD2CE7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定标原则</w:t>
      </w:r>
      <w:bookmarkEnd w:id="379"/>
      <w:r>
        <w:rPr>
          <w:rFonts w:hint="eastAsia" w:ascii="宋体" w:hAnsi="宋体" w:eastAsia="宋体" w:cs="宋体"/>
          <w:color w:val="auto"/>
          <w:sz w:val="24"/>
          <w:highlight w:val="none"/>
        </w:rPr>
        <w:t>：本项目根据评标委员会推荐的中标候选人名单，按顺序确定中标人。</w:t>
      </w:r>
    </w:p>
    <w:p w14:paraId="4CE7B865">
      <w:pPr>
        <w:shd w:val="clear"/>
        <w:spacing w:line="360" w:lineRule="auto"/>
        <w:ind w:firstLine="480" w:firstLineChars="200"/>
        <w:rPr>
          <w:rFonts w:hint="eastAsia" w:ascii="宋体" w:hAnsi="宋体" w:eastAsia="宋体" w:cs="宋体"/>
          <w:color w:val="auto"/>
          <w:sz w:val="24"/>
          <w:highlight w:val="none"/>
        </w:rPr>
      </w:pPr>
      <w:bookmarkStart w:id="380" w:name="_Toc217446062"/>
      <w:r>
        <w:rPr>
          <w:rFonts w:hint="eastAsia" w:ascii="宋体" w:hAnsi="宋体" w:eastAsia="宋体" w:cs="宋体"/>
          <w:color w:val="auto"/>
          <w:sz w:val="24"/>
          <w:highlight w:val="none"/>
        </w:rPr>
        <w:t>6.2. 定标程序</w:t>
      </w:r>
      <w:bookmarkEnd w:id="380"/>
    </w:p>
    <w:p w14:paraId="0F19DE7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6.2.1 评标委员会将评标情况写出书面报告，推荐中标候选人。</w:t>
      </w:r>
    </w:p>
    <w:p w14:paraId="150E4C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6.2.2 采购代理机构在评标结束后2个工作日内将评标报告送采购人。</w:t>
      </w:r>
    </w:p>
    <w:p w14:paraId="3D82DD8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6.2.3 采购人在收到评标报告后5个工作日内，按照评标报告中推荐的中标候选人顺序确定中标人。</w:t>
      </w:r>
      <w:r>
        <w:rPr>
          <w:rFonts w:hint="eastAsia" w:ascii="宋体" w:hAnsi="宋体" w:cs="宋体"/>
          <w:color w:val="auto"/>
          <w:sz w:val="24"/>
          <w:szCs w:val="24"/>
          <w:highlight w:val="none"/>
        </w:rPr>
        <w:t>评标结果按评审后得分由高到低顺序排列；在得分相同时,按投标报价由低到高顺序排列；得分且投标报价相同的并列，投标文件满足招标文件全部实质性要求且按照评审因素的量化指标评审得分最高的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为中标候选</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报价相同且满足招标文件全部实质性要求且按照评审因素的量化指标评审得分也相同的，若存在不发达地区或少数民族地区</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，优先选择该</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，若不存在，则并列,由采购人自主采取公平、择优的方式选择中标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w:t>
      </w:r>
    </w:p>
    <w:p w14:paraId="3A08192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6.2.4 根据采购人确定的中标人，采购代理机构在中国政府采购网上发布中标公告，并自采购人确定中标之日起2个工作日内向中标人发出中标通知书。</w:t>
      </w:r>
    </w:p>
    <w:p w14:paraId="3D7E1E6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6.2.5 招标采购单位不退回投标人投标文件和其他投标资料。</w:t>
      </w:r>
    </w:p>
    <w:p w14:paraId="5587EDF8">
      <w:pPr>
        <w:pStyle w:val="4"/>
        <w:shd w:val="clear"/>
        <w:spacing w:before="0" w:after="0" w:line="360" w:lineRule="auto"/>
        <w:ind w:firstLine="482"/>
        <w:rPr>
          <w:rFonts w:hint="eastAsia" w:ascii="宋体" w:hAnsi="宋体" w:eastAsia="宋体" w:cs="宋体"/>
          <w:color w:val="auto"/>
          <w:sz w:val="24"/>
          <w:szCs w:val="24"/>
          <w:highlight w:val="none"/>
        </w:rPr>
      </w:pPr>
      <w:bookmarkStart w:id="381" w:name="_Toc217446105"/>
      <w:bookmarkStart w:id="382" w:name="_Toc183582297"/>
      <w:bookmarkStart w:id="383" w:name="_Toc183682432"/>
      <w:bookmarkStart w:id="384" w:name="_Toc208849022"/>
      <w:r>
        <w:rPr>
          <w:rFonts w:hint="eastAsia" w:ascii="宋体" w:hAnsi="宋体" w:eastAsia="宋体" w:cs="宋体"/>
          <w:color w:val="auto"/>
          <w:sz w:val="24"/>
          <w:szCs w:val="24"/>
          <w:highlight w:val="none"/>
        </w:rPr>
        <w:t xml:space="preserve">7. </w:t>
      </w:r>
      <w:bookmarkEnd w:id="381"/>
      <w:bookmarkEnd w:id="382"/>
      <w:bookmarkEnd w:id="383"/>
      <w:bookmarkEnd w:id="384"/>
      <w:r>
        <w:rPr>
          <w:rFonts w:hint="eastAsia" w:ascii="宋体" w:hAnsi="宋体" w:eastAsia="宋体" w:cs="宋体"/>
          <w:color w:val="auto"/>
          <w:sz w:val="24"/>
          <w:szCs w:val="24"/>
          <w:highlight w:val="none"/>
        </w:rPr>
        <w:t>评标专家在政府采购活动中承担以下义务：</w:t>
      </w:r>
    </w:p>
    <w:p w14:paraId="7772162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（一）遵守评审工作纪律； </w:t>
      </w:r>
    </w:p>
    <w:p w14:paraId="30DFF08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（二）按照客观、公正、审慎的原则，根据招标文件规定的评审程序、评审方法和评审标准进行独立评审；</w:t>
      </w:r>
    </w:p>
    <w:p w14:paraId="17F2062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（三）不得泄露评审文件、评审情况和在评审过程中获悉的商业秘密；</w:t>
      </w:r>
    </w:p>
    <w:p w14:paraId="26F7FCC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（四）及时向监督部门报告评审过程中采购组织单位向评审专家做倾向性、误导性的解释或者说明，投标人行贿、提供虚假材料或者串通、受到的非法干预情况等违法违规行为；</w:t>
      </w:r>
    </w:p>
    <w:p w14:paraId="4D75B3A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（五）发现招标文件内容违反国家有关强制性规定或者存在歧义、重大缺陷导致评审工作无法进行时，停止评审并向采购组织单位书面说明情况；</w:t>
      </w:r>
    </w:p>
    <w:p w14:paraId="6462BE9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（六）配合答复处理投标人的询问、质疑和投诉等事项；</w:t>
      </w:r>
    </w:p>
    <w:p w14:paraId="145460F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（七）法律、法规和规章规定的其他义务。</w:t>
      </w:r>
    </w:p>
    <w:p w14:paraId="23CF81D9">
      <w:pPr>
        <w:pStyle w:val="4"/>
        <w:shd w:val="clear"/>
        <w:spacing w:before="0" w:after="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8.评标专家在政府采购活动中应当遵守以下工作纪律：</w:t>
      </w:r>
    </w:p>
    <w:p w14:paraId="6A69531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（一）遵行《政府采购法》第十二条和《政府采购法实施条例》第九条及财政部关于回避的规定。</w:t>
      </w:r>
    </w:p>
    <w:p w14:paraId="784E7C8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（二）评标前，应当将通讯工具或者相关电子设备交由招标采购单位统一保管。</w:t>
      </w:r>
    </w:p>
    <w:p w14:paraId="5A34F74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（三）评标过程中，不得与外界联系，因发生不可预见情况，确实需要与外界联系的，应当在监督人员监督之下办理。</w:t>
      </w:r>
    </w:p>
    <w:p w14:paraId="0BE297E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标过程中，不得干预或者影响正常评标工作，不得发表倾向性、引导性意见，不得修改或细化招标文件确定的评标程序、评标方法、评标因素和评标标准，不得接受投标人主动提出的澄清和解释，不得征询采购人代表的意见，不得协商评分，不得违反规定的评标格式评分和撰写评标意见，不得拒绝对自己的评标意见签字确认。</w:t>
      </w:r>
    </w:p>
    <w:p w14:paraId="69EAF61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（五）在评标过程中和评标结束后，不得记录、复制或带走任何评标资料，除因规定的义务外，不得向外界透露评标内容。</w:t>
      </w:r>
    </w:p>
    <w:p w14:paraId="1D80F1C2">
      <w:pPr>
        <w:shd w:val="clea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（六）服从评标现场招标采购单位的现场秩序管理，接受评标现场监督人员的合法监督。</w:t>
      </w:r>
    </w:p>
    <w:p w14:paraId="3211F41D">
      <w:pPr>
        <w:pStyle w:val="464"/>
        <w:shd w:val="clear"/>
        <w:spacing w:line="480" w:lineRule="exact"/>
        <w:ind w:firstLine="480" w:firstLineChars="200"/>
        <w:outlineLvl w:val="0"/>
        <w:rPr>
          <w:rFonts w:hint="eastAsia" w:ascii="宋体" w:hAnsi="宋体" w:eastAsia="宋体" w:cs="宋体"/>
          <w:color w:val="auto"/>
          <w:highlight w:val="none"/>
        </w:rPr>
        <w:sectPr>
          <w:pgSz w:w="11907" w:h="16840"/>
          <w:pgMar w:top="851" w:right="1134" w:bottom="851" w:left="1418" w:header="851" w:footer="992" w:gutter="0"/>
          <w:pgBorders>
            <w:top w:val="none" w:sz="0" w:space="0"/>
            <w:left w:val="none" w:sz="0" w:space="0"/>
            <w:bottom w:val="none" w:sz="0" w:space="0"/>
            <w:right w:val="none" w:sz="0" w:space="0"/>
          </w:pgBorders>
          <w:pgNumType w:fmt="decimal"/>
          <w:cols w:space="720" w:num="1"/>
          <w:docGrid w:linePitch="326" w:charSpace="0"/>
        </w:sectPr>
      </w:pPr>
      <w:bookmarkStart w:id="385" w:name="_Toc26388"/>
      <w:bookmarkStart w:id="386" w:name="_Toc5685"/>
      <w:r>
        <w:rPr>
          <w:rFonts w:hint="eastAsia" w:ascii="宋体" w:hAnsi="宋体" w:eastAsia="宋体" w:cs="宋体"/>
          <w:color w:val="auto"/>
          <w:highlight w:val="none"/>
        </w:rPr>
        <w:t>（七）遵守有关廉洁自律规定，不得私下接触投标人，不得收受投标人及有关业务单位和个人的财物或好处，不得接受采购组织单位的请托。</w:t>
      </w:r>
      <w:bookmarkEnd w:id="362"/>
      <w:bookmarkEnd w:id="363"/>
      <w:bookmarkEnd w:id="364"/>
      <w:bookmarkEnd w:id="365"/>
      <w:bookmarkEnd w:id="385"/>
      <w:bookmarkEnd w:id="386"/>
      <w:bookmarkStart w:id="387" w:name="_Toc426657613"/>
    </w:p>
    <w:p w14:paraId="2C76D133">
      <w:pPr>
        <w:pStyle w:val="464"/>
        <w:shd w:val="clear"/>
        <w:spacing w:line="360" w:lineRule="auto"/>
        <w:ind w:firstLine="723" w:firstLineChars="200"/>
        <w:jc w:val="center"/>
        <w:outlineLvl w:val="0"/>
        <w:rPr>
          <w:rStyle w:val="74"/>
          <w:rFonts w:hint="eastAsia" w:ascii="宋体" w:hAnsi="宋体" w:eastAsia="宋体" w:cs="宋体"/>
          <w:color w:val="auto"/>
          <w:sz w:val="36"/>
          <w:szCs w:val="36"/>
          <w:highlight w:val="none"/>
        </w:rPr>
      </w:pPr>
      <w:bookmarkStart w:id="388" w:name="_Toc23800"/>
      <w:bookmarkStart w:id="389" w:name="_Toc322"/>
      <w:r>
        <w:rPr>
          <w:rStyle w:val="74"/>
          <w:rFonts w:hint="eastAsia" w:ascii="宋体" w:hAnsi="宋体" w:eastAsia="宋体" w:cs="宋体"/>
          <w:color w:val="auto"/>
          <w:sz w:val="36"/>
          <w:szCs w:val="36"/>
          <w:highlight w:val="none"/>
        </w:rPr>
        <w:t>第八章  政府采购合同</w:t>
      </w:r>
      <w:bookmarkEnd w:id="387"/>
      <w:r>
        <w:rPr>
          <w:rStyle w:val="74"/>
          <w:rFonts w:hint="eastAsia" w:ascii="宋体" w:hAnsi="宋体" w:eastAsia="宋体" w:cs="宋体"/>
          <w:color w:val="auto"/>
          <w:sz w:val="36"/>
          <w:szCs w:val="36"/>
          <w:highlight w:val="none"/>
        </w:rPr>
        <w:t>（样例）</w:t>
      </w:r>
      <w:bookmarkEnd w:id="388"/>
      <w:bookmarkEnd w:id="389"/>
    </w:p>
    <w:p w14:paraId="232B68B8">
      <w:pPr>
        <w:pStyle w:val="23"/>
        <w:shd w:val="clear"/>
        <w:spacing w:after="0" w:line="360" w:lineRule="auto"/>
        <w:rPr>
          <w:rFonts w:hint="eastAsia" w:ascii="宋体" w:hAnsi="宋体" w:eastAsia="宋体" w:cs="宋体"/>
          <w:color w:val="auto"/>
          <w:highlight w:val="none"/>
        </w:rPr>
      </w:pPr>
    </w:p>
    <w:p w14:paraId="4D64E55E">
      <w:pPr>
        <w:shd w:val="clear"/>
        <w:spacing w:line="360" w:lineRule="auto"/>
        <w:jc w:val="center"/>
        <w:rPr>
          <w:rFonts w:hint="eastAsia" w:ascii="宋体" w:hAnsi="宋体" w:eastAsia="宋体" w:cs="宋体"/>
          <w:b/>
          <w:bCs/>
          <w:color w:val="auto"/>
          <w:sz w:val="32"/>
          <w:szCs w:val="40"/>
          <w:highlight w:val="none"/>
        </w:rPr>
      </w:pPr>
      <w:bookmarkStart w:id="390" w:name="_Toc29624"/>
      <w:bookmarkStart w:id="391" w:name="_Toc31330"/>
      <w:r>
        <w:rPr>
          <w:rFonts w:hint="eastAsia" w:ascii="宋体" w:hAnsi="宋体" w:eastAsia="宋体" w:cs="宋体"/>
          <w:b/>
          <w:bCs/>
          <w:color w:val="auto"/>
          <w:sz w:val="32"/>
          <w:szCs w:val="40"/>
          <w:highlight w:val="none"/>
        </w:rPr>
        <w:t>（通用模板，部分条款以签订为准）</w:t>
      </w:r>
    </w:p>
    <w:p w14:paraId="1864AB2A">
      <w:pPr>
        <w:shd w:val="clea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                合同编号：xxxx-xx（必填）</w:t>
      </w:r>
    </w:p>
    <w:p w14:paraId="072A86C1">
      <w:pPr>
        <w:shd w:val="clea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                签约地点：（必填）</w:t>
      </w:r>
    </w:p>
    <w:p w14:paraId="598CDF5B">
      <w:pPr>
        <w:shd w:val="clea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及xxxxx项目《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27C735A">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1. 合同项目</w:t>
      </w:r>
    </w:p>
    <w:tbl>
      <w:tblPr>
        <w:tblStyle w:val="5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200"/>
        <w:gridCol w:w="1105"/>
        <w:gridCol w:w="792"/>
        <w:gridCol w:w="712"/>
        <w:gridCol w:w="697"/>
        <w:gridCol w:w="717"/>
        <w:gridCol w:w="868"/>
        <w:gridCol w:w="1494"/>
        <w:gridCol w:w="1488"/>
      </w:tblGrid>
      <w:tr w14:paraId="326F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58" w:type="pct"/>
            <w:noWrap w:val="0"/>
            <w:vAlign w:val="center"/>
          </w:tcPr>
          <w:p w14:paraId="313653C4">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29" w:type="pct"/>
            <w:noWrap w:val="0"/>
            <w:vAlign w:val="center"/>
          </w:tcPr>
          <w:p w14:paraId="37A2042F">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品名</w:t>
            </w:r>
          </w:p>
        </w:tc>
        <w:tc>
          <w:tcPr>
            <w:tcW w:w="579" w:type="pct"/>
            <w:noWrap w:val="0"/>
            <w:vAlign w:val="center"/>
          </w:tcPr>
          <w:p w14:paraId="2FE9C429">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416" w:type="pct"/>
            <w:noWrap w:val="0"/>
            <w:vAlign w:val="center"/>
          </w:tcPr>
          <w:p w14:paraId="4F2685D8">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p w14:paraId="7DC1E778">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厂家</w:t>
            </w:r>
          </w:p>
        </w:tc>
        <w:tc>
          <w:tcPr>
            <w:tcW w:w="374" w:type="pct"/>
            <w:noWrap w:val="0"/>
            <w:vAlign w:val="center"/>
          </w:tcPr>
          <w:p w14:paraId="31F67230">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计量</w:t>
            </w:r>
          </w:p>
          <w:p w14:paraId="71069C0D">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347" w:type="pct"/>
            <w:noWrap w:val="0"/>
            <w:vAlign w:val="center"/>
          </w:tcPr>
          <w:p w14:paraId="5894F66D">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p w14:paraId="1E1F5F18">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376" w:type="pct"/>
            <w:noWrap w:val="0"/>
            <w:vAlign w:val="center"/>
          </w:tcPr>
          <w:p w14:paraId="698E8D42">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55" w:type="pct"/>
            <w:noWrap w:val="0"/>
            <w:vAlign w:val="center"/>
          </w:tcPr>
          <w:p w14:paraId="2E773EB5">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782" w:type="pct"/>
            <w:noWrap w:val="0"/>
            <w:vAlign w:val="center"/>
          </w:tcPr>
          <w:p w14:paraId="75AA1CBE">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w:t>
            </w:r>
          </w:p>
          <w:p w14:paraId="79EFEA57">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779" w:type="pct"/>
            <w:noWrap w:val="0"/>
            <w:vAlign w:val="center"/>
          </w:tcPr>
          <w:p w14:paraId="271CD66B">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w:t>
            </w:r>
          </w:p>
          <w:p w14:paraId="1DB050D9">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r>
      <w:tr w14:paraId="642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58" w:type="pct"/>
            <w:noWrap w:val="0"/>
            <w:vAlign w:val="top"/>
          </w:tcPr>
          <w:p w14:paraId="63901463">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29" w:type="pct"/>
            <w:noWrap w:val="0"/>
            <w:vAlign w:val="top"/>
          </w:tcPr>
          <w:p w14:paraId="427878C7">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579" w:type="pct"/>
            <w:noWrap w:val="0"/>
            <w:vAlign w:val="top"/>
          </w:tcPr>
          <w:p w14:paraId="7E0A8222">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16" w:type="pct"/>
            <w:noWrap w:val="0"/>
            <w:vAlign w:val="top"/>
          </w:tcPr>
          <w:p w14:paraId="76FC420A">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4" w:type="pct"/>
            <w:noWrap w:val="0"/>
            <w:vAlign w:val="top"/>
          </w:tcPr>
          <w:p w14:paraId="28F019C7">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47" w:type="pct"/>
            <w:noWrap w:val="0"/>
            <w:vAlign w:val="top"/>
          </w:tcPr>
          <w:p w14:paraId="4645B131">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6" w:type="pct"/>
            <w:noWrap w:val="0"/>
            <w:vAlign w:val="top"/>
          </w:tcPr>
          <w:p w14:paraId="01448B56">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55" w:type="pct"/>
            <w:noWrap w:val="0"/>
            <w:vAlign w:val="top"/>
          </w:tcPr>
          <w:p w14:paraId="4FAAA0F4">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82" w:type="pct"/>
            <w:vMerge w:val="restart"/>
            <w:noWrap w:val="0"/>
            <w:vAlign w:val="center"/>
          </w:tcPr>
          <w:p w14:paraId="3608FAAF">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见附件：需求明细表</w:t>
            </w:r>
          </w:p>
        </w:tc>
        <w:tc>
          <w:tcPr>
            <w:tcW w:w="779" w:type="pct"/>
            <w:noWrap w:val="0"/>
            <w:vAlign w:val="top"/>
          </w:tcPr>
          <w:p w14:paraId="3AD2D0D8">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r>
      <w:tr w14:paraId="2DD9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8" w:type="pct"/>
            <w:noWrap w:val="0"/>
            <w:vAlign w:val="top"/>
          </w:tcPr>
          <w:p w14:paraId="168D30DA">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29" w:type="pct"/>
            <w:noWrap w:val="0"/>
            <w:vAlign w:val="top"/>
          </w:tcPr>
          <w:p w14:paraId="5C2432B5">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579" w:type="pct"/>
            <w:noWrap w:val="0"/>
            <w:vAlign w:val="top"/>
          </w:tcPr>
          <w:p w14:paraId="08225DBB">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16" w:type="pct"/>
            <w:noWrap w:val="0"/>
            <w:vAlign w:val="top"/>
          </w:tcPr>
          <w:p w14:paraId="7717E46E">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4" w:type="pct"/>
            <w:noWrap w:val="0"/>
            <w:vAlign w:val="top"/>
          </w:tcPr>
          <w:p w14:paraId="2AF101E8">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47" w:type="pct"/>
            <w:noWrap w:val="0"/>
            <w:vAlign w:val="top"/>
          </w:tcPr>
          <w:p w14:paraId="623F7233">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6" w:type="pct"/>
            <w:noWrap w:val="0"/>
            <w:vAlign w:val="top"/>
          </w:tcPr>
          <w:p w14:paraId="1B990EEA">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55" w:type="pct"/>
            <w:noWrap w:val="0"/>
            <w:vAlign w:val="top"/>
          </w:tcPr>
          <w:p w14:paraId="61926421">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82" w:type="pct"/>
            <w:vMerge w:val="continue"/>
            <w:noWrap w:val="0"/>
            <w:vAlign w:val="top"/>
          </w:tcPr>
          <w:p w14:paraId="329AD575">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79" w:type="pct"/>
            <w:noWrap w:val="0"/>
            <w:vAlign w:val="top"/>
          </w:tcPr>
          <w:p w14:paraId="62796B96">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r>
      <w:tr w14:paraId="6950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58" w:type="pct"/>
            <w:noWrap w:val="0"/>
            <w:vAlign w:val="top"/>
          </w:tcPr>
          <w:p w14:paraId="3490C8A0">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29" w:type="pct"/>
            <w:noWrap w:val="0"/>
            <w:vAlign w:val="top"/>
          </w:tcPr>
          <w:p w14:paraId="75F7A94C">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579" w:type="pct"/>
            <w:noWrap w:val="0"/>
            <w:vAlign w:val="top"/>
          </w:tcPr>
          <w:p w14:paraId="6BA08455">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16" w:type="pct"/>
            <w:noWrap w:val="0"/>
            <w:vAlign w:val="top"/>
          </w:tcPr>
          <w:p w14:paraId="70A52AC7">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4" w:type="pct"/>
            <w:noWrap w:val="0"/>
            <w:vAlign w:val="top"/>
          </w:tcPr>
          <w:p w14:paraId="0BC10883">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47" w:type="pct"/>
            <w:noWrap w:val="0"/>
            <w:vAlign w:val="top"/>
          </w:tcPr>
          <w:p w14:paraId="2D2262EE">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6" w:type="pct"/>
            <w:noWrap w:val="0"/>
            <w:vAlign w:val="top"/>
          </w:tcPr>
          <w:p w14:paraId="328E7499">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55" w:type="pct"/>
            <w:noWrap w:val="0"/>
            <w:vAlign w:val="top"/>
          </w:tcPr>
          <w:p w14:paraId="47675716">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82" w:type="pct"/>
            <w:vMerge w:val="continue"/>
            <w:noWrap w:val="0"/>
            <w:vAlign w:val="top"/>
          </w:tcPr>
          <w:p w14:paraId="0C0243B2">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79" w:type="pct"/>
            <w:noWrap w:val="0"/>
            <w:vAlign w:val="top"/>
          </w:tcPr>
          <w:p w14:paraId="5CA80DCB">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r>
      <w:tr w14:paraId="1526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58" w:type="pct"/>
            <w:noWrap w:val="0"/>
            <w:vAlign w:val="top"/>
          </w:tcPr>
          <w:p w14:paraId="422A051C">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29" w:type="pct"/>
            <w:noWrap w:val="0"/>
            <w:vAlign w:val="top"/>
          </w:tcPr>
          <w:p w14:paraId="3DCC8A1A">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579" w:type="pct"/>
            <w:noWrap w:val="0"/>
            <w:vAlign w:val="top"/>
          </w:tcPr>
          <w:p w14:paraId="1FA5C83D">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16" w:type="pct"/>
            <w:noWrap w:val="0"/>
            <w:vAlign w:val="top"/>
          </w:tcPr>
          <w:p w14:paraId="0D8C5075">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4" w:type="pct"/>
            <w:noWrap w:val="0"/>
            <w:vAlign w:val="top"/>
          </w:tcPr>
          <w:p w14:paraId="37ACB17E">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47" w:type="pct"/>
            <w:noWrap w:val="0"/>
            <w:vAlign w:val="top"/>
          </w:tcPr>
          <w:p w14:paraId="2C15992D">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6" w:type="pct"/>
            <w:noWrap w:val="0"/>
            <w:vAlign w:val="top"/>
          </w:tcPr>
          <w:p w14:paraId="0B46A160">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55" w:type="pct"/>
            <w:noWrap w:val="0"/>
            <w:vAlign w:val="top"/>
          </w:tcPr>
          <w:p w14:paraId="083CA08B">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82" w:type="pct"/>
            <w:vMerge w:val="continue"/>
            <w:noWrap w:val="0"/>
            <w:vAlign w:val="top"/>
          </w:tcPr>
          <w:p w14:paraId="45B6A681">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79" w:type="pct"/>
            <w:noWrap w:val="0"/>
            <w:vAlign w:val="top"/>
          </w:tcPr>
          <w:p w14:paraId="37B4E947">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r>
      <w:tr w14:paraId="55B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58" w:type="pct"/>
            <w:noWrap w:val="0"/>
            <w:vAlign w:val="top"/>
          </w:tcPr>
          <w:p w14:paraId="2B5773A5">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29" w:type="pct"/>
            <w:noWrap w:val="0"/>
            <w:vAlign w:val="top"/>
          </w:tcPr>
          <w:p w14:paraId="11CDAEBB">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579" w:type="pct"/>
            <w:noWrap w:val="0"/>
            <w:vAlign w:val="top"/>
          </w:tcPr>
          <w:p w14:paraId="0C368583">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16" w:type="pct"/>
            <w:noWrap w:val="0"/>
            <w:vAlign w:val="top"/>
          </w:tcPr>
          <w:p w14:paraId="72A053DF">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4" w:type="pct"/>
            <w:noWrap w:val="0"/>
            <w:vAlign w:val="top"/>
          </w:tcPr>
          <w:p w14:paraId="78EE1D8C">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47" w:type="pct"/>
            <w:noWrap w:val="0"/>
            <w:vAlign w:val="top"/>
          </w:tcPr>
          <w:p w14:paraId="323A90F9">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376" w:type="pct"/>
            <w:noWrap w:val="0"/>
            <w:vAlign w:val="top"/>
          </w:tcPr>
          <w:p w14:paraId="439BED5D">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455" w:type="pct"/>
            <w:noWrap w:val="0"/>
            <w:vAlign w:val="top"/>
          </w:tcPr>
          <w:p w14:paraId="44A97946">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82" w:type="pct"/>
            <w:vMerge w:val="continue"/>
            <w:noWrap w:val="0"/>
            <w:vAlign w:val="top"/>
          </w:tcPr>
          <w:p w14:paraId="029DFD36">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c>
          <w:tcPr>
            <w:tcW w:w="779" w:type="pct"/>
            <w:noWrap w:val="0"/>
            <w:vAlign w:val="top"/>
          </w:tcPr>
          <w:p w14:paraId="65BA05DB">
            <w:pPr>
              <w:shd w:val="clear"/>
              <w:adjustRightInd w:val="0"/>
              <w:snapToGrid w:val="0"/>
              <w:spacing w:before="48" w:beforeLines="20" w:after="48" w:afterLines="20" w:line="360" w:lineRule="auto"/>
              <w:jc w:val="center"/>
              <w:rPr>
                <w:rFonts w:hint="eastAsia" w:ascii="宋体" w:hAnsi="宋体" w:eastAsia="宋体" w:cs="宋体"/>
                <w:color w:val="auto"/>
                <w:sz w:val="24"/>
                <w:highlight w:val="none"/>
              </w:rPr>
            </w:pPr>
          </w:p>
        </w:tc>
      </w:tr>
    </w:tbl>
    <w:p w14:paraId="11ED2533">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2. 货物价</w:t>
      </w:r>
    </w:p>
    <w:p w14:paraId="33FE6555">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元，大写：</w:t>
      </w:r>
      <w:r>
        <w:rPr>
          <w:rFonts w:hint="eastAsia" w:ascii="宋体" w:hAnsi="宋体" w:eastAsia="宋体" w:cs="宋体"/>
          <w:color w:val="auto"/>
          <w:sz w:val="24"/>
          <w:highlight w:val="none"/>
          <w:u w:val="single"/>
        </w:rPr>
        <w:t xml:space="preserve">人民币                 </w:t>
      </w:r>
      <w:r>
        <w:rPr>
          <w:rFonts w:hint="eastAsia" w:ascii="宋体" w:hAnsi="宋体" w:eastAsia="宋体" w:cs="宋体"/>
          <w:color w:val="auto"/>
          <w:sz w:val="24"/>
          <w:highlight w:val="none"/>
        </w:rPr>
        <w:t xml:space="preserve"> 。 该合同价格是货物本身的费用、加工费、包装费、运输费、运输过程保险费、保险、代理、安装调试、培训、税费、保修费、备品备件费和完成本合同的一切费用。</w:t>
      </w:r>
    </w:p>
    <w:p w14:paraId="029CC82F">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3. 合同组成</w:t>
      </w:r>
    </w:p>
    <w:p w14:paraId="285BE4F3">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详细价格、技术说明、施工方案及其它有关合同设备的特定信息由合同附件说明。所有附件及本项目的招投标文件、会议纪要、协议等均为本合同不可分割之一部分。</w:t>
      </w:r>
    </w:p>
    <w:p w14:paraId="4A77A65E">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4.技术要求</w:t>
      </w:r>
    </w:p>
    <w:p w14:paraId="18D6EA35">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乙方所提供货物，必须符合国家有关规范和环保要求及甲方的技术要求，并提供货物的厂家测试报告。进口货物必须有中文使用说明书。所有货物、工程及服务不得侵犯第三方版权、专利、税费等。</w:t>
      </w:r>
    </w:p>
    <w:p w14:paraId="58674CC0">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5.合同货物包装、交货、安装、调试及验收</w:t>
      </w:r>
    </w:p>
    <w:p w14:paraId="1E54290D">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5.1.合同货物的包装</w:t>
      </w:r>
    </w:p>
    <w:p w14:paraId="449F73C5">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货物的包装均应有良好的防湿、防锈、防潮、防雨、防腐及防磁撞的措施。凡由于包装不良造成的损失和由此产生的费用均由乙方承担。</w:t>
      </w:r>
    </w:p>
    <w:p w14:paraId="02657F91">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5.2.交货期和地点：</w:t>
      </w:r>
    </w:p>
    <w:p w14:paraId="01A57A90">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5.2.1.交货（完工）期限：合同签订之日起xx天，包含货物安装、调试等所需时间。</w:t>
      </w:r>
    </w:p>
    <w:p w14:paraId="37A65C99">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5.2.2.交货地点：甲方指定四川省省内地点。</w:t>
      </w:r>
    </w:p>
    <w:p w14:paraId="5CC73852">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5.3.合同货物的安装调试</w:t>
      </w:r>
    </w:p>
    <w:p w14:paraId="36A28B18">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5.3.1.乙方负责合同项下的安装调试，一切费用由乙方负责。</w:t>
      </w:r>
    </w:p>
    <w:p w14:paraId="7A902DE8">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5.3.2.乙方安装时须对各安装场地内的其他设备、设施有良好保护措施。</w:t>
      </w:r>
    </w:p>
    <w:p w14:paraId="227E4A88">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5.4.验收。</w:t>
      </w:r>
    </w:p>
    <w:p w14:paraId="28EE3586">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5.4.1.按照本项目招标文件、乙方投标文件、《财政部关于进一步加强政府采购需求和履约验收管理的指导意见》（财库〔2016〕205号）以及国家相关规定进行验收。</w:t>
      </w:r>
    </w:p>
    <w:p w14:paraId="0DD251A3">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5.4.2.双方如对质量要求和技术指标的约定标准有相互抵触或异议的事项，由采购人在招标与投标文件中按质量要求和技术指标较优的原则确定该项的约定标准进行验收。</w:t>
      </w:r>
    </w:p>
    <w:p w14:paraId="2B5EB91C">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5.4.3.货物由总队集中验收，验收合格后出具验收报告，并交付使用单位试用，试用期一个月，届满后由使用单位出具复验报告，完成交付。</w:t>
      </w:r>
    </w:p>
    <w:p w14:paraId="1F6DE5E1">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5.4.4.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14:paraId="408C6A91">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5.4.5.如果合同货物运输和安装调试过程中因事故造成货物短缺、损坏，乙方应及时安排换装，以保证合同货物安装调试的成功完成。换货的相关费用由乙方承担。</w:t>
      </w:r>
    </w:p>
    <w:p w14:paraId="1F8C4EA7">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5.5.乙方保证合同项下提供的货物不侵犯任何第三方的专利、商标或版权。否则，乙方须承担对第三方的专利或版权的侵权责任并承后因此而发生的所有费用。</w:t>
      </w:r>
    </w:p>
    <w:p w14:paraId="15C7A602">
      <w:pPr>
        <w:shd w:val="clear"/>
        <w:adjustRightInd w:val="0"/>
        <w:snapToGrid w:val="0"/>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6. 质量保证及售后服务</w:t>
      </w:r>
    </w:p>
    <w:p w14:paraId="3D22D902">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6.1.乙方保证合同货物是通过合法渠道进货的、全新的、未曾使用过的，其质量、规格及技术特征符合合同附件的要求。</w:t>
      </w:r>
    </w:p>
    <w:p w14:paraId="00D48C87">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6.2.以书面形式提供货物原厂家承诺的质量保证。</w:t>
      </w:r>
    </w:p>
    <w:p w14:paraId="665C5B75">
      <w:pPr>
        <w:shd w:val="clea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保修期按生产厂家的标准或投标单位的承诺期限执行，</w:t>
      </w:r>
      <w:r>
        <w:rPr>
          <w:rFonts w:hint="eastAsia" w:ascii="宋体" w:hAnsi="宋体" w:eastAsia="宋体" w:cs="宋体"/>
          <w:color w:val="0000FF"/>
          <w:sz w:val="24"/>
          <w:highlight w:val="none"/>
        </w:rPr>
        <w:t>但不得少于</w:t>
      </w:r>
      <w:r>
        <w:rPr>
          <w:rFonts w:hint="eastAsia" w:ascii="宋体" w:hAnsi="宋体" w:cs="宋体"/>
          <w:color w:val="0000FF"/>
          <w:sz w:val="24"/>
          <w:highlight w:val="none"/>
          <w:lang w:val="en-US" w:eastAsia="zh-CN"/>
        </w:rPr>
        <w:t xml:space="preserve">  </w:t>
      </w:r>
      <w:r>
        <w:rPr>
          <w:rFonts w:hint="eastAsia" w:ascii="宋体" w:hAnsi="宋体" w:eastAsia="宋体" w:cs="宋体"/>
          <w:color w:val="0000FF"/>
          <w:sz w:val="24"/>
          <w:highlight w:val="none"/>
        </w:rPr>
        <w:t>年</w:t>
      </w:r>
      <w:r>
        <w:rPr>
          <w:rFonts w:hint="eastAsia" w:ascii="宋体" w:hAnsi="宋体" w:eastAsia="宋体" w:cs="宋体"/>
          <w:color w:val="auto"/>
          <w:sz w:val="24"/>
          <w:highlight w:val="none"/>
        </w:rPr>
        <w:t>（用户单位验收之日起计算），本项目质保期为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1F5F3124">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保修期内非甲方的人为原因而出现产品质量及安装问题，由乙方负责包修、包换或包退，并承担因此产生的一切费用。乙方应在收到甲方通知后即派员到现场维修。</w:t>
      </w:r>
    </w:p>
    <w:p w14:paraId="54FF4B46">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下列情况乙方不负责免费保修：</w:t>
      </w:r>
    </w:p>
    <w:p w14:paraId="2132B8CE">
      <w:pPr>
        <w:numPr>
          <w:ilvl w:val="0"/>
          <w:numId w:val="16"/>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甲方不按照乙方提供的正确使用方法而引致货物故障损失；</w:t>
      </w:r>
    </w:p>
    <w:p w14:paraId="2D6BD2B6">
      <w:pPr>
        <w:numPr>
          <w:ilvl w:val="0"/>
          <w:numId w:val="16"/>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擅自改装货物；</w:t>
      </w:r>
    </w:p>
    <w:p w14:paraId="58FF6995">
      <w:pPr>
        <w:numPr>
          <w:ilvl w:val="0"/>
          <w:numId w:val="16"/>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各种人为因素或非抗力因素造成的损坏。</w:t>
      </w:r>
    </w:p>
    <w:p w14:paraId="264DEA6C">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6.3.系统交付使用后以书面形式承诺维修服务，实行终身维护：</w:t>
      </w:r>
    </w:p>
    <w:p w14:paraId="416B736A">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在保修期内，</w:t>
      </w:r>
      <w:r>
        <w:rPr>
          <w:rFonts w:hint="eastAsia" w:ascii="宋体" w:hAnsi="宋体" w:eastAsia="宋体" w:cs="宋体"/>
          <w:color w:val="auto"/>
          <w:sz w:val="24"/>
          <w:highlight w:val="none"/>
          <w:u w:val="single"/>
        </w:rPr>
        <w:t>一般</w:t>
      </w:r>
      <w:r>
        <w:rPr>
          <w:rFonts w:hint="eastAsia" w:ascii="宋体" w:hAnsi="宋体" w:eastAsia="宋体" w:cs="宋体"/>
          <w:color w:val="auto"/>
          <w:sz w:val="24"/>
          <w:highlight w:val="none"/>
        </w:rPr>
        <w:t>故障响应时间不超过</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小时，到达现场时间不超过</w:t>
      </w:r>
      <w:r>
        <w:rPr>
          <w:rFonts w:hint="eastAsia" w:ascii="宋体" w:hAnsi="宋体" w:eastAsia="宋体" w:cs="宋体"/>
          <w:color w:val="auto"/>
          <w:sz w:val="24"/>
          <w:highlight w:val="none"/>
          <w:u w:val="single"/>
        </w:rPr>
        <w:t>48</w:t>
      </w:r>
      <w:r>
        <w:rPr>
          <w:rFonts w:hint="eastAsia" w:ascii="宋体" w:hAnsi="宋体" w:eastAsia="宋体" w:cs="宋体"/>
          <w:color w:val="auto"/>
          <w:sz w:val="24"/>
          <w:highlight w:val="none"/>
        </w:rPr>
        <w:t>小时。</w:t>
      </w:r>
      <w:r>
        <w:rPr>
          <w:rFonts w:hint="eastAsia" w:ascii="宋体" w:hAnsi="宋体" w:eastAsia="宋体" w:cs="宋体"/>
          <w:color w:val="auto"/>
          <w:sz w:val="24"/>
          <w:highlight w:val="none"/>
          <w:u w:val="single"/>
        </w:rPr>
        <w:t>紧急</w:t>
      </w:r>
      <w:r>
        <w:rPr>
          <w:rFonts w:hint="eastAsia" w:ascii="宋体" w:hAnsi="宋体" w:eastAsia="宋体" w:cs="宋体"/>
          <w:color w:val="auto"/>
          <w:sz w:val="24"/>
          <w:highlight w:val="none"/>
        </w:rPr>
        <w:t>故障响应时间不超过</w:t>
      </w:r>
      <w:r>
        <w:rPr>
          <w:rFonts w:hint="eastAsia" w:ascii="宋体" w:hAnsi="宋体" w:eastAsia="宋体" w:cs="宋体"/>
          <w:color w:val="auto"/>
          <w:sz w:val="24"/>
          <w:highlight w:val="none"/>
          <w:u w:val="single"/>
        </w:rPr>
        <w:t>1</w:t>
      </w:r>
      <w:r>
        <w:rPr>
          <w:rFonts w:hint="eastAsia" w:ascii="宋体" w:hAnsi="宋体" w:eastAsia="宋体" w:cs="宋体"/>
          <w:color w:val="auto"/>
          <w:sz w:val="24"/>
          <w:highlight w:val="none"/>
        </w:rPr>
        <w:t>小时，到达现场时间不超过</w:t>
      </w:r>
      <w:r>
        <w:rPr>
          <w:rFonts w:hint="eastAsia" w:ascii="宋体" w:hAnsi="宋体" w:eastAsia="宋体" w:cs="宋体"/>
          <w:color w:val="auto"/>
          <w:sz w:val="24"/>
          <w:highlight w:val="none"/>
          <w:u w:val="single"/>
        </w:rPr>
        <w:t>24</w:t>
      </w:r>
      <w:r>
        <w:rPr>
          <w:rFonts w:hint="eastAsia" w:ascii="宋体" w:hAnsi="宋体" w:eastAsia="宋体" w:cs="宋体"/>
          <w:color w:val="auto"/>
          <w:sz w:val="24"/>
          <w:highlight w:val="none"/>
        </w:rPr>
        <w:t>小时。</w:t>
      </w:r>
    </w:p>
    <w:p w14:paraId="2C8EF954">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6.3.1.保修期内，乙方负责地其提供的系统及全部货物进行维修和软件维护、升级，不再向甲方收取费用，但人为因素、自然因素（如火灾、雷击等）造成的故障除外。</w:t>
      </w:r>
    </w:p>
    <w:p w14:paraId="79438075">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6.3.2.如果货物故障在检修8工作小时后仍无法排除，乙方应在12小时内提供不低于故障设备规格型号档次、价格相当的备用货物供使用，直至故障货物修复。</w:t>
      </w:r>
    </w:p>
    <w:p w14:paraId="641405B8">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所有设备和软件保修服务方式均为乙方上门保修，即由乙方派员到甲方设备使用现场维修，由此产生的一切费用均由乙方承担。乙方应负责设备运行的稳定性。负责免费更换硬件故障部件。若乙方承担的软硬件系统在功能上和性能上达不到设计要求的，甲方有权要求乙方进行及时、完善的修改。</w:t>
      </w:r>
    </w:p>
    <w:p w14:paraId="70E680A6">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6.3.4.乙方应于验收后向使用方提供项目各项技术文件的归纳、整理、提交，并提供完整的软、硬件技术资料。</w:t>
      </w:r>
    </w:p>
    <w:p w14:paraId="097AA8E6">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6.3.5.技术文件：包括验收报告、技术文档、完整的软、硬件技术资料（含纸介质和光电介质）。</w:t>
      </w:r>
    </w:p>
    <w:p w14:paraId="6EB0CD74">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6.4.建立质量跟踪档案，对甲方进行每月一次的定期回访（电话或现场），以保证设备的正常高效运行；</w:t>
      </w:r>
    </w:p>
    <w:p w14:paraId="5117DDE8">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6.5.因货物的质量问题而发生争议，由有关质检部门进行质量鉴定。货物符合本合同质量标准的，鉴定费用由甲方承担；货物不符合本合同质量标准的，鉴定费用由乙方承担。</w:t>
      </w:r>
    </w:p>
    <w:p w14:paraId="4FFB0346">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乙方为甲方提供操作及维护培训，主要内容为设备的基本结构、性能、主要部件的构造及原理，日常使用操作、保养与管理，常见故障的排除，紧急情况的处理等，并保证培训质量和效果，培训地点主要在设备安装现场或按甲乙双方协商安排。</w:t>
      </w:r>
    </w:p>
    <w:p w14:paraId="34FFD7E3">
      <w:pPr>
        <w:shd w:val="clear"/>
        <w:adjustRightInd w:val="0"/>
        <w:snapToGrid w:val="0"/>
        <w:spacing w:line="360" w:lineRule="auto"/>
        <w:ind w:left="482" w:hanging="482" w:hanging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6.7.易耗部位备件备品。</w:t>
      </w:r>
    </w:p>
    <w:p w14:paraId="24743E02">
      <w:pPr>
        <w:shd w:val="clear"/>
        <w:adjustRightInd w:val="0"/>
        <w:snapToGrid w:val="0"/>
        <w:spacing w:line="360" w:lineRule="auto"/>
        <w:ind w:left="479" w:leftChars="228"/>
        <w:rPr>
          <w:rFonts w:hint="eastAsia" w:ascii="宋体" w:hAnsi="宋体" w:eastAsia="宋体" w:cs="宋体"/>
          <w:b/>
          <w:color w:val="auto"/>
          <w:sz w:val="24"/>
          <w:highlight w:val="none"/>
        </w:rPr>
      </w:pPr>
      <w:r>
        <w:rPr>
          <w:rFonts w:hint="eastAsia" w:ascii="宋体" w:hAnsi="宋体" w:eastAsia="宋体" w:cs="宋体"/>
          <w:color w:val="auto"/>
          <w:sz w:val="24"/>
          <w:highlight w:val="none"/>
        </w:rPr>
        <w:t>根据招标文件、投标文件要求对关键部位的易损易耗部件进行备份。</w:t>
      </w:r>
    </w:p>
    <w:p w14:paraId="1B9CCFE6">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7.支付条款</w:t>
      </w:r>
    </w:p>
    <w:p w14:paraId="0198DA9B">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7.1支付方式。</w:t>
      </w:r>
      <w:r>
        <w:rPr>
          <w:rFonts w:hint="eastAsia" w:ascii="宋体" w:hAnsi="宋体" w:eastAsia="宋体" w:cs="宋体"/>
          <w:color w:val="auto"/>
          <w:sz w:val="24"/>
          <w:highlight w:val="none"/>
        </w:rPr>
        <w:t>本合同的每笔款项以人民币进行结算，通过转帐支票或汇款方式支付。合同货物到甲方指定地点安装调试交付并完成最终验收后，凭以下资料：</w:t>
      </w:r>
    </w:p>
    <w:p w14:paraId="5DFF4C60">
      <w:pPr>
        <w:numPr>
          <w:ilvl w:val="0"/>
          <w:numId w:val="17"/>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4D11C74">
      <w:pPr>
        <w:numPr>
          <w:ilvl w:val="0"/>
          <w:numId w:val="17"/>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乙方开具的正式发票（含发票真伪查询记录）；</w:t>
      </w:r>
    </w:p>
    <w:p w14:paraId="0FD34043">
      <w:pPr>
        <w:numPr>
          <w:ilvl w:val="0"/>
          <w:numId w:val="17"/>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验收调试报告书（加盖公章）</w:t>
      </w:r>
    </w:p>
    <w:p w14:paraId="066DC712">
      <w:pPr>
        <w:shd w:val="clea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7.2支付时间及金额。</w:t>
      </w:r>
    </w:p>
    <w:p w14:paraId="5537DF83">
      <w:pPr>
        <w:pStyle w:val="506"/>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1、甲方在本合同签订之日起15个工作日内支付合同金额百分之</w:t>
      </w:r>
      <w:r>
        <w:rPr>
          <w:rFonts w:hint="eastAsia" w:ascii="宋体" w:hAnsi="宋体" w:eastAsia="宋体" w:cs="宋体"/>
          <w:color w:val="auto"/>
          <w:highlight w:val="none"/>
          <w:u w:val="single"/>
        </w:rPr>
        <w:t xml:space="preserve"> 三十 </w:t>
      </w:r>
      <w:r>
        <w:rPr>
          <w:rFonts w:hint="eastAsia" w:ascii="宋体" w:hAnsi="宋体" w:eastAsia="宋体" w:cs="宋体"/>
          <w:color w:val="auto"/>
          <w:highlight w:val="none"/>
        </w:rPr>
        <w:t>的价款作为预付款；</w:t>
      </w:r>
    </w:p>
    <w:p w14:paraId="4500658C">
      <w:pPr>
        <w:pStyle w:val="506"/>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2、货物经使用单位复验合格，乙方提出付款申请之日起15个工作日内支付合同总金额的百分之</w:t>
      </w:r>
      <w:r>
        <w:rPr>
          <w:rFonts w:hint="eastAsia" w:ascii="宋体" w:hAnsi="宋体" w:eastAsia="宋体" w:cs="宋体"/>
          <w:color w:val="auto"/>
          <w:highlight w:val="none"/>
          <w:u w:val="single"/>
        </w:rPr>
        <w:t>七十</w:t>
      </w:r>
      <w:r>
        <w:rPr>
          <w:rFonts w:hint="eastAsia" w:ascii="宋体" w:hAnsi="宋体" w:eastAsia="宋体" w:cs="宋体"/>
          <w:color w:val="auto"/>
          <w:highlight w:val="none"/>
        </w:rPr>
        <w:t>款项：￥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元整</w:t>
      </w:r>
      <w:r>
        <w:rPr>
          <w:rFonts w:hint="eastAsia" w:ascii="宋体" w:hAnsi="宋体" w:eastAsia="宋体" w:cs="宋体"/>
          <w:b/>
          <w:bCs/>
          <w:color w:val="auto"/>
          <w:highlight w:val="none"/>
        </w:rPr>
        <w:t>。</w:t>
      </w:r>
    </w:p>
    <w:p w14:paraId="3AEC9DDF">
      <w:pPr>
        <w:pStyle w:val="506"/>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3.甲方逾期支付的，将承担应支付金额万分之一每天的违约金。</w:t>
      </w:r>
    </w:p>
    <w:p w14:paraId="1B7F2980">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8.技术服务</w:t>
      </w:r>
    </w:p>
    <w:p w14:paraId="501BAD2C">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8.1.乙方应派员到甲方指定地点配合工作。</w:t>
      </w:r>
    </w:p>
    <w:p w14:paraId="33220395">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8.2.乙方按甲方提供的合同执行进度计划，再配合甲方及有关单位，以此做好合同执行进度上的配合工作。</w:t>
      </w:r>
    </w:p>
    <w:p w14:paraId="53454504">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9.不可抗力</w:t>
      </w:r>
    </w:p>
    <w:p w14:paraId="3946499B">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9.1.不可抗力指战争、严重火灾、洪水、台风、地震等或其它双方认定的不可抗力事件。</w:t>
      </w:r>
    </w:p>
    <w:p w14:paraId="4A90E4CA">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9.2.签约双方中任何一方由于不可抗力影响合同执行时，发生不可抗力一方应尽快将事故通知另一方。在此情况下，乙方仍然有责任采取必要的措施加速供货，双方应通过友好协商尽快解决本合同的执行问题。</w:t>
      </w:r>
    </w:p>
    <w:p w14:paraId="4E281C5D">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10.索赔</w:t>
      </w:r>
    </w:p>
    <w:p w14:paraId="36C6892A">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10.1.验收不合格，甲方有权根据有关政府部门的检验结果向乙方提出索赔。</w:t>
      </w:r>
    </w:p>
    <w:p w14:paraId="2F97593C">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10.2.在合同执行期间，如果乙方对甲方提出的索赔和差异负有责任，乙方应按照甲方同意的下列一种或多种方式解决索赔事宜：</w:t>
      </w:r>
    </w:p>
    <w:p w14:paraId="6A115DE9">
      <w:pPr>
        <w:numPr>
          <w:ilvl w:val="0"/>
          <w:numId w:val="18"/>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乙方同意退货，并按合同规定的同种货币将货款退还给甲方，并承担由此发生的一切损失和费用。</w:t>
      </w:r>
    </w:p>
    <w:p w14:paraId="6B7E9570">
      <w:pPr>
        <w:numPr>
          <w:ilvl w:val="0"/>
          <w:numId w:val="18"/>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根据货物低劣程度、损坏程度以及甲方所遭受损失的数额甲乙双方商定降低货物的价格。</w:t>
      </w:r>
    </w:p>
    <w:p w14:paraId="7E52FE27">
      <w:pPr>
        <w:numPr>
          <w:ilvl w:val="0"/>
          <w:numId w:val="18"/>
        </w:num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用符合规格、质量和性能要求的新零件、部件或货物来更换有缺陷的部分或修补缺陷的部分，乙方应承担一切费用和风险并负担甲方所发生的一切直接费用。同时，相应延长质量保证期。</w:t>
      </w:r>
    </w:p>
    <w:p w14:paraId="2F4FE4EC">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10.3.如果在甲方发出索赔通知后30天内，乙方未作答复，上述索赔应视为已被乙方接受。甲方将从合同款项中扣回索赔金额。如果这些金额不足以补偿索赔金额，甲方有权向乙方提出不足部分的补偿。</w:t>
      </w:r>
    </w:p>
    <w:p w14:paraId="783DA130">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11.违约与处罚</w:t>
      </w:r>
    </w:p>
    <w:p w14:paraId="3C1CA9B8">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11.1.甲方应依合同规定时间内，向乙方支付货款，每拖延一天乙方可向甲方加收合同金额的3‰的违约金。</w:t>
      </w:r>
      <w:r>
        <w:rPr>
          <w:rFonts w:hint="eastAsia" w:ascii="宋体" w:hAnsi="宋体" w:eastAsia="宋体" w:cs="宋体"/>
          <w:b/>
          <w:bCs/>
          <w:color w:val="auto"/>
          <w:sz w:val="24"/>
          <w:highlight w:val="none"/>
        </w:rPr>
        <w:t>违约金总额不超出合同总金额的5%。</w:t>
      </w:r>
    </w:p>
    <w:p w14:paraId="401C0907">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11.2.乙方</w:t>
      </w:r>
      <w:r>
        <w:rPr>
          <w:rFonts w:hint="eastAsia" w:ascii="宋体" w:hAnsi="宋体" w:eastAsia="宋体" w:cs="宋体"/>
          <w:b/>
          <w:bCs/>
          <w:color w:val="auto"/>
          <w:sz w:val="24"/>
          <w:highlight w:val="none"/>
        </w:rPr>
        <w:t>无正当理由</w:t>
      </w:r>
      <w:r>
        <w:rPr>
          <w:rFonts w:hint="eastAsia" w:ascii="宋体" w:hAnsi="宋体" w:eastAsia="宋体" w:cs="宋体"/>
          <w:color w:val="auto"/>
          <w:sz w:val="24"/>
          <w:highlight w:val="none"/>
        </w:rPr>
        <w:t>未能按时交清全部货物，每拖延一天，须向甲方支付合同金额的3‰的违约金。</w:t>
      </w:r>
      <w:r>
        <w:rPr>
          <w:rFonts w:hint="eastAsia" w:ascii="宋体" w:hAnsi="宋体" w:eastAsia="宋体" w:cs="宋体"/>
          <w:b/>
          <w:bCs/>
          <w:color w:val="auto"/>
          <w:sz w:val="24"/>
          <w:highlight w:val="none"/>
        </w:rPr>
        <w:t>违约金总额不超出合同总金额的5%。</w:t>
      </w:r>
    </w:p>
    <w:p w14:paraId="7752133B">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非甲方原因，出现以下几种情况时，甲方有权拒收，乙方向甲方支付合同金额的5%的违约金：</w:t>
      </w:r>
    </w:p>
    <w:p w14:paraId="312DAF16">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（1）乙方交付的货物不符合招标文件需求：</w:t>
      </w:r>
    </w:p>
    <w:p w14:paraId="782F09A7">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（2）乙方交付的货物与投标文件不一致；</w:t>
      </w:r>
    </w:p>
    <w:p w14:paraId="0B6702EB">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（3）乙方交付的货物不符合合同约定条款；</w:t>
      </w:r>
    </w:p>
    <w:p w14:paraId="005F2DDB">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（4）乙方交付的货物以次充好或存在明显质量问题。</w:t>
      </w:r>
    </w:p>
    <w:p w14:paraId="48E2E9CE">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11.4.甲方无正当理由拒收货物的，甲方向乙方支付合同金额的5%的违约金。</w:t>
      </w:r>
    </w:p>
    <w:p w14:paraId="7C6B4BD8">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11.5.乙方未能交付货物，则向甲方支付合同金额的7.5%的违约金。</w:t>
      </w:r>
    </w:p>
    <w:p w14:paraId="2D2F4EB1">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12.合同变更与终止</w:t>
      </w:r>
    </w:p>
    <w:p w14:paraId="2AE078ED">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1甲乙双方协商一致，可以变更合同。如果一方严重违反合同，并在收到对方违约通知书后在30天内仍未能改正违约的，另一方可立即终止本合同。</w:t>
      </w:r>
    </w:p>
    <w:p w14:paraId="32AE58DB">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13.法律诉讼</w:t>
      </w:r>
    </w:p>
    <w:p w14:paraId="2A806673">
      <w:pPr>
        <w:shd w:val="clear"/>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双方在履约中发生争执和分歧，双方应通过友好协商解决，若经协商不能达成协议时，提交合同签订所在地仲裁机构仲裁（有多个的共同协商确定）或依法向合同签订所在地人民法院提起诉讼（仲裁或诉讼任选一种）。受理期间，双方应继续执行合同其余部分。</w:t>
      </w:r>
    </w:p>
    <w:p w14:paraId="4B617F8F">
      <w:pPr>
        <w:shd w:val="clear"/>
        <w:adjustRightInd w:val="0"/>
        <w:snapToGrid w:val="0"/>
        <w:spacing w:line="360" w:lineRule="auto"/>
        <w:rPr>
          <w:rFonts w:hint="eastAsia" w:ascii="宋体" w:hAnsi="宋体" w:eastAsia="宋体" w:cs="宋体"/>
          <w:b/>
          <w:bCs/>
          <w:color w:val="auto"/>
          <w:sz w:val="28"/>
          <w:szCs w:val="18"/>
          <w:highlight w:val="none"/>
        </w:rPr>
      </w:pPr>
      <w:r>
        <w:rPr>
          <w:rFonts w:hint="eastAsia" w:ascii="宋体" w:hAnsi="宋体" w:eastAsia="宋体" w:cs="宋体"/>
          <w:b/>
          <w:bCs/>
          <w:color w:val="auto"/>
          <w:sz w:val="28"/>
          <w:szCs w:val="18"/>
          <w:highlight w:val="none"/>
        </w:rPr>
        <w:t>14.其他</w:t>
      </w:r>
    </w:p>
    <w:p w14:paraId="1C2EE982">
      <w:pPr>
        <w:shd w:val="clear"/>
        <w:adjustRightInd w:val="0"/>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14.1.本合同肆份，具备同等法律效力，甲方执贰份、乙方执贰份，合同自签字之日起即时生效。</w:t>
      </w:r>
    </w:p>
    <w:p w14:paraId="70DB871A">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14.2.本合同未尽事宜，由双方协商处理。</w:t>
      </w:r>
    </w:p>
    <w:tbl>
      <w:tblPr>
        <w:tblStyle w:val="59"/>
        <w:tblW w:w="9759" w:type="dxa"/>
        <w:jc w:val="center"/>
        <w:tblLayout w:type="fixed"/>
        <w:tblCellMar>
          <w:top w:w="0" w:type="dxa"/>
          <w:left w:w="108" w:type="dxa"/>
          <w:bottom w:w="0" w:type="dxa"/>
          <w:right w:w="108" w:type="dxa"/>
        </w:tblCellMar>
      </w:tblPr>
      <w:tblGrid>
        <w:gridCol w:w="4833"/>
        <w:gridCol w:w="4926"/>
      </w:tblGrid>
      <w:tr w14:paraId="2BAF6290">
        <w:tblPrEx>
          <w:tblCellMar>
            <w:top w:w="0" w:type="dxa"/>
            <w:left w:w="108" w:type="dxa"/>
            <w:bottom w:w="0" w:type="dxa"/>
            <w:right w:w="108" w:type="dxa"/>
          </w:tblCellMar>
        </w:tblPrEx>
        <w:trPr>
          <w:trHeight w:val="1143" w:hRule="atLeast"/>
          <w:jc w:val="center"/>
        </w:trPr>
        <w:tc>
          <w:tcPr>
            <w:tcW w:w="4833" w:type="dxa"/>
            <w:noWrap w:val="0"/>
            <w:vAlign w:val="top"/>
          </w:tcPr>
          <w:p w14:paraId="71181B13">
            <w:pPr>
              <w:shd w:val="clear"/>
              <w:adjustRightInd w:val="0"/>
              <w:snapToGrid w:val="0"/>
              <w:spacing w:line="360" w:lineRule="auto"/>
              <w:ind w:left="2160" w:hanging="2160" w:hangingChars="900"/>
              <w:rPr>
                <w:rFonts w:hint="eastAsia" w:ascii="宋体" w:hAnsi="宋体" w:eastAsia="宋体" w:cs="宋体"/>
                <w:color w:val="auto"/>
                <w:sz w:val="24"/>
                <w:highlight w:val="none"/>
              </w:rPr>
            </w:pPr>
          </w:p>
          <w:p w14:paraId="6B5BC72E">
            <w:pPr>
              <w:shd w:val="clear"/>
              <w:adjustRightInd w:val="0"/>
              <w:snapToGrid w:val="0"/>
              <w:spacing w:line="360" w:lineRule="auto"/>
              <w:ind w:left="2160" w:hanging="2160" w:hangingChars="900"/>
              <w:rPr>
                <w:rFonts w:hint="eastAsia" w:ascii="宋体" w:hAnsi="宋体" w:eastAsia="宋体" w:cs="宋体"/>
                <w:color w:val="auto"/>
                <w:sz w:val="24"/>
                <w:highlight w:val="none"/>
              </w:rPr>
            </w:pPr>
          </w:p>
          <w:p w14:paraId="2A792A3B">
            <w:pPr>
              <w:shd w:val="clear"/>
              <w:adjustRightInd w:val="0"/>
              <w:snapToGrid w:val="0"/>
              <w:spacing w:line="360" w:lineRule="auto"/>
              <w:ind w:left="2160" w:hanging="2160" w:hanging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cs="宋体"/>
                <w:color w:val="auto"/>
                <w:sz w:val="24"/>
                <w:highlight w:val="none"/>
                <w:lang w:eastAsia="zh-CN"/>
              </w:rPr>
              <w:t xml:space="preserve">四川省消防救援总队训练与战勤保障支队 </w:t>
            </w:r>
            <w:r>
              <w:rPr>
                <w:rFonts w:hint="eastAsia" w:ascii="宋体" w:hAnsi="宋体" w:eastAsia="宋体" w:cs="宋体"/>
                <w:color w:val="auto"/>
                <w:sz w:val="24"/>
                <w:highlight w:val="none"/>
              </w:rPr>
              <w:t>（加盖公章）</w:t>
            </w:r>
          </w:p>
        </w:tc>
        <w:tc>
          <w:tcPr>
            <w:tcW w:w="4926" w:type="dxa"/>
            <w:noWrap w:val="0"/>
            <w:vAlign w:val="top"/>
          </w:tcPr>
          <w:p w14:paraId="29F7AE8F">
            <w:pPr>
              <w:shd w:val="clear"/>
              <w:adjustRightInd w:val="0"/>
              <w:snapToGrid w:val="0"/>
              <w:spacing w:line="360" w:lineRule="auto"/>
              <w:rPr>
                <w:rFonts w:hint="eastAsia" w:ascii="宋体" w:hAnsi="宋体" w:eastAsia="宋体" w:cs="宋体"/>
                <w:color w:val="auto"/>
                <w:sz w:val="24"/>
                <w:highlight w:val="none"/>
              </w:rPr>
            </w:pPr>
          </w:p>
          <w:p w14:paraId="4334741F">
            <w:pPr>
              <w:shd w:val="clear"/>
              <w:adjustRightInd w:val="0"/>
              <w:snapToGrid w:val="0"/>
              <w:spacing w:line="360" w:lineRule="auto"/>
              <w:rPr>
                <w:rFonts w:hint="eastAsia" w:ascii="宋体" w:hAnsi="宋体" w:eastAsia="宋体" w:cs="宋体"/>
                <w:color w:val="auto"/>
                <w:sz w:val="24"/>
                <w:highlight w:val="none"/>
              </w:rPr>
            </w:pPr>
          </w:p>
          <w:p w14:paraId="2A8EFAEA">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乙方：XXXX公司（加盖公章）</w:t>
            </w:r>
          </w:p>
        </w:tc>
      </w:tr>
      <w:tr w14:paraId="27F16C25">
        <w:tblPrEx>
          <w:tblCellMar>
            <w:top w:w="0" w:type="dxa"/>
            <w:left w:w="108" w:type="dxa"/>
            <w:bottom w:w="0" w:type="dxa"/>
            <w:right w:w="108" w:type="dxa"/>
          </w:tblCellMar>
        </w:tblPrEx>
        <w:trPr>
          <w:trHeight w:val="1829" w:hRule="atLeast"/>
          <w:jc w:val="center"/>
        </w:trPr>
        <w:tc>
          <w:tcPr>
            <w:tcW w:w="4833" w:type="dxa"/>
            <w:noWrap w:val="0"/>
            <w:vAlign w:val="top"/>
          </w:tcPr>
          <w:p w14:paraId="575358CF">
            <w:pPr>
              <w:shd w:val="clear"/>
              <w:adjustRightInd w:val="0"/>
              <w:snapToGrid w:val="0"/>
              <w:spacing w:line="360" w:lineRule="auto"/>
              <w:rPr>
                <w:rFonts w:hint="eastAsia" w:ascii="宋体" w:hAnsi="宋体" w:eastAsia="宋体" w:cs="宋体"/>
                <w:color w:val="auto"/>
                <w:sz w:val="24"/>
                <w:highlight w:val="none"/>
              </w:rPr>
            </w:pPr>
          </w:p>
          <w:p w14:paraId="542EE762">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1028451">
            <w:pPr>
              <w:shd w:val="clear"/>
              <w:adjustRightInd w:val="0"/>
              <w:snapToGrid w:val="0"/>
              <w:spacing w:line="360" w:lineRule="auto"/>
              <w:rPr>
                <w:rFonts w:hint="eastAsia" w:ascii="宋体" w:hAnsi="宋体" w:eastAsia="宋体" w:cs="宋体"/>
                <w:color w:val="auto"/>
                <w:sz w:val="24"/>
                <w:highlight w:val="none"/>
              </w:rPr>
            </w:pPr>
          </w:p>
          <w:p w14:paraId="125E6039">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或授权代表：                                                               </w:t>
            </w:r>
          </w:p>
        </w:tc>
        <w:tc>
          <w:tcPr>
            <w:tcW w:w="4926" w:type="dxa"/>
            <w:noWrap w:val="0"/>
            <w:vAlign w:val="top"/>
          </w:tcPr>
          <w:p w14:paraId="166ABDDA">
            <w:pPr>
              <w:shd w:val="clear"/>
              <w:adjustRightInd w:val="0"/>
              <w:snapToGrid w:val="0"/>
              <w:spacing w:line="360" w:lineRule="auto"/>
              <w:rPr>
                <w:rFonts w:hint="eastAsia" w:ascii="宋体" w:hAnsi="宋体" w:eastAsia="宋体" w:cs="宋体"/>
                <w:color w:val="auto"/>
                <w:sz w:val="24"/>
                <w:highlight w:val="none"/>
              </w:rPr>
            </w:pPr>
          </w:p>
          <w:p w14:paraId="2E36CA49">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33EAE2EF">
            <w:pPr>
              <w:shd w:val="clear"/>
              <w:adjustRightInd w:val="0"/>
              <w:snapToGrid w:val="0"/>
              <w:spacing w:line="360" w:lineRule="auto"/>
              <w:rPr>
                <w:rFonts w:hint="eastAsia" w:ascii="宋体" w:hAnsi="宋体" w:eastAsia="宋体" w:cs="宋体"/>
                <w:color w:val="auto"/>
                <w:sz w:val="24"/>
                <w:highlight w:val="none"/>
              </w:rPr>
            </w:pPr>
          </w:p>
          <w:p w14:paraId="632F1501">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或授权代表：</w:t>
            </w:r>
          </w:p>
        </w:tc>
      </w:tr>
      <w:tr w14:paraId="4CA8B79A">
        <w:tblPrEx>
          <w:tblCellMar>
            <w:top w:w="0" w:type="dxa"/>
            <w:left w:w="108" w:type="dxa"/>
            <w:bottom w:w="0" w:type="dxa"/>
            <w:right w:w="108" w:type="dxa"/>
          </w:tblCellMar>
        </w:tblPrEx>
        <w:trPr>
          <w:trHeight w:val="949" w:hRule="atLeast"/>
          <w:jc w:val="center"/>
        </w:trPr>
        <w:tc>
          <w:tcPr>
            <w:tcW w:w="4833" w:type="dxa"/>
            <w:noWrap w:val="0"/>
            <w:vAlign w:val="top"/>
          </w:tcPr>
          <w:p w14:paraId="54364BAE">
            <w:pPr>
              <w:shd w:val="clear"/>
              <w:adjustRightInd w:val="0"/>
              <w:snapToGrid w:val="0"/>
              <w:spacing w:line="360" w:lineRule="auto"/>
              <w:rPr>
                <w:rFonts w:hint="eastAsia" w:ascii="宋体" w:hAnsi="宋体" w:eastAsia="宋体" w:cs="宋体"/>
                <w:color w:val="auto"/>
                <w:sz w:val="24"/>
                <w:highlight w:val="none"/>
              </w:rPr>
            </w:pPr>
          </w:p>
          <w:p w14:paraId="44BE5309">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tc>
        <w:tc>
          <w:tcPr>
            <w:tcW w:w="4926" w:type="dxa"/>
            <w:noWrap w:val="0"/>
            <w:vAlign w:val="top"/>
          </w:tcPr>
          <w:p w14:paraId="1D987A5D">
            <w:pPr>
              <w:shd w:val="clear"/>
              <w:adjustRightInd w:val="0"/>
              <w:snapToGrid w:val="0"/>
              <w:spacing w:line="360" w:lineRule="auto"/>
              <w:rPr>
                <w:rFonts w:hint="eastAsia" w:ascii="宋体" w:hAnsi="宋体" w:eastAsia="宋体" w:cs="宋体"/>
                <w:color w:val="auto"/>
                <w:sz w:val="24"/>
                <w:highlight w:val="none"/>
              </w:rPr>
            </w:pPr>
          </w:p>
          <w:p w14:paraId="553944C2">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tc>
      </w:tr>
      <w:tr w14:paraId="64DF1231">
        <w:tblPrEx>
          <w:tblCellMar>
            <w:top w:w="0" w:type="dxa"/>
            <w:left w:w="108" w:type="dxa"/>
            <w:bottom w:w="0" w:type="dxa"/>
            <w:right w:w="108" w:type="dxa"/>
          </w:tblCellMar>
        </w:tblPrEx>
        <w:trPr>
          <w:trHeight w:val="914" w:hRule="atLeast"/>
          <w:jc w:val="center"/>
        </w:trPr>
        <w:tc>
          <w:tcPr>
            <w:tcW w:w="4833" w:type="dxa"/>
            <w:noWrap w:val="0"/>
            <w:vAlign w:val="top"/>
          </w:tcPr>
          <w:p w14:paraId="63B4E6E0">
            <w:pPr>
              <w:shd w:val="clear"/>
              <w:adjustRightInd w:val="0"/>
              <w:snapToGrid w:val="0"/>
              <w:spacing w:line="360" w:lineRule="auto"/>
              <w:rPr>
                <w:rFonts w:hint="eastAsia" w:ascii="宋体" w:hAnsi="宋体" w:eastAsia="宋体" w:cs="宋体"/>
                <w:color w:val="auto"/>
                <w:sz w:val="24"/>
                <w:highlight w:val="none"/>
              </w:rPr>
            </w:pPr>
          </w:p>
          <w:p w14:paraId="7A689F00">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tc>
        <w:tc>
          <w:tcPr>
            <w:tcW w:w="4926" w:type="dxa"/>
            <w:noWrap w:val="0"/>
            <w:vAlign w:val="top"/>
          </w:tcPr>
          <w:p w14:paraId="726261EC">
            <w:pPr>
              <w:shd w:val="clear"/>
              <w:adjustRightInd w:val="0"/>
              <w:snapToGrid w:val="0"/>
              <w:spacing w:line="360" w:lineRule="auto"/>
              <w:rPr>
                <w:rFonts w:hint="eastAsia" w:ascii="宋体" w:hAnsi="宋体" w:eastAsia="宋体" w:cs="宋体"/>
                <w:color w:val="auto"/>
                <w:sz w:val="24"/>
                <w:highlight w:val="none"/>
              </w:rPr>
            </w:pPr>
          </w:p>
          <w:p w14:paraId="7ABC179A">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r>
      <w:tr w14:paraId="4AB69B63">
        <w:tblPrEx>
          <w:tblCellMar>
            <w:top w:w="0" w:type="dxa"/>
            <w:left w:w="108" w:type="dxa"/>
            <w:bottom w:w="0" w:type="dxa"/>
            <w:right w:w="108" w:type="dxa"/>
          </w:tblCellMar>
        </w:tblPrEx>
        <w:trPr>
          <w:trHeight w:val="914" w:hRule="atLeast"/>
          <w:jc w:val="center"/>
        </w:trPr>
        <w:tc>
          <w:tcPr>
            <w:tcW w:w="4833" w:type="dxa"/>
            <w:noWrap w:val="0"/>
            <w:vAlign w:val="top"/>
          </w:tcPr>
          <w:p w14:paraId="21ABF6EE">
            <w:pPr>
              <w:shd w:val="clear"/>
              <w:adjustRightInd w:val="0"/>
              <w:snapToGrid w:val="0"/>
              <w:spacing w:line="360" w:lineRule="auto"/>
              <w:rPr>
                <w:rFonts w:hint="eastAsia" w:ascii="宋体" w:hAnsi="宋体" w:eastAsia="宋体" w:cs="宋体"/>
                <w:color w:val="auto"/>
                <w:sz w:val="24"/>
                <w:highlight w:val="none"/>
              </w:rPr>
            </w:pPr>
          </w:p>
          <w:p w14:paraId="0BCA65C4">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4926" w:type="dxa"/>
            <w:noWrap w:val="0"/>
            <w:vAlign w:val="top"/>
          </w:tcPr>
          <w:p w14:paraId="2B96B275">
            <w:pPr>
              <w:shd w:val="clear"/>
              <w:adjustRightInd w:val="0"/>
              <w:snapToGrid w:val="0"/>
              <w:spacing w:line="360" w:lineRule="auto"/>
              <w:rPr>
                <w:rFonts w:hint="eastAsia" w:ascii="宋体" w:hAnsi="宋体" w:eastAsia="宋体" w:cs="宋体"/>
                <w:color w:val="auto"/>
                <w:sz w:val="24"/>
                <w:highlight w:val="none"/>
              </w:rPr>
            </w:pPr>
          </w:p>
          <w:p w14:paraId="49997803">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r>
      <w:tr w14:paraId="52991934">
        <w:tblPrEx>
          <w:tblCellMar>
            <w:top w:w="0" w:type="dxa"/>
            <w:left w:w="108" w:type="dxa"/>
            <w:bottom w:w="0" w:type="dxa"/>
            <w:right w:w="108" w:type="dxa"/>
          </w:tblCellMar>
        </w:tblPrEx>
        <w:trPr>
          <w:trHeight w:val="914" w:hRule="atLeast"/>
          <w:jc w:val="center"/>
        </w:trPr>
        <w:tc>
          <w:tcPr>
            <w:tcW w:w="4833" w:type="dxa"/>
            <w:noWrap w:val="0"/>
            <w:vAlign w:val="top"/>
          </w:tcPr>
          <w:p w14:paraId="5B77F01A">
            <w:pPr>
              <w:shd w:val="clear"/>
              <w:adjustRightInd w:val="0"/>
              <w:snapToGrid w:val="0"/>
              <w:spacing w:line="360" w:lineRule="auto"/>
              <w:rPr>
                <w:rFonts w:hint="eastAsia" w:ascii="宋体" w:hAnsi="宋体" w:eastAsia="宋体" w:cs="宋体"/>
                <w:color w:val="auto"/>
                <w:sz w:val="24"/>
                <w:highlight w:val="none"/>
              </w:rPr>
            </w:pPr>
          </w:p>
          <w:p w14:paraId="70083133">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      年     月     日</w:t>
            </w:r>
          </w:p>
        </w:tc>
        <w:tc>
          <w:tcPr>
            <w:tcW w:w="4926" w:type="dxa"/>
            <w:noWrap w:val="0"/>
            <w:vAlign w:val="top"/>
          </w:tcPr>
          <w:p w14:paraId="3477A337">
            <w:pPr>
              <w:shd w:val="clear"/>
              <w:adjustRightInd w:val="0"/>
              <w:snapToGrid w:val="0"/>
              <w:spacing w:line="360" w:lineRule="auto"/>
              <w:rPr>
                <w:rFonts w:hint="eastAsia" w:ascii="宋体" w:hAnsi="宋体" w:eastAsia="宋体" w:cs="宋体"/>
                <w:color w:val="auto"/>
                <w:sz w:val="24"/>
                <w:highlight w:val="none"/>
              </w:rPr>
            </w:pPr>
          </w:p>
          <w:p w14:paraId="4CB6E589">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      年     月     日</w:t>
            </w:r>
          </w:p>
        </w:tc>
      </w:tr>
      <w:tr w14:paraId="1480A9DB">
        <w:tblPrEx>
          <w:tblCellMar>
            <w:top w:w="0" w:type="dxa"/>
            <w:left w:w="108" w:type="dxa"/>
            <w:bottom w:w="0" w:type="dxa"/>
            <w:right w:w="108" w:type="dxa"/>
          </w:tblCellMar>
        </w:tblPrEx>
        <w:trPr>
          <w:trHeight w:val="706" w:hRule="atLeast"/>
          <w:jc w:val="center"/>
        </w:trPr>
        <w:tc>
          <w:tcPr>
            <w:tcW w:w="4833" w:type="dxa"/>
            <w:noWrap w:val="0"/>
            <w:vAlign w:val="top"/>
          </w:tcPr>
          <w:p w14:paraId="354387C1">
            <w:pPr>
              <w:shd w:val="clear"/>
              <w:adjustRightInd w:val="0"/>
              <w:snapToGrid w:val="0"/>
              <w:spacing w:line="360" w:lineRule="auto"/>
              <w:rPr>
                <w:rFonts w:hint="eastAsia" w:ascii="宋体" w:hAnsi="宋体" w:eastAsia="宋体" w:cs="宋体"/>
                <w:color w:val="auto"/>
                <w:sz w:val="24"/>
                <w:highlight w:val="none"/>
              </w:rPr>
            </w:pPr>
          </w:p>
          <w:p w14:paraId="17900802">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926" w:type="dxa"/>
            <w:noWrap w:val="0"/>
            <w:vAlign w:val="top"/>
          </w:tcPr>
          <w:p w14:paraId="386F9BFC">
            <w:pPr>
              <w:shd w:val="clear"/>
              <w:adjustRightInd w:val="0"/>
              <w:snapToGrid w:val="0"/>
              <w:spacing w:line="360" w:lineRule="auto"/>
              <w:rPr>
                <w:rFonts w:hint="eastAsia" w:ascii="宋体" w:hAnsi="宋体" w:eastAsia="宋体" w:cs="宋体"/>
                <w:color w:val="auto"/>
                <w:sz w:val="24"/>
                <w:highlight w:val="none"/>
              </w:rPr>
            </w:pPr>
          </w:p>
          <w:p w14:paraId="173EB43C">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6E9CCDBF">
        <w:tblPrEx>
          <w:tblCellMar>
            <w:top w:w="0" w:type="dxa"/>
            <w:left w:w="108" w:type="dxa"/>
            <w:bottom w:w="0" w:type="dxa"/>
            <w:right w:w="108" w:type="dxa"/>
          </w:tblCellMar>
        </w:tblPrEx>
        <w:trPr>
          <w:trHeight w:val="786" w:hRule="atLeast"/>
          <w:jc w:val="center"/>
        </w:trPr>
        <w:tc>
          <w:tcPr>
            <w:tcW w:w="4833" w:type="dxa"/>
            <w:noWrap w:val="0"/>
            <w:vAlign w:val="top"/>
          </w:tcPr>
          <w:p w14:paraId="1DF11149">
            <w:pPr>
              <w:shd w:val="clear"/>
              <w:adjustRightInd w:val="0"/>
              <w:snapToGrid w:val="0"/>
              <w:spacing w:line="360" w:lineRule="auto"/>
              <w:rPr>
                <w:rFonts w:hint="eastAsia" w:ascii="宋体" w:hAnsi="宋体" w:eastAsia="宋体" w:cs="宋体"/>
                <w:color w:val="auto"/>
                <w:sz w:val="24"/>
                <w:highlight w:val="none"/>
              </w:rPr>
            </w:pPr>
          </w:p>
          <w:p w14:paraId="54215EDF">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户：</w:t>
            </w:r>
          </w:p>
        </w:tc>
        <w:tc>
          <w:tcPr>
            <w:tcW w:w="4926" w:type="dxa"/>
            <w:noWrap w:val="0"/>
            <w:vAlign w:val="top"/>
          </w:tcPr>
          <w:p w14:paraId="64C0A229">
            <w:pPr>
              <w:shd w:val="clear"/>
              <w:adjustRightInd w:val="0"/>
              <w:snapToGrid w:val="0"/>
              <w:spacing w:line="360" w:lineRule="auto"/>
              <w:rPr>
                <w:rFonts w:hint="eastAsia" w:ascii="宋体" w:hAnsi="宋体" w:eastAsia="宋体" w:cs="宋体"/>
                <w:color w:val="auto"/>
                <w:sz w:val="24"/>
                <w:highlight w:val="none"/>
              </w:rPr>
            </w:pPr>
          </w:p>
          <w:p w14:paraId="18EECD51">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户：</w:t>
            </w:r>
          </w:p>
        </w:tc>
      </w:tr>
      <w:bookmarkEnd w:id="390"/>
      <w:bookmarkEnd w:id="391"/>
    </w:tbl>
    <w:p w14:paraId="53D1022E">
      <w:pPr>
        <w:pStyle w:val="23"/>
        <w:shd w:val="clear"/>
        <w:spacing w:line="360" w:lineRule="auto"/>
        <w:jc w:val="both"/>
        <w:rPr>
          <w:rFonts w:hint="eastAsia" w:ascii="宋体" w:hAnsi="宋体" w:eastAsia="宋体" w:cs="宋体"/>
          <w:color w:val="auto"/>
          <w:szCs w:val="21"/>
          <w:highlight w:val="none"/>
        </w:rPr>
      </w:pPr>
    </w:p>
    <w:sectPr>
      <w:pgSz w:w="11907" w:h="16840"/>
      <w:pgMar w:top="851" w:right="1134" w:bottom="851" w:left="1418" w:header="851" w:footer="992"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创艺简行楷">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yntax">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_x001A_">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70C7">
    <w:pPr>
      <w:pStyle w:val="37"/>
      <w:jc w:val="center"/>
    </w:pPr>
  </w:p>
  <w:p w14:paraId="3355B44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D740">
    <w:pPr>
      <w:pStyle w:val="3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B9688">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D8B9688">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p w14:paraId="61CAC547">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7827">
    <w:pPr>
      <w:pStyle w:val="37"/>
      <w:jc w:val="center"/>
    </w:pPr>
    <w:r>
      <mc:AlternateContent>
        <mc:Choice Requires="wps">
          <w:drawing>
            <wp:anchor distT="0" distB="0" distL="114300" distR="114300" simplePos="0" relativeHeight="251660288" behindDoc="0" locked="0" layoutInCell="1" allowOverlap="1">
              <wp:simplePos x="0" y="0"/>
              <wp:positionH relativeFrom="margin">
                <wp:posOffset>2779395</wp:posOffset>
              </wp:positionH>
              <wp:positionV relativeFrom="paragraph">
                <wp:posOffset>0</wp:posOffset>
              </wp:positionV>
              <wp:extent cx="224790" cy="1524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w="15875">
                        <a:noFill/>
                      </a:ln>
                    </wps:spPr>
                    <wps:txbx>
                      <w:txbxContent>
                        <w:p w14:paraId="3724279D">
                          <w:pPr>
                            <w:pStyle w:val="3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square" lIns="0" tIns="0" rIns="0" bIns="0" anchor="t" anchorCtr="0" upright="0">
                      <a:spAutoFit/>
                    </wps:bodyPr>
                  </wps:wsp>
                </a:graphicData>
              </a:graphic>
            </wp:anchor>
          </w:drawing>
        </mc:Choice>
        <mc:Fallback>
          <w:pict>
            <v:shape id="文本框 7" o:spid="_x0000_s1026" o:spt="202" type="#_x0000_t202" style="position:absolute;left:0pt;margin-left:218.85pt;margin-top:0pt;height:12pt;width:17.7pt;mso-position-horizontal-relative:margin;z-index:251660288;mso-width-relative:page;mso-height-relative:page;" filled="f" stroked="f" coordsize="21600,21600" o:gfxdata="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eZcudcAAAAHAQAADwAAAAAAAAABACAAAAAiAAAAZHJzL2Rvd25yZXYueG1sUEsBAhQAFAAAAAgA&#10;h07iQGw9GdLtAQAAyAMAAA4AAAAAAAAAAQAgAAAAJgEAAGRycy9lMm9Eb2MueG1sUEsFBgAAAAAG&#10;AAYAWQEAAIUFAAAAAA==&#10;">
              <v:fill on="f" focussize="0,0"/>
              <v:stroke on="f" weight="1.25pt"/>
              <v:imagedata o:title=""/>
              <o:lock v:ext="edit" aspectratio="f"/>
              <v:textbox inset="0mm,0mm,0mm,0mm" style="mso-fit-shape-to-text:t;">
                <w:txbxContent>
                  <w:p w14:paraId="3724279D">
                    <w:pPr>
                      <w:pStyle w:val="3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14:paraId="12668AA4">
    <w:pPr>
      <w:pStyle w:val="37"/>
      <w:tabs>
        <w:tab w:val="center" w:pos="4479"/>
        <w:tab w:val="clear" w:pos="4153"/>
        <w:tab w:val="clear" w:pos="8306"/>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99E1">
    <w:pPr>
      <w:pStyle w:val="38"/>
      <w:pBdr>
        <w:bottom w:val="none" w:color="auto" w:sz="0" w:space="0"/>
      </w:pBdr>
      <w:spacing w:line="240" w:lineRule="auto"/>
      <w:jc w:val="both"/>
      <w:rPr>
        <w:rFonts w:hint="eastAsia" w:ascii="仿宋" w:hAnsi="仿宋" w:eastAsia="仿宋" w:cs="仿宋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053E4"/>
    <w:multiLevelType w:val="singleLevel"/>
    <w:tmpl w:val="97C053E4"/>
    <w:lvl w:ilvl="0" w:tentative="0">
      <w:start w:val="31"/>
      <w:numFmt w:val="decimal"/>
      <w:suff w:val="nothing"/>
      <w:lvlText w:val="%1．"/>
      <w:lvlJc w:val="left"/>
    </w:lvl>
  </w:abstractNum>
  <w:abstractNum w:abstractNumId="1">
    <w:nsid w:val="A56B72F1"/>
    <w:multiLevelType w:val="singleLevel"/>
    <w:tmpl w:val="A56B72F1"/>
    <w:lvl w:ilvl="0" w:tentative="0">
      <w:start w:val="1"/>
      <w:numFmt w:val="decimal"/>
      <w:suff w:val="nothing"/>
      <w:lvlText w:val="%1、"/>
      <w:lvlJc w:val="left"/>
      <w:pPr>
        <w:ind w:left="-60"/>
      </w:pPr>
    </w:lvl>
  </w:abstractNum>
  <w:abstractNum w:abstractNumId="2">
    <w:nsid w:val="B1AC5C1A"/>
    <w:multiLevelType w:val="singleLevel"/>
    <w:tmpl w:val="B1AC5C1A"/>
    <w:lvl w:ilvl="0" w:tentative="0">
      <w:start w:val="3"/>
      <w:numFmt w:val="chineseCounting"/>
      <w:suff w:val="nothing"/>
      <w:lvlText w:val="%1、"/>
      <w:lvlJc w:val="left"/>
      <w:rPr>
        <w:rFonts w:hint="eastAsia"/>
      </w:rPr>
    </w:lvl>
  </w:abstractNum>
  <w:abstractNum w:abstractNumId="3">
    <w:nsid w:val="B79CCA78"/>
    <w:multiLevelType w:val="singleLevel"/>
    <w:tmpl w:val="B79CCA78"/>
    <w:lvl w:ilvl="0" w:tentative="0">
      <w:start w:val="4"/>
      <w:numFmt w:val="chineseCounting"/>
      <w:suff w:val="nothing"/>
      <w:lvlText w:val="%1、"/>
      <w:lvlJc w:val="left"/>
      <w:rPr>
        <w:rFonts w:hint="eastAsia"/>
      </w:rPr>
    </w:lvl>
  </w:abstractNum>
  <w:abstractNum w:abstractNumId="4">
    <w:nsid w:val="B9B6683D"/>
    <w:multiLevelType w:val="singleLevel"/>
    <w:tmpl w:val="B9B6683D"/>
    <w:lvl w:ilvl="0" w:tentative="0">
      <w:start w:val="1"/>
      <w:numFmt w:val="chineseCounting"/>
      <w:suff w:val="nothing"/>
      <w:lvlText w:val="%1、"/>
      <w:lvlJc w:val="left"/>
      <w:rPr>
        <w:rFonts w:hint="eastAsia"/>
      </w:rPr>
    </w:lvl>
  </w:abstractNum>
  <w:abstractNum w:abstractNumId="5">
    <w:nsid w:val="C7F53590"/>
    <w:multiLevelType w:val="multilevel"/>
    <w:tmpl w:val="C7F53590"/>
    <w:lvl w:ilvl="0" w:tentative="0">
      <w:start w:val="1"/>
      <w:numFmt w:val="decimal"/>
      <w:pStyle w:val="556"/>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CA3E7E1B"/>
    <w:multiLevelType w:val="singleLevel"/>
    <w:tmpl w:val="CA3E7E1B"/>
    <w:lvl w:ilvl="0" w:tentative="0">
      <w:start w:val="30"/>
      <w:numFmt w:val="decimal"/>
      <w:suff w:val="nothing"/>
      <w:lvlText w:val="%1．"/>
      <w:lvlJc w:val="left"/>
    </w:lvl>
  </w:abstractNum>
  <w:abstractNum w:abstractNumId="7">
    <w:nsid w:val="00000001"/>
    <w:multiLevelType w:val="multilevel"/>
    <w:tmpl w:val="00000001"/>
    <w:lvl w:ilvl="0" w:tentative="0">
      <w:start w:val="1"/>
      <w:numFmt w:val="chineseCountingThousand"/>
      <w:pStyle w:val="154"/>
      <w:lvlText w:val="%1、"/>
      <w:lvlJc w:val="left"/>
      <w:pPr>
        <w:ind w:left="705" w:hanging="420"/>
      </w:p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abstractNum w:abstractNumId="8">
    <w:nsid w:val="08FF5FCE"/>
    <w:multiLevelType w:val="multilevel"/>
    <w:tmpl w:val="08FF5FCE"/>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A366049"/>
    <w:multiLevelType w:val="multilevel"/>
    <w:tmpl w:val="0A36604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197B3805"/>
    <w:multiLevelType w:val="multilevel"/>
    <w:tmpl w:val="197B3805"/>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AB2D879"/>
    <w:multiLevelType w:val="singleLevel"/>
    <w:tmpl w:val="2AB2D879"/>
    <w:lvl w:ilvl="0" w:tentative="0">
      <w:start w:val="3"/>
      <w:numFmt w:val="decimal"/>
      <w:lvlText w:val="%1."/>
      <w:lvlJc w:val="left"/>
      <w:pPr>
        <w:tabs>
          <w:tab w:val="left" w:pos="312"/>
        </w:tabs>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59C07086"/>
    <w:multiLevelType w:val="singleLevel"/>
    <w:tmpl w:val="59C07086"/>
    <w:lvl w:ilvl="0" w:tentative="0">
      <w:start w:val="1"/>
      <w:numFmt w:val="decimal"/>
      <w:suff w:val="nothing"/>
      <w:lvlText w:val="%1、"/>
      <w:lvlJc w:val="left"/>
    </w:lvl>
  </w:abstractNum>
  <w:abstractNum w:abstractNumId="14">
    <w:nsid w:val="5F5803A8"/>
    <w:multiLevelType w:val="multilevel"/>
    <w:tmpl w:val="5F5803A8"/>
    <w:lvl w:ilvl="0" w:tentative="0">
      <w:start w:val="4"/>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3220D3A"/>
    <w:multiLevelType w:val="singleLevel"/>
    <w:tmpl w:val="63220D3A"/>
    <w:lvl w:ilvl="0" w:tentative="0">
      <w:start w:val="1"/>
      <w:numFmt w:val="decimal"/>
      <w:suff w:val="nothing"/>
      <w:lvlText w:val="%1、"/>
      <w:lvlJc w:val="left"/>
      <w:pPr>
        <w:ind w:left="-30"/>
      </w:pPr>
    </w:lvl>
  </w:abstractNum>
  <w:abstractNum w:abstractNumId="16">
    <w:nsid w:val="689D27C0"/>
    <w:multiLevelType w:val="multilevel"/>
    <w:tmpl w:val="689D27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E4F7BB1"/>
    <w:multiLevelType w:val="singleLevel"/>
    <w:tmpl w:val="6E4F7BB1"/>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7"/>
  </w:num>
  <w:num w:numId="3">
    <w:abstractNumId w:val="5"/>
  </w:num>
  <w:num w:numId="4">
    <w:abstractNumId w:val="4"/>
  </w:num>
  <w:num w:numId="5">
    <w:abstractNumId w:val="11"/>
  </w:num>
  <w:num w:numId="6">
    <w:abstractNumId w:val="2"/>
  </w:num>
  <w:num w:numId="7">
    <w:abstractNumId w:val="15"/>
  </w:num>
  <w:num w:numId="8">
    <w:abstractNumId w:val="1"/>
  </w:num>
  <w:num w:numId="9">
    <w:abstractNumId w:val="6"/>
  </w:num>
  <w:num w:numId="10">
    <w:abstractNumId w:val="0"/>
  </w:num>
  <w:num w:numId="11">
    <w:abstractNumId w:val="13"/>
  </w:num>
  <w:num w:numId="12">
    <w:abstractNumId w:val="3"/>
  </w:num>
  <w:num w:numId="13">
    <w:abstractNumId w:val="14"/>
  </w:num>
  <w:num w:numId="14">
    <w:abstractNumId w:val="16"/>
  </w:num>
  <w:num w:numId="15">
    <w:abstractNumId w:val="17"/>
  </w:num>
  <w:num w:numId="16">
    <w:abstractNumId w:val="9"/>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YzM1YmVjMTM0NzhmNzM1MzgzZDU2M2ViOTAyOTIifQ=="/>
  </w:docVars>
  <w:rsids>
    <w:rsidRoot w:val="00172A27"/>
    <w:rsid w:val="000007EC"/>
    <w:rsid w:val="00002FE6"/>
    <w:rsid w:val="00003658"/>
    <w:rsid w:val="00004342"/>
    <w:rsid w:val="00004787"/>
    <w:rsid w:val="00005E13"/>
    <w:rsid w:val="000069E4"/>
    <w:rsid w:val="0001026B"/>
    <w:rsid w:val="0001193E"/>
    <w:rsid w:val="00012E50"/>
    <w:rsid w:val="0001638E"/>
    <w:rsid w:val="00017541"/>
    <w:rsid w:val="00022AFB"/>
    <w:rsid w:val="00022C41"/>
    <w:rsid w:val="00023BFA"/>
    <w:rsid w:val="0002653E"/>
    <w:rsid w:val="00026FD3"/>
    <w:rsid w:val="00027076"/>
    <w:rsid w:val="00030B17"/>
    <w:rsid w:val="000311BC"/>
    <w:rsid w:val="000320E0"/>
    <w:rsid w:val="00032BC9"/>
    <w:rsid w:val="00033687"/>
    <w:rsid w:val="000363D3"/>
    <w:rsid w:val="00036893"/>
    <w:rsid w:val="00041750"/>
    <w:rsid w:val="000427B1"/>
    <w:rsid w:val="0004323F"/>
    <w:rsid w:val="00046030"/>
    <w:rsid w:val="000506B2"/>
    <w:rsid w:val="00051BBE"/>
    <w:rsid w:val="00053954"/>
    <w:rsid w:val="000539F6"/>
    <w:rsid w:val="00056FA4"/>
    <w:rsid w:val="000572A1"/>
    <w:rsid w:val="00060E33"/>
    <w:rsid w:val="00060E62"/>
    <w:rsid w:val="000621F9"/>
    <w:rsid w:val="00062E8B"/>
    <w:rsid w:val="00062EB1"/>
    <w:rsid w:val="00064A83"/>
    <w:rsid w:val="000700CA"/>
    <w:rsid w:val="000712CB"/>
    <w:rsid w:val="00071A4E"/>
    <w:rsid w:val="00072989"/>
    <w:rsid w:val="00073177"/>
    <w:rsid w:val="00074581"/>
    <w:rsid w:val="00074C12"/>
    <w:rsid w:val="0007522B"/>
    <w:rsid w:val="00076C79"/>
    <w:rsid w:val="000777E8"/>
    <w:rsid w:val="00080C24"/>
    <w:rsid w:val="00081F3E"/>
    <w:rsid w:val="00082094"/>
    <w:rsid w:val="000824B0"/>
    <w:rsid w:val="00082C6D"/>
    <w:rsid w:val="00083482"/>
    <w:rsid w:val="00083834"/>
    <w:rsid w:val="00084424"/>
    <w:rsid w:val="000846F4"/>
    <w:rsid w:val="00085DCD"/>
    <w:rsid w:val="00087F9E"/>
    <w:rsid w:val="0009362D"/>
    <w:rsid w:val="00094ED5"/>
    <w:rsid w:val="000A2482"/>
    <w:rsid w:val="000A24B4"/>
    <w:rsid w:val="000A6A4B"/>
    <w:rsid w:val="000A7630"/>
    <w:rsid w:val="000B05A8"/>
    <w:rsid w:val="000B24AF"/>
    <w:rsid w:val="000B2C85"/>
    <w:rsid w:val="000B4340"/>
    <w:rsid w:val="000B504E"/>
    <w:rsid w:val="000B573E"/>
    <w:rsid w:val="000B73D2"/>
    <w:rsid w:val="000B7CAE"/>
    <w:rsid w:val="000B7D2B"/>
    <w:rsid w:val="000C0A42"/>
    <w:rsid w:val="000C0B4D"/>
    <w:rsid w:val="000C2355"/>
    <w:rsid w:val="000C2483"/>
    <w:rsid w:val="000C2548"/>
    <w:rsid w:val="000C3C22"/>
    <w:rsid w:val="000C4068"/>
    <w:rsid w:val="000C6338"/>
    <w:rsid w:val="000C6386"/>
    <w:rsid w:val="000C65DD"/>
    <w:rsid w:val="000D33FF"/>
    <w:rsid w:val="000D3D31"/>
    <w:rsid w:val="000D5C21"/>
    <w:rsid w:val="000E0008"/>
    <w:rsid w:val="000E4819"/>
    <w:rsid w:val="000E526A"/>
    <w:rsid w:val="000E60B9"/>
    <w:rsid w:val="000F0DAC"/>
    <w:rsid w:val="000F224B"/>
    <w:rsid w:val="000F508F"/>
    <w:rsid w:val="000F5ED1"/>
    <w:rsid w:val="000F7E4A"/>
    <w:rsid w:val="00100C1F"/>
    <w:rsid w:val="0010273D"/>
    <w:rsid w:val="0010488B"/>
    <w:rsid w:val="001104F5"/>
    <w:rsid w:val="00111384"/>
    <w:rsid w:val="00113253"/>
    <w:rsid w:val="001179F5"/>
    <w:rsid w:val="00117E61"/>
    <w:rsid w:val="001219E6"/>
    <w:rsid w:val="001225FC"/>
    <w:rsid w:val="001234EF"/>
    <w:rsid w:val="001249D5"/>
    <w:rsid w:val="001308C2"/>
    <w:rsid w:val="001314D1"/>
    <w:rsid w:val="0013166B"/>
    <w:rsid w:val="00133C4E"/>
    <w:rsid w:val="00134107"/>
    <w:rsid w:val="00134638"/>
    <w:rsid w:val="001360B3"/>
    <w:rsid w:val="00136590"/>
    <w:rsid w:val="0013678E"/>
    <w:rsid w:val="00141F0F"/>
    <w:rsid w:val="001432A7"/>
    <w:rsid w:val="00143E31"/>
    <w:rsid w:val="00144367"/>
    <w:rsid w:val="00145959"/>
    <w:rsid w:val="00145AA2"/>
    <w:rsid w:val="00145DDF"/>
    <w:rsid w:val="00146771"/>
    <w:rsid w:val="001477A0"/>
    <w:rsid w:val="00147955"/>
    <w:rsid w:val="00150A07"/>
    <w:rsid w:val="0015245A"/>
    <w:rsid w:val="00152938"/>
    <w:rsid w:val="001533D6"/>
    <w:rsid w:val="00155508"/>
    <w:rsid w:val="00155887"/>
    <w:rsid w:val="00160956"/>
    <w:rsid w:val="00162F5A"/>
    <w:rsid w:val="00163E5D"/>
    <w:rsid w:val="001649A0"/>
    <w:rsid w:val="0016645F"/>
    <w:rsid w:val="00167CA8"/>
    <w:rsid w:val="00167D06"/>
    <w:rsid w:val="001711D1"/>
    <w:rsid w:val="00171266"/>
    <w:rsid w:val="00175F9A"/>
    <w:rsid w:val="00177AD9"/>
    <w:rsid w:val="001804AB"/>
    <w:rsid w:val="00182B41"/>
    <w:rsid w:val="00182CD9"/>
    <w:rsid w:val="00183531"/>
    <w:rsid w:val="0018388A"/>
    <w:rsid w:val="00183EC9"/>
    <w:rsid w:val="00190899"/>
    <w:rsid w:val="001915E5"/>
    <w:rsid w:val="0019280C"/>
    <w:rsid w:val="00197035"/>
    <w:rsid w:val="00197B79"/>
    <w:rsid w:val="001A0707"/>
    <w:rsid w:val="001A0830"/>
    <w:rsid w:val="001A1AF2"/>
    <w:rsid w:val="001A2140"/>
    <w:rsid w:val="001A2573"/>
    <w:rsid w:val="001A270A"/>
    <w:rsid w:val="001A2991"/>
    <w:rsid w:val="001A361D"/>
    <w:rsid w:val="001A7BCC"/>
    <w:rsid w:val="001A7DA1"/>
    <w:rsid w:val="001B054C"/>
    <w:rsid w:val="001B0C1C"/>
    <w:rsid w:val="001B1104"/>
    <w:rsid w:val="001B4013"/>
    <w:rsid w:val="001B42D9"/>
    <w:rsid w:val="001B6122"/>
    <w:rsid w:val="001B651B"/>
    <w:rsid w:val="001C139B"/>
    <w:rsid w:val="001C15EC"/>
    <w:rsid w:val="001C1D27"/>
    <w:rsid w:val="001C221D"/>
    <w:rsid w:val="001C5F38"/>
    <w:rsid w:val="001C683D"/>
    <w:rsid w:val="001D072C"/>
    <w:rsid w:val="001D0C88"/>
    <w:rsid w:val="001D4546"/>
    <w:rsid w:val="001D47D9"/>
    <w:rsid w:val="001D752A"/>
    <w:rsid w:val="001E481C"/>
    <w:rsid w:val="001F09B8"/>
    <w:rsid w:val="001F189C"/>
    <w:rsid w:val="001F1A7B"/>
    <w:rsid w:val="001F1BD2"/>
    <w:rsid w:val="001F2871"/>
    <w:rsid w:val="001F669D"/>
    <w:rsid w:val="001F66E0"/>
    <w:rsid w:val="001F6AD1"/>
    <w:rsid w:val="001F6E66"/>
    <w:rsid w:val="001F70A1"/>
    <w:rsid w:val="001F732F"/>
    <w:rsid w:val="001F735D"/>
    <w:rsid w:val="002000F0"/>
    <w:rsid w:val="00202DC7"/>
    <w:rsid w:val="00203E68"/>
    <w:rsid w:val="00204509"/>
    <w:rsid w:val="002114EA"/>
    <w:rsid w:val="002132A6"/>
    <w:rsid w:val="002166C5"/>
    <w:rsid w:val="0021670C"/>
    <w:rsid w:val="00216AC1"/>
    <w:rsid w:val="00216E0D"/>
    <w:rsid w:val="00217760"/>
    <w:rsid w:val="00217F46"/>
    <w:rsid w:val="0022048C"/>
    <w:rsid w:val="002239FE"/>
    <w:rsid w:val="00223E98"/>
    <w:rsid w:val="00224B38"/>
    <w:rsid w:val="00227954"/>
    <w:rsid w:val="00232A91"/>
    <w:rsid w:val="00234323"/>
    <w:rsid w:val="00235FC1"/>
    <w:rsid w:val="00240191"/>
    <w:rsid w:val="00240A0B"/>
    <w:rsid w:val="0024220A"/>
    <w:rsid w:val="00244392"/>
    <w:rsid w:val="00245DA9"/>
    <w:rsid w:val="00250125"/>
    <w:rsid w:val="00254B9C"/>
    <w:rsid w:val="00257182"/>
    <w:rsid w:val="00257D69"/>
    <w:rsid w:val="00260A91"/>
    <w:rsid w:val="0026483B"/>
    <w:rsid w:val="00266B6D"/>
    <w:rsid w:val="00270DB4"/>
    <w:rsid w:val="0027108D"/>
    <w:rsid w:val="002712DB"/>
    <w:rsid w:val="002723CF"/>
    <w:rsid w:val="00272D68"/>
    <w:rsid w:val="0027301C"/>
    <w:rsid w:val="00274DD5"/>
    <w:rsid w:val="00274FA3"/>
    <w:rsid w:val="00275D6E"/>
    <w:rsid w:val="00276128"/>
    <w:rsid w:val="00280830"/>
    <w:rsid w:val="0028369E"/>
    <w:rsid w:val="00286B83"/>
    <w:rsid w:val="00287623"/>
    <w:rsid w:val="002908C9"/>
    <w:rsid w:val="00293F9A"/>
    <w:rsid w:val="00297794"/>
    <w:rsid w:val="00297992"/>
    <w:rsid w:val="002A0053"/>
    <w:rsid w:val="002A0CF8"/>
    <w:rsid w:val="002A1830"/>
    <w:rsid w:val="002A2074"/>
    <w:rsid w:val="002A2249"/>
    <w:rsid w:val="002A28F7"/>
    <w:rsid w:val="002A3F45"/>
    <w:rsid w:val="002A5936"/>
    <w:rsid w:val="002A687E"/>
    <w:rsid w:val="002A7269"/>
    <w:rsid w:val="002A7808"/>
    <w:rsid w:val="002B138C"/>
    <w:rsid w:val="002B2542"/>
    <w:rsid w:val="002B348E"/>
    <w:rsid w:val="002B3932"/>
    <w:rsid w:val="002B4A7B"/>
    <w:rsid w:val="002B5D21"/>
    <w:rsid w:val="002C1C15"/>
    <w:rsid w:val="002C2227"/>
    <w:rsid w:val="002C3027"/>
    <w:rsid w:val="002C4B28"/>
    <w:rsid w:val="002C75EF"/>
    <w:rsid w:val="002D02C0"/>
    <w:rsid w:val="002D02FA"/>
    <w:rsid w:val="002D06AA"/>
    <w:rsid w:val="002D0E36"/>
    <w:rsid w:val="002D0EA5"/>
    <w:rsid w:val="002D108C"/>
    <w:rsid w:val="002D13EA"/>
    <w:rsid w:val="002D4615"/>
    <w:rsid w:val="002D6704"/>
    <w:rsid w:val="002E0A2A"/>
    <w:rsid w:val="002E113B"/>
    <w:rsid w:val="002E1441"/>
    <w:rsid w:val="002E1FF5"/>
    <w:rsid w:val="002E585E"/>
    <w:rsid w:val="002E633B"/>
    <w:rsid w:val="002E7A01"/>
    <w:rsid w:val="002E7D71"/>
    <w:rsid w:val="002F1535"/>
    <w:rsid w:val="002F18DB"/>
    <w:rsid w:val="002F2A73"/>
    <w:rsid w:val="002F4602"/>
    <w:rsid w:val="002F5047"/>
    <w:rsid w:val="002F5510"/>
    <w:rsid w:val="002F6481"/>
    <w:rsid w:val="00300D24"/>
    <w:rsid w:val="00302129"/>
    <w:rsid w:val="003027EB"/>
    <w:rsid w:val="00303D92"/>
    <w:rsid w:val="00305366"/>
    <w:rsid w:val="003058E2"/>
    <w:rsid w:val="0030700B"/>
    <w:rsid w:val="003107FA"/>
    <w:rsid w:val="00315916"/>
    <w:rsid w:val="00315990"/>
    <w:rsid w:val="00315A22"/>
    <w:rsid w:val="00315C63"/>
    <w:rsid w:val="00315CE4"/>
    <w:rsid w:val="00320BD9"/>
    <w:rsid w:val="003220E4"/>
    <w:rsid w:val="00322D7A"/>
    <w:rsid w:val="00323FAE"/>
    <w:rsid w:val="00324DD7"/>
    <w:rsid w:val="00324DDA"/>
    <w:rsid w:val="00325B91"/>
    <w:rsid w:val="003260E0"/>
    <w:rsid w:val="0032692A"/>
    <w:rsid w:val="00326FE2"/>
    <w:rsid w:val="003276E8"/>
    <w:rsid w:val="00327F64"/>
    <w:rsid w:val="00332465"/>
    <w:rsid w:val="003328A2"/>
    <w:rsid w:val="00336F2A"/>
    <w:rsid w:val="003402EF"/>
    <w:rsid w:val="00340624"/>
    <w:rsid w:val="003428D8"/>
    <w:rsid w:val="003446FC"/>
    <w:rsid w:val="003451B1"/>
    <w:rsid w:val="00345D57"/>
    <w:rsid w:val="00346595"/>
    <w:rsid w:val="00351125"/>
    <w:rsid w:val="0035383B"/>
    <w:rsid w:val="00354B42"/>
    <w:rsid w:val="00356DF5"/>
    <w:rsid w:val="0036195C"/>
    <w:rsid w:val="00365B44"/>
    <w:rsid w:val="00367EFB"/>
    <w:rsid w:val="00367F09"/>
    <w:rsid w:val="00367FDD"/>
    <w:rsid w:val="00370722"/>
    <w:rsid w:val="00370CAB"/>
    <w:rsid w:val="00370E23"/>
    <w:rsid w:val="00374199"/>
    <w:rsid w:val="0037514A"/>
    <w:rsid w:val="00375567"/>
    <w:rsid w:val="003854D9"/>
    <w:rsid w:val="00386F6D"/>
    <w:rsid w:val="0038781F"/>
    <w:rsid w:val="003878BB"/>
    <w:rsid w:val="00387DF8"/>
    <w:rsid w:val="0039188E"/>
    <w:rsid w:val="00391DEE"/>
    <w:rsid w:val="00392EEB"/>
    <w:rsid w:val="003933D5"/>
    <w:rsid w:val="00393E32"/>
    <w:rsid w:val="0039440E"/>
    <w:rsid w:val="00395106"/>
    <w:rsid w:val="0039673A"/>
    <w:rsid w:val="0039699C"/>
    <w:rsid w:val="003969E9"/>
    <w:rsid w:val="00396AD3"/>
    <w:rsid w:val="00397BF7"/>
    <w:rsid w:val="003A05E4"/>
    <w:rsid w:val="003A4FA1"/>
    <w:rsid w:val="003A5897"/>
    <w:rsid w:val="003A60FE"/>
    <w:rsid w:val="003A625A"/>
    <w:rsid w:val="003A6281"/>
    <w:rsid w:val="003A7587"/>
    <w:rsid w:val="003B327E"/>
    <w:rsid w:val="003B375F"/>
    <w:rsid w:val="003B4480"/>
    <w:rsid w:val="003B698F"/>
    <w:rsid w:val="003C0DA3"/>
    <w:rsid w:val="003C4034"/>
    <w:rsid w:val="003C6A8D"/>
    <w:rsid w:val="003C7894"/>
    <w:rsid w:val="003D3B02"/>
    <w:rsid w:val="003D4101"/>
    <w:rsid w:val="003D4538"/>
    <w:rsid w:val="003E100D"/>
    <w:rsid w:val="003E2A76"/>
    <w:rsid w:val="003E3F5B"/>
    <w:rsid w:val="003E50F1"/>
    <w:rsid w:val="003F19E5"/>
    <w:rsid w:val="003F21CD"/>
    <w:rsid w:val="003F6962"/>
    <w:rsid w:val="004009F5"/>
    <w:rsid w:val="004012D9"/>
    <w:rsid w:val="00406977"/>
    <w:rsid w:val="00406AA6"/>
    <w:rsid w:val="00413614"/>
    <w:rsid w:val="00413C38"/>
    <w:rsid w:val="00414824"/>
    <w:rsid w:val="004176DB"/>
    <w:rsid w:val="00420B2E"/>
    <w:rsid w:val="0042417C"/>
    <w:rsid w:val="004241FC"/>
    <w:rsid w:val="004244FD"/>
    <w:rsid w:val="00425489"/>
    <w:rsid w:val="00425E47"/>
    <w:rsid w:val="00427DA5"/>
    <w:rsid w:val="00432142"/>
    <w:rsid w:val="004328AE"/>
    <w:rsid w:val="00434758"/>
    <w:rsid w:val="00434CCD"/>
    <w:rsid w:val="0043643F"/>
    <w:rsid w:val="00437DFE"/>
    <w:rsid w:val="00440DBB"/>
    <w:rsid w:val="00441A30"/>
    <w:rsid w:val="00444D1D"/>
    <w:rsid w:val="00444DE8"/>
    <w:rsid w:val="004466F2"/>
    <w:rsid w:val="00446F0F"/>
    <w:rsid w:val="00452846"/>
    <w:rsid w:val="0045312B"/>
    <w:rsid w:val="00453D94"/>
    <w:rsid w:val="00456C16"/>
    <w:rsid w:val="00457E2D"/>
    <w:rsid w:val="004606CF"/>
    <w:rsid w:val="004628C2"/>
    <w:rsid w:val="00463719"/>
    <w:rsid w:val="004650DC"/>
    <w:rsid w:val="00466A6E"/>
    <w:rsid w:val="004673C9"/>
    <w:rsid w:val="00470A7A"/>
    <w:rsid w:val="00471D2F"/>
    <w:rsid w:val="00473C8D"/>
    <w:rsid w:val="00475ABD"/>
    <w:rsid w:val="00480966"/>
    <w:rsid w:val="004847F3"/>
    <w:rsid w:val="00490730"/>
    <w:rsid w:val="00493C8E"/>
    <w:rsid w:val="00495065"/>
    <w:rsid w:val="0049578C"/>
    <w:rsid w:val="00496206"/>
    <w:rsid w:val="004964DA"/>
    <w:rsid w:val="00497189"/>
    <w:rsid w:val="0049724C"/>
    <w:rsid w:val="004A0DFB"/>
    <w:rsid w:val="004A1474"/>
    <w:rsid w:val="004A1BFA"/>
    <w:rsid w:val="004A652A"/>
    <w:rsid w:val="004B0BF2"/>
    <w:rsid w:val="004B3971"/>
    <w:rsid w:val="004B39CB"/>
    <w:rsid w:val="004B3A00"/>
    <w:rsid w:val="004B461A"/>
    <w:rsid w:val="004B6410"/>
    <w:rsid w:val="004C16CC"/>
    <w:rsid w:val="004C1DD4"/>
    <w:rsid w:val="004C1FB9"/>
    <w:rsid w:val="004C1FC6"/>
    <w:rsid w:val="004C39B5"/>
    <w:rsid w:val="004C5A9F"/>
    <w:rsid w:val="004C6448"/>
    <w:rsid w:val="004C686D"/>
    <w:rsid w:val="004C6BDD"/>
    <w:rsid w:val="004C6CA9"/>
    <w:rsid w:val="004D1748"/>
    <w:rsid w:val="004D1D41"/>
    <w:rsid w:val="004D2648"/>
    <w:rsid w:val="004D6DB5"/>
    <w:rsid w:val="004D7877"/>
    <w:rsid w:val="004D7BB5"/>
    <w:rsid w:val="004E1116"/>
    <w:rsid w:val="004E1680"/>
    <w:rsid w:val="004E2D8C"/>
    <w:rsid w:val="004E3E6B"/>
    <w:rsid w:val="004E3F4C"/>
    <w:rsid w:val="004E47FE"/>
    <w:rsid w:val="004E486B"/>
    <w:rsid w:val="004E5CD1"/>
    <w:rsid w:val="004E66FB"/>
    <w:rsid w:val="004F0529"/>
    <w:rsid w:val="004F1249"/>
    <w:rsid w:val="004F3A27"/>
    <w:rsid w:val="004F5310"/>
    <w:rsid w:val="004F54A7"/>
    <w:rsid w:val="004F5932"/>
    <w:rsid w:val="004F62D4"/>
    <w:rsid w:val="00502E7D"/>
    <w:rsid w:val="005036DD"/>
    <w:rsid w:val="00503C99"/>
    <w:rsid w:val="0050487F"/>
    <w:rsid w:val="00506855"/>
    <w:rsid w:val="00506D33"/>
    <w:rsid w:val="005079AC"/>
    <w:rsid w:val="00507B67"/>
    <w:rsid w:val="005104DE"/>
    <w:rsid w:val="00512F30"/>
    <w:rsid w:val="00513AF2"/>
    <w:rsid w:val="00513DA5"/>
    <w:rsid w:val="00514F1E"/>
    <w:rsid w:val="00520B24"/>
    <w:rsid w:val="00521F54"/>
    <w:rsid w:val="00526983"/>
    <w:rsid w:val="00534EB5"/>
    <w:rsid w:val="00536930"/>
    <w:rsid w:val="005372BB"/>
    <w:rsid w:val="00541424"/>
    <w:rsid w:val="00543ABF"/>
    <w:rsid w:val="0054404A"/>
    <w:rsid w:val="00544367"/>
    <w:rsid w:val="00544650"/>
    <w:rsid w:val="00552CC7"/>
    <w:rsid w:val="00552F7C"/>
    <w:rsid w:val="005541F3"/>
    <w:rsid w:val="00556839"/>
    <w:rsid w:val="005604ED"/>
    <w:rsid w:val="00560B6A"/>
    <w:rsid w:val="00564A88"/>
    <w:rsid w:val="00566967"/>
    <w:rsid w:val="00567145"/>
    <w:rsid w:val="0056752B"/>
    <w:rsid w:val="00570344"/>
    <w:rsid w:val="00572C0C"/>
    <w:rsid w:val="00572C32"/>
    <w:rsid w:val="00573AEB"/>
    <w:rsid w:val="00575497"/>
    <w:rsid w:val="00576521"/>
    <w:rsid w:val="00577AF5"/>
    <w:rsid w:val="00580B1D"/>
    <w:rsid w:val="005811C9"/>
    <w:rsid w:val="00581800"/>
    <w:rsid w:val="00581F2D"/>
    <w:rsid w:val="00582238"/>
    <w:rsid w:val="00582CD4"/>
    <w:rsid w:val="00583461"/>
    <w:rsid w:val="00583659"/>
    <w:rsid w:val="00585A1A"/>
    <w:rsid w:val="00585ABC"/>
    <w:rsid w:val="00591D44"/>
    <w:rsid w:val="00591DFB"/>
    <w:rsid w:val="00592474"/>
    <w:rsid w:val="005943D3"/>
    <w:rsid w:val="00594680"/>
    <w:rsid w:val="00594932"/>
    <w:rsid w:val="00595B8B"/>
    <w:rsid w:val="00595ED5"/>
    <w:rsid w:val="00596A41"/>
    <w:rsid w:val="00597963"/>
    <w:rsid w:val="00597B84"/>
    <w:rsid w:val="005A1FED"/>
    <w:rsid w:val="005A6150"/>
    <w:rsid w:val="005A6881"/>
    <w:rsid w:val="005A763E"/>
    <w:rsid w:val="005B2CF2"/>
    <w:rsid w:val="005B3262"/>
    <w:rsid w:val="005B572A"/>
    <w:rsid w:val="005B588F"/>
    <w:rsid w:val="005C08D4"/>
    <w:rsid w:val="005C118E"/>
    <w:rsid w:val="005C504B"/>
    <w:rsid w:val="005C5C65"/>
    <w:rsid w:val="005C6C39"/>
    <w:rsid w:val="005C7490"/>
    <w:rsid w:val="005C7ECA"/>
    <w:rsid w:val="005D2B4A"/>
    <w:rsid w:val="005D3E2A"/>
    <w:rsid w:val="005D6221"/>
    <w:rsid w:val="005D7C31"/>
    <w:rsid w:val="005E040B"/>
    <w:rsid w:val="005E36DE"/>
    <w:rsid w:val="005E5529"/>
    <w:rsid w:val="005E7B8B"/>
    <w:rsid w:val="005F0351"/>
    <w:rsid w:val="005F0A60"/>
    <w:rsid w:val="005F3403"/>
    <w:rsid w:val="005F3FB3"/>
    <w:rsid w:val="005F419F"/>
    <w:rsid w:val="005F56E0"/>
    <w:rsid w:val="005F5C6D"/>
    <w:rsid w:val="005F78D0"/>
    <w:rsid w:val="005F7989"/>
    <w:rsid w:val="005F79E2"/>
    <w:rsid w:val="00600B0F"/>
    <w:rsid w:val="00600B4D"/>
    <w:rsid w:val="00602317"/>
    <w:rsid w:val="00602916"/>
    <w:rsid w:val="0060359B"/>
    <w:rsid w:val="00603D79"/>
    <w:rsid w:val="00604A98"/>
    <w:rsid w:val="00610BD4"/>
    <w:rsid w:val="00610DF5"/>
    <w:rsid w:val="00614169"/>
    <w:rsid w:val="00616E86"/>
    <w:rsid w:val="00617C64"/>
    <w:rsid w:val="00622146"/>
    <w:rsid w:val="00622EEE"/>
    <w:rsid w:val="00627B35"/>
    <w:rsid w:val="00627DF3"/>
    <w:rsid w:val="00631CDF"/>
    <w:rsid w:val="006340CE"/>
    <w:rsid w:val="0063426A"/>
    <w:rsid w:val="006354B3"/>
    <w:rsid w:val="00641CFE"/>
    <w:rsid w:val="00643D03"/>
    <w:rsid w:val="006441A7"/>
    <w:rsid w:val="00645F4F"/>
    <w:rsid w:val="00646965"/>
    <w:rsid w:val="00646A10"/>
    <w:rsid w:val="006476CA"/>
    <w:rsid w:val="00651F83"/>
    <w:rsid w:val="00652318"/>
    <w:rsid w:val="00654EAF"/>
    <w:rsid w:val="00655927"/>
    <w:rsid w:val="00656514"/>
    <w:rsid w:val="00656FA2"/>
    <w:rsid w:val="006570D9"/>
    <w:rsid w:val="006578A4"/>
    <w:rsid w:val="00660297"/>
    <w:rsid w:val="00660CF9"/>
    <w:rsid w:val="00661B43"/>
    <w:rsid w:val="006628ED"/>
    <w:rsid w:val="006632CC"/>
    <w:rsid w:val="006643B7"/>
    <w:rsid w:val="00665B33"/>
    <w:rsid w:val="00667C9D"/>
    <w:rsid w:val="00671C2A"/>
    <w:rsid w:val="00671CEC"/>
    <w:rsid w:val="00672354"/>
    <w:rsid w:val="006771DE"/>
    <w:rsid w:val="006869A4"/>
    <w:rsid w:val="0069152B"/>
    <w:rsid w:val="00692278"/>
    <w:rsid w:val="00694186"/>
    <w:rsid w:val="0069562A"/>
    <w:rsid w:val="00695B11"/>
    <w:rsid w:val="00697584"/>
    <w:rsid w:val="006A0127"/>
    <w:rsid w:val="006A23AB"/>
    <w:rsid w:val="006A3B53"/>
    <w:rsid w:val="006A6DEC"/>
    <w:rsid w:val="006A7E13"/>
    <w:rsid w:val="006B2EFA"/>
    <w:rsid w:val="006B43AA"/>
    <w:rsid w:val="006B4FCF"/>
    <w:rsid w:val="006B62B3"/>
    <w:rsid w:val="006C5A49"/>
    <w:rsid w:val="006C5E1E"/>
    <w:rsid w:val="006C7136"/>
    <w:rsid w:val="006C746A"/>
    <w:rsid w:val="006C7EDD"/>
    <w:rsid w:val="006D0BDA"/>
    <w:rsid w:val="006D0D58"/>
    <w:rsid w:val="006D0F0D"/>
    <w:rsid w:val="006D1A86"/>
    <w:rsid w:val="006D3498"/>
    <w:rsid w:val="006D57FE"/>
    <w:rsid w:val="006D632E"/>
    <w:rsid w:val="006E23E1"/>
    <w:rsid w:val="006E2985"/>
    <w:rsid w:val="006E2FC1"/>
    <w:rsid w:val="006E4E2B"/>
    <w:rsid w:val="006E6105"/>
    <w:rsid w:val="006E671E"/>
    <w:rsid w:val="006E7AF1"/>
    <w:rsid w:val="006F03E0"/>
    <w:rsid w:val="006F0503"/>
    <w:rsid w:val="006F53AE"/>
    <w:rsid w:val="006F6940"/>
    <w:rsid w:val="006F769A"/>
    <w:rsid w:val="00701D33"/>
    <w:rsid w:val="00702378"/>
    <w:rsid w:val="007048B5"/>
    <w:rsid w:val="00706B3E"/>
    <w:rsid w:val="00707CE4"/>
    <w:rsid w:val="0071073A"/>
    <w:rsid w:val="00711A1F"/>
    <w:rsid w:val="00711B92"/>
    <w:rsid w:val="00713BF8"/>
    <w:rsid w:val="0071475C"/>
    <w:rsid w:val="00715791"/>
    <w:rsid w:val="00715FFC"/>
    <w:rsid w:val="00720269"/>
    <w:rsid w:val="00720D1F"/>
    <w:rsid w:val="00722474"/>
    <w:rsid w:val="00722872"/>
    <w:rsid w:val="0072315E"/>
    <w:rsid w:val="0072346B"/>
    <w:rsid w:val="00723E32"/>
    <w:rsid w:val="00727F79"/>
    <w:rsid w:val="007321CD"/>
    <w:rsid w:val="00733E65"/>
    <w:rsid w:val="00734F6F"/>
    <w:rsid w:val="00735140"/>
    <w:rsid w:val="00736003"/>
    <w:rsid w:val="00737F8D"/>
    <w:rsid w:val="00743758"/>
    <w:rsid w:val="00744540"/>
    <w:rsid w:val="00744B1F"/>
    <w:rsid w:val="00745D07"/>
    <w:rsid w:val="00746C1D"/>
    <w:rsid w:val="007470D7"/>
    <w:rsid w:val="00750072"/>
    <w:rsid w:val="007503A7"/>
    <w:rsid w:val="00750661"/>
    <w:rsid w:val="0075208F"/>
    <w:rsid w:val="007568B4"/>
    <w:rsid w:val="00757184"/>
    <w:rsid w:val="00760BB7"/>
    <w:rsid w:val="007615B8"/>
    <w:rsid w:val="00762B65"/>
    <w:rsid w:val="00762FF6"/>
    <w:rsid w:val="00765B02"/>
    <w:rsid w:val="00766357"/>
    <w:rsid w:val="007673D7"/>
    <w:rsid w:val="007674DE"/>
    <w:rsid w:val="007674EB"/>
    <w:rsid w:val="00767C27"/>
    <w:rsid w:val="007713F5"/>
    <w:rsid w:val="007716C0"/>
    <w:rsid w:val="007749F2"/>
    <w:rsid w:val="00775BBF"/>
    <w:rsid w:val="0077652B"/>
    <w:rsid w:val="007777AA"/>
    <w:rsid w:val="007804CC"/>
    <w:rsid w:val="00780671"/>
    <w:rsid w:val="007821BD"/>
    <w:rsid w:val="007838F3"/>
    <w:rsid w:val="007845B1"/>
    <w:rsid w:val="00785BF3"/>
    <w:rsid w:val="00786B8E"/>
    <w:rsid w:val="0078762F"/>
    <w:rsid w:val="00787B98"/>
    <w:rsid w:val="00790A2A"/>
    <w:rsid w:val="00793DD7"/>
    <w:rsid w:val="00795160"/>
    <w:rsid w:val="00795F5D"/>
    <w:rsid w:val="00796580"/>
    <w:rsid w:val="00796BCB"/>
    <w:rsid w:val="00796D82"/>
    <w:rsid w:val="007A41A4"/>
    <w:rsid w:val="007A4E7B"/>
    <w:rsid w:val="007A619E"/>
    <w:rsid w:val="007A637C"/>
    <w:rsid w:val="007A6ECA"/>
    <w:rsid w:val="007B2DC0"/>
    <w:rsid w:val="007B3C40"/>
    <w:rsid w:val="007B5EB8"/>
    <w:rsid w:val="007B6247"/>
    <w:rsid w:val="007C03B6"/>
    <w:rsid w:val="007C0757"/>
    <w:rsid w:val="007C0F73"/>
    <w:rsid w:val="007C367B"/>
    <w:rsid w:val="007C4EF8"/>
    <w:rsid w:val="007C6D67"/>
    <w:rsid w:val="007C715B"/>
    <w:rsid w:val="007C734C"/>
    <w:rsid w:val="007D014A"/>
    <w:rsid w:val="007D06B8"/>
    <w:rsid w:val="007D0D27"/>
    <w:rsid w:val="007D2D68"/>
    <w:rsid w:val="007D69F5"/>
    <w:rsid w:val="007D74B0"/>
    <w:rsid w:val="007D7574"/>
    <w:rsid w:val="007E0E0A"/>
    <w:rsid w:val="007E1E43"/>
    <w:rsid w:val="007E318E"/>
    <w:rsid w:val="007E31E3"/>
    <w:rsid w:val="007E4355"/>
    <w:rsid w:val="007E53B5"/>
    <w:rsid w:val="007E625C"/>
    <w:rsid w:val="007E6D54"/>
    <w:rsid w:val="007F1A71"/>
    <w:rsid w:val="007F24B3"/>
    <w:rsid w:val="007F5C19"/>
    <w:rsid w:val="007F7CFA"/>
    <w:rsid w:val="008026F6"/>
    <w:rsid w:val="00805948"/>
    <w:rsid w:val="00806689"/>
    <w:rsid w:val="0080743F"/>
    <w:rsid w:val="0081095C"/>
    <w:rsid w:val="0081187C"/>
    <w:rsid w:val="00812440"/>
    <w:rsid w:val="00812CB4"/>
    <w:rsid w:val="008144AE"/>
    <w:rsid w:val="00814605"/>
    <w:rsid w:val="00815DDA"/>
    <w:rsid w:val="00816124"/>
    <w:rsid w:val="00816A06"/>
    <w:rsid w:val="008204C6"/>
    <w:rsid w:val="008223FD"/>
    <w:rsid w:val="00822546"/>
    <w:rsid w:val="008230A6"/>
    <w:rsid w:val="00824BC3"/>
    <w:rsid w:val="00824C15"/>
    <w:rsid w:val="00824E16"/>
    <w:rsid w:val="00825490"/>
    <w:rsid w:val="008272E6"/>
    <w:rsid w:val="00830266"/>
    <w:rsid w:val="00830863"/>
    <w:rsid w:val="008312D2"/>
    <w:rsid w:val="008350AA"/>
    <w:rsid w:val="00837AF0"/>
    <w:rsid w:val="00841BBD"/>
    <w:rsid w:val="00841E57"/>
    <w:rsid w:val="00842218"/>
    <w:rsid w:val="00842F2C"/>
    <w:rsid w:val="00846AF7"/>
    <w:rsid w:val="00850378"/>
    <w:rsid w:val="008507B3"/>
    <w:rsid w:val="008533BC"/>
    <w:rsid w:val="00853859"/>
    <w:rsid w:val="008569CA"/>
    <w:rsid w:val="0086001D"/>
    <w:rsid w:val="0086137B"/>
    <w:rsid w:val="008613C0"/>
    <w:rsid w:val="00862426"/>
    <w:rsid w:val="008625A0"/>
    <w:rsid w:val="008630A4"/>
    <w:rsid w:val="00863471"/>
    <w:rsid w:val="00870143"/>
    <w:rsid w:val="008704D1"/>
    <w:rsid w:val="00871987"/>
    <w:rsid w:val="00874C17"/>
    <w:rsid w:val="00876693"/>
    <w:rsid w:val="0087686E"/>
    <w:rsid w:val="00876878"/>
    <w:rsid w:val="008773D6"/>
    <w:rsid w:val="008775E4"/>
    <w:rsid w:val="008803B6"/>
    <w:rsid w:val="00880969"/>
    <w:rsid w:val="008838EA"/>
    <w:rsid w:val="008848A7"/>
    <w:rsid w:val="008856C2"/>
    <w:rsid w:val="00885CF6"/>
    <w:rsid w:val="008866E3"/>
    <w:rsid w:val="0088741C"/>
    <w:rsid w:val="00887A0E"/>
    <w:rsid w:val="0089049A"/>
    <w:rsid w:val="00891C7C"/>
    <w:rsid w:val="00892863"/>
    <w:rsid w:val="00892D50"/>
    <w:rsid w:val="0089336E"/>
    <w:rsid w:val="00893B4D"/>
    <w:rsid w:val="00893E4F"/>
    <w:rsid w:val="008940F7"/>
    <w:rsid w:val="008A0A2E"/>
    <w:rsid w:val="008A0C17"/>
    <w:rsid w:val="008A1467"/>
    <w:rsid w:val="008A54DB"/>
    <w:rsid w:val="008A61B1"/>
    <w:rsid w:val="008A75FA"/>
    <w:rsid w:val="008A76D8"/>
    <w:rsid w:val="008B293D"/>
    <w:rsid w:val="008B4DF8"/>
    <w:rsid w:val="008B541C"/>
    <w:rsid w:val="008B6D5D"/>
    <w:rsid w:val="008C1DA1"/>
    <w:rsid w:val="008C2EC4"/>
    <w:rsid w:val="008C3313"/>
    <w:rsid w:val="008C7CAF"/>
    <w:rsid w:val="008C7E4B"/>
    <w:rsid w:val="008D0C8A"/>
    <w:rsid w:val="008D2CCD"/>
    <w:rsid w:val="008D2EA3"/>
    <w:rsid w:val="008D5874"/>
    <w:rsid w:val="008D5880"/>
    <w:rsid w:val="008E5DC3"/>
    <w:rsid w:val="008E5E46"/>
    <w:rsid w:val="008E6186"/>
    <w:rsid w:val="008E6499"/>
    <w:rsid w:val="008F02E5"/>
    <w:rsid w:val="008F484D"/>
    <w:rsid w:val="008F5118"/>
    <w:rsid w:val="008F621A"/>
    <w:rsid w:val="009007B4"/>
    <w:rsid w:val="00903A3D"/>
    <w:rsid w:val="00906D01"/>
    <w:rsid w:val="0091325A"/>
    <w:rsid w:val="00914D05"/>
    <w:rsid w:val="00917D3A"/>
    <w:rsid w:val="009205D8"/>
    <w:rsid w:val="00921491"/>
    <w:rsid w:val="00923062"/>
    <w:rsid w:val="00925E82"/>
    <w:rsid w:val="009302D4"/>
    <w:rsid w:val="009305D7"/>
    <w:rsid w:val="0093081F"/>
    <w:rsid w:val="00932AD3"/>
    <w:rsid w:val="00933A89"/>
    <w:rsid w:val="00933DC3"/>
    <w:rsid w:val="009352A8"/>
    <w:rsid w:val="00936C59"/>
    <w:rsid w:val="0093702F"/>
    <w:rsid w:val="00937561"/>
    <w:rsid w:val="00940260"/>
    <w:rsid w:val="00940648"/>
    <w:rsid w:val="0094126C"/>
    <w:rsid w:val="00941335"/>
    <w:rsid w:val="00941ECE"/>
    <w:rsid w:val="009427A2"/>
    <w:rsid w:val="0094449E"/>
    <w:rsid w:val="009449E6"/>
    <w:rsid w:val="00945602"/>
    <w:rsid w:val="009472F2"/>
    <w:rsid w:val="00952817"/>
    <w:rsid w:val="00952AE7"/>
    <w:rsid w:val="009573F2"/>
    <w:rsid w:val="00960939"/>
    <w:rsid w:val="009610EA"/>
    <w:rsid w:val="0096147A"/>
    <w:rsid w:val="00961990"/>
    <w:rsid w:val="00961EC0"/>
    <w:rsid w:val="00961FE4"/>
    <w:rsid w:val="00962237"/>
    <w:rsid w:val="0096376D"/>
    <w:rsid w:val="00963FC6"/>
    <w:rsid w:val="009640BC"/>
    <w:rsid w:val="00965801"/>
    <w:rsid w:val="00970EA1"/>
    <w:rsid w:val="00973AEF"/>
    <w:rsid w:val="009744C8"/>
    <w:rsid w:val="009750F9"/>
    <w:rsid w:val="00976A3F"/>
    <w:rsid w:val="00977777"/>
    <w:rsid w:val="00980DC0"/>
    <w:rsid w:val="00980E6A"/>
    <w:rsid w:val="00981A4B"/>
    <w:rsid w:val="00981BC8"/>
    <w:rsid w:val="00981F54"/>
    <w:rsid w:val="00982832"/>
    <w:rsid w:val="0098298A"/>
    <w:rsid w:val="009839A7"/>
    <w:rsid w:val="00984714"/>
    <w:rsid w:val="00984F31"/>
    <w:rsid w:val="0098596F"/>
    <w:rsid w:val="00986782"/>
    <w:rsid w:val="00987B2A"/>
    <w:rsid w:val="00987CA0"/>
    <w:rsid w:val="00990521"/>
    <w:rsid w:val="009909E2"/>
    <w:rsid w:val="00991657"/>
    <w:rsid w:val="009923E1"/>
    <w:rsid w:val="00992650"/>
    <w:rsid w:val="00992AA9"/>
    <w:rsid w:val="00993877"/>
    <w:rsid w:val="009954CC"/>
    <w:rsid w:val="009958E7"/>
    <w:rsid w:val="00996591"/>
    <w:rsid w:val="00996BC9"/>
    <w:rsid w:val="00997E16"/>
    <w:rsid w:val="009A229C"/>
    <w:rsid w:val="009A24E4"/>
    <w:rsid w:val="009A370E"/>
    <w:rsid w:val="009A3910"/>
    <w:rsid w:val="009A4BD8"/>
    <w:rsid w:val="009A4CE9"/>
    <w:rsid w:val="009A79EB"/>
    <w:rsid w:val="009B0068"/>
    <w:rsid w:val="009B0D49"/>
    <w:rsid w:val="009B0E56"/>
    <w:rsid w:val="009B119F"/>
    <w:rsid w:val="009B2876"/>
    <w:rsid w:val="009B37DD"/>
    <w:rsid w:val="009B4B67"/>
    <w:rsid w:val="009B4D11"/>
    <w:rsid w:val="009C01AA"/>
    <w:rsid w:val="009C0C5E"/>
    <w:rsid w:val="009C15D9"/>
    <w:rsid w:val="009C2179"/>
    <w:rsid w:val="009C4052"/>
    <w:rsid w:val="009C4838"/>
    <w:rsid w:val="009C68F6"/>
    <w:rsid w:val="009C6E18"/>
    <w:rsid w:val="009D0C5E"/>
    <w:rsid w:val="009D117A"/>
    <w:rsid w:val="009D1381"/>
    <w:rsid w:val="009D36AE"/>
    <w:rsid w:val="009D39FD"/>
    <w:rsid w:val="009D52F1"/>
    <w:rsid w:val="009D52FB"/>
    <w:rsid w:val="009D54A2"/>
    <w:rsid w:val="009D59E9"/>
    <w:rsid w:val="009D69B8"/>
    <w:rsid w:val="009D7BBA"/>
    <w:rsid w:val="009E1DB4"/>
    <w:rsid w:val="009E312C"/>
    <w:rsid w:val="009E356E"/>
    <w:rsid w:val="009E3C18"/>
    <w:rsid w:val="009E4ECD"/>
    <w:rsid w:val="009E50DE"/>
    <w:rsid w:val="009E7019"/>
    <w:rsid w:val="009F0E96"/>
    <w:rsid w:val="009F1032"/>
    <w:rsid w:val="009F1785"/>
    <w:rsid w:val="009F3641"/>
    <w:rsid w:val="009F504B"/>
    <w:rsid w:val="009F644B"/>
    <w:rsid w:val="009F78AC"/>
    <w:rsid w:val="00A0134B"/>
    <w:rsid w:val="00A02BC3"/>
    <w:rsid w:val="00A02C70"/>
    <w:rsid w:val="00A0330F"/>
    <w:rsid w:val="00A03813"/>
    <w:rsid w:val="00A0385C"/>
    <w:rsid w:val="00A075B1"/>
    <w:rsid w:val="00A078E9"/>
    <w:rsid w:val="00A14115"/>
    <w:rsid w:val="00A14715"/>
    <w:rsid w:val="00A163E5"/>
    <w:rsid w:val="00A17E44"/>
    <w:rsid w:val="00A21157"/>
    <w:rsid w:val="00A22F3D"/>
    <w:rsid w:val="00A249E1"/>
    <w:rsid w:val="00A2513C"/>
    <w:rsid w:val="00A30296"/>
    <w:rsid w:val="00A3146E"/>
    <w:rsid w:val="00A319C5"/>
    <w:rsid w:val="00A32093"/>
    <w:rsid w:val="00A32351"/>
    <w:rsid w:val="00A32965"/>
    <w:rsid w:val="00A339A4"/>
    <w:rsid w:val="00A339D6"/>
    <w:rsid w:val="00A35E03"/>
    <w:rsid w:val="00A37423"/>
    <w:rsid w:val="00A44CC3"/>
    <w:rsid w:val="00A462E0"/>
    <w:rsid w:val="00A466AF"/>
    <w:rsid w:val="00A46FCF"/>
    <w:rsid w:val="00A47BA0"/>
    <w:rsid w:val="00A47BB7"/>
    <w:rsid w:val="00A50EC5"/>
    <w:rsid w:val="00A51B5A"/>
    <w:rsid w:val="00A52657"/>
    <w:rsid w:val="00A5504B"/>
    <w:rsid w:val="00A5612E"/>
    <w:rsid w:val="00A56DF5"/>
    <w:rsid w:val="00A56E3B"/>
    <w:rsid w:val="00A6389C"/>
    <w:rsid w:val="00A64FB8"/>
    <w:rsid w:val="00A6506E"/>
    <w:rsid w:val="00A664CC"/>
    <w:rsid w:val="00A70226"/>
    <w:rsid w:val="00A71345"/>
    <w:rsid w:val="00A7235E"/>
    <w:rsid w:val="00A72731"/>
    <w:rsid w:val="00A73959"/>
    <w:rsid w:val="00A75B2C"/>
    <w:rsid w:val="00A76B77"/>
    <w:rsid w:val="00A77893"/>
    <w:rsid w:val="00A803B1"/>
    <w:rsid w:val="00A80F63"/>
    <w:rsid w:val="00A82051"/>
    <w:rsid w:val="00A8236F"/>
    <w:rsid w:val="00A82A51"/>
    <w:rsid w:val="00A833DA"/>
    <w:rsid w:val="00A87152"/>
    <w:rsid w:val="00A87E43"/>
    <w:rsid w:val="00A90BED"/>
    <w:rsid w:val="00A90BF2"/>
    <w:rsid w:val="00A912B4"/>
    <w:rsid w:val="00A91FB1"/>
    <w:rsid w:val="00A9407A"/>
    <w:rsid w:val="00A97024"/>
    <w:rsid w:val="00AA380A"/>
    <w:rsid w:val="00AA5F94"/>
    <w:rsid w:val="00AA6B1F"/>
    <w:rsid w:val="00AA75DD"/>
    <w:rsid w:val="00AA7834"/>
    <w:rsid w:val="00AB04E7"/>
    <w:rsid w:val="00AB11E2"/>
    <w:rsid w:val="00AB55A6"/>
    <w:rsid w:val="00AB5905"/>
    <w:rsid w:val="00AB6320"/>
    <w:rsid w:val="00AB6B24"/>
    <w:rsid w:val="00AB7904"/>
    <w:rsid w:val="00AC32E2"/>
    <w:rsid w:val="00AC42E1"/>
    <w:rsid w:val="00AC44E7"/>
    <w:rsid w:val="00AC55EC"/>
    <w:rsid w:val="00AC578F"/>
    <w:rsid w:val="00AD26E6"/>
    <w:rsid w:val="00AD2F0C"/>
    <w:rsid w:val="00AD5387"/>
    <w:rsid w:val="00AE245B"/>
    <w:rsid w:val="00AE3803"/>
    <w:rsid w:val="00AE508B"/>
    <w:rsid w:val="00AE5DBD"/>
    <w:rsid w:val="00AF0B23"/>
    <w:rsid w:val="00AF0D7A"/>
    <w:rsid w:val="00AF1D19"/>
    <w:rsid w:val="00AF36CA"/>
    <w:rsid w:val="00AF4341"/>
    <w:rsid w:val="00AF4972"/>
    <w:rsid w:val="00AF5219"/>
    <w:rsid w:val="00B01C35"/>
    <w:rsid w:val="00B02B78"/>
    <w:rsid w:val="00B03052"/>
    <w:rsid w:val="00B035C6"/>
    <w:rsid w:val="00B0387E"/>
    <w:rsid w:val="00B057A7"/>
    <w:rsid w:val="00B122C7"/>
    <w:rsid w:val="00B124F7"/>
    <w:rsid w:val="00B13BED"/>
    <w:rsid w:val="00B15894"/>
    <w:rsid w:val="00B17413"/>
    <w:rsid w:val="00B17F22"/>
    <w:rsid w:val="00B21449"/>
    <w:rsid w:val="00B215EE"/>
    <w:rsid w:val="00B227EC"/>
    <w:rsid w:val="00B22B5C"/>
    <w:rsid w:val="00B23F39"/>
    <w:rsid w:val="00B26B56"/>
    <w:rsid w:val="00B2768D"/>
    <w:rsid w:val="00B279D7"/>
    <w:rsid w:val="00B309AD"/>
    <w:rsid w:val="00B315F9"/>
    <w:rsid w:val="00B32452"/>
    <w:rsid w:val="00B32EEF"/>
    <w:rsid w:val="00B3345C"/>
    <w:rsid w:val="00B34C91"/>
    <w:rsid w:val="00B35AC2"/>
    <w:rsid w:val="00B364A0"/>
    <w:rsid w:val="00B40D6D"/>
    <w:rsid w:val="00B41165"/>
    <w:rsid w:val="00B42812"/>
    <w:rsid w:val="00B43D42"/>
    <w:rsid w:val="00B44E42"/>
    <w:rsid w:val="00B4610F"/>
    <w:rsid w:val="00B46E73"/>
    <w:rsid w:val="00B515E3"/>
    <w:rsid w:val="00B51AB2"/>
    <w:rsid w:val="00B51BF8"/>
    <w:rsid w:val="00B548D2"/>
    <w:rsid w:val="00B54C64"/>
    <w:rsid w:val="00B54DF0"/>
    <w:rsid w:val="00B57474"/>
    <w:rsid w:val="00B57DF5"/>
    <w:rsid w:val="00B60895"/>
    <w:rsid w:val="00B6384C"/>
    <w:rsid w:val="00B64684"/>
    <w:rsid w:val="00B66A9A"/>
    <w:rsid w:val="00B70766"/>
    <w:rsid w:val="00B70DF4"/>
    <w:rsid w:val="00B714E4"/>
    <w:rsid w:val="00B71676"/>
    <w:rsid w:val="00B716B8"/>
    <w:rsid w:val="00B75B54"/>
    <w:rsid w:val="00B809E1"/>
    <w:rsid w:val="00B80DAB"/>
    <w:rsid w:val="00B83521"/>
    <w:rsid w:val="00B8549E"/>
    <w:rsid w:val="00B864F9"/>
    <w:rsid w:val="00B91264"/>
    <w:rsid w:val="00B928AD"/>
    <w:rsid w:val="00B930C2"/>
    <w:rsid w:val="00B9501A"/>
    <w:rsid w:val="00BA1729"/>
    <w:rsid w:val="00BA2791"/>
    <w:rsid w:val="00BA3FD6"/>
    <w:rsid w:val="00BA4677"/>
    <w:rsid w:val="00BA7628"/>
    <w:rsid w:val="00BA7762"/>
    <w:rsid w:val="00BB09C5"/>
    <w:rsid w:val="00BB479A"/>
    <w:rsid w:val="00BB5545"/>
    <w:rsid w:val="00BB781E"/>
    <w:rsid w:val="00BC0EE1"/>
    <w:rsid w:val="00BC1126"/>
    <w:rsid w:val="00BC1728"/>
    <w:rsid w:val="00BC17F7"/>
    <w:rsid w:val="00BC2567"/>
    <w:rsid w:val="00BC2CBD"/>
    <w:rsid w:val="00BC2DAD"/>
    <w:rsid w:val="00BC39C4"/>
    <w:rsid w:val="00BC3BC5"/>
    <w:rsid w:val="00BC432D"/>
    <w:rsid w:val="00BC5C41"/>
    <w:rsid w:val="00BC6032"/>
    <w:rsid w:val="00BC65DD"/>
    <w:rsid w:val="00BD1CFB"/>
    <w:rsid w:val="00BD4BDC"/>
    <w:rsid w:val="00BD5655"/>
    <w:rsid w:val="00BD6818"/>
    <w:rsid w:val="00BD6B81"/>
    <w:rsid w:val="00BD7F3B"/>
    <w:rsid w:val="00BE3370"/>
    <w:rsid w:val="00BE337C"/>
    <w:rsid w:val="00BE3881"/>
    <w:rsid w:val="00BE4DE3"/>
    <w:rsid w:val="00BE75E3"/>
    <w:rsid w:val="00BF79D0"/>
    <w:rsid w:val="00C008CF"/>
    <w:rsid w:val="00C0153D"/>
    <w:rsid w:val="00C03CF7"/>
    <w:rsid w:val="00C03D42"/>
    <w:rsid w:val="00C04B64"/>
    <w:rsid w:val="00C101A7"/>
    <w:rsid w:val="00C11148"/>
    <w:rsid w:val="00C1373F"/>
    <w:rsid w:val="00C1396C"/>
    <w:rsid w:val="00C1500F"/>
    <w:rsid w:val="00C16FAD"/>
    <w:rsid w:val="00C178F4"/>
    <w:rsid w:val="00C22E07"/>
    <w:rsid w:val="00C2381F"/>
    <w:rsid w:val="00C23EF8"/>
    <w:rsid w:val="00C2515E"/>
    <w:rsid w:val="00C26E90"/>
    <w:rsid w:val="00C31426"/>
    <w:rsid w:val="00C315BB"/>
    <w:rsid w:val="00C327DE"/>
    <w:rsid w:val="00C33717"/>
    <w:rsid w:val="00C34C2E"/>
    <w:rsid w:val="00C36439"/>
    <w:rsid w:val="00C3758E"/>
    <w:rsid w:val="00C378C2"/>
    <w:rsid w:val="00C37EA2"/>
    <w:rsid w:val="00C40242"/>
    <w:rsid w:val="00C405BC"/>
    <w:rsid w:val="00C41C54"/>
    <w:rsid w:val="00C511F8"/>
    <w:rsid w:val="00C51913"/>
    <w:rsid w:val="00C51A7D"/>
    <w:rsid w:val="00C55E33"/>
    <w:rsid w:val="00C55FD9"/>
    <w:rsid w:val="00C6085B"/>
    <w:rsid w:val="00C6210D"/>
    <w:rsid w:val="00C62110"/>
    <w:rsid w:val="00C62AC0"/>
    <w:rsid w:val="00C62D8D"/>
    <w:rsid w:val="00C6463B"/>
    <w:rsid w:val="00C66EEC"/>
    <w:rsid w:val="00C67224"/>
    <w:rsid w:val="00C71693"/>
    <w:rsid w:val="00C733E5"/>
    <w:rsid w:val="00C80B7A"/>
    <w:rsid w:val="00C8127E"/>
    <w:rsid w:val="00C814ED"/>
    <w:rsid w:val="00C82B36"/>
    <w:rsid w:val="00C8346D"/>
    <w:rsid w:val="00C8379C"/>
    <w:rsid w:val="00C8553A"/>
    <w:rsid w:val="00C86012"/>
    <w:rsid w:val="00C86D14"/>
    <w:rsid w:val="00C91EA4"/>
    <w:rsid w:val="00C92F34"/>
    <w:rsid w:val="00C94C36"/>
    <w:rsid w:val="00CA018B"/>
    <w:rsid w:val="00CA1868"/>
    <w:rsid w:val="00CA356A"/>
    <w:rsid w:val="00CA50E8"/>
    <w:rsid w:val="00CA74A3"/>
    <w:rsid w:val="00CB2E6F"/>
    <w:rsid w:val="00CB2F8D"/>
    <w:rsid w:val="00CB3E96"/>
    <w:rsid w:val="00CB5009"/>
    <w:rsid w:val="00CB580B"/>
    <w:rsid w:val="00CC0F1F"/>
    <w:rsid w:val="00CC205F"/>
    <w:rsid w:val="00CC3C1B"/>
    <w:rsid w:val="00CC5EE3"/>
    <w:rsid w:val="00CC6BE6"/>
    <w:rsid w:val="00CC6D04"/>
    <w:rsid w:val="00CC7563"/>
    <w:rsid w:val="00CD25F5"/>
    <w:rsid w:val="00CD26A3"/>
    <w:rsid w:val="00CD3E46"/>
    <w:rsid w:val="00CD3EE2"/>
    <w:rsid w:val="00CD679C"/>
    <w:rsid w:val="00CE13AB"/>
    <w:rsid w:val="00CE35A1"/>
    <w:rsid w:val="00CE4342"/>
    <w:rsid w:val="00CE6717"/>
    <w:rsid w:val="00CE7390"/>
    <w:rsid w:val="00CE7CF6"/>
    <w:rsid w:val="00CF050C"/>
    <w:rsid w:val="00CF0FAB"/>
    <w:rsid w:val="00CF146F"/>
    <w:rsid w:val="00CF14C2"/>
    <w:rsid w:val="00CF151A"/>
    <w:rsid w:val="00CF1C1A"/>
    <w:rsid w:val="00CF28FB"/>
    <w:rsid w:val="00CF3623"/>
    <w:rsid w:val="00CF42CE"/>
    <w:rsid w:val="00CF4C37"/>
    <w:rsid w:val="00CF7CAA"/>
    <w:rsid w:val="00D00F9D"/>
    <w:rsid w:val="00D01447"/>
    <w:rsid w:val="00D02780"/>
    <w:rsid w:val="00D048AD"/>
    <w:rsid w:val="00D05534"/>
    <w:rsid w:val="00D06126"/>
    <w:rsid w:val="00D06924"/>
    <w:rsid w:val="00D11262"/>
    <w:rsid w:val="00D119DE"/>
    <w:rsid w:val="00D11E51"/>
    <w:rsid w:val="00D1262A"/>
    <w:rsid w:val="00D126E6"/>
    <w:rsid w:val="00D12A24"/>
    <w:rsid w:val="00D13EDB"/>
    <w:rsid w:val="00D16AFF"/>
    <w:rsid w:val="00D1792E"/>
    <w:rsid w:val="00D21342"/>
    <w:rsid w:val="00D2317A"/>
    <w:rsid w:val="00D23869"/>
    <w:rsid w:val="00D248E2"/>
    <w:rsid w:val="00D320EF"/>
    <w:rsid w:val="00D32A9E"/>
    <w:rsid w:val="00D32E09"/>
    <w:rsid w:val="00D330E4"/>
    <w:rsid w:val="00D436E4"/>
    <w:rsid w:val="00D44964"/>
    <w:rsid w:val="00D46D81"/>
    <w:rsid w:val="00D46F19"/>
    <w:rsid w:val="00D47F12"/>
    <w:rsid w:val="00D51DAF"/>
    <w:rsid w:val="00D53E6F"/>
    <w:rsid w:val="00D56A23"/>
    <w:rsid w:val="00D57626"/>
    <w:rsid w:val="00D60988"/>
    <w:rsid w:val="00D62993"/>
    <w:rsid w:val="00D63B8D"/>
    <w:rsid w:val="00D63D7F"/>
    <w:rsid w:val="00D669C6"/>
    <w:rsid w:val="00D703B9"/>
    <w:rsid w:val="00D71BCB"/>
    <w:rsid w:val="00D71EEF"/>
    <w:rsid w:val="00D721F9"/>
    <w:rsid w:val="00D75FC0"/>
    <w:rsid w:val="00D761E7"/>
    <w:rsid w:val="00D8145F"/>
    <w:rsid w:val="00D824A8"/>
    <w:rsid w:val="00D845E8"/>
    <w:rsid w:val="00D85AEE"/>
    <w:rsid w:val="00D9009A"/>
    <w:rsid w:val="00D9068E"/>
    <w:rsid w:val="00D9314B"/>
    <w:rsid w:val="00D93C44"/>
    <w:rsid w:val="00D96016"/>
    <w:rsid w:val="00DA0229"/>
    <w:rsid w:val="00DA0B8A"/>
    <w:rsid w:val="00DA2821"/>
    <w:rsid w:val="00DA2C84"/>
    <w:rsid w:val="00DA3CAA"/>
    <w:rsid w:val="00DA3E0D"/>
    <w:rsid w:val="00DA417F"/>
    <w:rsid w:val="00DA4C56"/>
    <w:rsid w:val="00DA5776"/>
    <w:rsid w:val="00DA7A63"/>
    <w:rsid w:val="00DB0B25"/>
    <w:rsid w:val="00DB0F1E"/>
    <w:rsid w:val="00DB4D07"/>
    <w:rsid w:val="00DB576D"/>
    <w:rsid w:val="00DB5D6F"/>
    <w:rsid w:val="00DB5F37"/>
    <w:rsid w:val="00DC0A58"/>
    <w:rsid w:val="00DC0FD5"/>
    <w:rsid w:val="00DC2030"/>
    <w:rsid w:val="00DC4371"/>
    <w:rsid w:val="00DC73D6"/>
    <w:rsid w:val="00DD03DE"/>
    <w:rsid w:val="00DD063C"/>
    <w:rsid w:val="00DD1375"/>
    <w:rsid w:val="00DD1554"/>
    <w:rsid w:val="00DD4888"/>
    <w:rsid w:val="00DD5559"/>
    <w:rsid w:val="00DD6393"/>
    <w:rsid w:val="00DE16A1"/>
    <w:rsid w:val="00DE1D5D"/>
    <w:rsid w:val="00DE35CD"/>
    <w:rsid w:val="00DE443F"/>
    <w:rsid w:val="00DE603C"/>
    <w:rsid w:val="00DE7F96"/>
    <w:rsid w:val="00DF0591"/>
    <w:rsid w:val="00DF1F19"/>
    <w:rsid w:val="00DF313C"/>
    <w:rsid w:val="00DF3C39"/>
    <w:rsid w:val="00DF43FC"/>
    <w:rsid w:val="00E00A8C"/>
    <w:rsid w:val="00E00DD0"/>
    <w:rsid w:val="00E01596"/>
    <w:rsid w:val="00E03B58"/>
    <w:rsid w:val="00E04AC9"/>
    <w:rsid w:val="00E072CA"/>
    <w:rsid w:val="00E11320"/>
    <w:rsid w:val="00E120BA"/>
    <w:rsid w:val="00E1330F"/>
    <w:rsid w:val="00E134F0"/>
    <w:rsid w:val="00E13690"/>
    <w:rsid w:val="00E1447B"/>
    <w:rsid w:val="00E15625"/>
    <w:rsid w:val="00E161C1"/>
    <w:rsid w:val="00E17FBD"/>
    <w:rsid w:val="00E20A8C"/>
    <w:rsid w:val="00E21383"/>
    <w:rsid w:val="00E2242A"/>
    <w:rsid w:val="00E259B1"/>
    <w:rsid w:val="00E309BD"/>
    <w:rsid w:val="00E30E83"/>
    <w:rsid w:val="00E34CD1"/>
    <w:rsid w:val="00E360D6"/>
    <w:rsid w:val="00E37F4E"/>
    <w:rsid w:val="00E40C30"/>
    <w:rsid w:val="00E4126E"/>
    <w:rsid w:val="00E41CB2"/>
    <w:rsid w:val="00E41F45"/>
    <w:rsid w:val="00E43684"/>
    <w:rsid w:val="00E441E9"/>
    <w:rsid w:val="00E45842"/>
    <w:rsid w:val="00E46005"/>
    <w:rsid w:val="00E46736"/>
    <w:rsid w:val="00E508CF"/>
    <w:rsid w:val="00E5499F"/>
    <w:rsid w:val="00E54D7B"/>
    <w:rsid w:val="00E559A2"/>
    <w:rsid w:val="00E5725D"/>
    <w:rsid w:val="00E5736E"/>
    <w:rsid w:val="00E57FD0"/>
    <w:rsid w:val="00E6017E"/>
    <w:rsid w:val="00E60271"/>
    <w:rsid w:val="00E61A1E"/>
    <w:rsid w:val="00E629A9"/>
    <w:rsid w:val="00E63E94"/>
    <w:rsid w:val="00E6500F"/>
    <w:rsid w:val="00E65DFF"/>
    <w:rsid w:val="00E6605D"/>
    <w:rsid w:val="00E66AEC"/>
    <w:rsid w:val="00E716EE"/>
    <w:rsid w:val="00E77420"/>
    <w:rsid w:val="00E77A90"/>
    <w:rsid w:val="00E82AFA"/>
    <w:rsid w:val="00E82B4D"/>
    <w:rsid w:val="00E83FF1"/>
    <w:rsid w:val="00E85CC3"/>
    <w:rsid w:val="00E91478"/>
    <w:rsid w:val="00E91EB5"/>
    <w:rsid w:val="00E92779"/>
    <w:rsid w:val="00E94F96"/>
    <w:rsid w:val="00E959C0"/>
    <w:rsid w:val="00EA7A4A"/>
    <w:rsid w:val="00EA7B7E"/>
    <w:rsid w:val="00EB011C"/>
    <w:rsid w:val="00EB2A99"/>
    <w:rsid w:val="00EB39EC"/>
    <w:rsid w:val="00EB40FC"/>
    <w:rsid w:val="00EB4ACF"/>
    <w:rsid w:val="00EB6E10"/>
    <w:rsid w:val="00EC2619"/>
    <w:rsid w:val="00EC3D31"/>
    <w:rsid w:val="00EC4021"/>
    <w:rsid w:val="00EC4512"/>
    <w:rsid w:val="00EC4615"/>
    <w:rsid w:val="00ED2C6C"/>
    <w:rsid w:val="00ED3481"/>
    <w:rsid w:val="00ED3CB6"/>
    <w:rsid w:val="00ED5018"/>
    <w:rsid w:val="00ED763A"/>
    <w:rsid w:val="00ED77F2"/>
    <w:rsid w:val="00EE0F72"/>
    <w:rsid w:val="00EE18C3"/>
    <w:rsid w:val="00EE1D8D"/>
    <w:rsid w:val="00EE21AA"/>
    <w:rsid w:val="00EE23DA"/>
    <w:rsid w:val="00EE5683"/>
    <w:rsid w:val="00EE6862"/>
    <w:rsid w:val="00EE69FF"/>
    <w:rsid w:val="00EF3CDE"/>
    <w:rsid w:val="00EF5725"/>
    <w:rsid w:val="00F04EC3"/>
    <w:rsid w:val="00F10361"/>
    <w:rsid w:val="00F10A85"/>
    <w:rsid w:val="00F10E91"/>
    <w:rsid w:val="00F110AF"/>
    <w:rsid w:val="00F127FF"/>
    <w:rsid w:val="00F12DF8"/>
    <w:rsid w:val="00F1309D"/>
    <w:rsid w:val="00F1346C"/>
    <w:rsid w:val="00F15461"/>
    <w:rsid w:val="00F15FB9"/>
    <w:rsid w:val="00F16A77"/>
    <w:rsid w:val="00F206FE"/>
    <w:rsid w:val="00F21B0F"/>
    <w:rsid w:val="00F22C47"/>
    <w:rsid w:val="00F231B9"/>
    <w:rsid w:val="00F25325"/>
    <w:rsid w:val="00F2603A"/>
    <w:rsid w:val="00F26924"/>
    <w:rsid w:val="00F30893"/>
    <w:rsid w:val="00F30B70"/>
    <w:rsid w:val="00F310A9"/>
    <w:rsid w:val="00F32BFA"/>
    <w:rsid w:val="00F32DA3"/>
    <w:rsid w:val="00F33181"/>
    <w:rsid w:val="00F332AC"/>
    <w:rsid w:val="00F350C3"/>
    <w:rsid w:val="00F36F41"/>
    <w:rsid w:val="00F45185"/>
    <w:rsid w:val="00F464F1"/>
    <w:rsid w:val="00F47730"/>
    <w:rsid w:val="00F51B07"/>
    <w:rsid w:val="00F51C3E"/>
    <w:rsid w:val="00F521DD"/>
    <w:rsid w:val="00F53735"/>
    <w:rsid w:val="00F53F8B"/>
    <w:rsid w:val="00F54844"/>
    <w:rsid w:val="00F54AAB"/>
    <w:rsid w:val="00F5529C"/>
    <w:rsid w:val="00F567BE"/>
    <w:rsid w:val="00F57C87"/>
    <w:rsid w:val="00F623CD"/>
    <w:rsid w:val="00F63E66"/>
    <w:rsid w:val="00F647EF"/>
    <w:rsid w:val="00F654AD"/>
    <w:rsid w:val="00F67B80"/>
    <w:rsid w:val="00F67DDA"/>
    <w:rsid w:val="00F702DD"/>
    <w:rsid w:val="00F715FC"/>
    <w:rsid w:val="00F71BC2"/>
    <w:rsid w:val="00F7395F"/>
    <w:rsid w:val="00F73EED"/>
    <w:rsid w:val="00F75F22"/>
    <w:rsid w:val="00F7756D"/>
    <w:rsid w:val="00F77EB6"/>
    <w:rsid w:val="00F77F48"/>
    <w:rsid w:val="00F8016A"/>
    <w:rsid w:val="00F81804"/>
    <w:rsid w:val="00F823F5"/>
    <w:rsid w:val="00F8298B"/>
    <w:rsid w:val="00F82B58"/>
    <w:rsid w:val="00F902D3"/>
    <w:rsid w:val="00F947AA"/>
    <w:rsid w:val="00F94A72"/>
    <w:rsid w:val="00F96E35"/>
    <w:rsid w:val="00F9788B"/>
    <w:rsid w:val="00F97E24"/>
    <w:rsid w:val="00FA2CEC"/>
    <w:rsid w:val="00FA555C"/>
    <w:rsid w:val="00FA56B7"/>
    <w:rsid w:val="00FA6A83"/>
    <w:rsid w:val="00FA74CA"/>
    <w:rsid w:val="00FA7839"/>
    <w:rsid w:val="00FB00D0"/>
    <w:rsid w:val="00FB0B57"/>
    <w:rsid w:val="00FB0B5B"/>
    <w:rsid w:val="00FB1F46"/>
    <w:rsid w:val="00FB2127"/>
    <w:rsid w:val="00FB77BA"/>
    <w:rsid w:val="00FC0189"/>
    <w:rsid w:val="00FC048E"/>
    <w:rsid w:val="00FC45BF"/>
    <w:rsid w:val="00FC709B"/>
    <w:rsid w:val="00FC7D79"/>
    <w:rsid w:val="00FD5221"/>
    <w:rsid w:val="00FD55A5"/>
    <w:rsid w:val="00FD5CD6"/>
    <w:rsid w:val="00FE0601"/>
    <w:rsid w:val="00FE1EBC"/>
    <w:rsid w:val="00FE318F"/>
    <w:rsid w:val="00FE4430"/>
    <w:rsid w:val="00FE6D41"/>
    <w:rsid w:val="00FE7250"/>
    <w:rsid w:val="00FE77AA"/>
    <w:rsid w:val="00FF006B"/>
    <w:rsid w:val="00FF2A48"/>
    <w:rsid w:val="00FF4E4B"/>
    <w:rsid w:val="00FF50DD"/>
    <w:rsid w:val="00FF7105"/>
    <w:rsid w:val="010813FB"/>
    <w:rsid w:val="01091341"/>
    <w:rsid w:val="010C284B"/>
    <w:rsid w:val="01234692"/>
    <w:rsid w:val="01332C47"/>
    <w:rsid w:val="018E7997"/>
    <w:rsid w:val="01DE0F64"/>
    <w:rsid w:val="01DF21D8"/>
    <w:rsid w:val="022E0B45"/>
    <w:rsid w:val="02381D72"/>
    <w:rsid w:val="02402C85"/>
    <w:rsid w:val="024964CA"/>
    <w:rsid w:val="02D3305D"/>
    <w:rsid w:val="03130862"/>
    <w:rsid w:val="031462A7"/>
    <w:rsid w:val="03455237"/>
    <w:rsid w:val="036A1AEE"/>
    <w:rsid w:val="038622B0"/>
    <w:rsid w:val="0395363C"/>
    <w:rsid w:val="03B16D18"/>
    <w:rsid w:val="04066E9A"/>
    <w:rsid w:val="040B4407"/>
    <w:rsid w:val="041E6E26"/>
    <w:rsid w:val="042608C2"/>
    <w:rsid w:val="044E6C8E"/>
    <w:rsid w:val="047629FF"/>
    <w:rsid w:val="047D4335"/>
    <w:rsid w:val="04F3263B"/>
    <w:rsid w:val="054375DB"/>
    <w:rsid w:val="05585AD7"/>
    <w:rsid w:val="057A09C4"/>
    <w:rsid w:val="05B56DB5"/>
    <w:rsid w:val="05CA3A89"/>
    <w:rsid w:val="064F074F"/>
    <w:rsid w:val="06BF3895"/>
    <w:rsid w:val="06E51C97"/>
    <w:rsid w:val="07210405"/>
    <w:rsid w:val="076721D2"/>
    <w:rsid w:val="076C4995"/>
    <w:rsid w:val="078733FF"/>
    <w:rsid w:val="078F6539"/>
    <w:rsid w:val="079C23D2"/>
    <w:rsid w:val="079E0097"/>
    <w:rsid w:val="07AF7608"/>
    <w:rsid w:val="07C7536D"/>
    <w:rsid w:val="07D06C51"/>
    <w:rsid w:val="08226AF7"/>
    <w:rsid w:val="08536D29"/>
    <w:rsid w:val="086E4843"/>
    <w:rsid w:val="089D49A5"/>
    <w:rsid w:val="08C15C01"/>
    <w:rsid w:val="08CD2F09"/>
    <w:rsid w:val="08E64447"/>
    <w:rsid w:val="08EA5AD9"/>
    <w:rsid w:val="09023CF4"/>
    <w:rsid w:val="09146ABB"/>
    <w:rsid w:val="0962150F"/>
    <w:rsid w:val="096824DD"/>
    <w:rsid w:val="09D1177B"/>
    <w:rsid w:val="09E903CE"/>
    <w:rsid w:val="0A137247"/>
    <w:rsid w:val="0A3C632D"/>
    <w:rsid w:val="0AA5317B"/>
    <w:rsid w:val="0AAE4052"/>
    <w:rsid w:val="0B5749D4"/>
    <w:rsid w:val="0B7600D9"/>
    <w:rsid w:val="0B7A4561"/>
    <w:rsid w:val="0B7D6656"/>
    <w:rsid w:val="0BBAD0A1"/>
    <w:rsid w:val="0BC20D8D"/>
    <w:rsid w:val="0BEA2D03"/>
    <w:rsid w:val="0C24482E"/>
    <w:rsid w:val="0CA16C68"/>
    <w:rsid w:val="0D3760BE"/>
    <w:rsid w:val="0D471B1F"/>
    <w:rsid w:val="0DA33F9D"/>
    <w:rsid w:val="0DA535DA"/>
    <w:rsid w:val="0DD34156"/>
    <w:rsid w:val="0E2F2213"/>
    <w:rsid w:val="0E4A2FAB"/>
    <w:rsid w:val="0E7766CE"/>
    <w:rsid w:val="0E870458"/>
    <w:rsid w:val="0E9D655A"/>
    <w:rsid w:val="0EA83610"/>
    <w:rsid w:val="0FCC3E72"/>
    <w:rsid w:val="0FD828CA"/>
    <w:rsid w:val="0FDFDBB0"/>
    <w:rsid w:val="0FFB39D2"/>
    <w:rsid w:val="1047647D"/>
    <w:rsid w:val="109E4C8E"/>
    <w:rsid w:val="10A25388"/>
    <w:rsid w:val="10D779F1"/>
    <w:rsid w:val="1137712E"/>
    <w:rsid w:val="117503B8"/>
    <w:rsid w:val="11861452"/>
    <w:rsid w:val="11922ABE"/>
    <w:rsid w:val="119560BC"/>
    <w:rsid w:val="11B76E51"/>
    <w:rsid w:val="11CD3843"/>
    <w:rsid w:val="11D9558B"/>
    <w:rsid w:val="122449D0"/>
    <w:rsid w:val="12323524"/>
    <w:rsid w:val="12531BCB"/>
    <w:rsid w:val="129C66CF"/>
    <w:rsid w:val="12A52E4B"/>
    <w:rsid w:val="12B8024A"/>
    <w:rsid w:val="130D5A83"/>
    <w:rsid w:val="13237CBC"/>
    <w:rsid w:val="134E4E61"/>
    <w:rsid w:val="137F34A1"/>
    <w:rsid w:val="13AE3A6C"/>
    <w:rsid w:val="13D3304A"/>
    <w:rsid w:val="140915A6"/>
    <w:rsid w:val="142D7245"/>
    <w:rsid w:val="14426240"/>
    <w:rsid w:val="1448266D"/>
    <w:rsid w:val="145C31FE"/>
    <w:rsid w:val="14832299"/>
    <w:rsid w:val="14982BF0"/>
    <w:rsid w:val="14A746BF"/>
    <w:rsid w:val="14C17548"/>
    <w:rsid w:val="150E34BC"/>
    <w:rsid w:val="15185B77"/>
    <w:rsid w:val="15433673"/>
    <w:rsid w:val="156713E8"/>
    <w:rsid w:val="15694138"/>
    <w:rsid w:val="1580331B"/>
    <w:rsid w:val="159A611E"/>
    <w:rsid w:val="15AC20B7"/>
    <w:rsid w:val="15B81C44"/>
    <w:rsid w:val="15B920A3"/>
    <w:rsid w:val="15C33362"/>
    <w:rsid w:val="15CE3D91"/>
    <w:rsid w:val="16171BB7"/>
    <w:rsid w:val="16514467"/>
    <w:rsid w:val="16751D79"/>
    <w:rsid w:val="167F4E7B"/>
    <w:rsid w:val="168A4ED0"/>
    <w:rsid w:val="169553D1"/>
    <w:rsid w:val="16F976DC"/>
    <w:rsid w:val="17051FC1"/>
    <w:rsid w:val="170766C5"/>
    <w:rsid w:val="1714380E"/>
    <w:rsid w:val="174733A3"/>
    <w:rsid w:val="174E72B9"/>
    <w:rsid w:val="175064B5"/>
    <w:rsid w:val="178243DD"/>
    <w:rsid w:val="179A673D"/>
    <w:rsid w:val="17AC2C7D"/>
    <w:rsid w:val="17AE3C6A"/>
    <w:rsid w:val="17C65DAD"/>
    <w:rsid w:val="17EC1FE5"/>
    <w:rsid w:val="18746E86"/>
    <w:rsid w:val="18A92888"/>
    <w:rsid w:val="18B367AB"/>
    <w:rsid w:val="18BD27A0"/>
    <w:rsid w:val="18DC2CCC"/>
    <w:rsid w:val="18E52BF6"/>
    <w:rsid w:val="19045A0A"/>
    <w:rsid w:val="19555451"/>
    <w:rsid w:val="197C9014"/>
    <w:rsid w:val="19B06559"/>
    <w:rsid w:val="19BE4985"/>
    <w:rsid w:val="19C643CF"/>
    <w:rsid w:val="1A0B0422"/>
    <w:rsid w:val="1A4F3326"/>
    <w:rsid w:val="1A605819"/>
    <w:rsid w:val="1A6263FC"/>
    <w:rsid w:val="1A715372"/>
    <w:rsid w:val="1ABE02A2"/>
    <w:rsid w:val="1AD103A8"/>
    <w:rsid w:val="1AE02006"/>
    <w:rsid w:val="1AF437F0"/>
    <w:rsid w:val="1B302276"/>
    <w:rsid w:val="1B5F527B"/>
    <w:rsid w:val="1B601F1C"/>
    <w:rsid w:val="1B666FF5"/>
    <w:rsid w:val="1B806D7B"/>
    <w:rsid w:val="1BB811B8"/>
    <w:rsid w:val="1BCF1BE0"/>
    <w:rsid w:val="1BDB75C2"/>
    <w:rsid w:val="1C350D06"/>
    <w:rsid w:val="1CC51E2A"/>
    <w:rsid w:val="1CCC4B92"/>
    <w:rsid w:val="1D110938"/>
    <w:rsid w:val="1D3F35B6"/>
    <w:rsid w:val="1D692A1D"/>
    <w:rsid w:val="1D846619"/>
    <w:rsid w:val="1DAA25BE"/>
    <w:rsid w:val="1DB18CC6"/>
    <w:rsid w:val="1DB554F8"/>
    <w:rsid w:val="1DCB630C"/>
    <w:rsid w:val="1DF2968D"/>
    <w:rsid w:val="1DF9BE14"/>
    <w:rsid w:val="1E0A01E6"/>
    <w:rsid w:val="1E0D1C21"/>
    <w:rsid w:val="1E6D1446"/>
    <w:rsid w:val="1EC8781C"/>
    <w:rsid w:val="1F3E9EB3"/>
    <w:rsid w:val="1F450E75"/>
    <w:rsid w:val="1F576DC1"/>
    <w:rsid w:val="1F6F7A21"/>
    <w:rsid w:val="1F8E68D0"/>
    <w:rsid w:val="1F9C03E6"/>
    <w:rsid w:val="1F9F0D5D"/>
    <w:rsid w:val="1FA721F7"/>
    <w:rsid w:val="1FC258A2"/>
    <w:rsid w:val="1FDFE6E6"/>
    <w:rsid w:val="1FF521C5"/>
    <w:rsid w:val="20366C9E"/>
    <w:rsid w:val="2044458E"/>
    <w:rsid w:val="20A647D8"/>
    <w:rsid w:val="20D6191A"/>
    <w:rsid w:val="20E37A5A"/>
    <w:rsid w:val="21033D9E"/>
    <w:rsid w:val="211100D8"/>
    <w:rsid w:val="215732F2"/>
    <w:rsid w:val="21860CEB"/>
    <w:rsid w:val="2198567F"/>
    <w:rsid w:val="219A130D"/>
    <w:rsid w:val="21F51473"/>
    <w:rsid w:val="225C297E"/>
    <w:rsid w:val="226378D3"/>
    <w:rsid w:val="229E2ED3"/>
    <w:rsid w:val="22AB6FED"/>
    <w:rsid w:val="22AC7D46"/>
    <w:rsid w:val="22EA249C"/>
    <w:rsid w:val="22EFAB50"/>
    <w:rsid w:val="22FD1F29"/>
    <w:rsid w:val="23160F8B"/>
    <w:rsid w:val="233C2CB3"/>
    <w:rsid w:val="23422333"/>
    <w:rsid w:val="234922DA"/>
    <w:rsid w:val="234C23C0"/>
    <w:rsid w:val="239C6798"/>
    <w:rsid w:val="23D56C4D"/>
    <w:rsid w:val="23FB6088"/>
    <w:rsid w:val="24082678"/>
    <w:rsid w:val="242433E2"/>
    <w:rsid w:val="242814F5"/>
    <w:rsid w:val="24295242"/>
    <w:rsid w:val="242D23AA"/>
    <w:rsid w:val="243A3C00"/>
    <w:rsid w:val="244101A8"/>
    <w:rsid w:val="246D4B04"/>
    <w:rsid w:val="249B4155"/>
    <w:rsid w:val="24B06F26"/>
    <w:rsid w:val="24E867B1"/>
    <w:rsid w:val="250623EC"/>
    <w:rsid w:val="25301EBF"/>
    <w:rsid w:val="25B54638"/>
    <w:rsid w:val="25B861E9"/>
    <w:rsid w:val="25DDA5C1"/>
    <w:rsid w:val="25EB78AE"/>
    <w:rsid w:val="25F85F47"/>
    <w:rsid w:val="260B7D5E"/>
    <w:rsid w:val="26133DF7"/>
    <w:rsid w:val="26133E5F"/>
    <w:rsid w:val="263217B3"/>
    <w:rsid w:val="26334645"/>
    <w:rsid w:val="26896168"/>
    <w:rsid w:val="26BF3159"/>
    <w:rsid w:val="27084A19"/>
    <w:rsid w:val="271D6716"/>
    <w:rsid w:val="272014F9"/>
    <w:rsid w:val="273157F8"/>
    <w:rsid w:val="273DE47E"/>
    <w:rsid w:val="27606A2B"/>
    <w:rsid w:val="27763F3C"/>
    <w:rsid w:val="27841C57"/>
    <w:rsid w:val="279E5CE0"/>
    <w:rsid w:val="27C9244C"/>
    <w:rsid w:val="27CC7918"/>
    <w:rsid w:val="27D8385A"/>
    <w:rsid w:val="27EB4EC7"/>
    <w:rsid w:val="28167C36"/>
    <w:rsid w:val="285F1EE2"/>
    <w:rsid w:val="288721F7"/>
    <w:rsid w:val="28994FBD"/>
    <w:rsid w:val="290D503A"/>
    <w:rsid w:val="291B1181"/>
    <w:rsid w:val="29316496"/>
    <w:rsid w:val="29321D36"/>
    <w:rsid w:val="29738194"/>
    <w:rsid w:val="299840D5"/>
    <w:rsid w:val="29C37C8C"/>
    <w:rsid w:val="29DB94DC"/>
    <w:rsid w:val="29DF4FEA"/>
    <w:rsid w:val="29F214A0"/>
    <w:rsid w:val="29F39066"/>
    <w:rsid w:val="2A63541A"/>
    <w:rsid w:val="2ACA6EC1"/>
    <w:rsid w:val="2AD8726B"/>
    <w:rsid w:val="2AF64CFB"/>
    <w:rsid w:val="2B751CC6"/>
    <w:rsid w:val="2B7C5FFA"/>
    <w:rsid w:val="2B7F645D"/>
    <w:rsid w:val="2B810B9C"/>
    <w:rsid w:val="2BAA5AC3"/>
    <w:rsid w:val="2BB71F26"/>
    <w:rsid w:val="2BDC1C90"/>
    <w:rsid w:val="2BF63112"/>
    <w:rsid w:val="2BF79A45"/>
    <w:rsid w:val="2C1D7F28"/>
    <w:rsid w:val="2C634A92"/>
    <w:rsid w:val="2C7C616B"/>
    <w:rsid w:val="2CB9685F"/>
    <w:rsid w:val="2CDB4F3A"/>
    <w:rsid w:val="2D006A6A"/>
    <w:rsid w:val="2D1C2FCC"/>
    <w:rsid w:val="2D206FB5"/>
    <w:rsid w:val="2D2C2965"/>
    <w:rsid w:val="2D2C2F3F"/>
    <w:rsid w:val="2D706A78"/>
    <w:rsid w:val="2D710AA6"/>
    <w:rsid w:val="2DE50C66"/>
    <w:rsid w:val="2DF154F3"/>
    <w:rsid w:val="2DFF2BD6"/>
    <w:rsid w:val="2E01110F"/>
    <w:rsid w:val="2E193946"/>
    <w:rsid w:val="2E940EFF"/>
    <w:rsid w:val="2EBD0675"/>
    <w:rsid w:val="2EBF554C"/>
    <w:rsid w:val="2ECE6BCF"/>
    <w:rsid w:val="2EED06DB"/>
    <w:rsid w:val="2F57478F"/>
    <w:rsid w:val="2F9F6024"/>
    <w:rsid w:val="2FDE9601"/>
    <w:rsid w:val="2FE00E16"/>
    <w:rsid w:val="300F3F23"/>
    <w:rsid w:val="304F6341"/>
    <w:rsid w:val="309B2CBB"/>
    <w:rsid w:val="30B41186"/>
    <w:rsid w:val="30CA6AC1"/>
    <w:rsid w:val="30EE6664"/>
    <w:rsid w:val="30F11FDC"/>
    <w:rsid w:val="30F12A7A"/>
    <w:rsid w:val="31117FF9"/>
    <w:rsid w:val="31397213"/>
    <w:rsid w:val="3153763E"/>
    <w:rsid w:val="317C2484"/>
    <w:rsid w:val="31981BBC"/>
    <w:rsid w:val="321F4948"/>
    <w:rsid w:val="322C6205"/>
    <w:rsid w:val="322F30D9"/>
    <w:rsid w:val="323B356C"/>
    <w:rsid w:val="32A719D4"/>
    <w:rsid w:val="32C20CEB"/>
    <w:rsid w:val="331C2322"/>
    <w:rsid w:val="33365018"/>
    <w:rsid w:val="333FCC42"/>
    <w:rsid w:val="3356384F"/>
    <w:rsid w:val="335B72DE"/>
    <w:rsid w:val="33C634BE"/>
    <w:rsid w:val="33C94103"/>
    <w:rsid w:val="340E578C"/>
    <w:rsid w:val="342B482F"/>
    <w:rsid w:val="34303700"/>
    <w:rsid w:val="343F3F45"/>
    <w:rsid w:val="34467AF4"/>
    <w:rsid w:val="3448372D"/>
    <w:rsid w:val="34807535"/>
    <w:rsid w:val="34B5111A"/>
    <w:rsid w:val="34B92E23"/>
    <w:rsid w:val="34E82382"/>
    <w:rsid w:val="350F0111"/>
    <w:rsid w:val="352D7027"/>
    <w:rsid w:val="354A0A40"/>
    <w:rsid w:val="354A5089"/>
    <w:rsid w:val="35FA0AEA"/>
    <w:rsid w:val="363744A7"/>
    <w:rsid w:val="36E055EF"/>
    <w:rsid w:val="373D1FC8"/>
    <w:rsid w:val="373F9CD0"/>
    <w:rsid w:val="374E6D33"/>
    <w:rsid w:val="378EF4D6"/>
    <w:rsid w:val="37FFECDB"/>
    <w:rsid w:val="38075306"/>
    <w:rsid w:val="380E48F9"/>
    <w:rsid w:val="38160C6C"/>
    <w:rsid w:val="38353D13"/>
    <w:rsid w:val="384F06F9"/>
    <w:rsid w:val="38736218"/>
    <w:rsid w:val="38965A8D"/>
    <w:rsid w:val="38C84AD7"/>
    <w:rsid w:val="39246576"/>
    <w:rsid w:val="39552D1F"/>
    <w:rsid w:val="395B30EF"/>
    <w:rsid w:val="396F7BD3"/>
    <w:rsid w:val="39926D43"/>
    <w:rsid w:val="39B03442"/>
    <w:rsid w:val="39C974D5"/>
    <w:rsid w:val="39DE65D5"/>
    <w:rsid w:val="3A5A6701"/>
    <w:rsid w:val="3A6A181A"/>
    <w:rsid w:val="3A922A98"/>
    <w:rsid w:val="3A9431C9"/>
    <w:rsid w:val="3A9BD62C"/>
    <w:rsid w:val="3AAE5C6E"/>
    <w:rsid w:val="3AC21987"/>
    <w:rsid w:val="3AD794AA"/>
    <w:rsid w:val="3AF31854"/>
    <w:rsid w:val="3B0556CA"/>
    <w:rsid w:val="3B285FF9"/>
    <w:rsid w:val="3B3DF58A"/>
    <w:rsid w:val="3B7E0284"/>
    <w:rsid w:val="3BAF2E73"/>
    <w:rsid w:val="3BEBF509"/>
    <w:rsid w:val="3BEF78AB"/>
    <w:rsid w:val="3BF34ECC"/>
    <w:rsid w:val="3BF6CE74"/>
    <w:rsid w:val="3BF7C1A0"/>
    <w:rsid w:val="3BFA4FC9"/>
    <w:rsid w:val="3C2C532B"/>
    <w:rsid w:val="3C3D2EBC"/>
    <w:rsid w:val="3C463BC1"/>
    <w:rsid w:val="3C4A4007"/>
    <w:rsid w:val="3C9B4FE4"/>
    <w:rsid w:val="3CCF080C"/>
    <w:rsid w:val="3CFD28D6"/>
    <w:rsid w:val="3D091EC8"/>
    <w:rsid w:val="3D490D7F"/>
    <w:rsid w:val="3D75B7D5"/>
    <w:rsid w:val="3D97BEE7"/>
    <w:rsid w:val="3D9A7321"/>
    <w:rsid w:val="3DAFDE82"/>
    <w:rsid w:val="3DBE2B5E"/>
    <w:rsid w:val="3DCC5464"/>
    <w:rsid w:val="3DEDA2EB"/>
    <w:rsid w:val="3DF6AD85"/>
    <w:rsid w:val="3E090AB6"/>
    <w:rsid w:val="3E58962C"/>
    <w:rsid w:val="3E855F30"/>
    <w:rsid w:val="3E8C4642"/>
    <w:rsid w:val="3EC33659"/>
    <w:rsid w:val="3EF80C8C"/>
    <w:rsid w:val="3EFE3DA9"/>
    <w:rsid w:val="3EFE4391"/>
    <w:rsid w:val="3EFF9B3A"/>
    <w:rsid w:val="3F134064"/>
    <w:rsid w:val="3F3046F9"/>
    <w:rsid w:val="3F3E2E50"/>
    <w:rsid w:val="3F5FF668"/>
    <w:rsid w:val="3F720EEB"/>
    <w:rsid w:val="3F7B639E"/>
    <w:rsid w:val="3F827F2E"/>
    <w:rsid w:val="3FAC8828"/>
    <w:rsid w:val="3FBF4AAF"/>
    <w:rsid w:val="3FFE0874"/>
    <w:rsid w:val="3FFE19CE"/>
    <w:rsid w:val="3FFF62EF"/>
    <w:rsid w:val="400550A2"/>
    <w:rsid w:val="406262DF"/>
    <w:rsid w:val="40E37632"/>
    <w:rsid w:val="415F3676"/>
    <w:rsid w:val="419379BA"/>
    <w:rsid w:val="41B265D4"/>
    <w:rsid w:val="4212017E"/>
    <w:rsid w:val="42240F99"/>
    <w:rsid w:val="422E7B90"/>
    <w:rsid w:val="424045AF"/>
    <w:rsid w:val="42411900"/>
    <w:rsid w:val="42654726"/>
    <w:rsid w:val="427220D1"/>
    <w:rsid w:val="428037CD"/>
    <w:rsid w:val="42E32953"/>
    <w:rsid w:val="42F43530"/>
    <w:rsid w:val="42F73E67"/>
    <w:rsid w:val="43290D35"/>
    <w:rsid w:val="435541FC"/>
    <w:rsid w:val="4386254D"/>
    <w:rsid w:val="439A5D93"/>
    <w:rsid w:val="43D86C34"/>
    <w:rsid w:val="43F87E97"/>
    <w:rsid w:val="440031D9"/>
    <w:rsid w:val="44050BFB"/>
    <w:rsid w:val="44314954"/>
    <w:rsid w:val="44725D6D"/>
    <w:rsid w:val="449947F9"/>
    <w:rsid w:val="44A87BE8"/>
    <w:rsid w:val="44A97F5B"/>
    <w:rsid w:val="44FE503F"/>
    <w:rsid w:val="45424C1F"/>
    <w:rsid w:val="45955907"/>
    <w:rsid w:val="45CD6A55"/>
    <w:rsid w:val="45D57D0E"/>
    <w:rsid w:val="45E56C19"/>
    <w:rsid w:val="461E170B"/>
    <w:rsid w:val="46706697"/>
    <w:rsid w:val="46771A75"/>
    <w:rsid w:val="4679389A"/>
    <w:rsid w:val="46911D01"/>
    <w:rsid w:val="46B16F82"/>
    <w:rsid w:val="470D2A5F"/>
    <w:rsid w:val="47245F19"/>
    <w:rsid w:val="472636DF"/>
    <w:rsid w:val="477A27AF"/>
    <w:rsid w:val="47834926"/>
    <w:rsid w:val="478A4FEE"/>
    <w:rsid w:val="47F56879"/>
    <w:rsid w:val="48233B6B"/>
    <w:rsid w:val="482500FD"/>
    <w:rsid w:val="485538F6"/>
    <w:rsid w:val="48C35794"/>
    <w:rsid w:val="48DC700C"/>
    <w:rsid w:val="48DF21BE"/>
    <w:rsid w:val="48F01773"/>
    <w:rsid w:val="491D6A88"/>
    <w:rsid w:val="498E47E6"/>
    <w:rsid w:val="49B961E0"/>
    <w:rsid w:val="49D655F0"/>
    <w:rsid w:val="49F7C3F2"/>
    <w:rsid w:val="4A0155A5"/>
    <w:rsid w:val="4A11580F"/>
    <w:rsid w:val="4AA333B9"/>
    <w:rsid w:val="4AA507A5"/>
    <w:rsid w:val="4ADFEA6F"/>
    <w:rsid w:val="4AFC40FB"/>
    <w:rsid w:val="4B00744D"/>
    <w:rsid w:val="4B0B0A95"/>
    <w:rsid w:val="4B7055C4"/>
    <w:rsid w:val="4BA87917"/>
    <w:rsid w:val="4BAB3C98"/>
    <w:rsid w:val="4BF33E7C"/>
    <w:rsid w:val="4BF345A5"/>
    <w:rsid w:val="4C1812C2"/>
    <w:rsid w:val="4C31321C"/>
    <w:rsid w:val="4C703177"/>
    <w:rsid w:val="4CBB70AD"/>
    <w:rsid w:val="4CE05735"/>
    <w:rsid w:val="4CE43609"/>
    <w:rsid w:val="4CED054A"/>
    <w:rsid w:val="4D0C0DAF"/>
    <w:rsid w:val="4D124EFD"/>
    <w:rsid w:val="4D254DAB"/>
    <w:rsid w:val="4D410F11"/>
    <w:rsid w:val="4D772ED2"/>
    <w:rsid w:val="4DAF45D0"/>
    <w:rsid w:val="4DAF69D2"/>
    <w:rsid w:val="4DBE1E2F"/>
    <w:rsid w:val="4E2A0357"/>
    <w:rsid w:val="4E772ADC"/>
    <w:rsid w:val="4E8A1DB7"/>
    <w:rsid w:val="4EA45140"/>
    <w:rsid w:val="4EB87316"/>
    <w:rsid w:val="4ED40BE9"/>
    <w:rsid w:val="4EFA79B8"/>
    <w:rsid w:val="4F1B59D8"/>
    <w:rsid w:val="4F1DF96C"/>
    <w:rsid w:val="4F60689E"/>
    <w:rsid w:val="4F7914CE"/>
    <w:rsid w:val="4FAF89B3"/>
    <w:rsid w:val="4FB66F0D"/>
    <w:rsid w:val="4FBE17FB"/>
    <w:rsid w:val="4FC142D5"/>
    <w:rsid w:val="4FC66ABB"/>
    <w:rsid w:val="4FD78A47"/>
    <w:rsid w:val="4FDF93A9"/>
    <w:rsid w:val="500E258C"/>
    <w:rsid w:val="50200CB2"/>
    <w:rsid w:val="503C68ED"/>
    <w:rsid w:val="505E7930"/>
    <w:rsid w:val="506E47EC"/>
    <w:rsid w:val="50756F86"/>
    <w:rsid w:val="509363D8"/>
    <w:rsid w:val="50A439F5"/>
    <w:rsid w:val="50AB7F16"/>
    <w:rsid w:val="50D16903"/>
    <w:rsid w:val="50EC71AB"/>
    <w:rsid w:val="515B5700"/>
    <w:rsid w:val="515C0139"/>
    <w:rsid w:val="51D93611"/>
    <w:rsid w:val="51FE684E"/>
    <w:rsid w:val="52692D2C"/>
    <w:rsid w:val="526C04A1"/>
    <w:rsid w:val="52734A88"/>
    <w:rsid w:val="528B38BA"/>
    <w:rsid w:val="52FA6CF2"/>
    <w:rsid w:val="533374E9"/>
    <w:rsid w:val="53395DD6"/>
    <w:rsid w:val="536465E8"/>
    <w:rsid w:val="538F53F2"/>
    <w:rsid w:val="53934AB5"/>
    <w:rsid w:val="53EC75C9"/>
    <w:rsid w:val="53F61998"/>
    <w:rsid w:val="54182FD7"/>
    <w:rsid w:val="54222EF3"/>
    <w:rsid w:val="547554F8"/>
    <w:rsid w:val="54C772CE"/>
    <w:rsid w:val="54E92087"/>
    <w:rsid w:val="54FF663C"/>
    <w:rsid w:val="550857CB"/>
    <w:rsid w:val="552E09D5"/>
    <w:rsid w:val="55485895"/>
    <w:rsid w:val="554D6598"/>
    <w:rsid w:val="558464E5"/>
    <w:rsid w:val="559713E6"/>
    <w:rsid w:val="559A4A85"/>
    <w:rsid w:val="55AC240B"/>
    <w:rsid w:val="55D4733D"/>
    <w:rsid w:val="55FB3298"/>
    <w:rsid w:val="561417FE"/>
    <w:rsid w:val="563E0904"/>
    <w:rsid w:val="567BC434"/>
    <w:rsid w:val="56AF4E6B"/>
    <w:rsid w:val="56BD1837"/>
    <w:rsid w:val="56DB4498"/>
    <w:rsid w:val="56DE99A0"/>
    <w:rsid w:val="56DF7F0D"/>
    <w:rsid w:val="56FC2621"/>
    <w:rsid w:val="5743775E"/>
    <w:rsid w:val="57571A12"/>
    <w:rsid w:val="57902501"/>
    <w:rsid w:val="57AC5CA0"/>
    <w:rsid w:val="57AD6374"/>
    <w:rsid w:val="57AF0E49"/>
    <w:rsid w:val="57BF3C04"/>
    <w:rsid w:val="57DD6424"/>
    <w:rsid w:val="57DEF363"/>
    <w:rsid w:val="57DF6BAC"/>
    <w:rsid w:val="57F51AB9"/>
    <w:rsid w:val="57F91782"/>
    <w:rsid w:val="58031FAC"/>
    <w:rsid w:val="58260C56"/>
    <w:rsid w:val="586567B3"/>
    <w:rsid w:val="586C533C"/>
    <w:rsid w:val="58844B5D"/>
    <w:rsid w:val="58D740C7"/>
    <w:rsid w:val="58FB15AD"/>
    <w:rsid w:val="58FFC444"/>
    <w:rsid w:val="595A6CF8"/>
    <w:rsid w:val="596B06BD"/>
    <w:rsid w:val="597610D9"/>
    <w:rsid w:val="59822E59"/>
    <w:rsid w:val="59A6273D"/>
    <w:rsid w:val="59BD8710"/>
    <w:rsid w:val="59EEF632"/>
    <w:rsid w:val="59FE371D"/>
    <w:rsid w:val="5A182DAC"/>
    <w:rsid w:val="5AB55C3C"/>
    <w:rsid w:val="5ABD3249"/>
    <w:rsid w:val="5AC74DF8"/>
    <w:rsid w:val="5B3F4694"/>
    <w:rsid w:val="5B501A84"/>
    <w:rsid w:val="5B694ABE"/>
    <w:rsid w:val="5B75350E"/>
    <w:rsid w:val="5BA23C6C"/>
    <w:rsid w:val="5BD322EB"/>
    <w:rsid w:val="5BE83F83"/>
    <w:rsid w:val="5BEBCC9B"/>
    <w:rsid w:val="5BFC8481"/>
    <w:rsid w:val="5C21474A"/>
    <w:rsid w:val="5C332256"/>
    <w:rsid w:val="5C5D60B2"/>
    <w:rsid w:val="5CC53E91"/>
    <w:rsid w:val="5CE70651"/>
    <w:rsid w:val="5CF52C08"/>
    <w:rsid w:val="5D184E4B"/>
    <w:rsid w:val="5D7DA084"/>
    <w:rsid w:val="5D871464"/>
    <w:rsid w:val="5D9AB2E7"/>
    <w:rsid w:val="5DDB040C"/>
    <w:rsid w:val="5DEA742C"/>
    <w:rsid w:val="5DF924EB"/>
    <w:rsid w:val="5DFAFD0F"/>
    <w:rsid w:val="5E7EDC26"/>
    <w:rsid w:val="5EB71550"/>
    <w:rsid w:val="5EE9EE61"/>
    <w:rsid w:val="5EF1667C"/>
    <w:rsid w:val="5F1C3C4D"/>
    <w:rsid w:val="5F3565D4"/>
    <w:rsid w:val="5F63648F"/>
    <w:rsid w:val="5F6DCC28"/>
    <w:rsid w:val="5F7F7BBA"/>
    <w:rsid w:val="5F890762"/>
    <w:rsid w:val="5FA27282"/>
    <w:rsid w:val="5FA62A19"/>
    <w:rsid w:val="5FB975BF"/>
    <w:rsid w:val="5FC36992"/>
    <w:rsid w:val="5FCF69A9"/>
    <w:rsid w:val="5FE62FFC"/>
    <w:rsid w:val="5FFB0112"/>
    <w:rsid w:val="5FFBCDDF"/>
    <w:rsid w:val="5FFCF6AE"/>
    <w:rsid w:val="5FFF3730"/>
    <w:rsid w:val="60543F94"/>
    <w:rsid w:val="605D28BF"/>
    <w:rsid w:val="605E72F6"/>
    <w:rsid w:val="60977FEF"/>
    <w:rsid w:val="60B42F40"/>
    <w:rsid w:val="610044EC"/>
    <w:rsid w:val="611F168A"/>
    <w:rsid w:val="619A98A0"/>
    <w:rsid w:val="61A44D8D"/>
    <w:rsid w:val="61B5586E"/>
    <w:rsid w:val="61BFBCB5"/>
    <w:rsid w:val="61C60AA8"/>
    <w:rsid w:val="61ED2047"/>
    <w:rsid w:val="61EE5BC3"/>
    <w:rsid w:val="62052F91"/>
    <w:rsid w:val="622264B8"/>
    <w:rsid w:val="62392EB4"/>
    <w:rsid w:val="6250223C"/>
    <w:rsid w:val="62C1519F"/>
    <w:rsid w:val="63047DA7"/>
    <w:rsid w:val="63186E15"/>
    <w:rsid w:val="631B6852"/>
    <w:rsid w:val="63501F40"/>
    <w:rsid w:val="63A8700B"/>
    <w:rsid w:val="63AB062A"/>
    <w:rsid w:val="63D62E42"/>
    <w:rsid w:val="63FD1892"/>
    <w:rsid w:val="644B712D"/>
    <w:rsid w:val="64522052"/>
    <w:rsid w:val="64821340"/>
    <w:rsid w:val="64C40B12"/>
    <w:rsid w:val="64D918C4"/>
    <w:rsid w:val="6551710A"/>
    <w:rsid w:val="658A3D3E"/>
    <w:rsid w:val="659506B8"/>
    <w:rsid w:val="65AD2BFD"/>
    <w:rsid w:val="65C25ABA"/>
    <w:rsid w:val="65DF0F18"/>
    <w:rsid w:val="65EE6523"/>
    <w:rsid w:val="6618401C"/>
    <w:rsid w:val="6668394D"/>
    <w:rsid w:val="6683763C"/>
    <w:rsid w:val="66870158"/>
    <w:rsid w:val="66A26282"/>
    <w:rsid w:val="66B77B0D"/>
    <w:rsid w:val="66C44601"/>
    <w:rsid w:val="670C48CB"/>
    <w:rsid w:val="6723246F"/>
    <w:rsid w:val="67515255"/>
    <w:rsid w:val="675F65FE"/>
    <w:rsid w:val="676CDE15"/>
    <w:rsid w:val="676F93D4"/>
    <w:rsid w:val="677EA5C9"/>
    <w:rsid w:val="67AE4C39"/>
    <w:rsid w:val="67B700A8"/>
    <w:rsid w:val="67C16BE0"/>
    <w:rsid w:val="67EFC245"/>
    <w:rsid w:val="67F737E2"/>
    <w:rsid w:val="6821710D"/>
    <w:rsid w:val="68D27ABF"/>
    <w:rsid w:val="68D769FC"/>
    <w:rsid w:val="68DD7E65"/>
    <w:rsid w:val="68DE09B3"/>
    <w:rsid w:val="68EDDB56"/>
    <w:rsid w:val="690C559D"/>
    <w:rsid w:val="690D2ED6"/>
    <w:rsid w:val="691B3B5C"/>
    <w:rsid w:val="692A6859"/>
    <w:rsid w:val="696F6EE4"/>
    <w:rsid w:val="69AF90B5"/>
    <w:rsid w:val="69EF1FC8"/>
    <w:rsid w:val="69F071EF"/>
    <w:rsid w:val="69F7CE83"/>
    <w:rsid w:val="6A077A29"/>
    <w:rsid w:val="6A29306A"/>
    <w:rsid w:val="6A3B1C56"/>
    <w:rsid w:val="6A434D16"/>
    <w:rsid w:val="6A474920"/>
    <w:rsid w:val="6A731776"/>
    <w:rsid w:val="6A8C0AA4"/>
    <w:rsid w:val="6AC05827"/>
    <w:rsid w:val="6ADBB22E"/>
    <w:rsid w:val="6B5F3809"/>
    <w:rsid w:val="6B8476AE"/>
    <w:rsid w:val="6B8A7C03"/>
    <w:rsid w:val="6BBF9CEE"/>
    <w:rsid w:val="6BDF08EA"/>
    <w:rsid w:val="6BEDC57E"/>
    <w:rsid w:val="6BFBE1F3"/>
    <w:rsid w:val="6BFD41C6"/>
    <w:rsid w:val="6BFED42F"/>
    <w:rsid w:val="6BFF13F1"/>
    <w:rsid w:val="6C325739"/>
    <w:rsid w:val="6C8675C4"/>
    <w:rsid w:val="6C8D7BAB"/>
    <w:rsid w:val="6CA24D75"/>
    <w:rsid w:val="6CB03C2C"/>
    <w:rsid w:val="6CBA56AD"/>
    <w:rsid w:val="6CF2255F"/>
    <w:rsid w:val="6CF46579"/>
    <w:rsid w:val="6D0379F3"/>
    <w:rsid w:val="6D0914F3"/>
    <w:rsid w:val="6D146C28"/>
    <w:rsid w:val="6D2F0971"/>
    <w:rsid w:val="6D3E6717"/>
    <w:rsid w:val="6D516E67"/>
    <w:rsid w:val="6D727D77"/>
    <w:rsid w:val="6D761491"/>
    <w:rsid w:val="6D77AE96"/>
    <w:rsid w:val="6D7E9140"/>
    <w:rsid w:val="6D837F22"/>
    <w:rsid w:val="6D956885"/>
    <w:rsid w:val="6DAB810C"/>
    <w:rsid w:val="6DFF30DA"/>
    <w:rsid w:val="6E2B6C65"/>
    <w:rsid w:val="6E2D2E16"/>
    <w:rsid w:val="6E967E9D"/>
    <w:rsid w:val="6EC06C59"/>
    <w:rsid w:val="6EC074B7"/>
    <w:rsid w:val="6EC8F03D"/>
    <w:rsid w:val="6EDF517F"/>
    <w:rsid w:val="6EE94621"/>
    <w:rsid w:val="6EEF6AF9"/>
    <w:rsid w:val="6F080F76"/>
    <w:rsid w:val="6F113760"/>
    <w:rsid w:val="6F345962"/>
    <w:rsid w:val="6F3521B0"/>
    <w:rsid w:val="6F3F3776"/>
    <w:rsid w:val="6F3F896D"/>
    <w:rsid w:val="6F3FF29A"/>
    <w:rsid w:val="6F6717A8"/>
    <w:rsid w:val="6F7E829C"/>
    <w:rsid w:val="6F8A073A"/>
    <w:rsid w:val="6F912CDE"/>
    <w:rsid w:val="6F9B3733"/>
    <w:rsid w:val="6FAF2E70"/>
    <w:rsid w:val="6FBB1705"/>
    <w:rsid w:val="6FBF44C7"/>
    <w:rsid w:val="6FD7ABED"/>
    <w:rsid w:val="6FDECD4C"/>
    <w:rsid w:val="6FDEF019"/>
    <w:rsid w:val="6FEAA4C3"/>
    <w:rsid w:val="6FEAF498"/>
    <w:rsid w:val="6FEF25DA"/>
    <w:rsid w:val="6FF91BB6"/>
    <w:rsid w:val="6FFE8B2D"/>
    <w:rsid w:val="700852D9"/>
    <w:rsid w:val="70294579"/>
    <w:rsid w:val="706142A8"/>
    <w:rsid w:val="7062645F"/>
    <w:rsid w:val="70683E71"/>
    <w:rsid w:val="7072498A"/>
    <w:rsid w:val="707A1AF6"/>
    <w:rsid w:val="707DAFBC"/>
    <w:rsid w:val="70AE286C"/>
    <w:rsid w:val="70C86437"/>
    <w:rsid w:val="71DCAA89"/>
    <w:rsid w:val="71F82AE1"/>
    <w:rsid w:val="72524598"/>
    <w:rsid w:val="728A10F6"/>
    <w:rsid w:val="728F76FD"/>
    <w:rsid w:val="72BF72F9"/>
    <w:rsid w:val="72BF8CF6"/>
    <w:rsid w:val="72EC6569"/>
    <w:rsid w:val="73174470"/>
    <w:rsid w:val="73619A07"/>
    <w:rsid w:val="737FE254"/>
    <w:rsid w:val="739F107A"/>
    <w:rsid w:val="73A05AD5"/>
    <w:rsid w:val="73AE252F"/>
    <w:rsid w:val="73FD65CF"/>
    <w:rsid w:val="74172662"/>
    <w:rsid w:val="741C5EE5"/>
    <w:rsid w:val="74325E14"/>
    <w:rsid w:val="749311C2"/>
    <w:rsid w:val="74B22FB5"/>
    <w:rsid w:val="74F302B3"/>
    <w:rsid w:val="751A0ABB"/>
    <w:rsid w:val="75295853"/>
    <w:rsid w:val="752D1759"/>
    <w:rsid w:val="75346E0E"/>
    <w:rsid w:val="7557DF77"/>
    <w:rsid w:val="75BE4E98"/>
    <w:rsid w:val="75C92316"/>
    <w:rsid w:val="75D43C26"/>
    <w:rsid w:val="75DF7FB9"/>
    <w:rsid w:val="75F72B90"/>
    <w:rsid w:val="75FF5C79"/>
    <w:rsid w:val="7614004D"/>
    <w:rsid w:val="762C7901"/>
    <w:rsid w:val="76360768"/>
    <w:rsid w:val="76392F76"/>
    <w:rsid w:val="76450B92"/>
    <w:rsid w:val="765F7B54"/>
    <w:rsid w:val="76763F31"/>
    <w:rsid w:val="767FEFC0"/>
    <w:rsid w:val="76B25540"/>
    <w:rsid w:val="76D0564C"/>
    <w:rsid w:val="76F160E0"/>
    <w:rsid w:val="76FD7F6D"/>
    <w:rsid w:val="77107BA2"/>
    <w:rsid w:val="7719BC14"/>
    <w:rsid w:val="773C5F46"/>
    <w:rsid w:val="77539086"/>
    <w:rsid w:val="77774C5B"/>
    <w:rsid w:val="777F0816"/>
    <w:rsid w:val="777F747B"/>
    <w:rsid w:val="77A94411"/>
    <w:rsid w:val="77C10CEC"/>
    <w:rsid w:val="77D650AC"/>
    <w:rsid w:val="77DF147E"/>
    <w:rsid w:val="77E83C10"/>
    <w:rsid w:val="77EDA36D"/>
    <w:rsid w:val="77F699C0"/>
    <w:rsid w:val="77FCE800"/>
    <w:rsid w:val="78176674"/>
    <w:rsid w:val="78241692"/>
    <w:rsid w:val="7858605D"/>
    <w:rsid w:val="78743C36"/>
    <w:rsid w:val="7875066F"/>
    <w:rsid w:val="7895303C"/>
    <w:rsid w:val="789572AF"/>
    <w:rsid w:val="78A47B77"/>
    <w:rsid w:val="78A4CDD5"/>
    <w:rsid w:val="78B85B90"/>
    <w:rsid w:val="78F146F4"/>
    <w:rsid w:val="78F26166"/>
    <w:rsid w:val="78F263BE"/>
    <w:rsid w:val="78FBF5E4"/>
    <w:rsid w:val="78FD799D"/>
    <w:rsid w:val="79171DE3"/>
    <w:rsid w:val="793B2190"/>
    <w:rsid w:val="79474316"/>
    <w:rsid w:val="79496EDD"/>
    <w:rsid w:val="795241E6"/>
    <w:rsid w:val="7954681C"/>
    <w:rsid w:val="795C0942"/>
    <w:rsid w:val="796A5259"/>
    <w:rsid w:val="798443E6"/>
    <w:rsid w:val="799F4018"/>
    <w:rsid w:val="79AD2E42"/>
    <w:rsid w:val="79BCE5F0"/>
    <w:rsid w:val="79E51BC3"/>
    <w:rsid w:val="79F85634"/>
    <w:rsid w:val="7A2D52B7"/>
    <w:rsid w:val="7A3B3F59"/>
    <w:rsid w:val="7A4C6ABF"/>
    <w:rsid w:val="7A75DF49"/>
    <w:rsid w:val="7A97230B"/>
    <w:rsid w:val="7AB8376A"/>
    <w:rsid w:val="7ABE07EB"/>
    <w:rsid w:val="7AFACB0E"/>
    <w:rsid w:val="7AFF7C66"/>
    <w:rsid w:val="7B024A01"/>
    <w:rsid w:val="7B3CAD89"/>
    <w:rsid w:val="7B400B6A"/>
    <w:rsid w:val="7B6F6C4D"/>
    <w:rsid w:val="7B79B1B7"/>
    <w:rsid w:val="7B7AF248"/>
    <w:rsid w:val="7B925766"/>
    <w:rsid w:val="7B979A77"/>
    <w:rsid w:val="7BA57818"/>
    <w:rsid w:val="7BB7BC91"/>
    <w:rsid w:val="7BDB6DDE"/>
    <w:rsid w:val="7BEE36FC"/>
    <w:rsid w:val="7BFD334D"/>
    <w:rsid w:val="7BFEAB16"/>
    <w:rsid w:val="7C552676"/>
    <w:rsid w:val="7C57AB30"/>
    <w:rsid w:val="7C5E3677"/>
    <w:rsid w:val="7C694FD5"/>
    <w:rsid w:val="7C744F76"/>
    <w:rsid w:val="7C787C33"/>
    <w:rsid w:val="7CAF3AC9"/>
    <w:rsid w:val="7CB81D95"/>
    <w:rsid w:val="7CC74184"/>
    <w:rsid w:val="7CEF7EF2"/>
    <w:rsid w:val="7D021E86"/>
    <w:rsid w:val="7D1326DE"/>
    <w:rsid w:val="7D2D7759"/>
    <w:rsid w:val="7D3DCEE6"/>
    <w:rsid w:val="7D4007EF"/>
    <w:rsid w:val="7D5E708E"/>
    <w:rsid w:val="7D61717A"/>
    <w:rsid w:val="7D907BAF"/>
    <w:rsid w:val="7DC7D73B"/>
    <w:rsid w:val="7DED0F71"/>
    <w:rsid w:val="7DEE270A"/>
    <w:rsid w:val="7DEE282D"/>
    <w:rsid w:val="7DFE4146"/>
    <w:rsid w:val="7DFEAE1D"/>
    <w:rsid w:val="7E3A5CDE"/>
    <w:rsid w:val="7E3FBD1A"/>
    <w:rsid w:val="7E5925F9"/>
    <w:rsid w:val="7EAB105D"/>
    <w:rsid w:val="7EB52209"/>
    <w:rsid w:val="7EBD7454"/>
    <w:rsid w:val="7EEE7D0F"/>
    <w:rsid w:val="7EF1B192"/>
    <w:rsid w:val="7EF3AF10"/>
    <w:rsid w:val="7EFEF0E7"/>
    <w:rsid w:val="7EFF0DF9"/>
    <w:rsid w:val="7F2F7D28"/>
    <w:rsid w:val="7F3F0856"/>
    <w:rsid w:val="7F45D968"/>
    <w:rsid w:val="7F5931D0"/>
    <w:rsid w:val="7F5FDB8D"/>
    <w:rsid w:val="7F6AAD8A"/>
    <w:rsid w:val="7F6B95E6"/>
    <w:rsid w:val="7F77E42B"/>
    <w:rsid w:val="7F7F919D"/>
    <w:rsid w:val="7F7FA63F"/>
    <w:rsid w:val="7F8F0944"/>
    <w:rsid w:val="7F9B5A8D"/>
    <w:rsid w:val="7F9BAC36"/>
    <w:rsid w:val="7FA2131A"/>
    <w:rsid w:val="7FAD365A"/>
    <w:rsid w:val="7FBFCBCE"/>
    <w:rsid w:val="7FC5CF67"/>
    <w:rsid w:val="7FC62155"/>
    <w:rsid w:val="7FDDDD72"/>
    <w:rsid w:val="7FE59C3C"/>
    <w:rsid w:val="7FE818B7"/>
    <w:rsid w:val="7FE96A6D"/>
    <w:rsid w:val="7FF1A495"/>
    <w:rsid w:val="7FF502E1"/>
    <w:rsid w:val="7FF52F22"/>
    <w:rsid w:val="7FF5E7F0"/>
    <w:rsid w:val="7FF716D1"/>
    <w:rsid w:val="7FFB54D3"/>
    <w:rsid w:val="7FFB7EDD"/>
    <w:rsid w:val="7FFD6A2F"/>
    <w:rsid w:val="7FFD935F"/>
    <w:rsid w:val="7FFDAAF8"/>
    <w:rsid w:val="7FFF083A"/>
    <w:rsid w:val="7FFF0A90"/>
    <w:rsid w:val="7FFF323C"/>
    <w:rsid w:val="7FFF4427"/>
    <w:rsid w:val="7FFF5207"/>
    <w:rsid w:val="7FFF5A31"/>
    <w:rsid w:val="7FFFB90A"/>
    <w:rsid w:val="7FFFDEDB"/>
    <w:rsid w:val="837ECFE4"/>
    <w:rsid w:val="83B334CD"/>
    <w:rsid w:val="8499D250"/>
    <w:rsid w:val="89EF7E5B"/>
    <w:rsid w:val="92EDEB99"/>
    <w:rsid w:val="96F12035"/>
    <w:rsid w:val="98FEFC66"/>
    <w:rsid w:val="99E3474B"/>
    <w:rsid w:val="9AFFE470"/>
    <w:rsid w:val="9D3D2D18"/>
    <w:rsid w:val="9D3F5533"/>
    <w:rsid w:val="9DFE78C0"/>
    <w:rsid w:val="9F572D91"/>
    <w:rsid w:val="9F6FD47E"/>
    <w:rsid w:val="9F890687"/>
    <w:rsid w:val="9FF6A590"/>
    <w:rsid w:val="9FFE6069"/>
    <w:rsid w:val="A6A3E805"/>
    <w:rsid w:val="A77DE05B"/>
    <w:rsid w:val="A8EA072B"/>
    <w:rsid w:val="AA6DB084"/>
    <w:rsid w:val="AB9792B8"/>
    <w:rsid w:val="ABFF2F46"/>
    <w:rsid w:val="AFFCE7DE"/>
    <w:rsid w:val="B1C75B85"/>
    <w:rsid w:val="B3B50C45"/>
    <w:rsid w:val="B3E7D627"/>
    <w:rsid w:val="B3FE17F8"/>
    <w:rsid w:val="B51FECA6"/>
    <w:rsid w:val="B6CF5916"/>
    <w:rsid w:val="B6DB56F8"/>
    <w:rsid w:val="B77EFC99"/>
    <w:rsid w:val="B797A695"/>
    <w:rsid w:val="B7F9CB43"/>
    <w:rsid w:val="B99F9C1F"/>
    <w:rsid w:val="B9DF90E9"/>
    <w:rsid w:val="BAF9FA54"/>
    <w:rsid w:val="BAFBD00B"/>
    <w:rsid w:val="BAFFE58D"/>
    <w:rsid w:val="BB4A8D5C"/>
    <w:rsid w:val="BB4B8268"/>
    <w:rsid w:val="BB7DD2EC"/>
    <w:rsid w:val="BBED493E"/>
    <w:rsid w:val="BCC60DC3"/>
    <w:rsid w:val="BCDF99D6"/>
    <w:rsid w:val="BDCFACC1"/>
    <w:rsid w:val="BDE9229D"/>
    <w:rsid w:val="BEB96207"/>
    <w:rsid w:val="BEF9EF26"/>
    <w:rsid w:val="BEFB26DA"/>
    <w:rsid w:val="BF4BA50F"/>
    <w:rsid w:val="BF96FF7A"/>
    <w:rsid w:val="BFBEC001"/>
    <w:rsid w:val="BFCD4F71"/>
    <w:rsid w:val="BFF5B8D1"/>
    <w:rsid w:val="BFFE9E44"/>
    <w:rsid w:val="BFFE9F71"/>
    <w:rsid w:val="BFFFE4DA"/>
    <w:rsid w:val="C6F9A6F7"/>
    <w:rsid w:val="C9EFDA43"/>
    <w:rsid w:val="CA7F57C3"/>
    <w:rsid w:val="CBA6298C"/>
    <w:rsid w:val="CBF787A1"/>
    <w:rsid w:val="CFAC2EED"/>
    <w:rsid w:val="CFBFA4ED"/>
    <w:rsid w:val="CFFB299C"/>
    <w:rsid w:val="D0FBF25D"/>
    <w:rsid w:val="D3A74B55"/>
    <w:rsid w:val="D5AF881B"/>
    <w:rsid w:val="D5F75357"/>
    <w:rsid w:val="D7A27D53"/>
    <w:rsid w:val="D7B5307A"/>
    <w:rsid w:val="D7F9AAF5"/>
    <w:rsid w:val="D9737041"/>
    <w:rsid w:val="DAFEC58C"/>
    <w:rsid w:val="DAFF4A31"/>
    <w:rsid w:val="DCCED819"/>
    <w:rsid w:val="DDAF2D98"/>
    <w:rsid w:val="DEF5CD23"/>
    <w:rsid w:val="DEFDA518"/>
    <w:rsid w:val="DEFFD3E2"/>
    <w:rsid w:val="DF337EE7"/>
    <w:rsid w:val="DF4FB6FC"/>
    <w:rsid w:val="DF5A84B2"/>
    <w:rsid w:val="DF73BDD4"/>
    <w:rsid w:val="DF7DDCCF"/>
    <w:rsid w:val="DFBEF624"/>
    <w:rsid w:val="DFBF3755"/>
    <w:rsid w:val="DFDFC0D7"/>
    <w:rsid w:val="DFEF3D52"/>
    <w:rsid w:val="DFF70D8D"/>
    <w:rsid w:val="DFFEA69E"/>
    <w:rsid w:val="DFFF87C6"/>
    <w:rsid w:val="DFFFAE34"/>
    <w:rsid w:val="E17778BC"/>
    <w:rsid w:val="E3D4F7D4"/>
    <w:rsid w:val="E3F9A696"/>
    <w:rsid w:val="E4FB0BC5"/>
    <w:rsid w:val="E6729BE3"/>
    <w:rsid w:val="E6F1664B"/>
    <w:rsid w:val="E7B14E32"/>
    <w:rsid w:val="E7BD5C3A"/>
    <w:rsid w:val="E7BD709D"/>
    <w:rsid w:val="E7BF4DCF"/>
    <w:rsid w:val="E7BF845B"/>
    <w:rsid w:val="E7CF2B64"/>
    <w:rsid w:val="E7FC56AA"/>
    <w:rsid w:val="E8FF567F"/>
    <w:rsid w:val="EAFE4534"/>
    <w:rsid w:val="EAFF6DF3"/>
    <w:rsid w:val="EB3EAA0B"/>
    <w:rsid w:val="EBEFBCA7"/>
    <w:rsid w:val="EBFB5746"/>
    <w:rsid w:val="EBFDAC3B"/>
    <w:rsid w:val="ECFBDDFC"/>
    <w:rsid w:val="ED3F53D0"/>
    <w:rsid w:val="ED65A347"/>
    <w:rsid w:val="EDEDA7AA"/>
    <w:rsid w:val="EDF79B6B"/>
    <w:rsid w:val="EE7BAC29"/>
    <w:rsid w:val="EEBF5A4A"/>
    <w:rsid w:val="EEDF650E"/>
    <w:rsid w:val="EEE7901B"/>
    <w:rsid w:val="EF4B4BC6"/>
    <w:rsid w:val="EF65AFC2"/>
    <w:rsid w:val="EF6BDE75"/>
    <w:rsid w:val="EFD78FF3"/>
    <w:rsid w:val="EFEB2D75"/>
    <w:rsid w:val="EFF59491"/>
    <w:rsid w:val="EFFB7ADA"/>
    <w:rsid w:val="EFFC124A"/>
    <w:rsid w:val="EFFC776E"/>
    <w:rsid w:val="F1D4D332"/>
    <w:rsid w:val="F1FD80BC"/>
    <w:rsid w:val="F1FD8FC0"/>
    <w:rsid w:val="F1FFB822"/>
    <w:rsid w:val="F39FC035"/>
    <w:rsid w:val="F3ED5093"/>
    <w:rsid w:val="F3EFD13B"/>
    <w:rsid w:val="F405B69F"/>
    <w:rsid w:val="F45FC30D"/>
    <w:rsid w:val="F5576DB2"/>
    <w:rsid w:val="F5DD3B04"/>
    <w:rsid w:val="F5EB37A7"/>
    <w:rsid w:val="F5EF618A"/>
    <w:rsid w:val="F5F74C3F"/>
    <w:rsid w:val="F676FD80"/>
    <w:rsid w:val="F67791D7"/>
    <w:rsid w:val="F6B78653"/>
    <w:rsid w:val="F6DC4C4B"/>
    <w:rsid w:val="F7A9A350"/>
    <w:rsid w:val="F7BAC818"/>
    <w:rsid w:val="F7CEF3A5"/>
    <w:rsid w:val="F7DBF8BB"/>
    <w:rsid w:val="F7EBF75F"/>
    <w:rsid w:val="F7F6024A"/>
    <w:rsid w:val="F7F64E16"/>
    <w:rsid w:val="F7F7E25B"/>
    <w:rsid w:val="F7F93BD0"/>
    <w:rsid w:val="F7FF17E1"/>
    <w:rsid w:val="F83B4D52"/>
    <w:rsid w:val="F8F61754"/>
    <w:rsid w:val="F9368C6A"/>
    <w:rsid w:val="F937380C"/>
    <w:rsid w:val="F9FD2FAC"/>
    <w:rsid w:val="F9FD94F2"/>
    <w:rsid w:val="FA7FA85A"/>
    <w:rsid w:val="FADB9E8F"/>
    <w:rsid w:val="FADFA024"/>
    <w:rsid w:val="FAEDA901"/>
    <w:rsid w:val="FAEE5932"/>
    <w:rsid w:val="FB17B89E"/>
    <w:rsid w:val="FB3C6440"/>
    <w:rsid w:val="FB6720F6"/>
    <w:rsid w:val="FBA76E80"/>
    <w:rsid w:val="FBB71992"/>
    <w:rsid w:val="FBB928FD"/>
    <w:rsid w:val="FBBFC571"/>
    <w:rsid w:val="FBBFEF1B"/>
    <w:rsid w:val="FBDDFB33"/>
    <w:rsid w:val="FBE8179B"/>
    <w:rsid w:val="FBFB3F80"/>
    <w:rsid w:val="FBFFC0A5"/>
    <w:rsid w:val="FBFFDF69"/>
    <w:rsid w:val="FC7BCD2E"/>
    <w:rsid w:val="FCAE6D96"/>
    <w:rsid w:val="FCAF003D"/>
    <w:rsid w:val="FD014C3F"/>
    <w:rsid w:val="FD171468"/>
    <w:rsid w:val="FD2BD4C7"/>
    <w:rsid w:val="FD6737CB"/>
    <w:rsid w:val="FD7F4320"/>
    <w:rsid w:val="FDBB5833"/>
    <w:rsid w:val="FDBF1579"/>
    <w:rsid w:val="FDC63677"/>
    <w:rsid w:val="FDCCAE90"/>
    <w:rsid w:val="FDF6C59C"/>
    <w:rsid w:val="FDF7F3CC"/>
    <w:rsid w:val="FDFFB105"/>
    <w:rsid w:val="FE5E9A0C"/>
    <w:rsid w:val="FE7FEAB3"/>
    <w:rsid w:val="FEAE82A4"/>
    <w:rsid w:val="FEAE90B6"/>
    <w:rsid w:val="FEC63E09"/>
    <w:rsid w:val="FED7442D"/>
    <w:rsid w:val="FEEE2806"/>
    <w:rsid w:val="FEF67600"/>
    <w:rsid w:val="FEFC315D"/>
    <w:rsid w:val="FF777E0A"/>
    <w:rsid w:val="FF791EA5"/>
    <w:rsid w:val="FF7B317C"/>
    <w:rsid w:val="FF8FB551"/>
    <w:rsid w:val="FF996725"/>
    <w:rsid w:val="FF99A077"/>
    <w:rsid w:val="FF9F9FA4"/>
    <w:rsid w:val="FFAD9BFF"/>
    <w:rsid w:val="FFC7FE64"/>
    <w:rsid w:val="FFCE5B0D"/>
    <w:rsid w:val="FFD27BBC"/>
    <w:rsid w:val="FFD798A6"/>
    <w:rsid w:val="FFDB53DD"/>
    <w:rsid w:val="FFDB833B"/>
    <w:rsid w:val="FFDDCC26"/>
    <w:rsid w:val="FFDF343A"/>
    <w:rsid w:val="FFDFA639"/>
    <w:rsid w:val="FFE5742B"/>
    <w:rsid w:val="FFE986EE"/>
    <w:rsid w:val="FFEB7B57"/>
    <w:rsid w:val="FFEE23C6"/>
    <w:rsid w:val="FFEFA391"/>
    <w:rsid w:val="FFF33F2C"/>
    <w:rsid w:val="FFF71902"/>
    <w:rsid w:val="FFF72544"/>
    <w:rsid w:val="FFF98210"/>
    <w:rsid w:val="FFFC1148"/>
    <w:rsid w:val="FFFD88C0"/>
    <w:rsid w:val="FFFE95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75"/>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76"/>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77"/>
    <w:qFormat/>
    <w:uiPriority w:val="0"/>
    <w:pPr>
      <w:keepNext/>
      <w:keepLines/>
      <w:adjustRightInd w:val="0"/>
      <w:spacing w:before="280" w:beforeLines="0" w:after="290" w:afterLines="0" w:line="376" w:lineRule="atLeast"/>
      <w:textAlignment w:val="baseline"/>
      <w:outlineLvl w:val="3"/>
    </w:pPr>
    <w:rPr>
      <w:rFonts w:ascii="Arial" w:hAnsi="Arial" w:eastAsia="黑体"/>
      <w:b/>
      <w:kern w:val="0"/>
      <w:sz w:val="28"/>
    </w:rPr>
  </w:style>
  <w:style w:type="paragraph" w:styleId="6">
    <w:name w:val="heading 5"/>
    <w:basedOn w:val="1"/>
    <w:next w:val="1"/>
    <w:link w:val="78"/>
    <w:qFormat/>
    <w:uiPriority w:val="0"/>
    <w:pPr>
      <w:keepNext/>
      <w:keepLines/>
      <w:adjustRightInd w:val="0"/>
      <w:spacing w:before="280" w:beforeLines="0" w:after="290" w:afterLines="0" w:line="376" w:lineRule="atLeast"/>
      <w:textAlignment w:val="baseline"/>
      <w:outlineLvl w:val="4"/>
    </w:pPr>
    <w:rPr>
      <w:b/>
      <w:kern w:val="0"/>
      <w:sz w:val="28"/>
    </w:rPr>
  </w:style>
  <w:style w:type="paragraph" w:styleId="7">
    <w:name w:val="heading 6"/>
    <w:basedOn w:val="1"/>
    <w:next w:val="1"/>
    <w:link w:val="79"/>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rPr>
  </w:style>
  <w:style w:type="paragraph" w:styleId="8">
    <w:name w:val="heading 7"/>
    <w:basedOn w:val="1"/>
    <w:next w:val="1"/>
    <w:link w:val="80"/>
    <w:qFormat/>
    <w:uiPriority w:val="0"/>
    <w:pPr>
      <w:keepNext/>
      <w:keepLines/>
      <w:adjustRightInd w:val="0"/>
      <w:spacing w:before="240" w:beforeLines="0" w:after="64" w:afterLines="0" w:line="320" w:lineRule="atLeast"/>
      <w:textAlignment w:val="baseline"/>
      <w:outlineLvl w:val="6"/>
    </w:pPr>
    <w:rPr>
      <w:b/>
      <w:kern w:val="0"/>
      <w:sz w:val="24"/>
    </w:rPr>
  </w:style>
  <w:style w:type="paragraph" w:styleId="9">
    <w:name w:val="heading 8"/>
    <w:basedOn w:val="1"/>
    <w:next w:val="1"/>
    <w:link w:val="8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rPr>
  </w:style>
  <w:style w:type="paragraph" w:styleId="10">
    <w:name w:val="heading 9"/>
    <w:basedOn w:val="1"/>
    <w:next w:val="1"/>
    <w:link w:val="82"/>
    <w:qFormat/>
    <w:uiPriority w:val="0"/>
    <w:pPr>
      <w:keepNext/>
      <w:keepLines/>
      <w:adjustRightInd w:val="0"/>
      <w:spacing w:before="240" w:beforeLines="0" w:after="64" w:afterLines="0" w:line="320" w:lineRule="atLeast"/>
      <w:textAlignment w:val="baseline"/>
      <w:outlineLvl w:val="8"/>
    </w:pPr>
    <w:rPr>
      <w:rFonts w:ascii="Arial" w:hAnsi="Arial" w:eastAsia="黑体"/>
      <w:kern w:val="0"/>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te Heading"/>
    <w:basedOn w:val="1"/>
    <w:next w:val="1"/>
    <w:link w:val="83"/>
    <w:qFormat/>
    <w:uiPriority w:val="0"/>
    <w:pPr>
      <w:jc w:val="center"/>
    </w:pPr>
    <w:rPr>
      <w:sz w:val="18"/>
      <w:szCs w:val="18"/>
    </w:rPr>
  </w:style>
  <w:style w:type="paragraph" w:styleId="13">
    <w:name w:val="E-mail Signature"/>
    <w:basedOn w:val="1"/>
    <w:qFormat/>
    <w:uiPriority w:val="0"/>
    <w:rPr>
      <w:rFonts w:ascii="Calibri" w:hAnsi="Calibri"/>
      <w:szCs w:val="22"/>
    </w:rPr>
  </w:style>
  <w:style w:type="paragraph" w:styleId="14">
    <w:name w:val="Normal Indent"/>
    <w:basedOn w:val="1"/>
    <w:next w:val="1"/>
    <w:link w:val="84"/>
    <w:qFormat/>
    <w:uiPriority w:val="0"/>
    <w:pPr>
      <w:ind w:firstLine="420"/>
    </w:pPr>
  </w:style>
  <w:style w:type="paragraph" w:styleId="15">
    <w:name w:val="caption"/>
    <w:basedOn w:val="1"/>
    <w:next w:val="1"/>
    <w:link w:val="85"/>
    <w:qFormat/>
    <w:uiPriority w:val="0"/>
    <w:rPr>
      <w:rFonts w:ascii="Arial" w:hAnsi="Arial" w:eastAsia="黑体"/>
      <w:sz w:val="20"/>
    </w:rPr>
  </w:style>
  <w:style w:type="paragraph" w:styleId="16">
    <w:name w:val="List Bullet"/>
    <w:basedOn w:val="1"/>
    <w:qFormat/>
    <w:uiPriority w:val="0"/>
    <w:pPr>
      <w:tabs>
        <w:tab w:val="left" w:pos="420"/>
      </w:tabs>
      <w:ind w:left="420" w:hanging="425"/>
    </w:pPr>
  </w:style>
  <w:style w:type="paragraph" w:styleId="17">
    <w:name w:val="Document Map"/>
    <w:basedOn w:val="1"/>
    <w:qFormat/>
    <w:uiPriority w:val="0"/>
    <w:rPr>
      <w:rFonts w:ascii="宋体"/>
      <w:sz w:val="18"/>
      <w:szCs w:val="18"/>
    </w:rPr>
  </w:style>
  <w:style w:type="paragraph" w:styleId="18">
    <w:name w:val="annotation text"/>
    <w:basedOn w:val="1"/>
    <w:link w:val="86"/>
    <w:qFormat/>
    <w:uiPriority w:val="99"/>
    <w:pPr>
      <w:adjustRightInd w:val="0"/>
      <w:spacing w:line="315" w:lineRule="atLeast"/>
      <w:jc w:val="left"/>
      <w:textAlignment w:val="baseline"/>
    </w:pPr>
    <w:rPr>
      <w:rFonts w:ascii="宋体"/>
      <w:kern w:val="0"/>
    </w:rPr>
  </w:style>
  <w:style w:type="paragraph" w:styleId="19">
    <w:name w:val="Salutation"/>
    <w:basedOn w:val="1"/>
    <w:next w:val="1"/>
    <w:qFormat/>
    <w:uiPriority w:val="0"/>
    <w:rPr>
      <w:rFonts w:ascii="宋体" w:hAnsi="宋体" w:cs="宋体"/>
      <w:color w:val="000000"/>
      <w:kern w:val="0"/>
      <w:sz w:val="28"/>
      <w:szCs w:val="28"/>
    </w:rPr>
  </w:style>
  <w:style w:type="paragraph" w:styleId="20">
    <w:name w:val="Body Text 3"/>
    <w:basedOn w:val="1"/>
    <w:qFormat/>
    <w:uiPriority w:val="0"/>
    <w:pPr>
      <w:spacing w:line="500" w:lineRule="exact"/>
    </w:pPr>
    <w:rPr>
      <w:b/>
      <w:bCs/>
      <w:sz w:val="24"/>
      <w:szCs w:val="24"/>
    </w:rPr>
  </w:style>
  <w:style w:type="paragraph" w:styleId="21">
    <w:name w:val="Closing"/>
    <w:basedOn w:val="1"/>
    <w:qFormat/>
    <w:uiPriority w:val="0"/>
    <w:pPr>
      <w:ind w:left="100" w:leftChars="2100"/>
    </w:pPr>
    <w:rPr>
      <w:rFonts w:ascii="宋体" w:hAnsi="宋体" w:cs="宋体"/>
      <w:color w:val="000000"/>
      <w:kern w:val="0"/>
      <w:sz w:val="28"/>
      <w:szCs w:val="28"/>
    </w:rPr>
  </w:style>
  <w:style w:type="paragraph" w:styleId="22">
    <w:name w:val="List Bullet 3"/>
    <w:basedOn w:val="1"/>
    <w:qFormat/>
    <w:uiPriority w:val="0"/>
    <w:pPr>
      <w:tabs>
        <w:tab w:val="left" w:pos="1620"/>
      </w:tabs>
      <w:ind w:left="1620" w:hanging="360"/>
    </w:pPr>
    <w:rPr>
      <w:szCs w:val="24"/>
    </w:rPr>
  </w:style>
  <w:style w:type="paragraph" w:styleId="23">
    <w:name w:val="Body Text"/>
    <w:basedOn w:val="1"/>
    <w:link w:val="73"/>
    <w:qFormat/>
    <w:uiPriority w:val="0"/>
    <w:pPr>
      <w:spacing w:after="120" w:afterLines="0"/>
    </w:pPr>
  </w:style>
  <w:style w:type="paragraph" w:styleId="24">
    <w:name w:val="Body Text Indent"/>
    <w:basedOn w:val="1"/>
    <w:link w:val="87"/>
    <w:qFormat/>
    <w:uiPriority w:val="0"/>
    <w:pPr>
      <w:ind w:firstLine="795"/>
    </w:pPr>
    <w:rPr>
      <w:sz w:val="32"/>
    </w:rPr>
  </w:style>
  <w:style w:type="paragraph" w:styleId="25">
    <w:name w:val="Block Text"/>
    <w:basedOn w:val="1"/>
    <w:qFormat/>
    <w:uiPriority w:val="0"/>
    <w:pPr>
      <w:spacing w:line="400" w:lineRule="exact"/>
      <w:ind w:left="-359" w:leftChars="-171" w:right="-687" w:rightChars="-327" w:firstLine="720"/>
    </w:pPr>
    <w:rPr>
      <w:rFonts w:ascii="宋体" w:hAnsi="宋体"/>
      <w:sz w:val="28"/>
      <w:szCs w:val="24"/>
    </w:rPr>
  </w:style>
  <w:style w:type="paragraph" w:styleId="26">
    <w:name w:val="List Bullet 2"/>
    <w:basedOn w:val="1"/>
    <w:qFormat/>
    <w:uiPriority w:val="0"/>
    <w:pPr>
      <w:tabs>
        <w:tab w:val="left" w:pos="1500"/>
      </w:tabs>
      <w:ind w:left="1500" w:hanging="960"/>
    </w:pPr>
    <w:rPr>
      <w:szCs w:val="24"/>
    </w:rPr>
  </w:style>
  <w:style w:type="paragraph" w:styleId="27">
    <w:name w:val="HTML Address"/>
    <w:basedOn w:val="1"/>
    <w:link w:val="88"/>
    <w:qFormat/>
    <w:uiPriority w:val="0"/>
    <w:rPr>
      <w:sz w:val="18"/>
      <w:szCs w:val="18"/>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420"/>
      <w:jc w:val="left"/>
    </w:pPr>
    <w:rPr>
      <w:i/>
      <w:iCs/>
      <w:sz w:val="20"/>
    </w:rPr>
  </w:style>
  <w:style w:type="paragraph" w:styleId="30">
    <w:name w:val="Plain Text"/>
    <w:basedOn w:val="1"/>
    <w:next w:val="1"/>
    <w:link w:val="89"/>
    <w:qFormat/>
    <w:uiPriority w:val="0"/>
    <w:pPr>
      <w:spacing w:line="360" w:lineRule="auto"/>
    </w:pPr>
    <w:rPr>
      <w:rFonts w:ascii="宋体" w:hAnsi="Courier New"/>
      <w:sz w:val="24"/>
    </w:rPr>
  </w:style>
  <w:style w:type="paragraph" w:styleId="31">
    <w:name w:val="List Bullet 5"/>
    <w:basedOn w:val="1"/>
    <w:qFormat/>
    <w:uiPriority w:val="0"/>
    <w:pPr>
      <w:tabs>
        <w:tab w:val="left" w:pos="720"/>
        <w:tab w:val="left" w:pos="2040"/>
      </w:tabs>
      <w:spacing w:after="120" w:afterLines="0" w:line="240" w:lineRule="atLeast"/>
      <w:ind w:left="720" w:hanging="360"/>
    </w:pPr>
    <w:rPr>
      <w:rFonts w:ascii="宋体" w:hAnsi="宋体"/>
      <w:kern w:val="0"/>
      <w:sz w:val="24"/>
    </w:rPr>
  </w:style>
  <w:style w:type="paragraph" w:styleId="32">
    <w:name w:val="toc 8"/>
    <w:basedOn w:val="1"/>
    <w:next w:val="1"/>
    <w:qFormat/>
    <w:uiPriority w:val="0"/>
    <w:pPr>
      <w:ind w:left="1470"/>
      <w:jc w:val="left"/>
    </w:pPr>
    <w:rPr>
      <w:sz w:val="18"/>
      <w:szCs w:val="18"/>
    </w:rPr>
  </w:style>
  <w:style w:type="paragraph" w:styleId="33">
    <w:name w:val="Date"/>
    <w:basedOn w:val="1"/>
    <w:next w:val="1"/>
    <w:link w:val="90"/>
    <w:qFormat/>
    <w:uiPriority w:val="0"/>
    <w:rPr>
      <w:rFonts w:eastAsia="楷体"/>
      <w:sz w:val="32"/>
    </w:rPr>
  </w:style>
  <w:style w:type="paragraph" w:styleId="34">
    <w:name w:val="Body Text Indent 2"/>
    <w:basedOn w:val="1"/>
    <w:qFormat/>
    <w:uiPriority w:val="0"/>
    <w:pPr>
      <w:ind w:left="105" w:firstLine="690"/>
    </w:pPr>
    <w:rPr>
      <w:sz w:val="32"/>
    </w:rPr>
  </w:style>
  <w:style w:type="paragraph" w:styleId="35">
    <w:name w:val="endnote text"/>
    <w:basedOn w:val="1"/>
    <w:qFormat/>
    <w:uiPriority w:val="0"/>
    <w:pPr>
      <w:snapToGrid w:val="0"/>
      <w:jc w:val="left"/>
    </w:pPr>
    <w:rPr>
      <w:szCs w:val="24"/>
    </w:rPr>
  </w:style>
  <w:style w:type="paragraph" w:styleId="36">
    <w:name w:val="Balloon Text"/>
    <w:basedOn w:val="1"/>
    <w:qFormat/>
    <w:uiPriority w:val="0"/>
    <w:rPr>
      <w:sz w:val="18"/>
      <w:szCs w:val="18"/>
    </w:rPr>
  </w:style>
  <w:style w:type="paragraph" w:styleId="37">
    <w:name w:val="footer"/>
    <w:basedOn w:val="1"/>
    <w:link w:val="91"/>
    <w:qFormat/>
    <w:uiPriority w:val="99"/>
    <w:pPr>
      <w:tabs>
        <w:tab w:val="center" w:pos="4153"/>
        <w:tab w:val="right" w:pos="8306"/>
      </w:tabs>
      <w:adjustRightInd w:val="0"/>
      <w:spacing w:line="240" w:lineRule="atLeast"/>
      <w:jc w:val="left"/>
      <w:textAlignment w:val="baseline"/>
    </w:pPr>
    <w:rPr>
      <w:kern w:val="0"/>
      <w:sz w:val="18"/>
    </w:rPr>
  </w:style>
  <w:style w:type="paragraph" w:styleId="38">
    <w:name w:val="header"/>
    <w:basedOn w:val="1"/>
    <w:link w:val="92"/>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39">
    <w:name w:val="Signature"/>
    <w:basedOn w:val="1"/>
    <w:link w:val="93"/>
    <w:qFormat/>
    <w:uiPriority w:val="0"/>
    <w:pPr>
      <w:ind w:left="100" w:leftChars="2100"/>
    </w:pPr>
    <w:rPr>
      <w:sz w:val="18"/>
      <w:szCs w:val="18"/>
    </w:rPr>
  </w:style>
  <w:style w:type="paragraph" w:styleId="40">
    <w:name w:val="toc 1"/>
    <w:basedOn w:val="1"/>
    <w:next w:val="1"/>
    <w:qFormat/>
    <w:uiPriority w:val="0"/>
    <w:pPr>
      <w:spacing w:before="120" w:beforeLines="0" w:after="120" w:afterLines="0"/>
      <w:jc w:val="left"/>
    </w:pPr>
    <w:rPr>
      <w:b/>
      <w:bCs/>
      <w:caps/>
      <w:sz w:val="20"/>
    </w:rPr>
  </w:style>
  <w:style w:type="paragraph" w:styleId="41">
    <w:name w:val="toc 4"/>
    <w:basedOn w:val="1"/>
    <w:next w:val="1"/>
    <w:qFormat/>
    <w:uiPriority w:val="0"/>
    <w:pPr>
      <w:ind w:left="630"/>
      <w:jc w:val="left"/>
    </w:pPr>
    <w:rPr>
      <w:sz w:val="18"/>
      <w:szCs w:val="18"/>
    </w:rPr>
  </w:style>
  <w:style w:type="paragraph" w:styleId="42">
    <w:name w:val="Subtitle"/>
    <w:basedOn w:val="1"/>
    <w:qFormat/>
    <w:uiPriority w:val="0"/>
    <w:pPr>
      <w:spacing w:before="240" w:beforeLines="0" w:after="60" w:afterLines="0" w:line="312" w:lineRule="auto"/>
      <w:jc w:val="center"/>
      <w:outlineLvl w:val="1"/>
    </w:pPr>
    <w:rPr>
      <w:rFonts w:ascii="Arial" w:hAnsi="Arial"/>
      <w:b/>
      <w:bCs/>
      <w:kern w:val="28"/>
      <w:sz w:val="32"/>
      <w:szCs w:val="32"/>
    </w:rPr>
  </w:style>
  <w:style w:type="paragraph" w:styleId="43">
    <w:name w:val="List"/>
    <w:basedOn w:val="1"/>
    <w:qFormat/>
    <w:uiPriority w:val="0"/>
    <w:pPr>
      <w:spacing w:line="360" w:lineRule="auto"/>
      <w:ind w:left="420" w:hanging="420"/>
    </w:pPr>
    <w:rPr>
      <w:rFonts w:eastAsia="仿宋_GB2312"/>
      <w:sz w:val="24"/>
    </w:rPr>
  </w:style>
  <w:style w:type="paragraph" w:styleId="44">
    <w:name w:val="footnote text"/>
    <w:basedOn w:val="1"/>
    <w:link w:val="94"/>
    <w:qFormat/>
    <w:uiPriority w:val="0"/>
    <w:pPr>
      <w:snapToGrid w:val="0"/>
      <w:spacing w:line="360" w:lineRule="auto"/>
      <w:ind w:firstLine="480" w:firstLineChars="200"/>
      <w:jc w:val="left"/>
    </w:pPr>
    <w:rPr>
      <w:rFonts w:ascii="宋体" w:hAnsi="Courier New"/>
      <w:kern w:val="0"/>
      <w:sz w:val="20"/>
      <w:szCs w:val="21"/>
    </w:rPr>
  </w:style>
  <w:style w:type="paragraph" w:styleId="45">
    <w:name w:val="toc 6"/>
    <w:basedOn w:val="1"/>
    <w:next w:val="1"/>
    <w:qFormat/>
    <w:uiPriority w:val="0"/>
    <w:pPr>
      <w:ind w:left="1050"/>
      <w:jc w:val="left"/>
    </w:pPr>
    <w:rPr>
      <w:sz w:val="18"/>
      <w:szCs w:val="18"/>
    </w:rPr>
  </w:style>
  <w:style w:type="paragraph" w:styleId="46">
    <w:name w:val="Body Text Indent 3"/>
    <w:basedOn w:val="1"/>
    <w:qFormat/>
    <w:uiPriority w:val="0"/>
    <w:pPr>
      <w:adjustRightInd w:val="0"/>
      <w:spacing w:line="360" w:lineRule="auto"/>
      <w:ind w:left="960"/>
      <w:jc w:val="left"/>
      <w:textAlignment w:val="baseline"/>
    </w:pPr>
    <w:rPr>
      <w:rFonts w:eastAsia="楷体"/>
      <w:kern w:val="0"/>
      <w:sz w:val="24"/>
    </w:rPr>
  </w:style>
  <w:style w:type="paragraph" w:styleId="47">
    <w:name w:val="toc 2"/>
    <w:basedOn w:val="1"/>
    <w:next w:val="1"/>
    <w:qFormat/>
    <w:uiPriority w:val="0"/>
    <w:pPr>
      <w:ind w:left="210"/>
      <w:jc w:val="left"/>
    </w:pPr>
    <w:rPr>
      <w:smallCaps/>
      <w:sz w:val="20"/>
    </w:rPr>
  </w:style>
  <w:style w:type="paragraph" w:styleId="48">
    <w:name w:val="toc 9"/>
    <w:basedOn w:val="1"/>
    <w:next w:val="1"/>
    <w:qFormat/>
    <w:uiPriority w:val="0"/>
    <w:pPr>
      <w:ind w:left="1680"/>
      <w:jc w:val="left"/>
    </w:pPr>
    <w:rPr>
      <w:sz w:val="18"/>
      <w:szCs w:val="18"/>
    </w:rPr>
  </w:style>
  <w:style w:type="paragraph" w:styleId="49">
    <w:name w:val="Body Text 2"/>
    <w:basedOn w:val="1"/>
    <w:qFormat/>
    <w:uiPriority w:val="0"/>
    <w:pPr>
      <w:spacing w:after="120" w:afterLines="0" w:line="480" w:lineRule="auto"/>
    </w:pPr>
    <w:rPr>
      <w:szCs w:val="24"/>
    </w:rPr>
  </w:style>
  <w:style w:type="paragraph" w:styleId="5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shd w:val="pct20" w:color="auto" w:fill="auto"/>
    </w:rPr>
  </w:style>
  <w:style w:type="paragraph" w:styleId="5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52">
    <w:name w:val="Normal (Web)"/>
    <w:basedOn w:val="1"/>
    <w:qFormat/>
    <w:uiPriority w:val="0"/>
    <w:pPr>
      <w:widowControl/>
      <w:spacing w:before="100" w:beforeLines="0" w:beforeAutospacing="1" w:after="100" w:afterLines="0" w:afterAutospacing="1" w:line="408" w:lineRule="auto"/>
      <w:jc w:val="left"/>
    </w:pPr>
    <w:rPr>
      <w:rFonts w:ascii="Arial" w:hAnsi="Arial" w:cs="Arial"/>
      <w:kern w:val="0"/>
      <w:sz w:val="18"/>
      <w:szCs w:val="18"/>
    </w:rPr>
  </w:style>
  <w:style w:type="paragraph" w:styleId="53">
    <w:name w:val="List Continue 3"/>
    <w:basedOn w:val="1"/>
    <w:qFormat/>
    <w:uiPriority w:val="0"/>
    <w:p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before="100" w:beforeLines="0" w:after="60" w:afterLines="0" w:line="360" w:lineRule="auto"/>
      <w:jc w:val="left"/>
    </w:pPr>
    <w:rPr>
      <w:rFonts w:ascii="宋体" w:hAnsi="宋体"/>
      <w:b/>
      <w:color w:val="000000"/>
      <w:kern w:val="0"/>
      <w:sz w:val="28"/>
      <w:szCs w:val="21"/>
    </w:rPr>
  </w:style>
  <w:style w:type="paragraph" w:styleId="54">
    <w:name w:val="index 1"/>
    <w:basedOn w:val="1"/>
    <w:next w:val="1"/>
    <w:qFormat/>
    <w:uiPriority w:val="0"/>
    <w:pPr>
      <w:spacing w:line="360" w:lineRule="auto"/>
    </w:pPr>
  </w:style>
  <w:style w:type="paragraph" w:styleId="55">
    <w:name w:val="Title"/>
    <w:basedOn w:val="1"/>
    <w:link w:val="95"/>
    <w:qFormat/>
    <w:uiPriority w:val="0"/>
    <w:pPr>
      <w:jc w:val="center"/>
    </w:pPr>
    <w:rPr>
      <w:sz w:val="30"/>
      <w:szCs w:val="24"/>
    </w:rPr>
  </w:style>
  <w:style w:type="paragraph" w:styleId="56">
    <w:name w:val="annotation subject"/>
    <w:basedOn w:val="18"/>
    <w:next w:val="18"/>
    <w:link w:val="96"/>
    <w:qFormat/>
    <w:uiPriority w:val="0"/>
    <w:pPr>
      <w:adjustRightInd/>
      <w:spacing w:line="240" w:lineRule="auto"/>
      <w:textAlignment w:val="auto"/>
    </w:pPr>
    <w:rPr>
      <w:kern w:val="2"/>
      <w:sz w:val="18"/>
      <w:szCs w:val="18"/>
    </w:rPr>
  </w:style>
  <w:style w:type="paragraph" w:styleId="57">
    <w:name w:val="Body Text First Indent"/>
    <w:basedOn w:val="23"/>
    <w:qFormat/>
    <w:uiPriority w:val="0"/>
    <w:pPr>
      <w:ind w:firstLine="420" w:firstLineChars="100"/>
    </w:pPr>
  </w:style>
  <w:style w:type="paragraph" w:styleId="58">
    <w:name w:val="Body Text First Indent 2"/>
    <w:basedOn w:val="24"/>
    <w:qFormat/>
    <w:uiPriority w:val="0"/>
    <w:pPr>
      <w:spacing w:after="120" w:afterLines="0"/>
      <w:ind w:left="420" w:leftChars="200" w:firstLine="420" w:firstLineChars="200"/>
    </w:pPr>
    <w:rPr>
      <w:sz w:val="24"/>
      <w:szCs w:val="24"/>
    </w:rPr>
  </w:style>
  <w:style w:type="table" w:styleId="60">
    <w:name w:val="Table Grid"/>
    <w:basedOn w:val="59"/>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0"/>
    <w:rPr>
      <w:color w:val="3D3D3D"/>
      <w:u w:val="none"/>
    </w:rPr>
  </w:style>
  <w:style w:type="character" w:styleId="65">
    <w:name w:val="Emphasis"/>
    <w:qFormat/>
    <w:uiPriority w:val="0"/>
    <w:rPr>
      <w:color w:val="CC0000"/>
    </w:rPr>
  </w:style>
  <w:style w:type="character" w:styleId="66">
    <w:name w:val="HTML Definition"/>
    <w:qFormat/>
    <w:uiPriority w:val="0"/>
  </w:style>
  <w:style w:type="character" w:styleId="67">
    <w:name w:val="HTML Variable"/>
    <w:qFormat/>
    <w:uiPriority w:val="0"/>
  </w:style>
  <w:style w:type="character" w:styleId="68">
    <w:name w:val="Hyperlink"/>
    <w:qFormat/>
    <w:uiPriority w:val="0"/>
    <w:rPr>
      <w:color w:val="3D3D3D"/>
      <w:u w:val="none"/>
    </w:rPr>
  </w:style>
  <w:style w:type="character" w:styleId="69">
    <w:name w:val="HTML Code"/>
    <w:qFormat/>
    <w:uiPriority w:val="0"/>
    <w:rPr>
      <w:rFonts w:ascii="Courier New" w:hAnsi="Courier New"/>
      <w:sz w:val="20"/>
    </w:rPr>
  </w:style>
  <w:style w:type="character" w:styleId="70">
    <w:name w:val="annotation reference"/>
    <w:qFormat/>
    <w:uiPriority w:val="0"/>
    <w:rPr>
      <w:sz w:val="21"/>
    </w:rPr>
  </w:style>
  <w:style w:type="character" w:styleId="71">
    <w:name w:val="HTML Cite"/>
    <w:qFormat/>
    <w:uiPriority w:val="0"/>
  </w:style>
  <w:style w:type="paragraph" w:customStyle="1" w:styleId="72">
    <w:name w:val="首行缩进"/>
    <w:basedOn w:val="1"/>
    <w:qFormat/>
    <w:uiPriority w:val="0"/>
    <w:pPr>
      <w:autoSpaceDE w:val="0"/>
      <w:autoSpaceDN w:val="0"/>
      <w:adjustRightInd w:val="0"/>
      <w:spacing w:line="360" w:lineRule="auto"/>
      <w:ind w:firstLine="720"/>
    </w:pPr>
    <w:rPr>
      <w:kern w:val="0"/>
      <w:szCs w:val="21"/>
    </w:rPr>
  </w:style>
  <w:style w:type="character" w:customStyle="1" w:styleId="73">
    <w:name w:val="正文文本 Char"/>
    <w:link w:val="23"/>
    <w:qFormat/>
    <w:uiPriority w:val="0"/>
    <w:rPr>
      <w:rFonts w:eastAsia="宋体"/>
      <w:kern w:val="2"/>
      <w:sz w:val="21"/>
      <w:lang w:val="en-US" w:eastAsia="zh-CN" w:bidi="ar-SA"/>
    </w:rPr>
  </w:style>
  <w:style w:type="character" w:customStyle="1" w:styleId="74">
    <w:name w:val="标题 1 Char"/>
    <w:link w:val="2"/>
    <w:qFormat/>
    <w:uiPriority w:val="0"/>
    <w:rPr>
      <w:rFonts w:eastAsia="宋体"/>
      <w:b/>
      <w:bCs/>
      <w:kern w:val="44"/>
      <w:sz w:val="44"/>
      <w:szCs w:val="44"/>
      <w:lang w:val="en-US" w:eastAsia="zh-CN" w:bidi="ar-SA"/>
    </w:rPr>
  </w:style>
  <w:style w:type="character" w:customStyle="1" w:styleId="75">
    <w:name w:val="标题 2 Char"/>
    <w:link w:val="3"/>
    <w:qFormat/>
    <w:uiPriority w:val="0"/>
    <w:rPr>
      <w:rFonts w:ascii="Arial" w:hAnsi="Arial" w:eastAsia="黑体"/>
      <w:b/>
      <w:bCs/>
      <w:kern w:val="2"/>
      <w:sz w:val="32"/>
      <w:szCs w:val="32"/>
      <w:lang w:val="en-US" w:eastAsia="zh-CN" w:bidi="ar-SA"/>
    </w:rPr>
  </w:style>
  <w:style w:type="character" w:customStyle="1" w:styleId="76">
    <w:name w:val="标题 3 Char"/>
    <w:link w:val="4"/>
    <w:qFormat/>
    <w:uiPriority w:val="0"/>
    <w:rPr>
      <w:rFonts w:eastAsia="宋体"/>
      <w:b/>
      <w:bCs/>
      <w:kern w:val="2"/>
      <w:sz w:val="32"/>
      <w:szCs w:val="32"/>
      <w:lang w:val="en-US" w:eastAsia="zh-CN" w:bidi="ar-SA"/>
    </w:rPr>
  </w:style>
  <w:style w:type="character" w:customStyle="1" w:styleId="77">
    <w:name w:val="标题 4 Char"/>
    <w:link w:val="5"/>
    <w:qFormat/>
    <w:uiPriority w:val="0"/>
    <w:rPr>
      <w:rFonts w:ascii="Arial" w:hAnsi="Arial" w:eastAsia="黑体"/>
      <w:b/>
      <w:sz w:val="28"/>
      <w:lang w:val="en-US" w:eastAsia="zh-CN" w:bidi="ar-SA"/>
    </w:rPr>
  </w:style>
  <w:style w:type="character" w:customStyle="1" w:styleId="78">
    <w:name w:val="标题 5 Char1"/>
    <w:link w:val="6"/>
    <w:qFormat/>
    <w:uiPriority w:val="0"/>
    <w:rPr>
      <w:rFonts w:eastAsia="宋体"/>
      <w:b/>
      <w:sz w:val="28"/>
      <w:lang w:val="en-US" w:eastAsia="zh-CN" w:bidi="ar-SA"/>
    </w:rPr>
  </w:style>
  <w:style w:type="character" w:customStyle="1" w:styleId="79">
    <w:name w:val="标题 6 Char"/>
    <w:link w:val="7"/>
    <w:qFormat/>
    <w:uiPriority w:val="0"/>
    <w:rPr>
      <w:rFonts w:ascii="Arial" w:hAnsi="Arial" w:eastAsia="黑体"/>
      <w:b/>
      <w:sz w:val="24"/>
      <w:lang w:val="en-US" w:eastAsia="zh-CN" w:bidi="ar-SA"/>
    </w:rPr>
  </w:style>
  <w:style w:type="character" w:customStyle="1" w:styleId="80">
    <w:name w:val="标题 7 Char"/>
    <w:link w:val="8"/>
    <w:qFormat/>
    <w:uiPriority w:val="0"/>
    <w:rPr>
      <w:rFonts w:eastAsia="宋体"/>
      <w:b/>
      <w:sz w:val="24"/>
      <w:lang w:val="en-US" w:eastAsia="zh-CN" w:bidi="ar-SA"/>
    </w:rPr>
  </w:style>
  <w:style w:type="character" w:customStyle="1" w:styleId="81">
    <w:name w:val="标题 8 Char"/>
    <w:link w:val="9"/>
    <w:qFormat/>
    <w:uiPriority w:val="0"/>
    <w:rPr>
      <w:rFonts w:ascii="Arial" w:hAnsi="Arial" w:eastAsia="黑体"/>
      <w:sz w:val="24"/>
      <w:lang w:val="en-US" w:eastAsia="zh-CN" w:bidi="ar-SA"/>
    </w:rPr>
  </w:style>
  <w:style w:type="character" w:customStyle="1" w:styleId="82">
    <w:name w:val="标题 9 Char"/>
    <w:link w:val="10"/>
    <w:qFormat/>
    <w:uiPriority w:val="0"/>
    <w:rPr>
      <w:rFonts w:ascii="Arial" w:hAnsi="Arial" w:eastAsia="黑体"/>
      <w:sz w:val="21"/>
      <w:lang w:val="en-US" w:eastAsia="zh-CN" w:bidi="ar-SA"/>
    </w:rPr>
  </w:style>
  <w:style w:type="character" w:customStyle="1" w:styleId="83">
    <w:name w:val="注释标题 Char"/>
    <w:link w:val="12"/>
    <w:qFormat/>
    <w:uiPriority w:val="0"/>
    <w:rPr>
      <w:kern w:val="2"/>
      <w:sz w:val="18"/>
      <w:szCs w:val="18"/>
    </w:rPr>
  </w:style>
  <w:style w:type="character" w:customStyle="1" w:styleId="84">
    <w:name w:val="正文缩进 Char"/>
    <w:link w:val="14"/>
    <w:qFormat/>
    <w:uiPriority w:val="0"/>
    <w:rPr>
      <w:rFonts w:eastAsia="宋体"/>
      <w:kern w:val="2"/>
      <w:sz w:val="21"/>
      <w:lang w:val="en-US" w:eastAsia="zh-CN" w:bidi="ar-SA"/>
    </w:rPr>
  </w:style>
  <w:style w:type="character" w:customStyle="1" w:styleId="85">
    <w:name w:val="题注 Char"/>
    <w:link w:val="15"/>
    <w:qFormat/>
    <w:uiPriority w:val="0"/>
    <w:rPr>
      <w:rFonts w:ascii="Arial" w:hAnsi="Arial" w:eastAsia="黑体"/>
      <w:kern w:val="2"/>
    </w:rPr>
  </w:style>
  <w:style w:type="character" w:customStyle="1" w:styleId="86">
    <w:name w:val="批注文字 Char"/>
    <w:link w:val="18"/>
    <w:qFormat/>
    <w:uiPriority w:val="99"/>
    <w:rPr>
      <w:rFonts w:ascii="宋体"/>
      <w:sz w:val="21"/>
    </w:rPr>
  </w:style>
  <w:style w:type="character" w:customStyle="1" w:styleId="87">
    <w:name w:val="正文文本缩进 Char"/>
    <w:link w:val="24"/>
    <w:qFormat/>
    <w:uiPriority w:val="0"/>
    <w:rPr>
      <w:rFonts w:eastAsia="宋体"/>
      <w:kern w:val="2"/>
      <w:sz w:val="32"/>
      <w:lang w:val="en-US" w:eastAsia="zh-CN" w:bidi="ar-SA"/>
    </w:rPr>
  </w:style>
  <w:style w:type="character" w:customStyle="1" w:styleId="88">
    <w:name w:val="HTML 地址 Char"/>
    <w:link w:val="27"/>
    <w:qFormat/>
    <w:uiPriority w:val="0"/>
    <w:rPr>
      <w:kern w:val="2"/>
      <w:sz w:val="18"/>
      <w:szCs w:val="18"/>
    </w:rPr>
  </w:style>
  <w:style w:type="character" w:customStyle="1" w:styleId="89">
    <w:name w:val="纯文本 Char"/>
    <w:link w:val="30"/>
    <w:qFormat/>
    <w:uiPriority w:val="0"/>
    <w:rPr>
      <w:rFonts w:ascii="宋体" w:hAnsi="Courier New" w:eastAsia="宋体"/>
      <w:kern w:val="2"/>
      <w:sz w:val="24"/>
      <w:lang w:val="en-US" w:eastAsia="zh-CN" w:bidi="ar-SA"/>
    </w:rPr>
  </w:style>
  <w:style w:type="character" w:customStyle="1" w:styleId="90">
    <w:name w:val="日期 Char"/>
    <w:link w:val="33"/>
    <w:qFormat/>
    <w:uiPriority w:val="0"/>
    <w:rPr>
      <w:rFonts w:eastAsia="楷体"/>
      <w:kern w:val="2"/>
      <w:sz w:val="32"/>
      <w:lang w:val="en-US" w:eastAsia="zh-CN" w:bidi="ar-SA"/>
    </w:rPr>
  </w:style>
  <w:style w:type="character" w:customStyle="1" w:styleId="91">
    <w:name w:val="页脚 Char"/>
    <w:link w:val="37"/>
    <w:qFormat/>
    <w:uiPriority w:val="99"/>
    <w:rPr>
      <w:sz w:val="18"/>
      <w:lang w:bidi="ar-SA"/>
    </w:rPr>
  </w:style>
  <w:style w:type="character" w:customStyle="1" w:styleId="92">
    <w:name w:val="页眉 Char"/>
    <w:link w:val="38"/>
    <w:qFormat/>
    <w:uiPriority w:val="99"/>
    <w:rPr>
      <w:sz w:val="18"/>
      <w:lang w:bidi="ar-SA"/>
    </w:rPr>
  </w:style>
  <w:style w:type="character" w:customStyle="1" w:styleId="93">
    <w:name w:val="签名 Char"/>
    <w:link w:val="39"/>
    <w:qFormat/>
    <w:uiPriority w:val="0"/>
    <w:rPr>
      <w:kern w:val="2"/>
      <w:sz w:val="18"/>
      <w:szCs w:val="18"/>
    </w:rPr>
  </w:style>
  <w:style w:type="character" w:customStyle="1" w:styleId="94">
    <w:name w:val="脚注文本 Char"/>
    <w:link w:val="44"/>
    <w:qFormat/>
    <w:uiPriority w:val="0"/>
    <w:rPr>
      <w:rFonts w:ascii="宋体" w:hAnsi="Courier New" w:eastAsia="宋体" w:cs="Courier New"/>
      <w:szCs w:val="21"/>
    </w:rPr>
  </w:style>
  <w:style w:type="character" w:customStyle="1" w:styleId="95">
    <w:name w:val="标题 Char"/>
    <w:link w:val="55"/>
    <w:qFormat/>
    <w:uiPriority w:val="0"/>
    <w:rPr>
      <w:rFonts w:eastAsia="宋体"/>
      <w:kern w:val="2"/>
      <w:sz w:val="30"/>
      <w:szCs w:val="24"/>
      <w:lang w:val="en-US" w:eastAsia="zh-CN" w:bidi="ar-SA"/>
    </w:rPr>
  </w:style>
  <w:style w:type="character" w:customStyle="1" w:styleId="96">
    <w:name w:val="批注主题 Char"/>
    <w:link w:val="56"/>
    <w:qFormat/>
    <w:uiPriority w:val="0"/>
    <w:rPr>
      <w:rFonts w:ascii="宋体"/>
      <w:kern w:val="2"/>
      <w:sz w:val="18"/>
      <w:szCs w:val="18"/>
    </w:rPr>
  </w:style>
  <w:style w:type="paragraph" w:customStyle="1" w:styleId="97">
    <w:name w:val="标题 5（有编号）（绿盟科技）"/>
    <w:basedOn w:val="1"/>
    <w:next w:val="98"/>
    <w:qFormat/>
    <w:uiPriority w:val="99"/>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9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99">
    <w:name w:val="UP标题3 Char Char"/>
    <w:link w:val="100"/>
    <w:qFormat/>
    <w:uiPriority w:val="0"/>
    <w:rPr>
      <w:rFonts w:ascii="黑体" w:eastAsia="黑体"/>
      <w:sz w:val="28"/>
      <w:szCs w:val="28"/>
      <w:lang w:bidi="ar-SA"/>
    </w:rPr>
  </w:style>
  <w:style w:type="paragraph" w:customStyle="1" w:styleId="100">
    <w:name w:val="UP标题3"/>
    <w:basedOn w:val="1"/>
    <w:link w:val="99"/>
    <w:qFormat/>
    <w:uiPriority w:val="0"/>
    <w:pPr>
      <w:spacing w:line="360" w:lineRule="auto"/>
      <w:ind w:firstLine="149" w:firstLineChars="149"/>
    </w:pPr>
    <w:rPr>
      <w:rFonts w:ascii="黑体" w:eastAsia="黑体"/>
      <w:kern w:val="0"/>
      <w:sz w:val="28"/>
      <w:szCs w:val="28"/>
    </w:rPr>
  </w:style>
  <w:style w:type="character" w:customStyle="1" w:styleId="101">
    <w:name w:val="cu-b Char Char"/>
    <w:link w:val="102"/>
    <w:qFormat/>
    <w:uiPriority w:val="0"/>
    <w:rPr>
      <w:rFonts w:ascii="Arial" w:hAnsi="Arial"/>
      <w:sz w:val="24"/>
      <w:lang w:bidi="ar-SA"/>
    </w:rPr>
  </w:style>
  <w:style w:type="paragraph" w:customStyle="1" w:styleId="102">
    <w:name w:val="cu-b"/>
    <w:basedOn w:val="103"/>
    <w:link w:val="101"/>
    <w:qFormat/>
    <w:uiPriority w:val="0"/>
    <w:pPr>
      <w:tabs>
        <w:tab w:val="left" w:pos="720"/>
      </w:tabs>
      <w:spacing w:line="360" w:lineRule="auto"/>
    </w:pPr>
  </w:style>
  <w:style w:type="paragraph" w:customStyle="1" w:styleId="103">
    <w:name w:val="CU-bullentine--small"/>
    <w:basedOn w:val="1"/>
    <w:qFormat/>
    <w:uiPriority w:val="0"/>
    <w:pPr>
      <w:widowControl/>
      <w:tabs>
        <w:tab w:val="left" w:pos="720"/>
      </w:tabs>
      <w:ind w:left="900" w:hanging="420"/>
      <w:jc w:val="left"/>
    </w:pPr>
    <w:rPr>
      <w:rFonts w:ascii="Arial" w:hAnsi="Arial"/>
      <w:kern w:val="0"/>
      <w:sz w:val="24"/>
    </w:rPr>
  </w:style>
  <w:style w:type="character" w:customStyle="1" w:styleId="104">
    <w:name w:val="普通正文 Char Char"/>
    <w:link w:val="105"/>
    <w:qFormat/>
    <w:uiPriority w:val="0"/>
    <w:rPr>
      <w:rFonts w:ascii="仿宋_GB2312" w:eastAsia="仿宋_GB2312"/>
      <w:kern w:val="2"/>
      <w:sz w:val="28"/>
      <w:lang w:bidi="ar-SA"/>
    </w:rPr>
  </w:style>
  <w:style w:type="paragraph" w:customStyle="1" w:styleId="105">
    <w:name w:val="普通正文"/>
    <w:basedOn w:val="1"/>
    <w:link w:val="104"/>
    <w:qFormat/>
    <w:uiPriority w:val="0"/>
    <w:pPr>
      <w:spacing w:line="440" w:lineRule="exact"/>
      <w:ind w:firstLine="560" w:firstLineChars="200"/>
    </w:pPr>
    <w:rPr>
      <w:rFonts w:ascii="仿宋_GB2312" w:eastAsia="仿宋_GB2312"/>
      <w:sz w:val="28"/>
    </w:rPr>
  </w:style>
  <w:style w:type="character" w:customStyle="1" w:styleId="106">
    <w:name w:val=" Char Char28"/>
    <w:qFormat/>
    <w:uiPriority w:val="0"/>
    <w:rPr>
      <w:rFonts w:ascii="Arial" w:hAnsi="Arial" w:eastAsia="黑体"/>
      <w:kern w:val="2"/>
      <w:sz w:val="21"/>
      <w:szCs w:val="21"/>
      <w:lang w:val="en-US" w:eastAsia="zh-CN" w:bidi="ar-SA"/>
    </w:rPr>
  </w:style>
  <w:style w:type="character" w:customStyle="1" w:styleId="107">
    <w:name w:val="maywed421"/>
    <w:qFormat/>
    <w:uiPriority w:val="0"/>
    <w:rPr>
      <w:color w:val="366FB6"/>
      <w:u w:val="none"/>
    </w:rPr>
  </w:style>
  <w:style w:type="character" w:customStyle="1" w:styleId="108">
    <w:name w:val="方案正文 Char Char"/>
    <w:link w:val="109"/>
    <w:qFormat/>
    <w:uiPriority w:val="0"/>
    <w:rPr>
      <w:rFonts w:ascii="宋体" w:hAnsi="宋体"/>
      <w:kern w:val="2"/>
      <w:sz w:val="28"/>
      <w:szCs w:val="28"/>
      <w:lang w:bidi="ar-SA"/>
    </w:rPr>
  </w:style>
  <w:style w:type="paragraph" w:customStyle="1" w:styleId="109">
    <w:name w:val="方案正文"/>
    <w:basedOn w:val="1"/>
    <w:link w:val="108"/>
    <w:qFormat/>
    <w:uiPriority w:val="0"/>
    <w:pPr>
      <w:spacing w:line="360" w:lineRule="auto"/>
      <w:ind w:firstLine="538" w:firstLineChars="192"/>
    </w:pPr>
    <w:rPr>
      <w:rFonts w:ascii="宋体" w:hAnsi="宋体"/>
      <w:sz w:val="28"/>
      <w:szCs w:val="28"/>
    </w:rPr>
  </w:style>
  <w:style w:type="character" w:customStyle="1" w:styleId="110">
    <w:name w:val="style91"/>
    <w:qFormat/>
    <w:uiPriority w:val="0"/>
    <w:rPr>
      <w:sz w:val="24"/>
      <w:szCs w:val="24"/>
    </w:rPr>
  </w:style>
  <w:style w:type="character" w:customStyle="1" w:styleId="111">
    <w:name w:val="font01"/>
    <w:qFormat/>
    <w:uiPriority w:val="0"/>
    <w:rPr>
      <w:rFonts w:hint="eastAsia" w:ascii="宋体" w:hAnsi="宋体" w:eastAsia="宋体"/>
      <w:color w:val="000000"/>
      <w:sz w:val="20"/>
      <w:szCs w:val="20"/>
      <w:u w:val="none"/>
    </w:rPr>
  </w:style>
  <w:style w:type="character" w:customStyle="1" w:styleId="112">
    <w:name w:val="正文文字首行缩进 Char1"/>
    <w:qFormat/>
    <w:uiPriority w:val="0"/>
    <w:rPr>
      <w:rFonts w:eastAsia="宋体"/>
      <w:kern w:val="2"/>
      <w:sz w:val="32"/>
      <w:lang w:val="en-US" w:eastAsia="zh-CN" w:bidi="ar-SA"/>
    </w:rPr>
  </w:style>
  <w:style w:type="character" w:customStyle="1" w:styleId="113">
    <w:name w:val="size121"/>
    <w:qFormat/>
    <w:uiPriority w:val="0"/>
    <w:rPr>
      <w:color w:val="333333"/>
      <w:sz w:val="18"/>
      <w:szCs w:val="18"/>
    </w:rPr>
  </w:style>
  <w:style w:type="character" w:customStyle="1" w:styleId="114">
    <w:name w:val="标题 5 Char"/>
    <w:qFormat/>
    <w:uiPriority w:val="0"/>
    <w:rPr>
      <w:rFonts w:ascii="Arial" w:hAnsi="Arial" w:eastAsia="宋体"/>
      <w:b/>
      <w:bCs/>
      <w:kern w:val="2"/>
      <w:sz w:val="28"/>
      <w:szCs w:val="28"/>
      <w:lang w:val="en-US" w:eastAsia="zh-CN" w:bidi="ar-SA"/>
    </w:rPr>
  </w:style>
  <w:style w:type="character" w:customStyle="1" w:styleId="115">
    <w:name w:val="Table Text Char1"/>
    <w:link w:val="116"/>
    <w:qFormat/>
    <w:uiPriority w:val="0"/>
    <w:rPr>
      <w:rFonts w:eastAsia="宋体"/>
      <w:sz w:val="21"/>
      <w:szCs w:val="24"/>
      <w:lang w:val="en-US" w:eastAsia="zh-CN" w:bidi="ar-SA"/>
    </w:rPr>
  </w:style>
  <w:style w:type="paragraph" w:customStyle="1" w:styleId="116">
    <w:name w:val="Table Text"/>
    <w:basedOn w:val="1"/>
    <w:link w:val="115"/>
    <w:qFormat/>
    <w:uiPriority w:val="0"/>
    <w:pPr>
      <w:widowControl/>
      <w:spacing w:before="60" w:beforeLines="0" w:after="60" w:afterLines="0"/>
      <w:jc w:val="left"/>
    </w:pPr>
    <w:rPr>
      <w:kern w:val="0"/>
      <w:szCs w:val="24"/>
    </w:rPr>
  </w:style>
  <w:style w:type="character" w:customStyle="1" w:styleId="117">
    <w:name w:val="标题 3 Char Char Char"/>
    <w:qFormat/>
    <w:uiPriority w:val="0"/>
    <w:rPr>
      <w:rFonts w:eastAsia="宋体"/>
      <w:b/>
      <w:kern w:val="2"/>
      <w:sz w:val="32"/>
      <w:lang w:val="en-US" w:eastAsia="zh-CN" w:bidi="ar-SA"/>
    </w:rPr>
  </w:style>
  <w:style w:type="character" w:customStyle="1" w:styleId="118">
    <w:name w:val="！标题2 Char Char"/>
    <w:link w:val="119"/>
    <w:qFormat/>
    <w:uiPriority w:val="0"/>
    <w:rPr>
      <w:rFonts w:ascii="Arial" w:hAnsi="Arial"/>
      <w:b/>
      <w:bCs/>
      <w:color w:val="000000"/>
      <w:kern w:val="2"/>
      <w:sz w:val="28"/>
      <w:szCs w:val="32"/>
      <w:lang w:bidi="ar-SA"/>
    </w:rPr>
  </w:style>
  <w:style w:type="paragraph" w:customStyle="1" w:styleId="119">
    <w:name w:val="！标题2"/>
    <w:basedOn w:val="3"/>
    <w:link w:val="118"/>
    <w:qFormat/>
    <w:uiPriority w:val="0"/>
    <w:pPr>
      <w:keepLines w:val="0"/>
      <w:tabs>
        <w:tab w:val="left" w:pos="993"/>
        <w:tab w:val="left" w:pos="1200"/>
        <w:tab w:val="left" w:pos="2007"/>
      </w:tabs>
      <w:spacing w:line="415" w:lineRule="auto"/>
      <w:ind w:left="1200" w:leftChars="400" w:hanging="360" w:hangingChars="200"/>
    </w:pPr>
    <w:rPr>
      <w:rFonts w:eastAsia="宋体"/>
      <w:color w:val="000000"/>
      <w:sz w:val="28"/>
    </w:rPr>
  </w:style>
  <w:style w:type="character" w:customStyle="1" w:styleId="120">
    <w:name w:val="文档正文 Char Char"/>
    <w:link w:val="121"/>
    <w:qFormat/>
    <w:uiPriority w:val="0"/>
    <w:rPr>
      <w:sz w:val="28"/>
    </w:rPr>
  </w:style>
  <w:style w:type="paragraph" w:customStyle="1" w:styleId="121">
    <w:name w:val="文档正文"/>
    <w:basedOn w:val="1"/>
    <w:link w:val="120"/>
    <w:qFormat/>
    <w:uiPriority w:val="0"/>
    <w:pPr>
      <w:adjustRightInd w:val="0"/>
      <w:spacing w:line="360" w:lineRule="auto"/>
      <w:ind w:firstLine="512" w:firstLineChars="200"/>
      <w:textAlignment w:val="baseline"/>
    </w:pPr>
    <w:rPr>
      <w:kern w:val="0"/>
      <w:sz w:val="28"/>
    </w:rPr>
  </w:style>
  <w:style w:type="character" w:customStyle="1" w:styleId="122">
    <w:name w:val="F正文 Char Char"/>
    <w:link w:val="123"/>
    <w:qFormat/>
    <w:uiPriority w:val="0"/>
    <w:rPr>
      <w:rFonts w:ascii="宋体" w:hAnsi="宋体"/>
      <w:kern w:val="2"/>
      <w:sz w:val="28"/>
      <w:szCs w:val="28"/>
      <w:lang w:bidi="ar-SA"/>
    </w:rPr>
  </w:style>
  <w:style w:type="paragraph" w:customStyle="1" w:styleId="123">
    <w:name w:val="F正文"/>
    <w:basedOn w:val="1"/>
    <w:link w:val="122"/>
    <w:qFormat/>
    <w:uiPriority w:val="0"/>
    <w:pPr>
      <w:spacing w:before="60" w:beforeLines="0" w:after="60" w:afterLines="0" w:line="264" w:lineRule="auto"/>
      <w:ind w:right="323" w:rightChars="154" w:firstLine="560" w:firstLineChars="200"/>
    </w:pPr>
    <w:rPr>
      <w:rFonts w:ascii="宋体" w:hAnsi="宋体"/>
      <w:sz w:val="28"/>
      <w:szCs w:val="28"/>
    </w:rPr>
  </w:style>
  <w:style w:type="character" w:customStyle="1" w:styleId="124">
    <w:name w:val="kleintab"/>
    <w:basedOn w:val="61"/>
    <w:qFormat/>
    <w:uiPriority w:val="0"/>
  </w:style>
  <w:style w:type="character" w:customStyle="1" w:styleId="125">
    <w:name w:val="long_text1"/>
    <w:qFormat/>
    <w:uiPriority w:val="0"/>
    <w:rPr>
      <w:sz w:val="20"/>
      <w:szCs w:val="20"/>
    </w:rPr>
  </w:style>
  <w:style w:type="character" w:customStyle="1" w:styleId="126">
    <w:name w:val="point_normal"/>
    <w:basedOn w:val="61"/>
    <w:qFormat/>
    <w:uiPriority w:val="0"/>
  </w:style>
  <w:style w:type="character" w:customStyle="1" w:styleId="127">
    <w:name w:val="para"/>
    <w:basedOn w:val="61"/>
    <w:qFormat/>
    <w:uiPriority w:val="0"/>
  </w:style>
  <w:style w:type="character" w:customStyle="1" w:styleId="128">
    <w:name w:val="55555 Char Char"/>
    <w:link w:val="129"/>
    <w:qFormat/>
    <w:uiPriority w:val="0"/>
    <w:rPr>
      <w:rFonts w:eastAsia="仿宋_GB2312"/>
      <w:kern w:val="2"/>
      <w:sz w:val="30"/>
      <w:szCs w:val="30"/>
      <w:lang w:bidi="ar-SA"/>
    </w:rPr>
  </w:style>
  <w:style w:type="paragraph" w:customStyle="1" w:styleId="129">
    <w:name w:val="55555"/>
    <w:basedOn w:val="14"/>
    <w:link w:val="128"/>
    <w:qFormat/>
    <w:uiPriority w:val="0"/>
    <w:pPr>
      <w:tabs>
        <w:tab w:val="left" w:pos="900"/>
        <w:tab w:val="left" w:pos="1800"/>
      </w:tabs>
      <w:spacing w:line="360" w:lineRule="auto"/>
      <w:ind w:left="1800" w:hanging="420"/>
    </w:pPr>
    <w:rPr>
      <w:rFonts w:eastAsia="仿宋_GB2312"/>
      <w:sz w:val="30"/>
      <w:szCs w:val="30"/>
    </w:rPr>
  </w:style>
  <w:style w:type="character" w:customStyle="1" w:styleId="130">
    <w:name w:val="CU-sub Char Char"/>
    <w:link w:val="131"/>
    <w:qFormat/>
    <w:uiPriority w:val="0"/>
    <w:rPr>
      <w:rFonts w:ascii="Arial" w:hAnsi="Arial"/>
      <w:kern w:val="2"/>
      <w:sz w:val="24"/>
      <w:szCs w:val="24"/>
      <w:lang w:bidi="ar-SA"/>
    </w:rPr>
  </w:style>
  <w:style w:type="paragraph" w:customStyle="1" w:styleId="131">
    <w:name w:val="CU-sub"/>
    <w:basedOn w:val="1"/>
    <w:link w:val="130"/>
    <w:qFormat/>
    <w:uiPriority w:val="0"/>
    <w:pPr>
      <w:widowControl/>
      <w:tabs>
        <w:tab w:val="left" w:pos="1440"/>
      </w:tabs>
      <w:spacing w:line="360" w:lineRule="auto"/>
      <w:ind w:left="1400" w:hanging="420"/>
      <w:jc w:val="left"/>
    </w:pPr>
    <w:rPr>
      <w:rFonts w:ascii="Arial" w:hAnsi="Arial"/>
      <w:sz w:val="24"/>
      <w:szCs w:val="24"/>
    </w:rPr>
  </w:style>
  <w:style w:type="character" w:customStyle="1" w:styleId="132">
    <w:name w:val="unnamed31"/>
    <w:qFormat/>
    <w:uiPriority w:val="0"/>
    <w:rPr>
      <w:sz w:val="22"/>
      <w:szCs w:val="22"/>
    </w:rPr>
  </w:style>
  <w:style w:type="character" w:customStyle="1" w:styleId="133">
    <w:name w:val="中等深浅网格 1 - 着色 2 字符"/>
    <w:link w:val="134"/>
    <w:qFormat/>
    <w:uiPriority w:val="34"/>
    <w:rPr>
      <w:rFonts w:ascii="Calibri" w:hAnsi="Calibri"/>
      <w:kern w:val="2"/>
      <w:sz w:val="21"/>
      <w:szCs w:val="22"/>
    </w:rPr>
  </w:style>
  <w:style w:type="paragraph" w:customStyle="1" w:styleId="134">
    <w:name w:val="中等深浅网格 1 - 着色 21"/>
    <w:basedOn w:val="1"/>
    <w:link w:val="133"/>
    <w:qFormat/>
    <w:uiPriority w:val="34"/>
    <w:pPr>
      <w:ind w:firstLine="420" w:firstLineChars="200"/>
    </w:pPr>
    <w:rPr>
      <w:rFonts w:ascii="Calibri" w:hAnsi="Calibri"/>
      <w:szCs w:val="22"/>
    </w:rPr>
  </w:style>
  <w:style w:type="character" w:customStyle="1" w:styleId="135">
    <w:name w:val="Body text + Spacing -1 pt"/>
    <w:qFormat/>
    <w:uiPriority w:val="0"/>
    <w:rPr>
      <w:rFonts w:ascii="宋体" w:eastAsia="宋体" w:cs="宋体"/>
      <w:spacing w:val="-30"/>
      <w:sz w:val="27"/>
      <w:szCs w:val="27"/>
      <w:u w:val="none"/>
      <w:lang w:bidi="ar-SA"/>
    </w:rPr>
  </w:style>
  <w:style w:type="character" w:customStyle="1" w:styleId="136">
    <w:name w:val="text1"/>
    <w:basedOn w:val="61"/>
    <w:qFormat/>
    <w:uiPriority w:val="0"/>
  </w:style>
  <w:style w:type="character" w:customStyle="1" w:styleId="137">
    <w:name w:val="Heading 2 Hidden Char"/>
    <w:qFormat/>
    <w:uiPriority w:val="0"/>
    <w:rPr>
      <w:rFonts w:ascii="Arial" w:hAnsi="Arial" w:eastAsia="黑体"/>
      <w:b/>
      <w:bCs/>
      <w:kern w:val="2"/>
      <w:sz w:val="32"/>
      <w:szCs w:val="32"/>
      <w:lang w:val="en-US" w:eastAsia="zh-CN" w:bidi="ar-SA"/>
    </w:rPr>
  </w:style>
  <w:style w:type="character" w:customStyle="1" w:styleId="138">
    <w:name w:val="样式 正文new + 首行缩进:  2 字符 Char Char"/>
    <w:qFormat/>
    <w:uiPriority w:val="0"/>
    <w:rPr>
      <w:rFonts w:ascii="宋体" w:hAnsi="宋体" w:eastAsia="宋体" w:cs="宋体"/>
      <w:color w:val="000000"/>
      <w:kern w:val="2"/>
      <w:sz w:val="21"/>
      <w:szCs w:val="28"/>
      <w:lang w:val="en-US" w:eastAsia="zh-CN" w:bidi="ar-SA"/>
    </w:rPr>
  </w:style>
  <w:style w:type="character" w:customStyle="1" w:styleId="139">
    <w:name w:val="表内 Char Char"/>
    <w:link w:val="140"/>
    <w:qFormat/>
    <w:uiPriority w:val="0"/>
    <w:rPr>
      <w:rFonts w:eastAsia="Times New Roman" w:cs="宋体"/>
      <w:lang w:val="en-US" w:eastAsia="zh-CN" w:bidi="ar-SA"/>
    </w:rPr>
  </w:style>
  <w:style w:type="paragraph" w:customStyle="1" w:styleId="140">
    <w:name w:val="表内"/>
    <w:next w:val="141"/>
    <w:link w:val="139"/>
    <w:qFormat/>
    <w:uiPriority w:val="0"/>
    <w:pPr>
      <w:jc w:val="center"/>
    </w:pPr>
    <w:rPr>
      <w:rFonts w:ascii="Times New Roman" w:hAnsi="Times New Roman" w:eastAsia="Times New Roman" w:cs="宋体"/>
      <w:lang w:val="en-US" w:eastAsia="zh-CN" w:bidi="ar-SA"/>
    </w:rPr>
  </w:style>
  <w:style w:type="paragraph" w:customStyle="1" w:styleId="141">
    <w:name w:val="表后"/>
    <w:next w:val="57"/>
    <w:link w:val="142"/>
    <w:qFormat/>
    <w:uiPriority w:val="0"/>
    <w:rPr>
      <w:rFonts w:ascii="宋体" w:hAnsi="宋体" w:eastAsia="宋体" w:cs="Times New Roman"/>
      <w:color w:val="000000"/>
      <w:kern w:val="2"/>
      <w:sz w:val="21"/>
      <w:szCs w:val="24"/>
      <w:lang w:val="en-US" w:eastAsia="zh-CN" w:bidi="ar-SA"/>
    </w:rPr>
  </w:style>
  <w:style w:type="character" w:customStyle="1" w:styleId="142">
    <w:name w:val="表后 Char Char"/>
    <w:link w:val="141"/>
    <w:qFormat/>
    <w:uiPriority w:val="0"/>
    <w:rPr>
      <w:rFonts w:ascii="宋体" w:hAnsi="宋体"/>
      <w:color w:val="000000"/>
      <w:kern w:val="2"/>
      <w:sz w:val="21"/>
      <w:szCs w:val="24"/>
      <w:lang w:val="en-US" w:eastAsia="zh-CN" w:bidi="ar-SA"/>
    </w:rPr>
  </w:style>
  <w:style w:type="character" w:customStyle="1" w:styleId="143">
    <w:name w:val="short_text"/>
    <w:qFormat/>
    <w:uiPriority w:val="0"/>
    <w:rPr>
      <w:rFonts w:ascii="宋体" w:hAnsi="宋体" w:eastAsia="宋体"/>
      <w:kern w:val="2"/>
      <w:sz w:val="30"/>
      <w:szCs w:val="30"/>
      <w:lang w:val="en-US" w:eastAsia="zh-CN" w:bidi="ar-SA"/>
    </w:rPr>
  </w:style>
  <w:style w:type="character" w:customStyle="1" w:styleId="144">
    <w:name w:val="my正文 Char Char"/>
    <w:link w:val="145"/>
    <w:qFormat/>
    <w:uiPriority w:val="0"/>
    <w:rPr>
      <w:kern w:val="2"/>
      <w:sz w:val="24"/>
      <w:szCs w:val="24"/>
      <w:lang w:bidi="ar-SA"/>
    </w:rPr>
  </w:style>
  <w:style w:type="paragraph" w:customStyle="1" w:styleId="145">
    <w:name w:val="my正文"/>
    <w:basedOn w:val="1"/>
    <w:link w:val="144"/>
    <w:qFormat/>
    <w:uiPriority w:val="0"/>
    <w:pPr>
      <w:spacing w:line="360" w:lineRule="auto"/>
      <w:ind w:firstLine="480" w:firstLineChars="200"/>
    </w:pPr>
    <w:rPr>
      <w:sz w:val="24"/>
      <w:szCs w:val="24"/>
    </w:rPr>
  </w:style>
  <w:style w:type="character" w:customStyle="1" w:styleId="146">
    <w:name w:val="tw4winTerm"/>
    <w:qFormat/>
    <w:uiPriority w:val="0"/>
    <w:rPr>
      <w:color w:val="0000FF"/>
    </w:rPr>
  </w:style>
  <w:style w:type="character" w:customStyle="1" w:styleId="147">
    <w:name w:val="文档正文 Char Char Char"/>
    <w:qFormat/>
    <w:uiPriority w:val="0"/>
    <w:rPr>
      <w:sz w:val="28"/>
    </w:rPr>
  </w:style>
  <w:style w:type="character" w:customStyle="1" w:styleId="148">
    <w:name w:val="表格正文 Char Char"/>
    <w:link w:val="149"/>
    <w:qFormat/>
    <w:uiPriority w:val="0"/>
    <w:rPr>
      <w:rFonts w:eastAsia="宋体"/>
      <w:kern w:val="2"/>
      <w:sz w:val="18"/>
      <w:lang w:val="en-US" w:eastAsia="zh-CN" w:bidi="ar-SA"/>
    </w:rPr>
  </w:style>
  <w:style w:type="paragraph" w:customStyle="1" w:styleId="149">
    <w:name w:val="表格正文"/>
    <w:basedOn w:val="1"/>
    <w:link w:val="148"/>
    <w:qFormat/>
    <w:uiPriority w:val="0"/>
    <w:pPr>
      <w:spacing w:before="60" w:beforeLines="0" w:after="60" w:afterLines="0"/>
    </w:pPr>
    <w:rPr>
      <w:sz w:val="18"/>
    </w:rPr>
  </w:style>
  <w:style w:type="character" w:customStyle="1" w:styleId="150">
    <w:name w:val="样式 样式 列表接续 3title new 3 + 小三 + 小三 Char Char"/>
    <w:basedOn w:val="151"/>
    <w:qFormat/>
    <w:uiPriority w:val="0"/>
  </w:style>
  <w:style w:type="character" w:customStyle="1" w:styleId="151">
    <w:name w:val="样式 列表接续 3title new 3 + 小三 Char Char"/>
    <w:qFormat/>
    <w:uiPriority w:val="0"/>
    <w:rPr>
      <w:rFonts w:ascii="宋体" w:hAnsi="宋体" w:eastAsia="宋体"/>
      <w:b/>
      <w:bCs/>
      <w:color w:val="000000"/>
      <w:sz w:val="28"/>
      <w:szCs w:val="21"/>
      <w:lang w:val="en-US" w:eastAsia="zh-CN" w:bidi="ar-SA"/>
    </w:rPr>
  </w:style>
  <w:style w:type="character" w:customStyle="1" w:styleId="152">
    <w:name w:val="f1441"/>
    <w:qFormat/>
    <w:uiPriority w:val="0"/>
    <w:rPr>
      <w:sz w:val="21"/>
      <w:szCs w:val="21"/>
    </w:rPr>
  </w:style>
  <w:style w:type="character" w:customStyle="1" w:styleId="153">
    <w:name w:val="标题二 Char Char"/>
    <w:link w:val="154"/>
    <w:qFormat/>
    <w:uiPriority w:val="0"/>
    <w:rPr>
      <w:rFonts w:ascii="宋体" w:hAnsi="宋体" w:eastAsia="宋体"/>
      <w:b/>
      <w:bCs/>
      <w:sz w:val="30"/>
      <w:szCs w:val="30"/>
      <w:lang w:val="en-US" w:eastAsia="en-US" w:bidi="en-US"/>
    </w:rPr>
  </w:style>
  <w:style w:type="paragraph" w:customStyle="1" w:styleId="154">
    <w:name w:val="标题二"/>
    <w:basedOn w:val="3"/>
    <w:link w:val="153"/>
    <w:qFormat/>
    <w:uiPriority w:val="0"/>
    <w:pPr>
      <w:widowControl/>
      <w:numPr>
        <w:ilvl w:val="0"/>
        <w:numId w:val="2"/>
      </w:numPr>
      <w:spacing w:before="200" w:beforeLines="0" w:after="0" w:afterLines="0" w:line="276" w:lineRule="auto"/>
      <w:jc w:val="left"/>
    </w:pPr>
    <w:rPr>
      <w:rFonts w:ascii="宋体" w:hAnsi="宋体" w:eastAsia="宋体"/>
      <w:kern w:val="0"/>
      <w:sz w:val="30"/>
      <w:szCs w:val="30"/>
      <w:lang w:eastAsia="en-US" w:bidi="en-US"/>
    </w:rPr>
  </w:style>
  <w:style w:type="character" w:customStyle="1" w:styleId="155">
    <w:name w:val="样式 纯文本普通文字普通文字 Char Char Char Char Char Char普通文字 Char Char Ch... Char Char Char"/>
    <w:qFormat/>
    <w:uiPriority w:val="0"/>
    <w:rPr>
      <w:rFonts w:ascii="仿宋_GB2312" w:hAnsi="仿宋_GB2312" w:eastAsia="仿宋_GB2312"/>
      <w:kern w:val="2"/>
      <w:sz w:val="28"/>
    </w:rPr>
  </w:style>
  <w:style w:type="character" w:customStyle="1" w:styleId="156">
    <w:name w:val="项目样式 Char Char"/>
    <w:link w:val="157"/>
    <w:qFormat/>
    <w:uiPriority w:val="0"/>
    <w:rPr>
      <w:rFonts w:ascii="宋体" w:hAnsi="宋体"/>
      <w:b/>
      <w:sz w:val="24"/>
      <w:szCs w:val="24"/>
      <w:lang w:bidi="ar-SA"/>
    </w:rPr>
  </w:style>
  <w:style w:type="paragraph" w:customStyle="1" w:styleId="157">
    <w:name w:val="项目样式"/>
    <w:basedOn w:val="158"/>
    <w:link w:val="156"/>
    <w:qFormat/>
    <w:uiPriority w:val="0"/>
    <w:pPr>
      <w:tabs>
        <w:tab w:val="left" w:pos="1500"/>
      </w:tabs>
      <w:ind w:left="1500" w:hanging="960" w:firstLineChars="0"/>
    </w:pPr>
    <w:rPr>
      <w:b/>
    </w:rPr>
  </w:style>
  <w:style w:type="paragraph" w:customStyle="1" w:styleId="158">
    <w:name w:val="正常正文样式"/>
    <w:basedOn w:val="1"/>
    <w:link w:val="159"/>
    <w:qFormat/>
    <w:uiPriority w:val="0"/>
    <w:pPr>
      <w:autoSpaceDE w:val="0"/>
      <w:autoSpaceDN w:val="0"/>
      <w:adjustRightInd w:val="0"/>
      <w:spacing w:line="360" w:lineRule="auto"/>
      <w:ind w:firstLine="480" w:firstLineChars="200"/>
      <w:jc w:val="left"/>
    </w:pPr>
    <w:rPr>
      <w:rFonts w:ascii="宋体" w:hAnsi="宋体"/>
      <w:kern w:val="0"/>
      <w:sz w:val="24"/>
      <w:szCs w:val="24"/>
    </w:rPr>
  </w:style>
  <w:style w:type="character" w:customStyle="1" w:styleId="159">
    <w:name w:val="正常正文样式 Char Char"/>
    <w:link w:val="158"/>
    <w:qFormat/>
    <w:uiPriority w:val="0"/>
    <w:rPr>
      <w:rFonts w:ascii="宋体" w:hAnsi="宋体"/>
      <w:sz w:val="24"/>
      <w:szCs w:val="24"/>
      <w:lang w:bidi="ar-SA"/>
    </w:rPr>
  </w:style>
  <w:style w:type="character" w:customStyle="1" w:styleId="160">
    <w:name w:val="text"/>
    <w:basedOn w:val="61"/>
    <w:qFormat/>
    <w:uiPriority w:val="0"/>
  </w:style>
  <w:style w:type="character" w:customStyle="1" w:styleId="161">
    <w:name w:val="11-a-a"/>
    <w:basedOn w:val="61"/>
    <w:qFormat/>
    <w:uiPriority w:val="0"/>
  </w:style>
  <w:style w:type="character" w:customStyle="1" w:styleId="162">
    <w:name w:val="style181"/>
    <w:qFormat/>
    <w:uiPriority w:val="0"/>
    <w:rPr>
      <w:sz w:val="18"/>
      <w:szCs w:val="18"/>
    </w:rPr>
  </w:style>
  <w:style w:type="character" w:customStyle="1" w:styleId="163">
    <w:name w:val="22222 Char Char"/>
    <w:link w:val="164"/>
    <w:qFormat/>
    <w:uiPriority w:val="0"/>
    <w:rPr>
      <w:rFonts w:ascii="宋体" w:hAnsi="宋体"/>
      <w:kern w:val="2"/>
      <w:sz w:val="30"/>
      <w:szCs w:val="30"/>
      <w:lang w:bidi="ar-SA"/>
    </w:rPr>
  </w:style>
  <w:style w:type="paragraph" w:customStyle="1" w:styleId="164">
    <w:name w:val="22222"/>
    <w:basedOn w:val="1"/>
    <w:link w:val="163"/>
    <w:qFormat/>
    <w:uiPriority w:val="0"/>
    <w:pPr>
      <w:tabs>
        <w:tab w:val="left" w:pos="420"/>
      </w:tabs>
      <w:adjustRightInd w:val="0"/>
      <w:snapToGrid w:val="0"/>
      <w:spacing w:line="360" w:lineRule="auto"/>
      <w:ind w:left="420" w:right="31" w:rightChars="17" w:hanging="420"/>
    </w:pPr>
    <w:rPr>
      <w:rFonts w:ascii="宋体" w:hAnsi="宋体"/>
      <w:sz w:val="30"/>
      <w:szCs w:val="30"/>
    </w:rPr>
  </w:style>
  <w:style w:type="character" w:customStyle="1" w:styleId="165">
    <w:name w:val="Para head"/>
    <w:qFormat/>
    <w:uiPriority w:val="0"/>
    <w:rPr>
      <w:rFonts w:ascii="Arial" w:hAnsi="Arial" w:eastAsia="Times New Roman"/>
      <w:sz w:val="20"/>
    </w:rPr>
  </w:style>
  <w:style w:type="character" w:customStyle="1" w:styleId="166">
    <w:name w:val="纯文本 Char1"/>
    <w:qFormat/>
    <w:uiPriority w:val="0"/>
    <w:rPr>
      <w:rFonts w:ascii="宋体" w:hAnsi="Courier New"/>
      <w:kern w:val="2"/>
      <w:sz w:val="21"/>
    </w:rPr>
  </w:style>
  <w:style w:type="character" w:customStyle="1" w:styleId="167">
    <w:name w:val="title new 3 Char Char"/>
    <w:qFormat/>
    <w:uiPriority w:val="0"/>
    <w:rPr>
      <w:rFonts w:ascii="宋体" w:hAnsi="宋体" w:eastAsia="宋体"/>
      <w:b/>
      <w:color w:val="000000"/>
      <w:sz w:val="28"/>
      <w:szCs w:val="21"/>
      <w:lang w:val="en-US" w:eastAsia="zh-CN" w:bidi="ar-SA"/>
    </w:rPr>
  </w:style>
  <w:style w:type="character" w:customStyle="1" w:styleId="168">
    <w:name w:val="img"/>
    <w:basedOn w:val="61"/>
    <w:qFormat/>
    <w:uiPriority w:val="0"/>
  </w:style>
  <w:style w:type="character" w:customStyle="1" w:styleId="169">
    <w:name w:val="(符号)五标题1.1.1 Char Char"/>
    <w:link w:val="170"/>
    <w:qFormat/>
    <w:uiPriority w:val="0"/>
    <w:rPr>
      <w:rFonts w:ascii="宋体" w:hAnsi="宋体" w:eastAsia="宋体" w:cs="宋体"/>
      <w:color w:val="000000"/>
      <w:kern w:val="2"/>
      <w:sz w:val="24"/>
      <w:lang w:val="en-US" w:eastAsia="zh-CN" w:bidi="ar-SA"/>
    </w:rPr>
  </w:style>
  <w:style w:type="paragraph" w:customStyle="1" w:styleId="170">
    <w:name w:val="(符号)五标题1.1.1"/>
    <w:basedOn w:val="1"/>
    <w:link w:val="169"/>
    <w:qFormat/>
    <w:uiPriority w:val="0"/>
    <w:pPr>
      <w:tabs>
        <w:tab w:val="left" w:pos="1000"/>
      </w:tabs>
      <w:spacing w:line="500" w:lineRule="exact"/>
      <w:ind w:left="1000" w:hanging="1000"/>
    </w:pPr>
    <w:rPr>
      <w:rFonts w:ascii="宋体" w:hAnsi="宋体" w:cs="宋体"/>
      <w:color w:val="000000"/>
      <w:sz w:val="24"/>
    </w:rPr>
  </w:style>
  <w:style w:type="character" w:customStyle="1" w:styleId="171">
    <w:name w:val="图文 Char Char"/>
    <w:link w:val="172"/>
    <w:qFormat/>
    <w:uiPriority w:val="0"/>
    <w:rPr>
      <w:kern w:val="2"/>
      <w:sz w:val="21"/>
      <w:lang w:bidi="ar-SA"/>
    </w:rPr>
  </w:style>
  <w:style w:type="paragraph" w:customStyle="1" w:styleId="172">
    <w:name w:val="图文"/>
    <w:basedOn w:val="1"/>
    <w:link w:val="171"/>
    <w:qFormat/>
    <w:uiPriority w:val="0"/>
    <w:pPr>
      <w:jc w:val="center"/>
    </w:pPr>
  </w:style>
  <w:style w:type="character" w:customStyle="1" w:styleId="173">
    <w:name w:val="Heading #4 (2) + 15 pt"/>
    <w:qFormat/>
    <w:uiPriority w:val="0"/>
    <w:rPr>
      <w:rFonts w:ascii="宋体" w:eastAsia="宋体"/>
      <w:b/>
      <w:bCs/>
      <w:spacing w:val="0"/>
      <w:sz w:val="30"/>
      <w:szCs w:val="30"/>
      <w:lang w:bidi="ar-SA"/>
    </w:rPr>
  </w:style>
  <w:style w:type="character" w:customStyle="1" w:styleId="174">
    <w:name w:val=" Char Char30"/>
    <w:qFormat/>
    <w:uiPriority w:val="0"/>
    <w:rPr>
      <w:rFonts w:eastAsia="宋体"/>
      <w:b/>
      <w:bCs/>
      <w:kern w:val="2"/>
      <w:sz w:val="24"/>
      <w:szCs w:val="24"/>
      <w:lang w:val="en-US" w:eastAsia="zh-CN" w:bidi="ar-SA"/>
    </w:rPr>
  </w:style>
  <w:style w:type="character" w:customStyle="1" w:styleId="175">
    <w:name w:val="列出段落 Char"/>
    <w:link w:val="176"/>
    <w:qFormat/>
    <w:uiPriority w:val="34"/>
    <w:rPr>
      <w:rFonts w:ascii="Calibri" w:hAnsi="Calibri" w:eastAsia="宋体"/>
      <w:kern w:val="2"/>
      <w:sz w:val="21"/>
      <w:szCs w:val="22"/>
      <w:lang w:val="en-US" w:eastAsia="zh-CN" w:bidi="ar-SA"/>
    </w:rPr>
  </w:style>
  <w:style w:type="paragraph" w:styleId="176">
    <w:name w:val="List Paragraph"/>
    <w:basedOn w:val="1"/>
    <w:link w:val="175"/>
    <w:qFormat/>
    <w:uiPriority w:val="34"/>
    <w:pPr>
      <w:ind w:firstLine="420" w:firstLineChars="200"/>
    </w:pPr>
    <w:rPr>
      <w:rFonts w:ascii="Calibri" w:hAnsi="Calibri"/>
      <w:szCs w:val="22"/>
    </w:rPr>
  </w:style>
  <w:style w:type="character" w:customStyle="1" w:styleId="177">
    <w:name w:val="MM Topic 3 Char Char"/>
    <w:link w:val="178"/>
    <w:qFormat/>
    <w:uiPriority w:val="0"/>
    <w:rPr>
      <w:b/>
      <w:bCs/>
      <w:kern w:val="2"/>
      <w:sz w:val="32"/>
      <w:szCs w:val="32"/>
      <w:lang w:bidi="ar-SA"/>
    </w:rPr>
  </w:style>
  <w:style w:type="paragraph" w:customStyle="1" w:styleId="178">
    <w:name w:val="MM Topic 3"/>
    <w:basedOn w:val="4"/>
    <w:link w:val="177"/>
    <w:qFormat/>
    <w:uiPriority w:val="0"/>
    <w:pPr>
      <w:tabs>
        <w:tab w:val="left" w:pos="1418"/>
      </w:tabs>
      <w:spacing w:line="416" w:lineRule="auto"/>
    </w:pPr>
  </w:style>
  <w:style w:type="character" w:customStyle="1" w:styleId="179">
    <w:name w:val="样式 首行缩进:  2 字符1 Char Char"/>
    <w:link w:val="180"/>
    <w:qFormat/>
    <w:uiPriority w:val="0"/>
    <w:rPr>
      <w:sz w:val="24"/>
      <w:lang w:bidi="ar-SA"/>
    </w:rPr>
  </w:style>
  <w:style w:type="paragraph" w:customStyle="1" w:styleId="180">
    <w:name w:val="样式 首行缩进:  2 字符1"/>
    <w:basedOn w:val="1"/>
    <w:link w:val="179"/>
    <w:qFormat/>
    <w:uiPriority w:val="0"/>
    <w:pPr>
      <w:spacing w:line="360" w:lineRule="auto"/>
      <w:ind w:firstLine="480" w:firstLineChars="200"/>
    </w:pPr>
    <w:rPr>
      <w:kern w:val="0"/>
      <w:sz w:val="24"/>
    </w:rPr>
  </w:style>
  <w:style w:type="character" w:customStyle="1" w:styleId="181">
    <w:name w:val="无缩进正文 Char Char"/>
    <w:qFormat/>
    <w:uiPriority w:val="0"/>
    <w:rPr>
      <w:rFonts w:ascii="Arial" w:hAnsi="Arial" w:eastAsia="宋体"/>
      <w:kern w:val="2"/>
      <w:sz w:val="24"/>
      <w:szCs w:val="24"/>
      <w:lang w:val="en-US" w:eastAsia="zh-CN" w:bidi="ar-SA"/>
    </w:rPr>
  </w:style>
  <w:style w:type="character" w:customStyle="1" w:styleId="182">
    <w:name w:val="GW-正文 Char Char"/>
    <w:link w:val="183"/>
    <w:qFormat/>
    <w:uiPriority w:val="0"/>
    <w:rPr>
      <w:rFonts w:eastAsia="仿宋_GB2312"/>
      <w:sz w:val="24"/>
      <w:szCs w:val="24"/>
      <w:lang w:bidi="ar-SA"/>
    </w:rPr>
  </w:style>
  <w:style w:type="paragraph" w:customStyle="1" w:styleId="183">
    <w:name w:val="GW-正文"/>
    <w:basedOn w:val="1"/>
    <w:link w:val="182"/>
    <w:qFormat/>
    <w:uiPriority w:val="0"/>
    <w:pPr>
      <w:spacing w:line="360" w:lineRule="auto"/>
      <w:ind w:firstLine="200" w:firstLineChars="200"/>
    </w:pPr>
    <w:rPr>
      <w:rFonts w:eastAsia="仿宋_GB2312"/>
      <w:kern w:val="0"/>
      <w:sz w:val="24"/>
      <w:szCs w:val="24"/>
    </w:rPr>
  </w:style>
  <w:style w:type="character" w:customStyle="1" w:styleId="184">
    <w:name w:val="标题 3 Char Char"/>
    <w:qFormat/>
    <w:uiPriority w:val="0"/>
    <w:rPr>
      <w:rFonts w:eastAsia="宋体"/>
      <w:b/>
      <w:bCs/>
      <w:kern w:val="2"/>
      <w:sz w:val="32"/>
      <w:szCs w:val="32"/>
      <w:lang w:val="en-US" w:eastAsia="zh-CN" w:bidi="ar-SA"/>
    </w:rPr>
  </w:style>
  <w:style w:type="character" w:customStyle="1" w:styleId="185">
    <w:name w:val="正文缩进(ALT+Z) Char Char Char"/>
    <w:qFormat/>
    <w:uiPriority w:val="0"/>
    <w:rPr>
      <w:rFonts w:ascii="宋体" w:hAnsi="宋体"/>
      <w:kern w:val="2"/>
      <w:sz w:val="24"/>
      <w:szCs w:val="24"/>
    </w:rPr>
  </w:style>
  <w:style w:type="character" w:customStyle="1" w:styleId="186">
    <w:name w:val="图 Char Char"/>
    <w:link w:val="187"/>
    <w:qFormat/>
    <w:uiPriority w:val="0"/>
    <w:rPr>
      <w:rFonts w:eastAsia="Times New Roman"/>
      <w:color w:val="000000"/>
      <w:kern w:val="2"/>
      <w:sz w:val="21"/>
      <w:szCs w:val="24"/>
      <w:lang w:val="en-US" w:eastAsia="zh-CN" w:bidi="ar-SA"/>
    </w:rPr>
  </w:style>
  <w:style w:type="paragraph" w:customStyle="1" w:styleId="187">
    <w:name w:val="图"/>
    <w:next w:val="1"/>
    <w:link w:val="186"/>
    <w:qFormat/>
    <w:uiPriority w:val="0"/>
    <w:pPr>
      <w:spacing w:line="240" w:lineRule="atLeast"/>
      <w:jc w:val="center"/>
    </w:pPr>
    <w:rPr>
      <w:rFonts w:ascii="Times New Roman" w:hAnsi="Times New Roman" w:eastAsia="Times New Roman" w:cs="Times New Roman"/>
      <w:color w:val="000000"/>
      <w:kern w:val="2"/>
      <w:sz w:val="21"/>
      <w:szCs w:val="24"/>
      <w:lang w:val="en-US" w:eastAsia="zh-CN" w:bidi="ar-SA"/>
    </w:rPr>
  </w:style>
  <w:style w:type="character" w:customStyle="1" w:styleId="188">
    <w:name w:val="h Char"/>
    <w:qFormat/>
    <w:uiPriority w:val="0"/>
    <w:rPr>
      <w:sz w:val="18"/>
    </w:rPr>
  </w:style>
  <w:style w:type="character" w:customStyle="1" w:styleId="189">
    <w:name w:val=" Char Char35"/>
    <w:qFormat/>
    <w:uiPriority w:val="0"/>
    <w:rPr>
      <w:rFonts w:ascii="Arial" w:hAnsi="Arial" w:eastAsia="黑体"/>
      <w:b/>
      <w:bCs/>
      <w:kern w:val="2"/>
      <w:sz w:val="32"/>
      <w:szCs w:val="32"/>
      <w:lang w:val="en-US" w:eastAsia="zh-CN" w:bidi="ar-SA"/>
    </w:rPr>
  </w:style>
  <w:style w:type="character" w:customStyle="1" w:styleId="190">
    <w:name w:val="样式0 Char Char"/>
    <w:link w:val="191"/>
    <w:qFormat/>
    <w:uiPriority w:val="0"/>
    <w:rPr>
      <w:rFonts w:ascii="Arial" w:hAnsi="Arial" w:eastAsia="黑体"/>
      <w:sz w:val="44"/>
      <w:szCs w:val="32"/>
      <w:lang w:bidi="ar-SA"/>
    </w:rPr>
  </w:style>
  <w:style w:type="paragraph" w:customStyle="1" w:styleId="191">
    <w:name w:val="样式0"/>
    <w:basedOn w:val="55"/>
    <w:link w:val="190"/>
    <w:qFormat/>
    <w:uiPriority w:val="0"/>
    <w:pPr>
      <w:keepNext/>
      <w:keepLines/>
      <w:spacing w:before="240" w:beforeLines="0" w:after="60" w:afterLines="0" w:line="416" w:lineRule="auto"/>
      <w:ind w:left="420" w:hanging="420"/>
      <w:outlineLvl w:val="0"/>
    </w:pPr>
    <w:rPr>
      <w:rFonts w:ascii="Arial" w:hAnsi="Arial" w:eastAsia="黑体"/>
      <w:kern w:val="0"/>
      <w:sz w:val="44"/>
      <w:szCs w:val="32"/>
    </w:rPr>
  </w:style>
  <w:style w:type="character" w:customStyle="1" w:styleId="192">
    <w:name w:val="fontstyle01"/>
    <w:qFormat/>
    <w:uiPriority w:val="0"/>
    <w:rPr>
      <w:rFonts w:hint="eastAsia" w:ascii="宋体" w:hAnsi="宋体" w:eastAsia="宋体"/>
      <w:color w:val="000000"/>
      <w:sz w:val="24"/>
      <w:szCs w:val="24"/>
    </w:rPr>
  </w:style>
  <w:style w:type="character" w:customStyle="1" w:styleId="193">
    <w:name w:val="宋小4粗行距22"/>
    <w:qFormat/>
    <w:uiPriority w:val="0"/>
    <w:rPr>
      <w:rFonts w:eastAsia="宋体"/>
      <w:b/>
      <w:color w:val="000000"/>
      <w:sz w:val="24"/>
      <w:vertAlign w:val="baseline"/>
    </w:rPr>
  </w:style>
  <w:style w:type="character" w:customStyle="1" w:styleId="194">
    <w:name w:val=" Char Char31"/>
    <w:qFormat/>
    <w:uiPriority w:val="0"/>
    <w:rPr>
      <w:rFonts w:ascii="Arial" w:hAnsi="Arial" w:eastAsia="黑体"/>
      <w:b/>
      <w:bCs/>
      <w:kern w:val="2"/>
      <w:sz w:val="24"/>
      <w:szCs w:val="24"/>
      <w:lang w:val="en-US" w:eastAsia="zh-CN" w:bidi="ar-SA"/>
    </w:rPr>
  </w:style>
  <w:style w:type="character" w:customStyle="1" w:styleId="195">
    <w:name w:val="样式 样式 正文new + 首行缩进:  2 字符 + 加粗 Char Char"/>
    <w:qFormat/>
    <w:uiPriority w:val="0"/>
    <w:rPr>
      <w:rFonts w:ascii="宋体" w:hAnsi="宋体" w:eastAsia="宋体" w:cs="宋体"/>
      <w:b/>
      <w:bCs/>
      <w:color w:val="000000"/>
      <w:kern w:val="2"/>
      <w:sz w:val="21"/>
      <w:szCs w:val="28"/>
      <w:lang w:val="en-US" w:eastAsia="zh-CN" w:bidi="ar-SA"/>
    </w:rPr>
  </w:style>
  <w:style w:type="character" w:customStyle="1" w:styleId="196">
    <w:name w:val="text1 Char Char"/>
    <w:qFormat/>
    <w:uiPriority w:val="0"/>
    <w:rPr>
      <w:rFonts w:cs="宋体"/>
      <w:sz w:val="24"/>
    </w:rPr>
  </w:style>
  <w:style w:type="character" w:customStyle="1" w:styleId="197">
    <w:name w:val="Body text_"/>
    <w:link w:val="198"/>
    <w:qFormat/>
    <w:uiPriority w:val="0"/>
    <w:rPr>
      <w:rFonts w:ascii="宋体"/>
      <w:sz w:val="27"/>
      <w:szCs w:val="27"/>
      <w:lang w:bidi="ar-SA"/>
    </w:rPr>
  </w:style>
  <w:style w:type="paragraph" w:customStyle="1" w:styleId="198">
    <w:name w:val="正文文本1"/>
    <w:basedOn w:val="1"/>
    <w:link w:val="197"/>
    <w:qFormat/>
    <w:uiPriority w:val="0"/>
    <w:pPr>
      <w:shd w:val="clear" w:color="auto" w:fill="FFFFFF"/>
      <w:spacing w:after="180" w:afterLines="0" w:line="240" w:lineRule="atLeast"/>
      <w:ind w:hanging="800"/>
      <w:jc w:val="left"/>
    </w:pPr>
    <w:rPr>
      <w:rFonts w:ascii="宋体"/>
      <w:kern w:val="0"/>
      <w:sz w:val="27"/>
      <w:szCs w:val="27"/>
    </w:rPr>
  </w:style>
  <w:style w:type="character" w:customStyle="1" w:styleId="199">
    <w:name w:val="红色 居中 Char Char"/>
    <w:link w:val="200"/>
    <w:qFormat/>
    <w:uiPriority w:val="0"/>
    <w:rPr>
      <w:rFonts w:eastAsia="宋体" w:cs="宋体"/>
      <w:b/>
      <w:color w:val="FF0000"/>
      <w:kern w:val="2"/>
      <w:sz w:val="24"/>
      <w:lang w:val="en-US" w:eastAsia="zh-CN" w:bidi="ar-SA"/>
    </w:rPr>
  </w:style>
  <w:style w:type="paragraph" w:customStyle="1" w:styleId="200">
    <w:name w:val="红色 居中"/>
    <w:basedOn w:val="1"/>
    <w:link w:val="199"/>
    <w:qFormat/>
    <w:uiPriority w:val="0"/>
    <w:pPr>
      <w:spacing w:line="360" w:lineRule="auto"/>
      <w:jc w:val="center"/>
    </w:pPr>
    <w:rPr>
      <w:rFonts w:cs="宋体"/>
      <w:b/>
      <w:color w:val="FF0000"/>
      <w:sz w:val="24"/>
    </w:rPr>
  </w:style>
  <w:style w:type="character" w:customStyle="1" w:styleId="201">
    <w:name w:val="title_marcom"/>
    <w:basedOn w:val="61"/>
    <w:qFormat/>
    <w:uiPriority w:val="0"/>
  </w:style>
  <w:style w:type="character" w:customStyle="1" w:styleId="202">
    <w:name w:val="c_right2"/>
    <w:qFormat/>
    <w:uiPriority w:val="0"/>
    <w:rPr>
      <w:sz w:val="21"/>
      <w:szCs w:val="21"/>
    </w:rPr>
  </w:style>
  <w:style w:type="character" w:customStyle="1" w:styleId="203">
    <w:name w:val="ca-111"/>
    <w:qFormat/>
    <w:uiPriority w:val="0"/>
    <w:rPr>
      <w:rFonts w:hint="eastAsia" w:ascii="宋体" w:hAnsi="宋体" w:eastAsia="宋体"/>
      <w:color w:val="000000"/>
      <w:sz w:val="24"/>
      <w:szCs w:val="24"/>
    </w:rPr>
  </w:style>
  <w:style w:type="character" w:customStyle="1" w:styleId="204">
    <w:name w:val="一级条标题 Char Char"/>
    <w:link w:val="205"/>
    <w:qFormat/>
    <w:uiPriority w:val="0"/>
    <w:rPr>
      <w:rFonts w:ascii="黑体" w:eastAsia="黑体"/>
      <w:sz w:val="21"/>
      <w:lang w:val="en-US" w:eastAsia="zh-CN" w:bidi="ar-SA"/>
    </w:rPr>
  </w:style>
  <w:style w:type="paragraph" w:customStyle="1" w:styleId="205">
    <w:name w:val="一级条标题"/>
    <w:basedOn w:val="206"/>
    <w:next w:val="5"/>
    <w:link w:val="204"/>
    <w:qFormat/>
    <w:uiPriority w:val="0"/>
    <w:pPr>
      <w:tabs>
        <w:tab w:val="left" w:pos="1440"/>
        <w:tab w:val="left" w:pos="2880"/>
      </w:tabs>
      <w:spacing w:before="0" w:beforeLines="0"/>
      <w:ind w:left="2880"/>
      <w:outlineLvl w:val="2"/>
    </w:pPr>
  </w:style>
  <w:style w:type="paragraph" w:customStyle="1" w:styleId="206">
    <w:name w:val="章标题"/>
    <w:next w:val="5"/>
    <w:qFormat/>
    <w:uiPriority w:val="0"/>
    <w:pPr>
      <w:tabs>
        <w:tab w:val="left" w:pos="1440"/>
      </w:tabs>
      <w:spacing w:before="156" w:beforeLines="50" w:after="156" w:afterLines="50"/>
      <w:ind w:left="1440" w:hanging="360"/>
      <w:jc w:val="both"/>
      <w:outlineLvl w:val="1"/>
    </w:pPr>
    <w:rPr>
      <w:rFonts w:ascii="黑体" w:hAnsi="Times New Roman" w:eastAsia="黑体" w:cs="Times New Roman"/>
      <w:sz w:val="21"/>
      <w:lang w:val="en-US" w:eastAsia="zh-CN" w:bidi="ar-SA"/>
    </w:rPr>
  </w:style>
  <w:style w:type="character" w:customStyle="1" w:styleId="207">
    <w:name w:val=" Char Char33"/>
    <w:qFormat/>
    <w:uiPriority w:val="0"/>
    <w:rPr>
      <w:rFonts w:ascii="Arial" w:hAnsi="Arial" w:eastAsia="黑体"/>
      <w:b/>
      <w:bCs/>
      <w:kern w:val="2"/>
      <w:sz w:val="28"/>
      <w:szCs w:val="28"/>
      <w:lang w:val="en-US" w:eastAsia="zh-CN" w:bidi="ar-SA"/>
    </w:rPr>
  </w:style>
  <w:style w:type="character" w:customStyle="1" w:styleId="208">
    <w:name w:val="文档正文 Char Char Char Char"/>
    <w:qFormat/>
    <w:uiPriority w:val="0"/>
    <w:rPr>
      <w:sz w:val="28"/>
    </w:rPr>
  </w:style>
  <w:style w:type="character" w:customStyle="1" w:styleId="209">
    <w:name w:val="图例 Char Char"/>
    <w:link w:val="210"/>
    <w:qFormat/>
    <w:uiPriority w:val="0"/>
    <w:rPr>
      <w:rFonts w:ascii="仿宋_GB2312" w:eastAsia="仿宋_GB2312"/>
      <w:kern w:val="2"/>
      <w:sz w:val="24"/>
      <w:szCs w:val="24"/>
      <w:lang w:bidi="ar-SA"/>
    </w:rPr>
  </w:style>
  <w:style w:type="paragraph" w:customStyle="1" w:styleId="210">
    <w:name w:val="图例"/>
    <w:basedOn w:val="1"/>
    <w:link w:val="209"/>
    <w:qFormat/>
    <w:uiPriority w:val="0"/>
    <w:pPr>
      <w:spacing w:line="360" w:lineRule="auto"/>
      <w:jc w:val="center"/>
    </w:pPr>
    <w:rPr>
      <w:rFonts w:ascii="仿宋_GB2312" w:eastAsia="仿宋_GB2312"/>
      <w:sz w:val="24"/>
      <w:szCs w:val="24"/>
    </w:rPr>
  </w:style>
  <w:style w:type="character" w:customStyle="1" w:styleId="211">
    <w:name w:val="Item List Char Char"/>
    <w:link w:val="212"/>
    <w:qFormat/>
    <w:uiPriority w:val="0"/>
    <w:rPr>
      <w:rFonts w:eastAsia="Times New Roman"/>
      <w:kern w:val="2"/>
      <w:sz w:val="24"/>
      <w:lang w:val="en-US" w:eastAsia="zh-CN" w:bidi="ar-SA"/>
    </w:rPr>
  </w:style>
  <w:style w:type="paragraph" w:customStyle="1" w:styleId="212">
    <w:name w:val="Item List"/>
    <w:link w:val="211"/>
    <w:qFormat/>
    <w:uiPriority w:val="0"/>
    <w:pPr>
      <w:widowControl w:val="0"/>
      <w:adjustRightInd w:val="0"/>
      <w:spacing w:line="360" w:lineRule="auto"/>
      <w:jc w:val="both"/>
      <w:textAlignment w:val="baseline"/>
    </w:pPr>
    <w:rPr>
      <w:rFonts w:ascii="Times New Roman" w:hAnsi="Times New Roman" w:eastAsia="Times New Roman" w:cs="Times New Roman"/>
      <w:kern w:val="2"/>
      <w:sz w:val="24"/>
      <w:lang w:val="en-US" w:eastAsia="zh-CN" w:bidi="ar-SA"/>
    </w:rPr>
  </w:style>
  <w:style w:type="character" w:customStyle="1" w:styleId="213">
    <w:name w:val="title_emph"/>
    <w:basedOn w:val="61"/>
    <w:qFormat/>
    <w:uiPriority w:val="0"/>
  </w:style>
  <w:style w:type="character" w:customStyle="1" w:styleId="214">
    <w:name w:val=" Char Char32"/>
    <w:qFormat/>
    <w:uiPriority w:val="0"/>
    <w:rPr>
      <w:rFonts w:eastAsia="宋体"/>
      <w:b/>
      <w:bCs/>
      <w:kern w:val="2"/>
      <w:sz w:val="28"/>
      <w:szCs w:val="28"/>
      <w:lang w:val="en-US" w:eastAsia="zh-CN" w:bidi="ar-SA"/>
    </w:rPr>
  </w:style>
  <w:style w:type="character" w:customStyle="1" w:styleId="215">
    <w:name w:val="（符号）三标题1.1 Char Char"/>
    <w:link w:val="216"/>
    <w:qFormat/>
    <w:uiPriority w:val="0"/>
    <w:rPr>
      <w:rFonts w:ascii="宋体" w:hAnsi="宋体"/>
      <w:kern w:val="2"/>
      <w:sz w:val="24"/>
      <w:szCs w:val="22"/>
      <w:lang w:bidi="ar-SA"/>
    </w:rPr>
  </w:style>
  <w:style w:type="paragraph" w:customStyle="1" w:styleId="216">
    <w:name w:val="（符号）三标题1.1"/>
    <w:basedOn w:val="1"/>
    <w:link w:val="215"/>
    <w:qFormat/>
    <w:uiPriority w:val="0"/>
    <w:pPr>
      <w:tabs>
        <w:tab w:val="left" w:pos="700"/>
        <w:tab w:val="left" w:pos="1380"/>
      </w:tabs>
      <w:spacing w:line="500" w:lineRule="exact"/>
      <w:ind w:left="1380" w:hanging="420"/>
    </w:pPr>
    <w:rPr>
      <w:rFonts w:ascii="宋体" w:hAnsi="宋体"/>
      <w:sz w:val="24"/>
      <w:szCs w:val="22"/>
    </w:rPr>
  </w:style>
  <w:style w:type="character" w:customStyle="1" w:styleId="217">
    <w:name w:val="样式 样式 样式 标题 3Sectionh3H3level_3PIM 3Level 3 HeadHeading 3 - old....1 Char Char"/>
    <w:link w:val="218"/>
    <w:qFormat/>
    <w:uiPriority w:val="0"/>
    <w:rPr>
      <w:rFonts w:ascii="Arial" w:hAnsi="Arial" w:eastAsia="黑体"/>
      <w:b/>
      <w:bCs/>
      <w:sz w:val="30"/>
      <w:szCs w:val="28"/>
      <w:lang w:bidi="ar-SA"/>
    </w:rPr>
  </w:style>
  <w:style w:type="paragraph" w:customStyle="1" w:styleId="218">
    <w:name w:val="样式 样式 样式 标题 3Sectionh3H3level_3PIM 3Level 3 HeadHeading 3 - old....1"/>
    <w:basedOn w:val="1"/>
    <w:link w:val="217"/>
    <w:qFormat/>
    <w:uiPriority w:val="0"/>
    <w:pPr>
      <w:keepNext/>
      <w:keepLines/>
      <w:tabs>
        <w:tab w:val="left" w:pos="315"/>
        <w:tab w:val="left" w:pos="1800"/>
      </w:tabs>
      <w:spacing w:before="40" w:beforeLines="0" w:after="40" w:afterLines="0" w:line="300" w:lineRule="auto"/>
      <w:ind w:left="1800" w:hanging="420"/>
      <w:outlineLvl w:val="2"/>
    </w:pPr>
    <w:rPr>
      <w:rFonts w:ascii="Arial" w:hAnsi="Arial" w:eastAsia="黑体"/>
      <w:b/>
      <w:bCs/>
      <w:kern w:val="0"/>
      <w:sz w:val="30"/>
      <w:szCs w:val="28"/>
    </w:rPr>
  </w:style>
  <w:style w:type="character" w:customStyle="1" w:styleId="219">
    <w:name w:val="正文首行缩进两字符 Char Char"/>
    <w:qFormat/>
    <w:uiPriority w:val="0"/>
    <w:rPr>
      <w:rFonts w:eastAsia="宋体"/>
      <w:kern w:val="2"/>
      <w:sz w:val="21"/>
      <w:szCs w:val="24"/>
      <w:lang w:val="en-US" w:eastAsia="zh-CN" w:bidi="ar-SA"/>
    </w:rPr>
  </w:style>
  <w:style w:type="character" w:customStyle="1" w:styleId="220">
    <w:name w:val="五粮液-正文 Char Char"/>
    <w:link w:val="221"/>
    <w:qFormat/>
    <w:uiPriority w:val="0"/>
    <w:rPr>
      <w:kern w:val="2"/>
      <w:sz w:val="24"/>
      <w:szCs w:val="24"/>
      <w:lang w:bidi="ar-SA"/>
    </w:rPr>
  </w:style>
  <w:style w:type="paragraph" w:customStyle="1" w:styleId="221">
    <w:name w:val="五粮液-正文"/>
    <w:basedOn w:val="1"/>
    <w:link w:val="220"/>
    <w:qFormat/>
    <w:uiPriority w:val="0"/>
    <w:pPr>
      <w:spacing w:line="360" w:lineRule="auto"/>
      <w:ind w:firstLine="200" w:firstLineChars="200"/>
      <w:jc w:val="left"/>
    </w:pPr>
    <w:rPr>
      <w:sz w:val="24"/>
      <w:szCs w:val="24"/>
    </w:rPr>
  </w:style>
  <w:style w:type="character" w:customStyle="1" w:styleId="222">
    <w:name w:val="2char"/>
    <w:basedOn w:val="61"/>
    <w:qFormat/>
    <w:uiPriority w:val="0"/>
  </w:style>
  <w:style w:type="character" w:customStyle="1" w:styleId="223">
    <w:name w:val="正文格式 Char Char"/>
    <w:link w:val="224"/>
    <w:qFormat/>
    <w:uiPriority w:val="0"/>
    <w:rPr>
      <w:rFonts w:ascii="宋体" w:hAnsi="宋体"/>
      <w:bCs/>
      <w:color w:val="000000"/>
      <w:sz w:val="24"/>
      <w:szCs w:val="24"/>
      <w:lang w:bidi="ar-SA"/>
    </w:rPr>
  </w:style>
  <w:style w:type="paragraph" w:customStyle="1" w:styleId="224">
    <w:name w:val="正文格式"/>
    <w:basedOn w:val="1"/>
    <w:link w:val="223"/>
    <w:qFormat/>
    <w:uiPriority w:val="0"/>
    <w:pPr>
      <w:widowControl/>
      <w:adjustRightInd w:val="0"/>
      <w:snapToGrid w:val="0"/>
      <w:spacing w:before="100" w:beforeLines="25" w:beforeAutospacing="1" w:after="100" w:afterLines="0" w:afterAutospacing="1" w:line="440" w:lineRule="exact"/>
      <w:textAlignment w:val="baseline"/>
    </w:pPr>
    <w:rPr>
      <w:rFonts w:ascii="宋体" w:hAnsi="宋体"/>
      <w:bCs/>
      <w:color w:val="000000"/>
      <w:kern w:val="0"/>
      <w:sz w:val="24"/>
      <w:szCs w:val="24"/>
    </w:rPr>
  </w:style>
  <w:style w:type="character" w:customStyle="1" w:styleId="225">
    <w:name w:val="1.1.1.1.1 Char Char"/>
    <w:link w:val="226"/>
    <w:qFormat/>
    <w:uiPriority w:val="0"/>
    <w:rPr>
      <w:rFonts w:ascii="Arial" w:hAnsi="Arial"/>
      <w:b/>
      <w:bCs/>
      <w:kern w:val="10"/>
      <w:sz w:val="28"/>
      <w:szCs w:val="28"/>
      <w:lang w:bidi="ar-SA"/>
    </w:rPr>
  </w:style>
  <w:style w:type="paragraph" w:customStyle="1" w:styleId="226">
    <w:name w:val="1.1.1.1.1"/>
    <w:basedOn w:val="5"/>
    <w:link w:val="225"/>
    <w:qFormat/>
    <w:uiPriority w:val="0"/>
    <w:pPr>
      <w:tabs>
        <w:tab w:val="left" w:pos="851"/>
        <w:tab w:val="left" w:pos="1211"/>
        <w:tab w:val="left" w:pos="2310"/>
      </w:tabs>
      <w:adjustRightInd/>
      <w:spacing w:line="377" w:lineRule="auto"/>
      <w:ind w:left="1211" w:hanging="1211"/>
      <w:textAlignment w:val="auto"/>
    </w:pPr>
    <w:rPr>
      <w:rFonts w:eastAsia="宋体"/>
      <w:bCs/>
      <w:kern w:val="10"/>
      <w:szCs w:val="28"/>
    </w:rPr>
  </w:style>
  <w:style w:type="character" w:customStyle="1" w:styleId="227">
    <w:name w:val="Body text (5)_"/>
    <w:link w:val="228"/>
    <w:qFormat/>
    <w:uiPriority w:val="0"/>
    <w:rPr>
      <w:rFonts w:ascii="宋体"/>
      <w:b/>
      <w:bCs/>
      <w:sz w:val="30"/>
      <w:szCs w:val="30"/>
      <w:lang w:bidi="ar-SA"/>
    </w:rPr>
  </w:style>
  <w:style w:type="paragraph" w:customStyle="1" w:styleId="228">
    <w:name w:val="Body text (5)"/>
    <w:basedOn w:val="1"/>
    <w:link w:val="227"/>
    <w:qFormat/>
    <w:uiPriority w:val="0"/>
    <w:pPr>
      <w:shd w:val="clear" w:color="auto" w:fill="FFFFFF"/>
      <w:spacing w:before="240" w:beforeLines="0" w:after="600" w:afterLines="0" w:line="240" w:lineRule="atLeast"/>
      <w:jc w:val="left"/>
    </w:pPr>
    <w:rPr>
      <w:rFonts w:ascii="宋体"/>
      <w:b/>
      <w:bCs/>
      <w:kern w:val="0"/>
      <w:sz w:val="30"/>
      <w:szCs w:val="30"/>
    </w:rPr>
  </w:style>
  <w:style w:type="character" w:customStyle="1" w:styleId="229">
    <w:name w:val="*正文 Char Char"/>
    <w:link w:val="230"/>
    <w:qFormat/>
    <w:uiPriority w:val="0"/>
    <w:rPr>
      <w:rFonts w:ascii="宋体" w:hAnsi="宋体"/>
      <w:kern w:val="2"/>
      <w:sz w:val="22"/>
      <w:szCs w:val="24"/>
      <w:lang w:bidi="ar-SA"/>
    </w:rPr>
  </w:style>
  <w:style w:type="paragraph" w:customStyle="1" w:styleId="230">
    <w:name w:val="*正文"/>
    <w:basedOn w:val="1"/>
    <w:link w:val="229"/>
    <w:qFormat/>
    <w:uiPriority w:val="0"/>
    <w:pPr>
      <w:spacing w:line="360" w:lineRule="auto"/>
      <w:ind w:firstLine="200" w:firstLineChars="200"/>
    </w:pPr>
    <w:rPr>
      <w:rFonts w:ascii="宋体" w:hAnsi="宋体"/>
      <w:sz w:val="22"/>
      <w:szCs w:val="24"/>
    </w:rPr>
  </w:style>
  <w:style w:type="character" w:customStyle="1" w:styleId="231">
    <w:name w:val="正文new Char Char"/>
    <w:qFormat/>
    <w:uiPriority w:val="0"/>
    <w:rPr>
      <w:rFonts w:ascii="宋体" w:hAnsi="宋体" w:eastAsia="宋体"/>
      <w:color w:val="000000"/>
      <w:kern w:val="2"/>
      <w:sz w:val="21"/>
      <w:szCs w:val="28"/>
      <w:lang w:val="en-US" w:eastAsia="zh-CN" w:bidi="ar-SA"/>
    </w:rPr>
  </w:style>
  <w:style w:type="character" w:customStyle="1" w:styleId="232">
    <w:name w:val="k正文 Char Char"/>
    <w:link w:val="233"/>
    <w:qFormat/>
    <w:uiPriority w:val="0"/>
    <w:rPr>
      <w:sz w:val="24"/>
      <w:lang w:bidi="ar-SA"/>
    </w:rPr>
  </w:style>
  <w:style w:type="paragraph" w:customStyle="1" w:styleId="233">
    <w:name w:val="k正文"/>
    <w:basedOn w:val="1"/>
    <w:link w:val="232"/>
    <w:qFormat/>
    <w:uiPriority w:val="0"/>
    <w:pPr>
      <w:spacing w:after="156" w:afterLines="50" w:line="360" w:lineRule="auto"/>
      <w:ind w:firstLine="480" w:firstLineChars="200"/>
    </w:pPr>
    <w:rPr>
      <w:kern w:val="0"/>
      <w:sz w:val="24"/>
    </w:rPr>
  </w:style>
  <w:style w:type="character" w:customStyle="1" w:styleId="234">
    <w:name w:val="正文缩进(ALT+Z) Char Char"/>
    <w:link w:val="235"/>
    <w:qFormat/>
    <w:uiPriority w:val="0"/>
    <w:rPr>
      <w:rFonts w:ascii="宋体"/>
      <w:kern w:val="2"/>
      <w:sz w:val="24"/>
      <w:szCs w:val="24"/>
      <w:lang w:bidi="ar-SA"/>
    </w:rPr>
  </w:style>
  <w:style w:type="paragraph" w:customStyle="1" w:styleId="235">
    <w:name w:val="正文缩进(ALT+Z)"/>
    <w:basedOn w:val="1"/>
    <w:link w:val="234"/>
    <w:qFormat/>
    <w:uiPriority w:val="0"/>
    <w:pPr>
      <w:spacing w:line="360" w:lineRule="auto"/>
      <w:ind w:firstLine="200" w:firstLineChars="200"/>
    </w:pPr>
    <w:rPr>
      <w:rFonts w:ascii="宋体"/>
      <w:sz w:val="24"/>
      <w:szCs w:val="24"/>
    </w:rPr>
  </w:style>
  <w:style w:type="character" w:customStyle="1" w:styleId="236">
    <w:name w:val="content1"/>
    <w:basedOn w:val="61"/>
    <w:qFormat/>
    <w:uiPriority w:val="0"/>
  </w:style>
  <w:style w:type="character" w:customStyle="1" w:styleId="237">
    <w:name w:val="样式 标题 2标题 2 Char + 非加粗 Char Char"/>
    <w:basedOn w:val="238"/>
    <w:qFormat/>
    <w:uiPriority w:val="0"/>
  </w:style>
  <w:style w:type="character" w:customStyle="1" w:styleId="238">
    <w:name w:val="、图表 Char Char"/>
    <w:qFormat/>
    <w:uiPriority w:val="0"/>
    <w:rPr>
      <w:rFonts w:ascii="Arial" w:hAnsi="Arial" w:eastAsia="黑体"/>
      <w:b/>
      <w:bCs/>
      <w:kern w:val="2"/>
      <w:sz w:val="32"/>
      <w:szCs w:val="32"/>
      <w:lang w:val="en-US" w:eastAsia="zh-CN" w:bidi="ar-SA"/>
    </w:rPr>
  </w:style>
  <w:style w:type="character" w:customStyle="1" w:styleId="239">
    <w:name w:val="样式 纯文本普通文字普通文字 Char Char Char Char Char Char普通文字 Char Char Ch... Char Char"/>
    <w:link w:val="240"/>
    <w:qFormat/>
    <w:uiPriority w:val="0"/>
    <w:rPr>
      <w:rFonts w:ascii="仿宋_GB2312" w:hAnsi="仿宋_GB2312" w:eastAsia="仿宋_GB2312"/>
      <w:kern w:val="2"/>
      <w:sz w:val="28"/>
      <w:lang w:bidi="ar-SA"/>
    </w:rPr>
  </w:style>
  <w:style w:type="paragraph" w:customStyle="1" w:styleId="240">
    <w:name w:val="样式 纯文本普通文字普通文字 Char Char Char Char Char Char普通文字 Char Char Ch..."/>
    <w:basedOn w:val="241"/>
    <w:link w:val="239"/>
    <w:qFormat/>
    <w:uiPriority w:val="0"/>
    <w:pPr>
      <w:ind w:firstLine="200" w:firstLineChars="200"/>
    </w:pPr>
    <w:rPr>
      <w:rFonts w:ascii="仿宋_GB2312" w:hAnsi="仿宋_GB2312" w:eastAsia="仿宋_GB2312"/>
      <w:sz w:val="28"/>
    </w:rPr>
  </w:style>
  <w:style w:type="paragraph" w:customStyle="1" w:styleId="241">
    <w:name w:val="纯文本1"/>
    <w:basedOn w:val="1"/>
    <w:qFormat/>
    <w:uiPriority w:val="0"/>
    <w:rPr>
      <w:rFonts w:ascii="宋体" w:hAnsi="Courier New"/>
    </w:rPr>
  </w:style>
  <w:style w:type="character" w:customStyle="1" w:styleId="242">
    <w:name w:val="无间隔 Char"/>
    <w:link w:val="243"/>
    <w:qFormat/>
    <w:uiPriority w:val="0"/>
    <w:rPr>
      <w:rFonts w:ascii="Calibri" w:hAnsi="Calibri" w:eastAsia="Times New Roman"/>
      <w:sz w:val="22"/>
      <w:szCs w:val="22"/>
      <w:lang w:val="en-US" w:eastAsia="zh-CN" w:bidi="ar-SA"/>
    </w:rPr>
  </w:style>
  <w:style w:type="paragraph" w:customStyle="1" w:styleId="243">
    <w:name w:val="无间隔1"/>
    <w:link w:val="242"/>
    <w:qFormat/>
    <w:uiPriority w:val="0"/>
    <w:rPr>
      <w:rFonts w:ascii="Calibri" w:hAnsi="Calibri" w:eastAsia="Times New Roman" w:cs="Times New Roman"/>
      <w:sz w:val="22"/>
      <w:szCs w:val="22"/>
      <w:lang w:val="en-US" w:eastAsia="zh-CN" w:bidi="ar-SA"/>
    </w:rPr>
  </w:style>
  <w:style w:type="character" w:customStyle="1" w:styleId="244">
    <w:name w:val="样式2 Char Char"/>
    <w:link w:val="245"/>
    <w:qFormat/>
    <w:uiPriority w:val="0"/>
    <w:rPr>
      <w:rFonts w:eastAsia="宋体"/>
      <w:sz w:val="24"/>
      <w:lang w:val="en-US" w:eastAsia="zh-CN" w:bidi="ar-SA"/>
    </w:rPr>
  </w:style>
  <w:style w:type="paragraph" w:customStyle="1" w:styleId="245">
    <w:name w:val="样式2"/>
    <w:basedOn w:val="1"/>
    <w:link w:val="244"/>
    <w:qFormat/>
    <w:uiPriority w:val="0"/>
    <w:pPr>
      <w:adjustRightInd w:val="0"/>
      <w:spacing w:line="410" w:lineRule="atLeast"/>
      <w:textAlignment w:val="baseline"/>
    </w:pPr>
    <w:rPr>
      <w:kern w:val="0"/>
      <w:sz w:val="24"/>
    </w:rPr>
  </w:style>
  <w:style w:type="character" w:customStyle="1" w:styleId="246">
    <w:name w:val="样式 正文首行缩进 + 首行缩进:  2 字符 Char Char1"/>
    <w:link w:val="247"/>
    <w:qFormat/>
    <w:uiPriority w:val="0"/>
    <w:rPr>
      <w:kern w:val="2"/>
      <w:sz w:val="21"/>
      <w:lang w:bidi="ar-SA"/>
    </w:rPr>
  </w:style>
  <w:style w:type="paragraph" w:customStyle="1" w:styleId="247">
    <w:name w:val="样式 正文首行缩进 + 首行缩进:  2 字符 Char"/>
    <w:basedOn w:val="57"/>
    <w:link w:val="246"/>
    <w:qFormat/>
    <w:uiPriority w:val="0"/>
    <w:pPr>
      <w:spacing w:line="300" w:lineRule="auto"/>
      <w:ind w:firstLine="200" w:firstLineChars="200"/>
    </w:pPr>
  </w:style>
  <w:style w:type="character" w:customStyle="1" w:styleId="248">
    <w:name w:val=" Char Char27"/>
    <w:qFormat/>
    <w:uiPriority w:val="0"/>
    <w:rPr>
      <w:b/>
      <w:bCs/>
      <w:kern w:val="44"/>
      <w:sz w:val="44"/>
      <w:szCs w:val="44"/>
    </w:rPr>
  </w:style>
  <w:style w:type="character" w:customStyle="1" w:styleId="249">
    <w:name w:val="abcde1"/>
    <w:basedOn w:val="61"/>
    <w:qFormat/>
    <w:uiPriority w:val="0"/>
  </w:style>
  <w:style w:type="character" w:customStyle="1" w:styleId="250">
    <w:name w:val=" Char Char34"/>
    <w:qFormat/>
    <w:uiPriority w:val="0"/>
    <w:rPr>
      <w:rFonts w:eastAsia="宋体"/>
      <w:b/>
      <w:bCs/>
      <w:kern w:val="2"/>
      <w:sz w:val="32"/>
      <w:szCs w:val="32"/>
      <w:lang w:val="en-US" w:eastAsia="zh-CN" w:bidi="ar-SA"/>
    </w:rPr>
  </w:style>
  <w:style w:type="character" w:customStyle="1" w:styleId="251">
    <w:name w:val="文字字体 Char Char"/>
    <w:link w:val="252"/>
    <w:qFormat/>
    <w:uiPriority w:val="0"/>
    <w:rPr>
      <w:rFonts w:ascii="宋体" w:hAnsi="宋体"/>
      <w:kern w:val="2"/>
      <w:sz w:val="24"/>
      <w:szCs w:val="24"/>
      <w:lang w:bidi="ar-SA"/>
    </w:rPr>
  </w:style>
  <w:style w:type="paragraph" w:customStyle="1" w:styleId="252">
    <w:name w:val="文字字体"/>
    <w:basedOn w:val="1"/>
    <w:next w:val="1"/>
    <w:link w:val="251"/>
    <w:qFormat/>
    <w:uiPriority w:val="0"/>
    <w:pPr>
      <w:spacing w:line="360" w:lineRule="auto"/>
      <w:ind w:firstLine="480" w:firstLineChars="200"/>
    </w:pPr>
    <w:rPr>
      <w:rFonts w:ascii="宋体" w:hAnsi="宋体"/>
      <w:sz w:val="24"/>
      <w:szCs w:val="24"/>
    </w:rPr>
  </w:style>
  <w:style w:type="character" w:customStyle="1" w:styleId="253">
    <w:name w:val="缩进(ALT+Z) Char1"/>
    <w:link w:val="254"/>
    <w:qFormat/>
    <w:uiPriority w:val="0"/>
    <w:rPr>
      <w:rFonts w:ascii="宋体"/>
      <w:kern w:val="2"/>
      <w:sz w:val="24"/>
      <w:lang w:bidi="ar-SA"/>
    </w:rPr>
  </w:style>
  <w:style w:type="paragraph" w:customStyle="1" w:styleId="254">
    <w:name w:val="缩进(ALT+Z)"/>
    <w:basedOn w:val="1"/>
    <w:link w:val="253"/>
    <w:qFormat/>
    <w:uiPriority w:val="0"/>
    <w:pPr>
      <w:spacing w:line="360" w:lineRule="auto"/>
      <w:ind w:firstLine="200" w:firstLineChars="200"/>
    </w:pPr>
    <w:rPr>
      <w:rFonts w:ascii="宋体"/>
      <w:sz w:val="24"/>
    </w:rPr>
  </w:style>
  <w:style w:type="character" w:customStyle="1" w:styleId="255">
    <w:name w:val=" Char Char"/>
    <w:qFormat/>
    <w:uiPriority w:val="0"/>
    <w:rPr>
      <w:kern w:val="2"/>
      <w:sz w:val="18"/>
      <w:szCs w:val="18"/>
    </w:rPr>
  </w:style>
  <w:style w:type="character" w:customStyle="1" w:styleId="256">
    <w:name w:val="文档正文 Char Char Char Char Char"/>
    <w:qFormat/>
    <w:uiPriority w:val="0"/>
    <w:rPr>
      <w:spacing w:val="8"/>
      <w:sz w:val="24"/>
    </w:rPr>
  </w:style>
  <w:style w:type="character" w:customStyle="1" w:styleId="257">
    <w:name w:val="正文文本缩进 Char Char"/>
    <w:qFormat/>
    <w:uiPriority w:val="0"/>
    <w:rPr>
      <w:kern w:val="2"/>
      <w:sz w:val="28"/>
    </w:rPr>
  </w:style>
  <w:style w:type="character" w:customStyle="1" w:styleId="258">
    <w:name w:val="font51"/>
    <w:basedOn w:val="61"/>
    <w:qFormat/>
    <w:uiPriority w:val="0"/>
    <w:rPr>
      <w:rFonts w:hint="eastAsia" w:ascii="微软雅黑" w:hAnsi="微软雅黑" w:eastAsia="微软雅黑" w:cs="微软雅黑"/>
      <w:color w:val="000000"/>
      <w:sz w:val="16"/>
      <w:szCs w:val="16"/>
      <w:u w:val="none"/>
    </w:rPr>
  </w:style>
  <w:style w:type="character" w:customStyle="1" w:styleId="259">
    <w:name w:val="工可正文 Char"/>
    <w:link w:val="260"/>
    <w:qFormat/>
    <w:uiPriority w:val="0"/>
    <w:rPr>
      <w:kern w:val="2"/>
      <w:sz w:val="28"/>
      <w:szCs w:val="24"/>
    </w:rPr>
  </w:style>
  <w:style w:type="paragraph" w:customStyle="1" w:styleId="260">
    <w:name w:val="工可正文"/>
    <w:basedOn w:val="30"/>
    <w:link w:val="259"/>
    <w:qFormat/>
    <w:uiPriority w:val="0"/>
    <w:pPr>
      <w:adjustRightInd w:val="0"/>
      <w:snapToGrid w:val="0"/>
      <w:ind w:firstLine="560" w:firstLineChars="200"/>
    </w:pPr>
    <w:rPr>
      <w:rFonts w:ascii="Times New Roman" w:hAnsi="Times New Roman"/>
      <w:sz w:val="28"/>
      <w:szCs w:val="24"/>
    </w:rPr>
  </w:style>
  <w:style w:type="character" w:customStyle="1" w:styleId="261">
    <w:name w:val="插图说明 Char Char"/>
    <w:link w:val="262"/>
    <w:qFormat/>
    <w:uiPriority w:val="0"/>
    <w:rPr>
      <w:rFonts w:eastAsia="黑体"/>
      <w:sz w:val="24"/>
      <w:lang w:bidi="ar-SA"/>
    </w:rPr>
  </w:style>
  <w:style w:type="paragraph" w:customStyle="1" w:styleId="262">
    <w:name w:val="插图说明"/>
    <w:basedOn w:val="1"/>
    <w:link w:val="261"/>
    <w:qFormat/>
    <w:uiPriority w:val="0"/>
    <w:pPr>
      <w:adjustRightInd w:val="0"/>
      <w:spacing w:after="240" w:afterLines="0"/>
      <w:ind w:firstLine="200" w:firstLineChars="200"/>
      <w:jc w:val="center"/>
      <w:textAlignment w:val="baseline"/>
    </w:pPr>
    <w:rPr>
      <w:rFonts w:eastAsia="黑体"/>
      <w:kern w:val="0"/>
      <w:sz w:val="24"/>
    </w:rPr>
  </w:style>
  <w:style w:type="character" w:customStyle="1" w:styleId="263">
    <w:name w:val="question-title"/>
    <w:qFormat/>
    <w:uiPriority w:val="0"/>
  </w:style>
  <w:style w:type="character" w:customStyle="1" w:styleId="264">
    <w:name w:val="img1"/>
    <w:basedOn w:val="61"/>
    <w:qFormat/>
    <w:uiPriority w:val="0"/>
  </w:style>
  <w:style w:type="character" w:customStyle="1" w:styleId="265">
    <w:name w:val="标题 4_1 Char Char"/>
    <w:link w:val="266"/>
    <w:qFormat/>
    <w:uiPriority w:val="0"/>
    <w:rPr>
      <w:rFonts w:ascii="Cambria" w:hAnsi="Cambria"/>
      <w:b/>
      <w:bCs/>
      <w:sz w:val="28"/>
      <w:szCs w:val="28"/>
      <w:lang w:bidi="ar-SA"/>
    </w:rPr>
  </w:style>
  <w:style w:type="paragraph" w:customStyle="1" w:styleId="266">
    <w:name w:val="标题 4_1"/>
    <w:basedOn w:val="5"/>
    <w:next w:val="14"/>
    <w:link w:val="265"/>
    <w:qFormat/>
    <w:uiPriority w:val="0"/>
    <w:pPr>
      <w:keepNext w:val="0"/>
      <w:keepLines w:val="0"/>
      <w:numPr>
        <w:ilvl w:val="0"/>
        <w:numId w:val="0"/>
      </w:numPr>
      <w:tabs>
        <w:tab w:val="left" w:pos="751"/>
      </w:tabs>
      <w:adjustRightInd/>
      <w:spacing w:line="377" w:lineRule="auto"/>
      <w:ind w:left="751" w:hanging="144"/>
      <w:textAlignment w:val="auto"/>
    </w:pPr>
    <w:rPr>
      <w:rFonts w:ascii="Cambria" w:hAnsi="Cambria" w:eastAsia="宋体"/>
      <w:bCs/>
      <w:szCs w:val="28"/>
    </w:rPr>
  </w:style>
  <w:style w:type="character" w:customStyle="1" w:styleId="267">
    <w:name w:val="特点 Char"/>
    <w:qFormat/>
    <w:uiPriority w:val="0"/>
    <w:rPr>
      <w:rFonts w:ascii="Arial" w:hAnsi="Arial" w:eastAsia="宋体" w:cs="Arial"/>
      <w:snapToGrid/>
      <w:kern w:val="2"/>
      <w:sz w:val="24"/>
      <w:szCs w:val="24"/>
      <w:lang w:val="en-US" w:eastAsia="zh-CN" w:bidi="ar-SA"/>
    </w:rPr>
  </w:style>
  <w:style w:type="character" w:customStyle="1" w:styleId="268">
    <w:name w:val="标准正文 Char Char"/>
    <w:link w:val="269"/>
    <w:qFormat/>
    <w:uiPriority w:val="0"/>
    <w:rPr>
      <w:kern w:val="2"/>
      <w:sz w:val="21"/>
      <w:szCs w:val="24"/>
      <w:lang w:bidi="ar-SA"/>
    </w:rPr>
  </w:style>
  <w:style w:type="paragraph" w:customStyle="1" w:styleId="269">
    <w:name w:val="标准正文"/>
    <w:basedOn w:val="24"/>
    <w:link w:val="268"/>
    <w:qFormat/>
    <w:uiPriority w:val="0"/>
    <w:pPr>
      <w:spacing w:before="60" w:beforeLines="0" w:after="60" w:afterLines="0" w:line="360" w:lineRule="auto"/>
      <w:ind w:firstLine="482"/>
    </w:pPr>
    <w:rPr>
      <w:sz w:val="21"/>
      <w:szCs w:val="24"/>
    </w:rPr>
  </w:style>
  <w:style w:type="character" w:customStyle="1" w:styleId="270">
    <w:name w:val="fo Char"/>
    <w:qFormat/>
    <w:uiPriority w:val="0"/>
    <w:rPr>
      <w:sz w:val="18"/>
    </w:rPr>
  </w:style>
  <w:style w:type="character" w:customStyle="1" w:styleId="271">
    <w:name w:val="样式 标题 4(一)1.11。1h4H4Ref Heading 1rh1Heading sqlsect 1.2...2 Char Char"/>
    <w:link w:val="272"/>
    <w:qFormat/>
    <w:uiPriority w:val="0"/>
    <w:rPr>
      <w:rFonts w:ascii="Arial" w:hAnsi="Arial" w:eastAsia="黑体"/>
      <w:b/>
      <w:bCs/>
      <w:kern w:val="2"/>
      <w:sz w:val="30"/>
      <w:szCs w:val="28"/>
      <w:lang w:bidi="ar-SA"/>
    </w:rPr>
  </w:style>
  <w:style w:type="paragraph" w:customStyle="1" w:styleId="272">
    <w:name w:val="样式 标题 4(一)1.11。1h4H4Ref Heading 1rh1Heading sqlsect 1.2...2"/>
    <w:basedOn w:val="5"/>
    <w:link w:val="271"/>
    <w:qFormat/>
    <w:uiPriority w:val="0"/>
    <w:pPr>
      <w:tabs>
        <w:tab w:val="left" w:pos="315"/>
        <w:tab w:val="left" w:pos="851"/>
        <w:tab w:val="left" w:pos="2220"/>
      </w:tabs>
      <w:adjustRightInd/>
      <w:spacing w:before="40" w:beforeLines="0" w:after="40" w:afterLines="0" w:line="300" w:lineRule="auto"/>
      <w:ind w:left="2220" w:hanging="420"/>
      <w:textAlignment w:val="auto"/>
    </w:pPr>
    <w:rPr>
      <w:bCs/>
      <w:kern w:val="2"/>
      <w:sz w:val="30"/>
      <w:szCs w:val="28"/>
    </w:rPr>
  </w:style>
  <w:style w:type="character" w:customStyle="1" w:styleId="273">
    <w:name w:val=" Char Char29"/>
    <w:qFormat/>
    <w:uiPriority w:val="0"/>
    <w:rPr>
      <w:rFonts w:ascii="Arial" w:hAnsi="Arial" w:eastAsia="黑体"/>
      <w:kern w:val="2"/>
      <w:sz w:val="24"/>
      <w:szCs w:val="24"/>
      <w:lang w:val="en-US" w:eastAsia="zh-CN" w:bidi="ar-SA"/>
    </w:rPr>
  </w:style>
  <w:style w:type="character" w:customStyle="1" w:styleId="274">
    <w:name w:val="Anrede1IhrZeichen"/>
    <w:qFormat/>
    <w:uiPriority w:val="0"/>
    <w:rPr>
      <w:rFonts w:ascii="Arial" w:hAnsi="Arial"/>
      <w:sz w:val="20"/>
    </w:rPr>
  </w:style>
  <w:style w:type="character" w:customStyle="1" w:styleId="275">
    <w:name w:val="正文k Char Char"/>
    <w:link w:val="276"/>
    <w:qFormat/>
    <w:uiPriority w:val="0"/>
    <w:rPr>
      <w:sz w:val="24"/>
      <w:lang w:bidi="ar-SA"/>
    </w:rPr>
  </w:style>
  <w:style w:type="paragraph" w:customStyle="1" w:styleId="276">
    <w:name w:val="正文k"/>
    <w:basedOn w:val="1"/>
    <w:link w:val="275"/>
    <w:qFormat/>
    <w:uiPriority w:val="0"/>
    <w:pPr>
      <w:widowControl/>
      <w:adjustRightInd w:val="0"/>
      <w:snapToGrid w:val="0"/>
      <w:spacing w:line="360" w:lineRule="auto"/>
      <w:ind w:firstLine="200" w:firstLineChars="200"/>
      <w:textAlignment w:val="baseline"/>
    </w:pPr>
    <w:rPr>
      <w:kern w:val="0"/>
      <w:sz w:val="24"/>
    </w:rPr>
  </w:style>
  <w:style w:type="character" w:customStyle="1" w:styleId="277">
    <w:name w:val="textnorm_chn1"/>
    <w:qFormat/>
    <w:uiPriority w:val="0"/>
    <w:rPr>
      <w:rFonts w:hint="default" w:ascii="Arial" w:hAnsi="Arial" w:cs="Arial"/>
      <w:color w:val="21254A"/>
      <w:sz w:val="22"/>
      <w:szCs w:val="22"/>
    </w:rPr>
  </w:style>
  <w:style w:type="character" w:customStyle="1" w:styleId="278">
    <w:name w:val="样式 宋体 Char Char"/>
    <w:qFormat/>
    <w:uiPriority w:val="0"/>
    <w:rPr>
      <w:rFonts w:ascii="宋体" w:hAnsi="宋体" w:eastAsia="宋体"/>
      <w:bCs/>
      <w:spacing w:val="24"/>
      <w:kern w:val="2"/>
      <w:sz w:val="21"/>
      <w:szCs w:val="28"/>
      <w:lang w:val="en-US" w:eastAsia="zh-CN" w:bidi="ar-SA"/>
    </w:rPr>
  </w:style>
  <w:style w:type="character" w:customStyle="1" w:styleId="279">
    <w:name w:val="正文首行缩进2字符 Char Char"/>
    <w:link w:val="280"/>
    <w:qFormat/>
    <w:uiPriority w:val="0"/>
    <w:rPr>
      <w:kern w:val="2"/>
      <w:sz w:val="24"/>
      <w:szCs w:val="24"/>
      <w:lang w:bidi="ar-SA"/>
    </w:rPr>
  </w:style>
  <w:style w:type="paragraph" w:customStyle="1" w:styleId="280">
    <w:name w:val="正文首行缩进2字符"/>
    <w:basedOn w:val="1"/>
    <w:link w:val="279"/>
    <w:qFormat/>
    <w:uiPriority w:val="0"/>
    <w:pPr>
      <w:spacing w:line="300" w:lineRule="auto"/>
      <w:ind w:firstLine="420" w:firstLineChars="200"/>
    </w:pPr>
    <w:rPr>
      <w:sz w:val="24"/>
      <w:szCs w:val="24"/>
    </w:rPr>
  </w:style>
  <w:style w:type="character" w:customStyle="1" w:styleId="281">
    <w:name w:val="标题 2 Char Char"/>
    <w:qFormat/>
    <w:uiPriority w:val="0"/>
    <w:rPr>
      <w:rFonts w:ascii="Arial" w:hAnsi="Arial" w:eastAsia="黑体"/>
      <w:b/>
      <w:bCs/>
      <w:kern w:val="2"/>
      <w:sz w:val="32"/>
      <w:szCs w:val="32"/>
      <w:lang w:val="en-US" w:eastAsia="zh-CN" w:bidi="ar-SA"/>
    </w:rPr>
  </w:style>
  <w:style w:type="character" w:customStyle="1" w:styleId="282">
    <w:name w:val="paragraph1 Char Char"/>
    <w:link w:val="283"/>
    <w:qFormat/>
    <w:uiPriority w:val="0"/>
    <w:rPr>
      <w:kern w:val="2"/>
      <w:sz w:val="24"/>
      <w:szCs w:val="24"/>
      <w:lang w:bidi="ar-SA"/>
    </w:rPr>
  </w:style>
  <w:style w:type="paragraph" w:customStyle="1" w:styleId="283">
    <w:name w:val="paragraph1"/>
    <w:basedOn w:val="1"/>
    <w:link w:val="282"/>
    <w:qFormat/>
    <w:uiPriority w:val="0"/>
    <w:pPr>
      <w:spacing w:after="93" w:afterLines="30" w:line="360" w:lineRule="auto"/>
      <w:ind w:firstLine="480" w:firstLineChars="200"/>
    </w:pPr>
    <w:rPr>
      <w:sz w:val="24"/>
      <w:szCs w:val="24"/>
    </w:rPr>
  </w:style>
  <w:style w:type="character" w:customStyle="1" w:styleId="284">
    <w:name w:val="计费规范编写 正文 Char Char"/>
    <w:link w:val="285"/>
    <w:qFormat/>
    <w:uiPriority w:val="0"/>
    <w:rPr>
      <w:kern w:val="2"/>
      <w:sz w:val="24"/>
      <w:szCs w:val="24"/>
      <w:lang w:bidi="ar-SA"/>
    </w:rPr>
  </w:style>
  <w:style w:type="paragraph" w:customStyle="1" w:styleId="285">
    <w:name w:val="计费规范编写 正文"/>
    <w:basedOn w:val="1"/>
    <w:link w:val="284"/>
    <w:qFormat/>
    <w:uiPriority w:val="0"/>
    <w:pPr>
      <w:spacing w:line="360" w:lineRule="auto"/>
      <w:ind w:firstLine="480" w:firstLineChars="200"/>
    </w:pPr>
    <w:rPr>
      <w:sz w:val="24"/>
      <w:szCs w:val="24"/>
    </w:rPr>
  </w:style>
  <w:style w:type="character" w:customStyle="1" w:styleId="286">
    <w:name w:val="正文1 Char Char"/>
    <w:link w:val="287"/>
    <w:qFormat/>
    <w:uiPriority w:val="0"/>
    <w:rPr>
      <w:rFonts w:eastAsia="宋体"/>
      <w:kern w:val="2"/>
      <w:sz w:val="24"/>
      <w:szCs w:val="24"/>
      <w:lang w:val="en-US" w:eastAsia="zh-CN" w:bidi="ar-SA"/>
    </w:rPr>
  </w:style>
  <w:style w:type="paragraph" w:customStyle="1" w:styleId="287">
    <w:name w:val="正文1"/>
    <w:basedOn w:val="1"/>
    <w:link w:val="286"/>
    <w:qFormat/>
    <w:uiPriority w:val="0"/>
    <w:rPr>
      <w:sz w:val="24"/>
      <w:szCs w:val="24"/>
    </w:rPr>
  </w:style>
  <w:style w:type="character" w:customStyle="1" w:styleId="288">
    <w:name w:val="font101"/>
    <w:qFormat/>
    <w:uiPriority w:val="0"/>
    <w:rPr>
      <w:sz w:val="21"/>
      <w:szCs w:val="21"/>
    </w:rPr>
  </w:style>
  <w:style w:type="character" w:customStyle="1" w:styleId="289">
    <w:name w:val="font21"/>
    <w:basedOn w:val="61"/>
    <w:qFormat/>
    <w:uiPriority w:val="0"/>
    <w:rPr>
      <w:rFonts w:hint="eastAsia" w:ascii="宋体" w:hAnsi="宋体" w:eastAsia="宋体"/>
      <w:color w:val="000000"/>
      <w:sz w:val="20"/>
      <w:szCs w:val="20"/>
      <w:u w:val="none"/>
    </w:rPr>
  </w:style>
  <w:style w:type="character" w:customStyle="1" w:styleId="290">
    <w:name w:val=" Char Char25"/>
    <w:qFormat/>
    <w:uiPriority w:val="0"/>
    <w:rPr>
      <w:rFonts w:ascii="Arial" w:hAnsi="Arial" w:eastAsia="黑体"/>
      <w:b/>
      <w:bCs/>
      <w:kern w:val="2"/>
      <w:sz w:val="32"/>
      <w:szCs w:val="32"/>
    </w:rPr>
  </w:style>
  <w:style w:type="character" w:customStyle="1" w:styleId="291">
    <w:name w:val="计费规范编写 正文 Char Char Char Char Char"/>
    <w:link w:val="292"/>
    <w:qFormat/>
    <w:uiPriority w:val="0"/>
    <w:rPr>
      <w:kern w:val="2"/>
      <w:sz w:val="24"/>
      <w:lang w:bidi="ar-SA"/>
    </w:rPr>
  </w:style>
  <w:style w:type="paragraph" w:customStyle="1" w:styleId="292">
    <w:name w:val="计费规范编写 正文 Char Char Char"/>
    <w:basedOn w:val="1"/>
    <w:link w:val="291"/>
    <w:qFormat/>
    <w:uiPriority w:val="0"/>
    <w:pPr>
      <w:spacing w:line="360" w:lineRule="auto"/>
      <w:ind w:firstLine="480" w:firstLineChars="200"/>
    </w:pPr>
    <w:rPr>
      <w:sz w:val="24"/>
    </w:rPr>
  </w:style>
  <w:style w:type="character" w:customStyle="1" w:styleId="293">
    <w:name w:val=" Char Char17"/>
    <w:qFormat/>
    <w:uiPriority w:val="0"/>
    <w:rPr>
      <w:kern w:val="2"/>
      <w:sz w:val="24"/>
    </w:rPr>
  </w:style>
  <w:style w:type="character" w:customStyle="1" w:styleId="294">
    <w:name w:val="CL正文符号1 Char Char"/>
    <w:link w:val="295"/>
    <w:qFormat/>
    <w:uiPriority w:val="0"/>
    <w:rPr>
      <w:rFonts w:ascii="宋体"/>
      <w:sz w:val="28"/>
      <w:szCs w:val="24"/>
      <w:lang w:bidi="ar-SA"/>
    </w:rPr>
  </w:style>
  <w:style w:type="paragraph" w:customStyle="1" w:styleId="295">
    <w:name w:val="CL正文符号1"/>
    <w:basedOn w:val="1"/>
    <w:link w:val="294"/>
    <w:qFormat/>
    <w:uiPriority w:val="0"/>
    <w:pPr>
      <w:tabs>
        <w:tab w:val="left" w:pos="987"/>
        <w:tab w:val="left" w:pos="1500"/>
      </w:tabs>
      <w:spacing w:before="100" w:beforeLines="0" w:beforeAutospacing="1" w:after="100" w:afterLines="0" w:afterAutospacing="1" w:line="360" w:lineRule="auto"/>
      <w:ind w:left="1500" w:hanging="960"/>
    </w:pPr>
    <w:rPr>
      <w:rFonts w:ascii="宋体"/>
      <w:kern w:val="0"/>
      <w:sz w:val="28"/>
      <w:szCs w:val="24"/>
    </w:rPr>
  </w:style>
  <w:style w:type="character" w:customStyle="1" w:styleId="296">
    <w:name w:val="11111 Char Char"/>
    <w:link w:val="297"/>
    <w:qFormat/>
    <w:uiPriority w:val="0"/>
    <w:rPr>
      <w:rFonts w:ascii="宋体" w:hAnsi="宋体"/>
      <w:b/>
      <w:kern w:val="2"/>
      <w:sz w:val="30"/>
      <w:szCs w:val="30"/>
      <w:lang w:bidi="ar-SA"/>
    </w:rPr>
  </w:style>
  <w:style w:type="paragraph" w:customStyle="1" w:styleId="297">
    <w:name w:val="11111"/>
    <w:basedOn w:val="1"/>
    <w:link w:val="296"/>
    <w:qFormat/>
    <w:uiPriority w:val="0"/>
    <w:pPr>
      <w:tabs>
        <w:tab w:val="left" w:pos="425"/>
      </w:tabs>
      <w:adjustRightInd w:val="0"/>
      <w:snapToGrid w:val="0"/>
      <w:spacing w:line="360" w:lineRule="auto"/>
      <w:ind w:left="425" w:right="31" w:rightChars="17" w:hanging="425"/>
      <w:outlineLvl w:val="1"/>
    </w:pPr>
    <w:rPr>
      <w:rFonts w:ascii="宋体" w:hAnsi="宋体"/>
      <w:b/>
      <w:sz w:val="30"/>
      <w:szCs w:val="30"/>
    </w:rPr>
  </w:style>
  <w:style w:type="character" w:customStyle="1" w:styleId="298">
    <w:name w:val="CD正文 Char Char"/>
    <w:link w:val="299"/>
    <w:qFormat/>
    <w:uiPriority w:val="0"/>
    <w:rPr>
      <w:kern w:val="2"/>
      <w:sz w:val="28"/>
      <w:szCs w:val="28"/>
      <w:lang w:bidi="ar-SA"/>
    </w:rPr>
  </w:style>
  <w:style w:type="paragraph" w:customStyle="1" w:styleId="299">
    <w:name w:val="CD正文"/>
    <w:basedOn w:val="1"/>
    <w:link w:val="298"/>
    <w:qFormat/>
    <w:uiPriority w:val="0"/>
    <w:pPr>
      <w:spacing w:line="360" w:lineRule="auto"/>
      <w:ind w:firstLine="493"/>
    </w:pPr>
    <w:rPr>
      <w:sz w:val="28"/>
      <w:szCs w:val="28"/>
    </w:rPr>
  </w:style>
  <w:style w:type="character" w:customStyle="1" w:styleId="300">
    <w:name w:val="e"/>
    <w:basedOn w:val="61"/>
    <w:qFormat/>
    <w:uiPriority w:val="0"/>
  </w:style>
  <w:style w:type="character" w:customStyle="1" w:styleId="301">
    <w:name w:val=" Char Char5"/>
    <w:qFormat/>
    <w:uiPriority w:val="0"/>
    <w:rPr>
      <w:kern w:val="2"/>
      <w:sz w:val="18"/>
      <w:szCs w:val="18"/>
    </w:rPr>
  </w:style>
  <w:style w:type="character" w:customStyle="1" w:styleId="302">
    <w:name w:val="正文样 Char Char"/>
    <w:link w:val="303"/>
    <w:qFormat/>
    <w:uiPriority w:val="0"/>
    <w:rPr>
      <w:rFonts w:ascii="宋体" w:hAnsi="Calibri"/>
      <w:sz w:val="24"/>
      <w:lang w:bidi="ar-SA"/>
    </w:rPr>
  </w:style>
  <w:style w:type="paragraph" w:customStyle="1" w:styleId="303">
    <w:name w:val="正文样"/>
    <w:basedOn w:val="1"/>
    <w:link w:val="302"/>
    <w:qFormat/>
    <w:uiPriority w:val="0"/>
    <w:pPr>
      <w:adjustRightInd w:val="0"/>
      <w:snapToGrid w:val="0"/>
      <w:spacing w:line="540" w:lineRule="atLeast"/>
      <w:ind w:firstLine="573"/>
    </w:pPr>
    <w:rPr>
      <w:rFonts w:ascii="宋体" w:hAnsi="Calibri"/>
      <w:kern w:val="0"/>
      <w:sz w:val="24"/>
    </w:rPr>
  </w:style>
  <w:style w:type="character" w:customStyle="1" w:styleId="304">
    <w:name w:val="标题2 Char"/>
    <w:qFormat/>
    <w:uiPriority w:val="0"/>
    <w:rPr>
      <w:rFonts w:eastAsia="宋体"/>
      <w:sz w:val="24"/>
    </w:rPr>
  </w:style>
  <w:style w:type="character" w:customStyle="1" w:styleId="305">
    <w:name w:val="样式 标题 2H2节Heading 2 HiddenHeading 2 CCBSTitle2PIM22nd lev...2 Char Char Char1"/>
    <w:link w:val="306"/>
    <w:qFormat/>
    <w:uiPriority w:val="0"/>
    <w:rPr>
      <w:rFonts w:ascii="Arial" w:hAnsi="Arial" w:eastAsia="黑体"/>
      <w:b/>
      <w:bCs/>
      <w:color w:val="000000"/>
      <w:kern w:val="2"/>
      <w:sz w:val="32"/>
      <w:szCs w:val="32"/>
      <w:lang w:bidi="ar-SA"/>
    </w:rPr>
  </w:style>
  <w:style w:type="paragraph" w:customStyle="1" w:styleId="306">
    <w:name w:val="样式 标题 2H2节Heading 2 HiddenHeading 2 CCBSTitle2PIM22nd lev...2 Char Char"/>
    <w:basedOn w:val="3"/>
    <w:link w:val="305"/>
    <w:qFormat/>
    <w:uiPriority w:val="0"/>
    <w:pPr>
      <w:keepLines w:val="0"/>
      <w:tabs>
        <w:tab w:val="left" w:pos="210"/>
        <w:tab w:val="left" w:pos="1380"/>
      </w:tabs>
      <w:spacing w:before="160" w:beforeLines="0" w:after="160" w:afterLines="0" w:line="300" w:lineRule="auto"/>
      <w:ind w:left="1380" w:hanging="420"/>
    </w:pPr>
    <w:rPr>
      <w:color w:val="000000"/>
    </w:rPr>
  </w:style>
  <w:style w:type="character" w:customStyle="1" w:styleId="307">
    <w:name w:val="44444 Char Char"/>
    <w:link w:val="308"/>
    <w:qFormat/>
    <w:uiPriority w:val="0"/>
    <w:rPr>
      <w:rFonts w:ascii="宋体" w:hAnsi="宋体"/>
      <w:b/>
      <w:kern w:val="2"/>
      <w:sz w:val="30"/>
      <w:szCs w:val="30"/>
      <w:lang w:bidi="ar-SA"/>
    </w:rPr>
  </w:style>
  <w:style w:type="paragraph" w:customStyle="1" w:styleId="308">
    <w:name w:val="44444"/>
    <w:basedOn w:val="1"/>
    <w:link w:val="307"/>
    <w:qFormat/>
    <w:uiPriority w:val="0"/>
    <w:pPr>
      <w:spacing w:before="312" w:beforeLines="100" w:after="312" w:afterLines="100" w:line="360" w:lineRule="auto"/>
      <w:jc w:val="left"/>
      <w:outlineLvl w:val="2"/>
    </w:pPr>
    <w:rPr>
      <w:rFonts w:ascii="宋体" w:hAnsi="宋体"/>
      <w:b/>
      <w:sz w:val="30"/>
      <w:szCs w:val="30"/>
    </w:rPr>
  </w:style>
  <w:style w:type="character" w:customStyle="1" w:styleId="309">
    <w:name w:val=" Char Char26"/>
    <w:qFormat/>
    <w:uiPriority w:val="0"/>
    <w:rPr>
      <w:rFonts w:ascii="Arial" w:hAnsi="Arial" w:eastAsia="黑体"/>
      <w:b/>
      <w:bCs/>
      <w:kern w:val="2"/>
      <w:sz w:val="36"/>
      <w:szCs w:val="32"/>
    </w:rPr>
  </w:style>
  <w:style w:type="character" w:customStyle="1" w:styleId="310">
    <w:name w:val="b21"/>
    <w:qFormat/>
    <w:uiPriority w:val="0"/>
    <w:rPr>
      <w:color w:val="000000"/>
      <w:sz w:val="18"/>
      <w:szCs w:val="18"/>
      <w:u w:val="none"/>
    </w:rPr>
  </w:style>
  <w:style w:type="character" w:customStyle="1" w:styleId="311">
    <w:name w:val="样式1 Char Char"/>
    <w:link w:val="312"/>
    <w:qFormat/>
    <w:uiPriority w:val="0"/>
    <w:rPr>
      <w:rFonts w:ascii="宋体" w:hAnsi="宋体" w:eastAsia="宋体"/>
      <w:b/>
      <w:kern w:val="2"/>
      <w:sz w:val="24"/>
      <w:lang w:val="en-US" w:eastAsia="zh-CN" w:bidi="ar-SA"/>
    </w:rPr>
  </w:style>
  <w:style w:type="paragraph" w:customStyle="1" w:styleId="312">
    <w:name w:val="样式1"/>
    <w:basedOn w:val="1"/>
    <w:link w:val="311"/>
    <w:qFormat/>
    <w:uiPriority w:val="0"/>
    <w:pPr>
      <w:spacing w:before="120" w:beforeLines="0" w:after="120" w:afterLines="0" w:line="300" w:lineRule="auto"/>
    </w:pPr>
    <w:rPr>
      <w:rFonts w:ascii="宋体" w:hAnsi="宋体"/>
      <w:b/>
      <w:sz w:val="24"/>
    </w:rPr>
  </w:style>
  <w:style w:type="character" w:customStyle="1" w:styleId="313">
    <w:name w:val="33333 Char Char"/>
    <w:link w:val="314"/>
    <w:qFormat/>
    <w:uiPriority w:val="0"/>
    <w:rPr>
      <w:rFonts w:ascii="宋体" w:hAnsi="宋体"/>
      <w:kern w:val="2"/>
      <w:sz w:val="28"/>
      <w:szCs w:val="30"/>
      <w:lang w:bidi="ar-SA"/>
    </w:rPr>
  </w:style>
  <w:style w:type="paragraph" w:customStyle="1" w:styleId="314">
    <w:name w:val="33333"/>
    <w:basedOn w:val="1"/>
    <w:link w:val="313"/>
    <w:qFormat/>
    <w:uiPriority w:val="0"/>
    <w:pPr>
      <w:ind w:firstLine="600" w:firstLineChars="200"/>
    </w:pPr>
    <w:rPr>
      <w:rFonts w:ascii="宋体" w:hAnsi="宋体"/>
      <w:sz w:val="28"/>
      <w:szCs w:val="30"/>
    </w:rPr>
  </w:style>
  <w:style w:type="character" w:customStyle="1" w:styleId="315">
    <w:name w:val="MM Topic 4 Char Char"/>
    <w:link w:val="316"/>
    <w:qFormat/>
    <w:uiPriority w:val="0"/>
    <w:rPr>
      <w:rFonts w:ascii="Arial" w:hAnsi="Arial" w:eastAsia="黑体"/>
      <w:b/>
      <w:bCs/>
      <w:kern w:val="2"/>
      <w:sz w:val="28"/>
      <w:szCs w:val="28"/>
      <w:lang w:bidi="ar-SA"/>
    </w:rPr>
  </w:style>
  <w:style w:type="paragraph" w:customStyle="1" w:styleId="316">
    <w:name w:val="MM Topic 4"/>
    <w:basedOn w:val="5"/>
    <w:link w:val="315"/>
    <w:qFormat/>
    <w:uiPriority w:val="0"/>
    <w:pPr>
      <w:numPr>
        <w:ilvl w:val="0"/>
        <w:numId w:val="0"/>
      </w:numPr>
      <w:tabs>
        <w:tab w:val="left" w:pos="851"/>
        <w:tab w:val="left" w:pos="1984"/>
      </w:tabs>
      <w:adjustRightInd/>
      <w:spacing w:line="376" w:lineRule="auto"/>
      <w:textAlignment w:val="auto"/>
    </w:pPr>
    <w:rPr>
      <w:bCs/>
      <w:kern w:val="2"/>
      <w:szCs w:val="28"/>
    </w:rPr>
  </w:style>
  <w:style w:type="character" w:customStyle="1" w:styleId="317">
    <w:name w:val="正文样式文本 Char Char"/>
    <w:link w:val="318"/>
    <w:qFormat/>
    <w:uiPriority w:val="0"/>
    <w:rPr>
      <w:rFonts w:ascii="Calibri" w:hAnsi="Calibri"/>
      <w:kern w:val="2"/>
      <w:sz w:val="24"/>
      <w:szCs w:val="24"/>
      <w:lang w:bidi="ar-SA"/>
    </w:rPr>
  </w:style>
  <w:style w:type="paragraph" w:customStyle="1" w:styleId="318">
    <w:name w:val="正文样式文本"/>
    <w:basedOn w:val="1"/>
    <w:link w:val="317"/>
    <w:qFormat/>
    <w:uiPriority w:val="0"/>
    <w:pPr>
      <w:spacing w:before="156" w:beforeLines="50" w:after="156" w:afterLines="50" w:line="360" w:lineRule="auto"/>
      <w:ind w:firstLine="480" w:firstLineChars="200"/>
    </w:pPr>
    <w:rPr>
      <w:rFonts w:ascii="Calibri" w:hAnsi="Calibri"/>
      <w:sz w:val="24"/>
      <w:szCs w:val="24"/>
    </w:rPr>
  </w:style>
  <w:style w:type="character" w:customStyle="1" w:styleId="319">
    <w:name w:val="CU Char Char"/>
    <w:link w:val="320"/>
    <w:qFormat/>
    <w:uiPriority w:val="0"/>
    <w:rPr>
      <w:rFonts w:ascii="宋体" w:hAnsi="宋体"/>
      <w:sz w:val="24"/>
      <w:lang w:bidi="ar-SA"/>
    </w:rPr>
  </w:style>
  <w:style w:type="paragraph" w:customStyle="1" w:styleId="320">
    <w:name w:val="CU"/>
    <w:basedOn w:val="1"/>
    <w:link w:val="319"/>
    <w:qFormat/>
    <w:uiPriority w:val="0"/>
    <w:pPr>
      <w:widowControl/>
      <w:spacing w:line="360" w:lineRule="auto"/>
      <w:ind w:left="420"/>
      <w:jc w:val="left"/>
    </w:pPr>
    <w:rPr>
      <w:rFonts w:ascii="宋体" w:hAnsi="宋体"/>
      <w:kern w:val="0"/>
      <w:sz w:val="24"/>
    </w:rPr>
  </w:style>
  <w:style w:type="character" w:customStyle="1" w:styleId="321">
    <w:name w:val="标注：图 Char Char"/>
    <w:link w:val="322"/>
    <w:qFormat/>
    <w:uiPriority w:val="0"/>
    <w:rPr>
      <w:kern w:val="2"/>
      <w:sz w:val="24"/>
      <w:szCs w:val="24"/>
      <w:lang w:bidi="ar-SA"/>
    </w:rPr>
  </w:style>
  <w:style w:type="paragraph" w:customStyle="1" w:styleId="322">
    <w:name w:val="标注：图"/>
    <w:basedOn w:val="323"/>
    <w:next w:val="1"/>
    <w:link w:val="321"/>
    <w:qFormat/>
    <w:uiPriority w:val="0"/>
    <w:pPr>
      <w:widowControl w:val="0"/>
      <w:spacing w:line="300" w:lineRule="auto"/>
      <w:ind w:left="425" w:firstLine="0" w:firstLineChars="0"/>
      <w:jc w:val="center"/>
    </w:pPr>
    <w:rPr>
      <w:kern w:val="2"/>
      <w:sz w:val="24"/>
      <w:szCs w:val="24"/>
    </w:rPr>
  </w:style>
  <w:style w:type="paragraph" w:customStyle="1" w:styleId="323">
    <w:name w:val="列出段落1"/>
    <w:qFormat/>
    <w:uiPriority w:val="34"/>
    <w:pPr>
      <w:ind w:firstLine="420" w:firstLineChars="200"/>
    </w:pPr>
    <w:rPr>
      <w:rFonts w:ascii="Times New Roman" w:hAnsi="Times New Roman" w:eastAsia="宋体" w:cs="Times New Roman"/>
      <w:lang w:val="en-US" w:eastAsia="zh-CN" w:bidi="ar-SA"/>
    </w:rPr>
  </w:style>
  <w:style w:type="character" w:customStyle="1" w:styleId="324">
    <w:name w:val=" Char Char36"/>
    <w:qFormat/>
    <w:uiPriority w:val="0"/>
    <w:rPr>
      <w:rFonts w:eastAsia="宋体"/>
      <w:b/>
      <w:bCs/>
      <w:kern w:val="44"/>
      <w:sz w:val="44"/>
      <w:szCs w:val="44"/>
      <w:lang w:val="en-US" w:eastAsia="zh-CN" w:bidi="ar-SA"/>
    </w:rPr>
  </w:style>
  <w:style w:type="paragraph" w:customStyle="1" w:styleId="325">
    <w:name w:val="正文缩进2文字 Char Char Char Char"/>
    <w:basedOn w:val="1"/>
    <w:qFormat/>
    <w:uiPriority w:val="0"/>
    <w:pPr>
      <w:spacing w:before="156" w:beforeLines="50" w:after="156" w:afterLines="50" w:line="360" w:lineRule="auto"/>
      <w:ind w:firstLine="200" w:firstLineChars="200"/>
    </w:pPr>
    <w:rPr>
      <w:sz w:val="24"/>
      <w:szCs w:val="24"/>
    </w:rPr>
  </w:style>
  <w:style w:type="paragraph" w:customStyle="1" w:styleId="326">
    <w:name w:val="标题 0"/>
    <w:basedOn w:val="2"/>
    <w:qFormat/>
    <w:uiPriority w:val="0"/>
    <w:pPr>
      <w:keepNext w:val="0"/>
      <w:pageBreakBefore/>
      <w:tabs>
        <w:tab w:val="left" w:pos="850"/>
      </w:tabs>
      <w:spacing w:before="4080" w:beforeLines="0" w:after="100" w:afterLines="0"/>
      <w:jc w:val="center"/>
    </w:pPr>
    <w:rPr>
      <w:sz w:val="52"/>
      <w:szCs w:val="52"/>
    </w:rPr>
  </w:style>
  <w:style w:type="paragraph" w:customStyle="1" w:styleId="327">
    <w:name w:val="样式 样式2 +"/>
    <w:basedOn w:val="245"/>
    <w:qFormat/>
    <w:uiPriority w:val="0"/>
    <w:pPr>
      <w:adjustRightInd/>
      <w:spacing w:line="360" w:lineRule="auto"/>
      <w:textAlignment w:val="auto"/>
    </w:pPr>
    <w:rPr>
      <w:b/>
    </w:rPr>
  </w:style>
  <w:style w:type="paragraph" w:customStyle="1" w:styleId="328">
    <w:name w:val="列表内容"/>
    <w:basedOn w:val="1"/>
    <w:next w:val="1"/>
    <w:qFormat/>
    <w:uiPriority w:val="0"/>
    <w:pPr>
      <w:widowControl/>
      <w:tabs>
        <w:tab w:val="left" w:pos="980"/>
      </w:tabs>
      <w:ind w:left="932" w:hanging="420"/>
      <w:jc w:val="left"/>
    </w:pPr>
    <w:rPr>
      <w:kern w:val="0"/>
      <w:sz w:val="18"/>
      <w:szCs w:val="24"/>
    </w:rPr>
  </w:style>
  <w:style w:type="paragraph" w:customStyle="1" w:styleId="329">
    <w:name w:val="编号2级"/>
    <w:qFormat/>
    <w:uiPriority w:val="0"/>
    <w:pPr>
      <w:tabs>
        <w:tab w:val="left" w:pos="840"/>
        <w:tab w:val="left" w:pos="2160"/>
      </w:tabs>
      <w:spacing w:after="62" w:afterLines="20" w:line="400" w:lineRule="exact"/>
      <w:ind w:left="2160" w:hanging="360"/>
    </w:pPr>
    <w:rPr>
      <w:rFonts w:ascii="Times New Roman" w:hAnsi="Times New Roman" w:eastAsia="宋体" w:cs="Times New Roman"/>
      <w:kern w:val="2"/>
      <w:sz w:val="24"/>
      <w:szCs w:val="24"/>
      <w:lang w:val="en-US" w:eastAsia="zh-CN" w:bidi="ar-SA"/>
    </w:rPr>
  </w:style>
  <w:style w:type="paragraph" w:customStyle="1" w:styleId="330">
    <w:name w:val="标题4"/>
    <w:basedOn w:val="5"/>
    <w:qFormat/>
    <w:uiPriority w:val="0"/>
    <w:pPr>
      <w:adjustRightInd/>
      <w:spacing w:before="140" w:beforeLines="0" w:after="0" w:afterLines="0" w:line="240" w:lineRule="auto"/>
      <w:jc w:val="center"/>
      <w:textAlignment w:val="auto"/>
    </w:pPr>
    <w:rPr>
      <w:rFonts w:ascii="黑体" w:hAnsi="宋体" w:eastAsia="宋体"/>
      <w:kern w:val="2"/>
      <w:sz w:val="32"/>
    </w:rPr>
  </w:style>
  <w:style w:type="paragraph" w:customStyle="1" w:styleId="331">
    <w:name w:val="Char Char1 Char Char Char"/>
    <w:basedOn w:val="1"/>
    <w:qFormat/>
    <w:uiPriority w:val="0"/>
    <w:pPr>
      <w:spacing w:line="360" w:lineRule="auto"/>
      <w:ind w:left="720"/>
      <w:jc w:val="left"/>
    </w:pPr>
    <w:rPr>
      <w:rFonts w:ascii="Verdana" w:hAnsi="Verdana" w:eastAsia="黑体"/>
      <w:kern w:val="0"/>
      <w:sz w:val="24"/>
      <w:szCs w:val="28"/>
      <w:lang w:eastAsia="en-US"/>
    </w:rPr>
  </w:style>
  <w:style w:type="paragraph" w:customStyle="1" w:styleId="332">
    <w:name w:val="一级标题"/>
    <w:qFormat/>
    <w:uiPriority w:val="0"/>
    <w:pPr>
      <w:spacing w:line="480" w:lineRule="auto"/>
      <w:ind w:left="425" w:hanging="425"/>
    </w:pPr>
    <w:rPr>
      <w:rFonts w:ascii="Times New Roman" w:hAnsi="Times New Roman" w:eastAsia="宋体" w:cs="Times New Roman"/>
      <w:b/>
      <w:bCs/>
      <w:kern w:val="44"/>
      <w:sz w:val="24"/>
      <w:szCs w:val="24"/>
      <w:lang w:val="en-US" w:eastAsia="zh-CN" w:bidi="ar-SA"/>
    </w:rPr>
  </w:style>
  <w:style w:type="paragraph" w:customStyle="1" w:styleId="333">
    <w:name w:val="默认段落字体 Para Char Char Char Char Char Char Char Char Char Char Char Char Char Char Char Char Char Char Char Char Char Char Char Char Char Char Char Char Char"/>
    <w:basedOn w:val="17"/>
    <w:qFormat/>
    <w:uiPriority w:val="0"/>
    <w:pPr>
      <w:shd w:val="clear" w:color="auto" w:fill="000080"/>
    </w:pPr>
    <w:rPr>
      <w:rFonts w:ascii="Tahoma" w:hAnsi="Tahoma"/>
      <w:sz w:val="24"/>
      <w:szCs w:val="24"/>
      <w:shd w:val="clear" w:color="auto" w:fill="000080"/>
    </w:rPr>
  </w:style>
  <w:style w:type="paragraph" w:customStyle="1" w:styleId="334">
    <w:name w:val="font6"/>
    <w:basedOn w:val="1"/>
    <w:qFormat/>
    <w:uiPriority w:val="0"/>
    <w:pPr>
      <w:widowControl/>
      <w:spacing w:before="100" w:beforeLines="0" w:beforeAutospacing="1" w:after="100" w:afterLines="0" w:afterAutospacing="1"/>
      <w:jc w:val="left"/>
    </w:pPr>
    <w:rPr>
      <w:rFonts w:ascii="宋体" w:hAnsi="宋体" w:cs="宋体"/>
      <w:kern w:val="0"/>
      <w:sz w:val="20"/>
    </w:rPr>
  </w:style>
  <w:style w:type="paragraph" w:customStyle="1" w:styleId="335">
    <w:name w:val=" Char2 Char Char Char"/>
    <w:basedOn w:val="1"/>
    <w:qFormat/>
    <w:uiPriority w:val="0"/>
    <w:rPr>
      <w:rFonts w:ascii="仿宋_GB2312" w:eastAsia="仿宋_GB2312"/>
      <w:b/>
      <w:sz w:val="32"/>
      <w:szCs w:val="32"/>
    </w:rPr>
  </w:style>
  <w:style w:type="paragraph" w:customStyle="1" w:styleId="33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337">
    <w:name w:val=" Char Char Char Char Char Char Char"/>
    <w:basedOn w:val="17"/>
    <w:qFormat/>
    <w:uiPriority w:val="0"/>
    <w:pPr>
      <w:shd w:val="clear" w:color="auto" w:fill="000080"/>
    </w:pPr>
    <w:rPr>
      <w:rFonts w:ascii="Tahoma" w:hAnsi="Tahoma"/>
      <w:sz w:val="24"/>
      <w:szCs w:val="24"/>
    </w:rPr>
  </w:style>
  <w:style w:type="paragraph" w:customStyle="1" w:styleId="338">
    <w:name w:val="TOC 标题1"/>
    <w:basedOn w:val="2"/>
    <w:next w:val="1"/>
    <w:qFormat/>
    <w:uiPriority w:val="0"/>
    <w:pPr>
      <w:tabs>
        <w:tab w:val="left" w:pos="425"/>
      </w:tabs>
      <w:spacing w:line="578" w:lineRule="auto"/>
      <w:outlineLvl w:val="9"/>
    </w:pPr>
    <w:rPr>
      <w:rFonts w:cs="黑体"/>
    </w:rPr>
  </w:style>
  <w:style w:type="paragraph" w:customStyle="1" w:styleId="339">
    <w:name w:val="CU-bullentine1"/>
    <w:basedOn w:val="340"/>
    <w:qFormat/>
    <w:uiPriority w:val="0"/>
    <w:pPr>
      <w:tabs>
        <w:tab w:val="left" w:pos="720"/>
        <w:tab w:val="left" w:pos="1265"/>
      </w:tabs>
      <w:ind w:left="975" w:hanging="975"/>
    </w:pPr>
    <w:rPr>
      <w:lang w:eastAsia="zh-CN"/>
    </w:rPr>
  </w:style>
  <w:style w:type="paragraph" w:customStyle="1" w:styleId="340">
    <w:name w:val="Numbered list 2.2"/>
    <w:basedOn w:val="3"/>
    <w:next w:val="1"/>
    <w:qFormat/>
    <w:uiPriority w:val="0"/>
    <w:pPr>
      <w:widowControl/>
      <w:numPr>
        <w:ilvl w:val="0"/>
        <w:numId w:val="0"/>
      </w:numPr>
      <w:tabs>
        <w:tab w:val="left" w:pos="720"/>
      </w:tabs>
      <w:spacing w:before="0" w:beforeLines="0" w:after="60" w:afterLines="0" w:line="240" w:lineRule="auto"/>
      <w:ind w:left="1322" w:hanging="420"/>
      <w:jc w:val="left"/>
    </w:pPr>
    <w:rPr>
      <w:rFonts w:eastAsia="宋体"/>
      <w:bCs w:val="0"/>
      <w:kern w:val="0"/>
      <w:sz w:val="24"/>
      <w:szCs w:val="20"/>
      <w:lang w:eastAsia="en-US"/>
    </w:rPr>
  </w:style>
  <w:style w:type="paragraph" w:customStyle="1" w:styleId="341">
    <w:name w:val=" Char Char Char Char Char Char1 Char"/>
    <w:basedOn w:val="17"/>
    <w:qFormat/>
    <w:uiPriority w:val="0"/>
    <w:pPr>
      <w:shd w:val="clear" w:color="auto" w:fill="000080"/>
    </w:pPr>
    <w:rPr>
      <w:rFonts w:ascii="Tahoma" w:hAnsi="Tahoma"/>
      <w:sz w:val="24"/>
      <w:szCs w:val="24"/>
    </w:rPr>
  </w:style>
  <w:style w:type="paragraph" w:customStyle="1" w:styleId="342">
    <w:name w:val="样式 两端对齐"/>
    <w:basedOn w:val="1"/>
    <w:qFormat/>
    <w:uiPriority w:val="0"/>
    <w:pPr>
      <w:spacing w:line="360" w:lineRule="auto"/>
      <w:ind w:firstLine="200" w:firstLineChars="200"/>
    </w:pPr>
    <w:rPr>
      <w:rFonts w:ascii="宋体" w:cs="宋体"/>
      <w:kern w:val="0"/>
      <w:sz w:val="24"/>
    </w:rPr>
  </w:style>
  <w:style w:type="paragraph" w:customStyle="1" w:styleId="343">
    <w:name w:val="Body Text 2"/>
    <w:basedOn w:val="1"/>
    <w:qFormat/>
    <w:uiPriority w:val="0"/>
    <w:pPr>
      <w:adjustRightInd w:val="0"/>
      <w:spacing w:line="300" w:lineRule="auto"/>
      <w:jc w:val="center"/>
      <w:textAlignment w:val="baseline"/>
    </w:pPr>
    <w:rPr>
      <w:rFonts w:ascii="宋体" w:hAnsi="宋体"/>
      <w:sz w:val="24"/>
    </w:rPr>
  </w:style>
  <w:style w:type="paragraph" w:customStyle="1" w:styleId="3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Arial Unicode MS" w:hAnsi="Arial Unicode MS" w:eastAsia="Arial Unicode MS" w:cs="Arial Unicode MS"/>
      <w:b/>
      <w:bCs/>
      <w:color w:val="000000"/>
      <w:kern w:val="0"/>
      <w:sz w:val="20"/>
    </w:rPr>
  </w:style>
  <w:style w:type="paragraph" w:customStyle="1" w:styleId="345">
    <w:name w:val="样式 (西文) 仿宋_GB2312 首行缩进:  1.58 字符"/>
    <w:qFormat/>
    <w:uiPriority w:val="0"/>
    <w:pPr>
      <w:spacing w:line="360" w:lineRule="auto"/>
      <w:ind w:firstLine="158" w:firstLineChars="158"/>
    </w:pPr>
    <w:rPr>
      <w:rFonts w:ascii="仿宋_GB2312" w:hAnsi="Times New Roman" w:eastAsia="宋体" w:cs="宋体"/>
      <w:sz w:val="24"/>
      <w:lang w:val="en-US" w:eastAsia="zh-CN" w:bidi="ar-SA"/>
    </w:rPr>
  </w:style>
  <w:style w:type="paragraph" w:customStyle="1" w:styleId="346">
    <w:name w:val="Char Char1 Char Char Char Char Char Char Char"/>
    <w:basedOn w:val="1"/>
    <w:qFormat/>
    <w:uiPriority w:val="0"/>
    <w:rPr>
      <w:rFonts w:ascii="Tahoma" w:hAnsi="Tahoma"/>
      <w:sz w:val="24"/>
      <w:szCs w:val="24"/>
    </w:rPr>
  </w:style>
  <w:style w:type="paragraph" w:customStyle="1" w:styleId="347">
    <w:name w:val="标题 2标题 2 Char + 宋体 首行缩进:  0.title 2"/>
    <w:basedOn w:val="348"/>
    <w:qFormat/>
    <w:uiPriority w:val="0"/>
    <w:pPr>
      <w:tabs>
        <w:tab w:val="left" w:pos="1417"/>
      </w:tabs>
      <w:ind w:firstLine="0"/>
    </w:pPr>
  </w:style>
  <w:style w:type="paragraph" w:customStyle="1" w:styleId="348">
    <w:name w:val="样式 标题 2标题 2 Char + 宋体 首行缩进:  0.42 厘米"/>
    <w:basedOn w:val="3"/>
    <w:qFormat/>
    <w:uiPriority w:val="0"/>
    <w:pPr>
      <w:tabs>
        <w:tab w:val="left" w:pos="1417"/>
      </w:tabs>
      <w:spacing w:line="360" w:lineRule="auto"/>
      <w:ind w:firstLine="238"/>
      <w:jc w:val="left"/>
    </w:pPr>
    <w:rPr>
      <w:rFonts w:ascii="宋体" w:hAnsi="宋体" w:eastAsia="宋体" w:cs="宋体"/>
      <w:sz w:val="28"/>
      <w:szCs w:val="20"/>
    </w:rPr>
  </w:style>
  <w:style w:type="paragraph" w:customStyle="1" w:styleId="3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color w:val="FFFFFF"/>
      <w:kern w:val="0"/>
      <w:szCs w:val="21"/>
    </w:rPr>
  </w:style>
  <w:style w:type="paragraph" w:customStyle="1" w:styleId="350">
    <w:name w:val="样式 段前: 7.8 磅 段后: 7.8 磅"/>
    <w:basedOn w:val="1"/>
    <w:qFormat/>
    <w:uiPriority w:val="0"/>
    <w:pPr>
      <w:spacing w:before="156" w:beforeLines="0" w:after="156" w:afterLines="0"/>
    </w:pPr>
    <w:rPr>
      <w:rFonts w:eastAsia="黑体" w:cs="宋体"/>
      <w:b/>
      <w:sz w:val="32"/>
    </w:rPr>
  </w:style>
  <w:style w:type="paragraph" w:customStyle="1" w:styleId="351">
    <w:name w:val="样式 标题 1 + 行距: 1.5 倍行距"/>
    <w:basedOn w:val="2"/>
    <w:qFormat/>
    <w:uiPriority w:val="0"/>
    <w:pPr>
      <w:tabs>
        <w:tab w:val="left" w:pos="425"/>
      </w:tabs>
      <w:spacing w:before="120" w:beforeLines="0" w:after="0" w:afterLines="0" w:line="360" w:lineRule="auto"/>
    </w:pPr>
    <w:rPr>
      <w:rFonts w:ascii="宋体" w:hAnsi="宋体" w:cs="宋体"/>
      <w:color w:val="000000"/>
      <w:kern w:val="0"/>
    </w:rPr>
  </w:style>
  <w:style w:type="paragraph" w:customStyle="1" w:styleId="352">
    <w:name w:val="样式 首行缩进:  2.11 字符"/>
    <w:basedOn w:val="1"/>
    <w:qFormat/>
    <w:uiPriority w:val="0"/>
    <w:pPr>
      <w:spacing w:line="360" w:lineRule="auto"/>
      <w:ind w:firstLine="211" w:firstLineChars="211"/>
    </w:pPr>
    <w:rPr>
      <w:rFonts w:cs="宋体"/>
      <w:sz w:val="24"/>
    </w:rPr>
  </w:style>
  <w:style w:type="paragraph" w:customStyle="1" w:styleId="3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0"/>
    </w:rPr>
  </w:style>
  <w:style w:type="paragraph" w:customStyle="1" w:styleId="354">
    <w:name w:val="xl37"/>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355">
    <w:name w:val="a"/>
    <w:basedOn w:val="1"/>
    <w:qFormat/>
    <w:uiPriority w:val="0"/>
    <w:pPr>
      <w:widowControl/>
      <w:spacing w:line="360" w:lineRule="auto"/>
      <w:ind w:left="-159" w:firstLine="238"/>
    </w:pPr>
    <w:rPr>
      <w:rFonts w:ascii="宋体" w:hAnsi="宋体"/>
      <w:color w:val="000000"/>
      <w:sz w:val="24"/>
    </w:rPr>
  </w:style>
  <w:style w:type="paragraph" w:customStyle="1" w:styleId="356">
    <w:name w:val="Char Char1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357">
    <w:name w:val="菲页1"/>
    <w:basedOn w:val="3"/>
    <w:qFormat/>
    <w:uiPriority w:val="0"/>
    <w:pPr>
      <w:widowControl/>
      <w:spacing w:line="416" w:lineRule="auto"/>
      <w:jc w:val="center"/>
    </w:pPr>
    <w:rPr>
      <w:rFonts w:ascii="黑体" w:hAnsi="宋体"/>
      <w:b w:val="0"/>
      <w:bCs w:val="0"/>
      <w:kern w:val="0"/>
      <w:sz w:val="52"/>
      <w:szCs w:val="20"/>
    </w:rPr>
  </w:style>
  <w:style w:type="paragraph" w:customStyle="1" w:styleId="3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16"/>
      <w:szCs w:val="16"/>
    </w:rPr>
  </w:style>
  <w:style w:type="paragraph" w:customStyle="1" w:styleId="359">
    <w:name w:val="_Style 1"/>
    <w:basedOn w:val="1"/>
    <w:qFormat/>
    <w:uiPriority w:val="0"/>
    <w:pPr>
      <w:adjustRightInd w:val="0"/>
      <w:spacing w:line="360" w:lineRule="auto"/>
    </w:pPr>
  </w:style>
  <w:style w:type="paragraph" w:customStyle="1" w:styleId="360">
    <w:name w:val="样式 标题 1标题 1 Char + 黑体 三号 居中"/>
    <w:basedOn w:val="2"/>
    <w:qFormat/>
    <w:uiPriority w:val="0"/>
    <w:pPr>
      <w:tabs>
        <w:tab w:val="left" w:pos="850"/>
      </w:tabs>
      <w:jc w:val="center"/>
    </w:pPr>
    <w:rPr>
      <w:rFonts w:ascii="黑体" w:eastAsia="黑体" w:cs="宋体"/>
      <w:b w:val="0"/>
      <w:szCs w:val="20"/>
    </w:rPr>
  </w:style>
  <w:style w:type="paragraph" w:customStyle="1" w:styleId="361">
    <w:name w:val="样式 宋体 加粗 左侧:  1 厘米 行距: 固定值 25 磅"/>
    <w:basedOn w:val="1"/>
    <w:qFormat/>
    <w:uiPriority w:val="0"/>
    <w:pPr>
      <w:spacing w:line="500" w:lineRule="exact"/>
      <w:ind w:firstLine="200" w:firstLineChars="200"/>
    </w:pPr>
    <w:rPr>
      <w:rFonts w:ascii="宋体" w:hAnsi="宋体" w:cs="宋体"/>
      <w:b/>
      <w:bCs/>
    </w:rPr>
  </w:style>
  <w:style w:type="paragraph" w:customStyle="1" w:styleId="362">
    <w:name w:val="xl35"/>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36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6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5">
    <w:name w:val="xl4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366">
    <w:name w:val="CellBody"/>
    <w:basedOn w:val="1"/>
    <w:qFormat/>
    <w:uiPriority w:val="0"/>
    <w:pPr>
      <w:widowControl/>
      <w:tabs>
        <w:tab w:val="left" w:pos="907"/>
      </w:tabs>
      <w:spacing w:line="360" w:lineRule="auto"/>
      <w:ind w:left="907" w:hanging="427"/>
      <w:jc w:val="left"/>
    </w:pPr>
    <w:rPr>
      <w:kern w:val="0"/>
      <w:sz w:val="24"/>
    </w:rPr>
  </w:style>
  <w:style w:type="paragraph" w:customStyle="1" w:styleId="367">
    <w:name w:val="目录"/>
    <w:basedOn w:val="1"/>
    <w:qFormat/>
    <w:uiPriority w:val="0"/>
    <w:pPr>
      <w:widowControl/>
      <w:jc w:val="center"/>
    </w:pPr>
    <w:rPr>
      <w:rFonts w:ascii="宋体"/>
      <w:b/>
      <w:kern w:val="0"/>
      <w:sz w:val="36"/>
    </w:rPr>
  </w:style>
  <w:style w:type="paragraph" w:customStyle="1" w:styleId="368">
    <w:name w:val="钟标题"/>
    <w:basedOn w:val="1"/>
    <w:qFormat/>
    <w:uiPriority w:val="0"/>
    <w:pPr>
      <w:jc w:val="center"/>
    </w:pPr>
    <w:rPr>
      <w:rFonts w:eastAsia="创艺简行楷"/>
      <w:b/>
      <w:sz w:val="48"/>
      <w14:shadow w14:blurRad="50800" w14:dist="38100" w14:dir="2700000" w14:sx="100000" w14:sy="100000" w14:kx="0" w14:ky="0" w14:algn="tl">
        <w14:srgbClr w14:val="000000">
          <w14:alpha w14:val="60000"/>
        </w14:srgbClr>
      </w14:shadow>
    </w:rPr>
  </w:style>
  <w:style w:type="paragraph" w:customStyle="1" w:styleId="369">
    <w:name w:val="8"/>
    <w:basedOn w:val="1"/>
    <w:qFormat/>
    <w:uiPriority w:val="0"/>
    <w:pPr>
      <w:widowControl/>
      <w:spacing w:before="100" w:beforeLines="0" w:beforeAutospacing="1" w:after="100" w:afterLines="0" w:afterAutospacing="1" w:line="432" w:lineRule="auto"/>
      <w:jc w:val="left"/>
    </w:pPr>
    <w:rPr>
      <w:rFonts w:ascii="宋体" w:hAnsi="宋体"/>
      <w:kern w:val="0"/>
      <w:sz w:val="24"/>
      <w:szCs w:val="21"/>
    </w:rPr>
  </w:style>
  <w:style w:type="paragraph" w:customStyle="1" w:styleId="370">
    <w:name w:val="样式 首行缩进:  4 字符"/>
    <w:basedOn w:val="1"/>
    <w:qFormat/>
    <w:uiPriority w:val="0"/>
    <w:pPr>
      <w:spacing w:line="360" w:lineRule="auto"/>
      <w:ind w:firstLine="200" w:firstLineChars="200"/>
    </w:pPr>
    <w:rPr>
      <w:rFonts w:cs="宋体"/>
      <w:sz w:val="24"/>
    </w:rPr>
  </w:style>
  <w:style w:type="paragraph" w:customStyle="1" w:styleId="371">
    <w:name w:val="编号3级"/>
    <w:qFormat/>
    <w:uiPriority w:val="0"/>
    <w:pPr>
      <w:tabs>
        <w:tab w:val="left" w:pos="0"/>
        <w:tab w:val="left" w:pos="3600"/>
      </w:tabs>
      <w:spacing w:line="400" w:lineRule="exact"/>
      <w:ind w:left="3600" w:hanging="360"/>
    </w:pPr>
    <w:rPr>
      <w:rFonts w:ascii="Times New Roman" w:hAnsi="Times New Roman" w:eastAsia="宋体" w:cs="Times New Roman"/>
      <w:kern w:val="2"/>
      <w:sz w:val="24"/>
      <w:szCs w:val="24"/>
      <w:lang w:val="en-US" w:eastAsia="zh-CN" w:bidi="ar-SA"/>
    </w:rPr>
  </w:style>
  <w:style w:type="paragraph" w:customStyle="1" w:styleId="372">
    <w:name w:val="表格"/>
    <w:basedOn w:val="1"/>
    <w:qFormat/>
    <w:uiPriority w:val="0"/>
    <w:pPr>
      <w:spacing w:line="400" w:lineRule="exact"/>
    </w:pPr>
    <w:rPr>
      <w:sz w:val="24"/>
      <w:szCs w:val="24"/>
    </w:rPr>
  </w:style>
  <w:style w:type="paragraph" w:customStyle="1" w:styleId="373">
    <w:name w:val=" 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374">
    <w:name w:val="默认段落字体 Para Char Char Char Char Char Char Char Char Char Char Char Char Char Char Char Char"/>
    <w:basedOn w:val="1"/>
    <w:qFormat/>
    <w:uiPriority w:val="0"/>
    <w:rPr>
      <w:rFonts w:ascii="Tahoma" w:hAnsi="Tahoma"/>
      <w:sz w:val="24"/>
    </w:rPr>
  </w:style>
  <w:style w:type="paragraph" w:customStyle="1" w:styleId="375">
    <w:name w:val="xl64"/>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textAlignment w:val="center"/>
    </w:pPr>
    <w:rPr>
      <w:rFonts w:ascii="宋体" w:hAnsi="宋体"/>
      <w:kern w:val="0"/>
      <w:sz w:val="18"/>
      <w:szCs w:val="18"/>
    </w:rPr>
  </w:style>
  <w:style w:type="paragraph" w:customStyle="1" w:styleId="376">
    <w:name w:val="箭头列表1（Alt+Q）"/>
    <w:basedOn w:val="1"/>
    <w:qFormat/>
    <w:uiPriority w:val="0"/>
    <w:pPr>
      <w:tabs>
        <w:tab w:val="left" w:pos="1110"/>
      </w:tabs>
      <w:spacing w:line="360" w:lineRule="auto"/>
      <w:ind w:left="420" w:hanging="420"/>
    </w:pPr>
    <w:rPr>
      <w:rFonts w:ascii="宋体"/>
    </w:rPr>
  </w:style>
  <w:style w:type="paragraph" w:customStyle="1" w:styleId="377">
    <w:name w:val="样式3"/>
    <w:basedOn w:val="11"/>
    <w:qFormat/>
    <w:uiPriority w:val="0"/>
    <w:pPr>
      <w:spacing w:line="360" w:lineRule="auto"/>
      <w:ind w:firstLine="482"/>
    </w:pPr>
    <w:rPr>
      <w:rFonts w:ascii="Calibri" w:hAnsi="Calibri"/>
      <w:sz w:val="24"/>
    </w:rPr>
  </w:style>
  <w:style w:type="paragraph" w:customStyle="1" w:styleId="378">
    <w:name w:val="目录文字"/>
    <w:basedOn w:val="1"/>
    <w:qFormat/>
    <w:uiPriority w:val="0"/>
    <w:pPr>
      <w:widowControl/>
      <w:spacing w:line="480" w:lineRule="auto"/>
      <w:jc w:val="left"/>
    </w:pPr>
    <w:rPr>
      <w:rFonts w:ascii="宋体" w:hAnsi="宋体"/>
      <w:kern w:val="0"/>
      <w:sz w:val="24"/>
    </w:rPr>
  </w:style>
  <w:style w:type="paragraph" w:customStyle="1" w:styleId="379">
    <w:name w:val="xl63"/>
    <w:basedOn w:val="1"/>
    <w:qFormat/>
    <w:uiPriority w:val="0"/>
    <w:pPr>
      <w:widowControl/>
      <w:pBdr>
        <w:top w:val="single" w:color="auto" w:sz="8" w:space="0"/>
        <w:left w:val="single" w:color="auto" w:sz="4" w:space="0"/>
        <w:bottom w:val="single" w:color="000000" w:sz="4" w:space="0"/>
        <w:right w:val="single" w:color="auto" w:sz="4" w:space="0"/>
      </w:pBdr>
      <w:spacing w:before="100" w:beforeLines="0" w:beforeAutospacing="1" w:after="100" w:afterLines="0" w:afterAutospacing="1"/>
      <w:jc w:val="right"/>
      <w:textAlignment w:val="center"/>
    </w:pPr>
    <w:rPr>
      <w:kern w:val="0"/>
      <w:szCs w:val="21"/>
    </w:rPr>
  </w:style>
  <w:style w:type="paragraph" w:customStyle="1" w:styleId="380">
    <w:name w:val="正文（首行缩进2字符）"/>
    <w:basedOn w:val="1"/>
    <w:qFormat/>
    <w:uiPriority w:val="0"/>
    <w:pPr>
      <w:ind w:firstLine="480"/>
    </w:pPr>
    <w:rPr>
      <w:sz w:val="24"/>
      <w:szCs w:val="24"/>
    </w:rPr>
  </w:style>
  <w:style w:type="paragraph" w:customStyle="1" w:styleId="38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b/>
      <w:bCs/>
      <w:color w:val="000000"/>
      <w:kern w:val="0"/>
      <w:sz w:val="20"/>
    </w:rPr>
  </w:style>
  <w:style w:type="paragraph" w:customStyle="1" w:styleId="382">
    <w:name w:val="样式 标题 2标题 2 Char + 非加粗"/>
    <w:basedOn w:val="3"/>
    <w:qFormat/>
    <w:uiPriority w:val="0"/>
    <w:pPr>
      <w:tabs>
        <w:tab w:val="left" w:pos="1417"/>
      </w:tabs>
      <w:spacing w:line="360" w:lineRule="auto"/>
    </w:pPr>
  </w:style>
  <w:style w:type="paragraph" w:customStyle="1" w:styleId="383">
    <w:name w:val="图号"/>
    <w:basedOn w:val="1"/>
    <w:qFormat/>
    <w:uiPriority w:val="0"/>
    <w:pPr>
      <w:tabs>
        <w:tab w:val="left" w:pos="720"/>
      </w:tabs>
      <w:autoSpaceDE w:val="0"/>
      <w:autoSpaceDN w:val="0"/>
      <w:adjustRightInd w:val="0"/>
      <w:spacing w:before="105" w:beforeLines="0" w:line="360" w:lineRule="auto"/>
      <w:ind w:left="720" w:hanging="360"/>
      <w:jc w:val="center"/>
    </w:pPr>
    <w:rPr>
      <w:kern w:val="0"/>
      <w:szCs w:val="21"/>
    </w:rPr>
  </w:style>
  <w:style w:type="paragraph" w:customStyle="1" w:styleId="3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rPr>
  </w:style>
  <w:style w:type="paragraph" w:customStyle="1" w:styleId="385">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386">
    <w:name w:val="font1"/>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387">
    <w:name w:val="font7"/>
    <w:basedOn w:val="1"/>
    <w:qFormat/>
    <w:uiPriority w:val="0"/>
    <w:pPr>
      <w:widowControl/>
      <w:spacing w:before="100" w:beforeLines="0" w:beforeAutospacing="1" w:after="100" w:afterLines="0" w:afterAutospacing="1"/>
      <w:jc w:val="left"/>
    </w:pPr>
    <w:rPr>
      <w:rFonts w:eastAsia="Arial Unicode MS"/>
      <w:b/>
      <w:bCs/>
      <w:color w:val="000000"/>
      <w:kern w:val="0"/>
      <w:sz w:val="20"/>
    </w:rPr>
  </w:style>
  <w:style w:type="paragraph" w:customStyle="1" w:styleId="388">
    <w:name w:val="正文序号 1"/>
    <w:basedOn w:val="1"/>
    <w:qFormat/>
    <w:uiPriority w:val="0"/>
    <w:pPr>
      <w:spacing w:before="60" w:beforeLines="0"/>
    </w:pPr>
  </w:style>
  <w:style w:type="paragraph" w:customStyle="1" w:styleId="389">
    <w:name w:val="AbsatzTableFormat"/>
    <w:basedOn w:val="1"/>
    <w:qFormat/>
    <w:uiPriority w:val="0"/>
    <w:pPr>
      <w:widowControl/>
      <w:jc w:val="left"/>
    </w:pPr>
    <w:rPr>
      <w:bCs/>
      <w:kern w:val="0"/>
      <w:sz w:val="22"/>
      <w:lang w:val="pt-BR" w:eastAsia="en-US"/>
    </w:rPr>
  </w:style>
  <w:style w:type="paragraph" w:customStyle="1" w:styleId="390">
    <w:name w:val="xl61"/>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kern w:val="0"/>
      <w:szCs w:val="21"/>
    </w:rPr>
  </w:style>
  <w:style w:type="paragraph" w:customStyle="1" w:styleId="39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2">
    <w:name w:val="菲页(卷)"/>
    <w:basedOn w:val="2"/>
    <w:next w:val="391"/>
    <w:qFormat/>
    <w:uiPriority w:val="0"/>
    <w:pPr>
      <w:keepLines w:val="0"/>
      <w:widowControl/>
      <w:tabs>
        <w:tab w:val="left" w:pos="420"/>
      </w:tabs>
      <w:spacing w:before="0" w:beforeLines="0" w:after="0" w:afterLines="0" w:line="240" w:lineRule="auto"/>
      <w:ind w:left="430" w:hanging="430"/>
      <w:jc w:val="center"/>
      <w:outlineLvl w:val="1"/>
    </w:pPr>
    <w:rPr>
      <w:rFonts w:ascii="黑体" w:eastAsia="黑体"/>
      <w:b w:val="0"/>
      <w:bCs w:val="0"/>
      <w:kern w:val="0"/>
      <w:sz w:val="52"/>
      <w:szCs w:val="20"/>
    </w:rPr>
  </w:style>
  <w:style w:type="paragraph" w:customStyle="1" w:styleId="39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94">
    <w:name w:val="xl66"/>
    <w:basedOn w:val="1"/>
    <w:qFormat/>
    <w:uiPriority w:val="0"/>
    <w:pPr>
      <w:widowControl/>
      <w:pBdr>
        <w:right w:val="single" w:color="000000" w:sz="4" w:space="0"/>
      </w:pBdr>
      <w:spacing w:before="100" w:beforeLines="0" w:beforeAutospacing="1" w:after="100" w:afterLines="0" w:afterAutospacing="1"/>
      <w:jc w:val="right"/>
      <w:textAlignment w:val="center"/>
    </w:pPr>
    <w:rPr>
      <w:color w:val="FFFFFF"/>
      <w:kern w:val="0"/>
      <w:szCs w:val="21"/>
    </w:rPr>
  </w:style>
  <w:style w:type="paragraph" w:customStyle="1" w:styleId="395">
    <w:name w:val="Char1 Char Char Char"/>
    <w:basedOn w:val="1"/>
    <w:qFormat/>
    <w:uiPriority w:val="0"/>
    <w:rPr>
      <w:szCs w:val="24"/>
    </w:rPr>
  </w:style>
  <w:style w:type="paragraph" w:customStyle="1" w:styleId="39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3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eastAsia="Arial Unicode MS"/>
      <w:color w:val="000000"/>
      <w:kern w:val="0"/>
      <w:sz w:val="20"/>
    </w:rPr>
  </w:style>
  <w:style w:type="paragraph" w:customStyle="1" w:styleId="398">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399">
    <w:name w:val="List Paragraph1"/>
    <w:basedOn w:val="1"/>
    <w:qFormat/>
    <w:uiPriority w:val="0"/>
    <w:pPr>
      <w:ind w:firstLine="420" w:firstLineChars="200"/>
    </w:pPr>
    <w:rPr>
      <w:rFonts w:ascii="Calibri" w:hAnsi="Calibri"/>
      <w:szCs w:val="22"/>
    </w:rPr>
  </w:style>
  <w:style w:type="paragraph" w:customStyle="1" w:styleId="400">
    <w:name w:val="Char Char3 Char Char Char Char Char Char Char"/>
    <w:basedOn w:val="1"/>
    <w:qFormat/>
    <w:uiPriority w:val="0"/>
    <w:rPr>
      <w:rFonts w:ascii="Tahoma" w:hAnsi="Tahoma"/>
      <w:sz w:val="24"/>
    </w:rPr>
  </w:style>
  <w:style w:type="paragraph" w:customStyle="1" w:styleId="401">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402">
    <w:name w:val="正文(缩进)"/>
    <w:basedOn w:val="1"/>
    <w:qFormat/>
    <w:uiPriority w:val="0"/>
    <w:pPr>
      <w:spacing w:before="120" w:beforeLines="0" w:line="400" w:lineRule="exact"/>
      <w:ind w:firstLine="200" w:firstLineChars="200"/>
    </w:pPr>
    <w:rPr>
      <w:sz w:val="24"/>
      <w:szCs w:val="24"/>
    </w:rPr>
  </w:style>
  <w:style w:type="paragraph" w:customStyle="1" w:styleId="403">
    <w:name w:val="p15"/>
    <w:basedOn w:val="1"/>
    <w:qFormat/>
    <w:uiPriority w:val="0"/>
    <w:pPr>
      <w:widowControl/>
      <w:spacing w:after="120" w:afterLines="0"/>
    </w:pPr>
    <w:rPr>
      <w:kern w:val="0"/>
      <w:szCs w:val="21"/>
    </w:rPr>
  </w:style>
  <w:style w:type="paragraph" w:customStyle="1" w:styleId="404">
    <w:name w:val="封面落款"/>
    <w:basedOn w:val="1"/>
    <w:qFormat/>
    <w:uiPriority w:val="0"/>
    <w:pPr>
      <w:adjustRightInd w:val="0"/>
      <w:spacing w:line="300" w:lineRule="auto"/>
      <w:jc w:val="center"/>
      <w:textAlignment w:val="baseline"/>
    </w:pPr>
    <w:rPr>
      <w:spacing w:val="10"/>
      <w:kern w:val="0"/>
      <w:sz w:val="30"/>
    </w:rPr>
  </w:style>
  <w:style w:type="paragraph" w:customStyle="1" w:styleId="405">
    <w:name w:val="xl60"/>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kern w:val="0"/>
      <w:szCs w:val="21"/>
    </w:rPr>
  </w:style>
  <w:style w:type="paragraph" w:customStyle="1" w:styleId="40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20"/>
    </w:rPr>
  </w:style>
  <w:style w:type="paragraph" w:customStyle="1" w:styleId="407">
    <w:name w:val="正文 Char Char"/>
    <w:qFormat/>
    <w:uiPriority w:val="0"/>
    <w:rPr>
      <w:rFonts w:ascii="Helvetica" w:hAnsi="Helvetica" w:eastAsia="Helvetica" w:cs="Helvetica"/>
      <w:color w:val="000000"/>
      <w:sz w:val="22"/>
      <w:szCs w:val="22"/>
      <w:lang w:val="en-US" w:eastAsia="zh-CN" w:bidi="ar-SA"/>
    </w:rPr>
  </w:style>
  <w:style w:type="paragraph" w:customStyle="1" w:styleId="408">
    <w:name w:val="1.1 标题"/>
    <w:basedOn w:val="2"/>
    <w:qFormat/>
    <w:uiPriority w:val="0"/>
    <w:pPr>
      <w:tabs>
        <w:tab w:val="left" w:pos="850"/>
      </w:tabs>
      <w:spacing w:before="120" w:beforeLines="0" w:after="120" w:afterLines="0" w:line="240" w:lineRule="auto"/>
      <w:jc w:val="left"/>
      <w:outlineLvl w:val="1"/>
    </w:pPr>
    <w:rPr>
      <w:rFonts w:eastAsia="黑体"/>
      <w:bCs w:val="0"/>
      <w:sz w:val="24"/>
      <w:szCs w:val="20"/>
    </w:rPr>
  </w:style>
  <w:style w:type="paragraph" w:customStyle="1" w:styleId="409">
    <w:name w:val="标题 3 （加黑）"/>
    <w:basedOn w:val="4"/>
    <w:qFormat/>
    <w:uiPriority w:val="0"/>
    <w:pPr>
      <w:keepNext w:val="0"/>
      <w:tabs>
        <w:tab w:val="left" w:pos="1843"/>
      </w:tabs>
      <w:spacing w:before="120" w:beforeLines="0" w:after="120" w:afterLines="0"/>
      <w:ind w:left="354" w:hanging="354" w:hangingChars="150"/>
    </w:pPr>
    <w:rPr>
      <w:sz w:val="24"/>
    </w:rPr>
  </w:style>
  <w:style w:type="paragraph" w:customStyle="1" w:styleId="410">
    <w:name w:val="文章正文"/>
    <w:basedOn w:val="1"/>
    <w:qFormat/>
    <w:uiPriority w:val="0"/>
    <w:pPr>
      <w:spacing w:line="360" w:lineRule="auto"/>
      <w:ind w:firstLine="420"/>
    </w:pPr>
    <w:rPr>
      <w:sz w:val="24"/>
      <w:szCs w:val="24"/>
    </w:rPr>
  </w:style>
  <w:style w:type="paragraph" w:customStyle="1" w:styleId="411">
    <w:name w:val="Numbered list 2.3"/>
    <w:basedOn w:val="4"/>
    <w:next w:val="1"/>
    <w:qFormat/>
    <w:uiPriority w:val="0"/>
    <w:pPr>
      <w:widowControl/>
      <w:numPr>
        <w:ilvl w:val="0"/>
        <w:numId w:val="0"/>
      </w:numPr>
      <w:tabs>
        <w:tab w:val="left" w:pos="425"/>
      </w:tabs>
      <w:spacing w:before="240" w:beforeLines="0" w:after="60" w:afterLines="0" w:line="240" w:lineRule="auto"/>
      <w:ind w:left="1742" w:hanging="420"/>
      <w:jc w:val="left"/>
    </w:pPr>
    <w:rPr>
      <w:rFonts w:ascii="Arial" w:hAnsi="Arial"/>
      <w:bCs w:val="0"/>
      <w:kern w:val="0"/>
      <w:sz w:val="22"/>
      <w:szCs w:val="20"/>
      <w:lang w:eastAsia="en-US"/>
    </w:rPr>
  </w:style>
  <w:style w:type="paragraph" w:customStyle="1" w:styleId="412">
    <w:name w:val="CU-bullentine2"/>
    <w:basedOn w:val="411"/>
    <w:qFormat/>
    <w:uiPriority w:val="0"/>
    <w:pPr>
      <w:tabs>
        <w:tab w:val="left" w:pos="1440"/>
        <w:tab w:val="clear" w:pos="425"/>
      </w:tabs>
    </w:pPr>
    <w:rPr>
      <w:lang w:eastAsia="zh-CN"/>
    </w:rPr>
  </w:style>
  <w:style w:type="paragraph" w:customStyle="1" w:styleId="413">
    <w:name w:val="小五正文"/>
    <w:basedOn w:val="1"/>
    <w:qFormat/>
    <w:uiPriority w:val="0"/>
    <w:pPr>
      <w:spacing w:line="360" w:lineRule="auto"/>
      <w:ind w:firstLine="420" w:firstLineChars="200"/>
    </w:pPr>
    <w:rPr>
      <w:szCs w:val="24"/>
    </w:rPr>
  </w:style>
  <w:style w:type="paragraph" w:customStyle="1" w:styleId="414">
    <w:name w:val="xl58"/>
    <w:basedOn w:val="1"/>
    <w:qFormat/>
    <w:uiPriority w:val="0"/>
    <w:pPr>
      <w:widowControl/>
      <w:pBdr>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kern w:val="0"/>
      <w:szCs w:val="21"/>
    </w:rPr>
  </w:style>
  <w:style w:type="paragraph" w:customStyle="1" w:styleId="415">
    <w:name w:val="规范正文"/>
    <w:basedOn w:val="1"/>
    <w:qFormat/>
    <w:uiPriority w:val="0"/>
    <w:pPr>
      <w:adjustRightInd w:val="0"/>
      <w:spacing w:line="360" w:lineRule="auto"/>
      <w:ind w:left="480"/>
      <w:textAlignment w:val="baseline"/>
    </w:pPr>
    <w:rPr>
      <w:kern w:val="0"/>
      <w:sz w:val="24"/>
    </w:rPr>
  </w:style>
  <w:style w:type="paragraph" w:customStyle="1" w:styleId="416">
    <w:name w:val="Char1"/>
    <w:basedOn w:val="1"/>
    <w:qFormat/>
    <w:uiPriority w:val="0"/>
    <w:rPr>
      <w:szCs w:val="21"/>
    </w:rPr>
  </w:style>
  <w:style w:type="paragraph" w:customStyle="1" w:styleId="417">
    <w:name w:val="Heading #4 (2)"/>
    <w:basedOn w:val="1"/>
    <w:qFormat/>
    <w:uiPriority w:val="0"/>
    <w:pPr>
      <w:shd w:val="clear" w:color="auto" w:fill="FFFFFF"/>
      <w:spacing w:before="240" w:beforeLines="0" w:after="600" w:afterLines="0" w:line="240" w:lineRule="atLeast"/>
      <w:jc w:val="left"/>
      <w:outlineLvl w:val="3"/>
    </w:pPr>
    <w:rPr>
      <w:rFonts w:ascii="宋体"/>
      <w:spacing w:val="-30"/>
      <w:kern w:val="0"/>
      <w:sz w:val="27"/>
      <w:szCs w:val="27"/>
    </w:rPr>
  </w:style>
  <w:style w:type="paragraph" w:customStyle="1" w:styleId="418">
    <w:name w:val="Standard o abs"/>
    <w:basedOn w:val="1"/>
    <w:qFormat/>
    <w:uiPriority w:val="0"/>
    <w:pPr>
      <w:widowControl/>
      <w:tabs>
        <w:tab w:val="left" w:pos="2835"/>
        <w:tab w:val="left" w:pos="3119"/>
        <w:tab w:val="left" w:pos="3402"/>
        <w:tab w:val="left" w:pos="3686"/>
        <w:tab w:val="left" w:pos="3969"/>
        <w:tab w:val="left" w:pos="4253"/>
      </w:tabs>
      <w:ind w:left="2552"/>
      <w:jc w:val="left"/>
    </w:pPr>
    <w:rPr>
      <w:rFonts w:ascii="Syntax" w:hAnsi="Syntax"/>
      <w:kern w:val="0"/>
      <w:sz w:val="20"/>
      <w:lang w:val="de-DE" w:eastAsia="de-DE"/>
    </w:rPr>
  </w:style>
  <w:style w:type="paragraph" w:customStyle="1" w:styleId="419">
    <w:name w:val="Char Char8 Char Char Char Char Char Char Char Char Char1"/>
    <w:basedOn w:val="1"/>
    <w:qFormat/>
    <w:uiPriority w:val="0"/>
    <w:pPr>
      <w:spacing w:line="360" w:lineRule="auto"/>
    </w:pPr>
    <w:rPr>
      <w:rFonts w:ascii="宋体" w:hAnsi="宋体"/>
      <w:sz w:val="22"/>
      <w:szCs w:val="24"/>
    </w:rPr>
  </w:style>
  <w:style w:type="paragraph" w:customStyle="1" w:styleId="420">
    <w:name w:val=" Char1 Char Char Char Char Char Char"/>
    <w:basedOn w:val="1"/>
    <w:qFormat/>
    <w:uiPriority w:val="0"/>
  </w:style>
  <w:style w:type="paragraph" w:customStyle="1" w:styleId="421">
    <w:name w:val="(符号)三标题1.1"/>
    <w:basedOn w:val="1"/>
    <w:qFormat/>
    <w:uiPriority w:val="0"/>
    <w:pPr>
      <w:tabs>
        <w:tab w:val="left" w:pos="420"/>
      </w:tabs>
      <w:spacing w:before="140" w:beforeLines="0" w:after="140" w:afterLines="0" w:line="500" w:lineRule="exact"/>
      <w:ind w:left="430" w:hanging="430"/>
      <w:outlineLvl w:val="2"/>
    </w:pPr>
    <w:rPr>
      <w:rFonts w:ascii="楷体_GB2312" w:hAnsi="宋体" w:eastAsia="楷体_GB2312" w:cs="宋体"/>
      <w:b/>
      <w:bCs/>
      <w:sz w:val="28"/>
    </w:rPr>
  </w:style>
  <w:style w:type="paragraph" w:customStyle="1" w:styleId="4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23">
    <w:name w:val="subtitle 2"/>
    <w:basedOn w:val="1"/>
    <w:qFormat/>
    <w:uiPriority w:val="0"/>
    <w:pPr>
      <w:tabs>
        <w:tab w:val="left" w:pos="780"/>
      </w:tabs>
      <w:overflowPunct w:val="0"/>
      <w:adjustRightInd w:val="0"/>
      <w:spacing w:before="240" w:beforeLines="0" w:after="240" w:afterLines="0" w:line="312" w:lineRule="atLeast"/>
    </w:pPr>
    <w:rPr>
      <w:rFonts w:eastAsia="黑体"/>
      <w:snapToGrid w:val="0"/>
      <w:kern w:val="0"/>
      <w:sz w:val="24"/>
      <w:lang w:eastAsia="en-US"/>
    </w:rPr>
  </w:style>
  <w:style w:type="paragraph" w:customStyle="1" w:styleId="4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2"/>
      <w:szCs w:val="22"/>
    </w:rPr>
  </w:style>
  <w:style w:type="paragraph" w:customStyle="1" w:styleId="425">
    <w:name w:val="Char1 Char Char"/>
    <w:basedOn w:val="1"/>
    <w:qFormat/>
    <w:uiPriority w:val="0"/>
    <w:pPr>
      <w:tabs>
        <w:tab w:val="left" w:pos="420"/>
      </w:tabs>
      <w:ind w:left="420" w:hanging="420"/>
    </w:pPr>
    <w:rPr>
      <w:rFonts w:ascii="Tahoma" w:hAnsi="Tahoma"/>
      <w:sz w:val="24"/>
    </w:rPr>
  </w:style>
  <w:style w:type="paragraph" w:customStyle="1" w:styleId="426">
    <w:name w:val="xl4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427">
    <w:name w:val="xl107"/>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16"/>
      <w:szCs w:val="16"/>
    </w:rPr>
  </w:style>
  <w:style w:type="paragraph" w:customStyle="1" w:styleId="428">
    <w:name w:val="plaintext"/>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429">
    <w:name w:val="Char Char Char1"/>
    <w:basedOn w:val="1"/>
    <w:qFormat/>
    <w:uiPriority w:val="0"/>
    <w:pPr>
      <w:spacing w:line="360" w:lineRule="auto"/>
    </w:pPr>
    <w:rPr>
      <w:rFonts w:ascii="宋体" w:hAnsi="宋体"/>
      <w:sz w:val="22"/>
      <w:szCs w:val="24"/>
    </w:rPr>
  </w:style>
  <w:style w:type="paragraph" w:customStyle="1" w:styleId="430">
    <w:name w:val="有缩进正文"/>
    <w:basedOn w:val="1"/>
    <w:qFormat/>
    <w:uiPriority w:val="0"/>
    <w:pPr>
      <w:tabs>
        <w:tab w:val="left" w:pos="360"/>
      </w:tabs>
      <w:spacing w:before="156" w:beforeLines="50" w:after="156" w:afterLines="50" w:line="240" w:lineRule="atLeast"/>
      <w:ind w:firstLine="200" w:firstLineChars="200"/>
    </w:pPr>
    <w:rPr>
      <w:rFonts w:ascii="Arial" w:hAnsi="Arial"/>
      <w:sz w:val="24"/>
      <w:szCs w:val="24"/>
    </w:rPr>
  </w:style>
  <w:style w:type="paragraph" w:customStyle="1" w:styleId="431">
    <w:name w:val="表注"/>
    <w:basedOn w:val="1"/>
    <w:qFormat/>
    <w:uiPriority w:val="0"/>
    <w:pPr>
      <w:spacing w:before="120" w:beforeLines="0" w:after="120" w:afterLines="0" w:line="360" w:lineRule="exact"/>
      <w:jc w:val="center"/>
    </w:pPr>
  </w:style>
  <w:style w:type="paragraph" w:customStyle="1" w:styleId="432">
    <w:name w:val="表格(五号)"/>
    <w:basedOn w:val="1"/>
    <w:qFormat/>
    <w:uiPriority w:val="0"/>
    <w:pPr>
      <w:adjustRightInd w:val="0"/>
      <w:snapToGrid w:val="0"/>
      <w:spacing w:before="60" w:beforeLines="0" w:after="60" w:afterLines="0"/>
      <w:ind w:left="11"/>
      <w:jc w:val="center"/>
    </w:pPr>
    <w:rPr>
      <w:kern w:val="0"/>
    </w:rPr>
  </w:style>
  <w:style w:type="paragraph" w:customStyle="1" w:styleId="433">
    <w:name w:val="10 f"/>
    <w:basedOn w:val="1"/>
    <w:qFormat/>
    <w:uiPriority w:val="0"/>
    <w:pPr>
      <w:widowControl/>
      <w:tabs>
        <w:tab w:val="left" w:pos="2835"/>
        <w:tab w:val="left" w:pos="3119"/>
        <w:tab w:val="left" w:pos="3402"/>
        <w:tab w:val="left" w:pos="3686"/>
        <w:tab w:val="left" w:pos="3969"/>
        <w:tab w:val="left" w:pos="4253"/>
      </w:tabs>
      <w:spacing w:after="120" w:afterLines="0"/>
      <w:ind w:left="2552"/>
      <w:jc w:val="left"/>
    </w:pPr>
    <w:rPr>
      <w:rFonts w:ascii="Syntax" w:hAnsi="Syntax"/>
      <w:b/>
      <w:kern w:val="0"/>
      <w:sz w:val="20"/>
      <w:lang w:val="de-DE" w:eastAsia="de-DE"/>
    </w:rPr>
  </w:style>
  <w:style w:type="paragraph" w:customStyle="1" w:styleId="4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b/>
      <w:bCs/>
      <w:color w:val="000000"/>
      <w:kern w:val="0"/>
      <w:sz w:val="20"/>
    </w:rPr>
  </w:style>
  <w:style w:type="paragraph" w:customStyle="1" w:styleId="435">
    <w:name w:val="正文首行缩进两字符"/>
    <w:basedOn w:val="1"/>
    <w:qFormat/>
    <w:uiPriority w:val="0"/>
    <w:pPr>
      <w:spacing w:line="360" w:lineRule="auto"/>
      <w:ind w:firstLine="200" w:firstLineChars="200"/>
    </w:pPr>
    <w:rPr>
      <w:szCs w:val="24"/>
    </w:rPr>
  </w:style>
  <w:style w:type="paragraph" w:customStyle="1" w:styleId="43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37">
    <w:name w:val="xl62"/>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宋体" w:hAnsi="宋体"/>
      <w:kern w:val="0"/>
      <w:szCs w:val="21"/>
    </w:rPr>
  </w:style>
  <w:style w:type="paragraph" w:customStyle="1" w:styleId="438">
    <w:name w:val="列出段落2"/>
    <w:basedOn w:val="1"/>
    <w:qFormat/>
    <w:uiPriority w:val="0"/>
    <w:pPr>
      <w:ind w:firstLine="420" w:firstLineChars="200"/>
    </w:pPr>
    <w:rPr>
      <w:sz w:val="24"/>
      <w:szCs w:val="24"/>
    </w:rPr>
  </w:style>
  <w:style w:type="paragraph" w:customStyle="1" w:styleId="439">
    <w:name w:val="_Style 5"/>
    <w:basedOn w:val="1"/>
    <w:qFormat/>
    <w:uiPriority w:val="0"/>
  </w:style>
  <w:style w:type="paragraph" w:customStyle="1" w:styleId="44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2"/>
      <w:szCs w:val="22"/>
    </w:rPr>
  </w:style>
  <w:style w:type="paragraph" w:customStyle="1" w:styleId="4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16"/>
      <w:szCs w:val="16"/>
    </w:rPr>
  </w:style>
  <w:style w:type="paragraph" w:customStyle="1" w:styleId="442">
    <w:name w:val="_Style 5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Char11"/>
    <w:basedOn w:val="17"/>
    <w:qFormat/>
    <w:uiPriority w:val="0"/>
    <w:pPr>
      <w:shd w:val="clear" w:color="auto" w:fill="000080"/>
    </w:pPr>
    <w:rPr>
      <w:rFonts w:ascii="Tahoma" w:hAnsi="Tahoma"/>
      <w:sz w:val="24"/>
      <w:szCs w:val="24"/>
      <w:shd w:val="clear" w:color="auto" w:fill="000080"/>
    </w:rPr>
  </w:style>
  <w:style w:type="paragraph" w:customStyle="1" w:styleId="444">
    <w:name w:val="表格样式 2"/>
    <w:qFormat/>
    <w:uiPriority w:val="0"/>
    <w:rPr>
      <w:rFonts w:hint="eastAsia" w:ascii="Arial Unicode MS" w:hAnsi="Arial Unicode MS" w:eastAsia="Helvetica" w:cs="Arial Unicode MS"/>
      <w:color w:val="000000"/>
      <w:lang w:val="zh-TW" w:eastAsia="zh-TW" w:bidi="ar-SA"/>
    </w:rPr>
  </w:style>
  <w:style w:type="paragraph" w:customStyle="1" w:styleId="445">
    <w:name w:val=" Char Char Char Char Char Char"/>
    <w:basedOn w:val="1"/>
    <w:qFormat/>
    <w:uiPriority w:val="0"/>
    <w:rPr>
      <w:rFonts w:ascii="Tahoma" w:hAnsi="Tahoma"/>
      <w:sz w:val="24"/>
    </w:rPr>
  </w:style>
  <w:style w:type="paragraph" w:customStyle="1" w:styleId="446">
    <w:name w:val="p17"/>
    <w:basedOn w:val="1"/>
    <w:qFormat/>
    <w:uiPriority w:val="0"/>
    <w:pPr>
      <w:widowControl/>
      <w:ind w:firstLine="630"/>
    </w:pPr>
    <w:rPr>
      <w:kern w:val="0"/>
      <w:sz w:val="32"/>
      <w:szCs w:val="32"/>
    </w:rPr>
  </w:style>
  <w:style w:type="paragraph" w:customStyle="1" w:styleId="447">
    <w:name w:val="Plain Text"/>
    <w:basedOn w:val="1"/>
    <w:qFormat/>
    <w:uiPriority w:val="0"/>
    <w:pPr>
      <w:adjustRightInd w:val="0"/>
      <w:textAlignment w:val="baseline"/>
    </w:pPr>
    <w:rPr>
      <w:rFonts w:ascii="宋体" w:hAnsi="Courier New"/>
    </w:rPr>
  </w:style>
  <w:style w:type="paragraph" w:customStyle="1" w:styleId="4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color w:val="FFFFFF"/>
      <w:kern w:val="0"/>
      <w:szCs w:val="21"/>
    </w:rPr>
  </w:style>
  <w:style w:type="paragraph" w:customStyle="1" w:styleId="4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0">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451">
    <w:name w:val="SRS正文"/>
    <w:basedOn w:val="1"/>
    <w:qFormat/>
    <w:uiPriority w:val="0"/>
    <w:pPr>
      <w:widowControl/>
      <w:spacing w:before="156" w:beforeLines="50" w:line="360" w:lineRule="auto"/>
    </w:pPr>
    <w:rPr>
      <w:sz w:val="24"/>
      <w:szCs w:val="24"/>
    </w:rPr>
  </w:style>
  <w:style w:type="paragraph" w:customStyle="1" w:styleId="452">
    <w:name w:val="列项——"/>
    <w:qFormat/>
    <w:uiPriority w:val="0"/>
    <w:pPr>
      <w:widowControl w:val="0"/>
      <w:tabs>
        <w:tab w:val="left" w:pos="1140"/>
      </w:tabs>
      <w:ind w:left="975" w:hanging="975"/>
      <w:jc w:val="both"/>
    </w:pPr>
    <w:rPr>
      <w:rFonts w:ascii="宋体" w:hAnsi="Times New Roman" w:eastAsia="宋体" w:cs="Times New Roman"/>
      <w:sz w:val="21"/>
      <w:lang w:val="en-US" w:eastAsia="zh-CN" w:bidi="ar-SA"/>
    </w:rPr>
  </w:style>
  <w:style w:type="paragraph" w:customStyle="1" w:styleId="453">
    <w:name w:val="标题5"/>
    <w:basedOn w:val="6"/>
    <w:next w:val="6"/>
    <w:qFormat/>
    <w:uiPriority w:val="0"/>
    <w:pPr>
      <w:adjustRightInd/>
      <w:spacing w:before="0" w:beforeLines="0" w:after="0" w:afterLines="0" w:line="300" w:lineRule="exact"/>
      <w:ind w:firstLine="630" w:firstLineChars="300"/>
      <w:textAlignment w:val="auto"/>
    </w:pPr>
    <w:rPr>
      <w:b w:val="0"/>
      <w:color w:val="000000"/>
      <w:kern w:val="2"/>
      <w:sz w:val="21"/>
      <w:szCs w:val="32"/>
    </w:rPr>
  </w:style>
  <w:style w:type="paragraph" w:customStyle="1" w:styleId="454">
    <w:name w:val="CU-6"/>
    <w:basedOn w:val="131"/>
    <w:qFormat/>
    <w:uiPriority w:val="0"/>
    <w:pPr>
      <w:tabs>
        <w:tab w:val="left" w:pos="360"/>
        <w:tab w:val="left" w:pos="1740"/>
        <w:tab w:val="clear" w:pos="1440"/>
      </w:tabs>
    </w:pPr>
  </w:style>
  <w:style w:type="paragraph" w:customStyle="1" w:styleId="455">
    <w:name w:val="xl65"/>
    <w:basedOn w:val="1"/>
    <w:qFormat/>
    <w:uiPriority w:val="0"/>
    <w:pPr>
      <w:widowControl/>
      <w:pBdr>
        <w:bottom w:val="single" w:color="000000" w:sz="4" w:space="0"/>
        <w:right w:val="single" w:color="auto" w:sz="8" w:space="0"/>
      </w:pBdr>
      <w:spacing w:before="100" w:beforeLines="0" w:beforeAutospacing="1" w:after="100" w:afterLines="0" w:afterAutospacing="1"/>
      <w:jc w:val="left"/>
      <w:textAlignment w:val="center"/>
    </w:pPr>
    <w:rPr>
      <w:color w:val="FFFFFF"/>
      <w:kern w:val="0"/>
      <w:szCs w:val="21"/>
    </w:rPr>
  </w:style>
  <w:style w:type="paragraph" w:customStyle="1" w:styleId="456">
    <w:name w:val="样式 标题6样式2 + 左侧:  1 字符 右侧:  1 字符"/>
    <w:basedOn w:val="1"/>
    <w:qFormat/>
    <w:uiPriority w:val="0"/>
    <w:pPr>
      <w:keepNext/>
      <w:keepLines/>
      <w:tabs>
        <w:tab w:val="left" w:pos="840"/>
      </w:tabs>
      <w:spacing w:before="240" w:beforeLines="0" w:after="64" w:afterLines="0" w:line="360" w:lineRule="auto"/>
      <w:ind w:left="932" w:right="210" w:rightChars="100" w:hanging="420"/>
      <w:outlineLvl w:val="5"/>
    </w:pPr>
    <w:rPr>
      <w:rFonts w:ascii="Arial" w:hAnsi="Arial" w:eastAsia="黑体" w:cs="宋体"/>
      <w:b/>
      <w:bCs/>
      <w:sz w:val="24"/>
    </w:rPr>
  </w:style>
  <w:style w:type="paragraph" w:customStyle="1" w:styleId="457">
    <w:name w:val="表格题注"/>
    <w:next w:val="1"/>
    <w:qFormat/>
    <w:uiPriority w:val="0"/>
    <w:pPr>
      <w:keepLines/>
      <w:tabs>
        <w:tab w:val="left" w:pos="1555"/>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58">
    <w:name w:val="图样式"/>
    <w:basedOn w:val="1"/>
    <w:qFormat/>
    <w:uiPriority w:val="0"/>
    <w:pPr>
      <w:keepNext/>
      <w:widowControl/>
      <w:autoSpaceDE w:val="0"/>
      <w:autoSpaceDN w:val="0"/>
      <w:adjustRightInd w:val="0"/>
      <w:spacing w:before="80" w:beforeLines="0" w:after="80" w:afterLines="0" w:line="360" w:lineRule="auto"/>
      <w:jc w:val="center"/>
    </w:pPr>
    <w:rPr>
      <w:kern w:val="0"/>
    </w:rPr>
  </w:style>
  <w:style w:type="paragraph" w:customStyle="1" w:styleId="4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6600"/>
      <w:kern w:val="0"/>
      <w:sz w:val="20"/>
    </w:rPr>
  </w:style>
  <w:style w:type="paragraph" w:customStyle="1" w:styleId="460">
    <w:name w:val="Bullet 1"/>
    <w:basedOn w:val="1"/>
    <w:qFormat/>
    <w:uiPriority w:val="0"/>
    <w:pPr>
      <w:widowControl/>
      <w:tabs>
        <w:tab w:val="left" w:pos="720"/>
        <w:tab w:val="left" w:pos="1620"/>
      </w:tabs>
      <w:spacing w:before="180" w:beforeLines="0" w:after="80" w:afterLines="0" w:line="240" w:lineRule="exact"/>
      <w:ind w:left="1616" w:hanging="357"/>
    </w:pPr>
    <w:rPr>
      <w:bCs/>
      <w:iCs/>
      <w:color w:val="000000"/>
      <w:kern w:val="0"/>
      <w:sz w:val="20"/>
      <w:lang w:eastAsia="en-US"/>
    </w:rPr>
  </w:style>
  <w:style w:type="paragraph" w:customStyle="1" w:styleId="461">
    <w:name w:val="默认段落字体 Para Char Char Char1 Char"/>
    <w:basedOn w:val="1"/>
    <w:qFormat/>
    <w:uiPriority w:val="0"/>
    <w:pPr>
      <w:spacing w:line="240" w:lineRule="atLeast"/>
      <w:ind w:left="420" w:firstLine="420"/>
    </w:pPr>
    <w:rPr>
      <w:kern w:val="0"/>
      <w:szCs w:val="21"/>
    </w:rPr>
  </w:style>
  <w:style w:type="paragraph" w:customStyle="1" w:styleId="462">
    <w:name w:val="项目符号1说明"/>
    <w:basedOn w:val="1"/>
    <w:qFormat/>
    <w:uiPriority w:val="0"/>
    <w:pPr>
      <w:spacing w:before="60" w:beforeLines="0" w:after="60" w:afterLines="0"/>
      <w:jc w:val="center"/>
    </w:pPr>
    <w:rPr>
      <w:rFonts w:ascii="黑体" w:eastAsia="黑体"/>
    </w:rPr>
  </w:style>
  <w:style w:type="paragraph" w:customStyle="1" w:styleId="463">
    <w:name w:val="f144"/>
    <w:basedOn w:val="1"/>
    <w:qFormat/>
    <w:uiPriority w:val="0"/>
    <w:pPr>
      <w:widowControl/>
      <w:spacing w:before="100" w:beforeLines="0" w:beforeAutospacing="1" w:after="100" w:afterLines="0" w:afterAutospacing="1" w:line="300" w:lineRule="atLeast"/>
      <w:jc w:val="left"/>
    </w:pPr>
    <w:rPr>
      <w:rFonts w:ascii="Arial Unicode MS" w:hAnsi="Arial Unicode MS" w:eastAsia="Times New Roman"/>
      <w:color w:val="000000"/>
      <w:kern w:val="0"/>
      <w:szCs w:val="21"/>
    </w:rPr>
  </w:style>
  <w:style w:type="paragraph" w:customStyle="1" w:styleId="464">
    <w:name w:val="样式"/>
    <w:link w:val="465"/>
    <w:qFormat/>
    <w:uiPriority w:val="0"/>
    <w:pPr>
      <w:widowControl w:val="0"/>
      <w:autoSpaceDE w:val="0"/>
      <w:autoSpaceDN w:val="0"/>
      <w:adjustRightInd w:val="0"/>
    </w:pPr>
    <w:rPr>
      <w:rFonts w:ascii="宋体" w:hAnsi="宋体" w:eastAsia="宋体" w:cs="Times New Roman"/>
      <w:sz w:val="24"/>
      <w:szCs w:val="24"/>
      <w:lang w:bidi="ar-SA"/>
    </w:rPr>
  </w:style>
  <w:style w:type="character" w:customStyle="1" w:styleId="465">
    <w:name w:val="样式 Char Char"/>
    <w:link w:val="464"/>
    <w:qFormat/>
    <w:locked/>
    <w:uiPriority w:val="0"/>
    <w:rPr>
      <w:rFonts w:ascii="宋体" w:hAnsi="宋体"/>
      <w:sz w:val="24"/>
      <w:szCs w:val="24"/>
      <w:lang w:bidi="ar-SA"/>
    </w:rPr>
  </w:style>
  <w:style w:type="paragraph" w:customStyle="1" w:styleId="46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7">
    <w:name w:val="样式 首行缩进:  1.22 厘米"/>
    <w:basedOn w:val="1"/>
    <w:qFormat/>
    <w:uiPriority w:val="0"/>
    <w:pPr>
      <w:spacing w:line="360" w:lineRule="auto"/>
      <w:ind w:firstLine="692"/>
    </w:pPr>
    <w:rPr>
      <w:rFonts w:cs="宋体"/>
      <w:sz w:val="24"/>
    </w:rPr>
  </w:style>
  <w:style w:type="paragraph" w:customStyle="1" w:styleId="468">
    <w:name w:val="title 4"/>
    <w:basedOn w:val="1"/>
    <w:qFormat/>
    <w:uiPriority w:val="0"/>
    <w:pPr>
      <w:spacing w:line="360" w:lineRule="auto"/>
      <w:jc w:val="left"/>
    </w:pPr>
    <w:rPr>
      <w:rFonts w:cs="宋体"/>
      <w:b/>
      <w:bCs/>
    </w:rPr>
  </w:style>
  <w:style w:type="paragraph" w:customStyle="1" w:styleId="4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22"/>
      <w:szCs w:val="22"/>
    </w:rPr>
  </w:style>
  <w:style w:type="paragraph" w:customStyle="1" w:styleId="470">
    <w:name w:val="Char Char1 Char Char1 Char Char1"/>
    <w:basedOn w:val="1"/>
    <w:qFormat/>
    <w:uiPriority w:val="0"/>
    <w:rPr>
      <w:sz w:val="24"/>
      <w:szCs w:val="24"/>
    </w:rPr>
  </w:style>
  <w:style w:type="paragraph" w:customStyle="1" w:styleId="471">
    <w:name w:val=" Char Char Char Char"/>
    <w:basedOn w:val="1"/>
    <w:qFormat/>
    <w:uiPriority w:val="0"/>
    <w:pPr>
      <w:widowControl/>
      <w:spacing w:before="100" w:beforeLines="0" w:beforeAutospacing="1" w:after="100" w:afterLines="0" w:afterAutospacing="1" w:line="360" w:lineRule="auto"/>
      <w:jc w:val="left"/>
    </w:pPr>
    <w:rPr>
      <w:rFonts w:ascii="Verdana" w:hAnsi="Verdana"/>
      <w:kern w:val="0"/>
      <w:sz w:val="20"/>
      <w:szCs w:val="21"/>
      <w:lang w:eastAsia="en-US"/>
    </w:rPr>
  </w:style>
  <w:style w:type="paragraph" w:customStyle="1" w:styleId="472">
    <w:name w:val="Char Char11"/>
    <w:basedOn w:val="1"/>
    <w:qFormat/>
    <w:uiPriority w:val="0"/>
    <w:pPr>
      <w:widowControl/>
      <w:spacing w:line="360" w:lineRule="auto"/>
      <w:jc w:val="left"/>
    </w:pPr>
    <w:rPr>
      <w:rFonts w:ascii="Verdana" w:hAnsi="Verdana"/>
      <w:kern w:val="0"/>
      <w:sz w:val="20"/>
      <w:lang w:eastAsia="en-US"/>
    </w:rPr>
  </w:style>
  <w:style w:type="paragraph" w:customStyle="1" w:styleId="473">
    <w:name w:val="font9"/>
    <w:basedOn w:val="1"/>
    <w:qFormat/>
    <w:uiPriority w:val="0"/>
    <w:pPr>
      <w:widowControl/>
      <w:spacing w:before="100" w:beforeLines="0" w:beforeAutospacing="1" w:after="100" w:afterLines="0" w:afterAutospacing="1"/>
      <w:jc w:val="left"/>
    </w:pPr>
    <w:rPr>
      <w:rFonts w:hint="eastAsia" w:ascii="宋体" w:hAnsi="宋体" w:cs="Arial Unicode MS"/>
      <w:color w:val="000000"/>
      <w:kern w:val="0"/>
      <w:sz w:val="20"/>
    </w:rPr>
  </w:style>
  <w:style w:type="paragraph" w:customStyle="1" w:styleId="474">
    <w:name w:val="默认段落字体 Para Char Char Char Char Char Char Char Char Char Char Char Char Char Char"/>
    <w:next w:val="1"/>
    <w:qFormat/>
    <w:uiPriority w:val="0"/>
    <w:pPr>
      <w:keepNext/>
      <w:keepLines/>
      <w:tabs>
        <w:tab w:val="left" w:pos="3360"/>
      </w:tabs>
      <w:spacing w:before="240" w:after="240"/>
      <w:ind w:left="3360" w:hanging="420"/>
      <w:outlineLvl w:val="7"/>
    </w:pPr>
    <w:rPr>
      <w:rFonts w:ascii="Arial" w:hAnsi="Arial" w:eastAsia="黑体" w:cs="Arial"/>
      <w:snapToGrid w:val="0"/>
      <w:sz w:val="21"/>
      <w:szCs w:val="21"/>
      <w:lang w:val="en-US" w:eastAsia="zh-CN" w:bidi="ar-SA"/>
    </w:rPr>
  </w:style>
  <w:style w:type="paragraph" w:customStyle="1" w:styleId="475">
    <w:name w:val="Char Char1"/>
    <w:basedOn w:val="1"/>
    <w:qFormat/>
    <w:uiPriority w:val="0"/>
    <w:pPr>
      <w:widowControl/>
      <w:spacing w:after="160" w:afterLines="0" w:line="240" w:lineRule="exact"/>
      <w:jc w:val="left"/>
    </w:pPr>
    <w:rPr>
      <w:rFonts w:ascii="Verdana" w:hAnsi="Verdana"/>
      <w:kern w:val="0"/>
      <w:sz w:val="20"/>
      <w:lang w:eastAsia="en-US"/>
    </w:rPr>
  </w:style>
  <w:style w:type="paragraph" w:customStyle="1" w:styleId="476">
    <w:name w:val="LJT正文"/>
    <w:basedOn w:val="24"/>
    <w:qFormat/>
    <w:uiPriority w:val="0"/>
    <w:pPr>
      <w:spacing w:before="120" w:beforeLines="0"/>
      <w:ind w:left="420" w:firstLine="425"/>
    </w:pPr>
    <w:rPr>
      <w:rFonts w:ascii="Arial" w:hAnsi="Arial"/>
      <w:sz w:val="24"/>
    </w:rPr>
  </w:style>
  <w:style w:type="paragraph" w:customStyle="1" w:styleId="477">
    <w:name w:val="_Style 475"/>
    <w:basedOn w:val="2"/>
    <w:next w:val="1"/>
    <w:qFormat/>
    <w:uiPriority w:val="0"/>
    <w:pPr>
      <w:widowControl/>
      <w:tabs>
        <w:tab w:val="left" w:pos="425"/>
      </w:tabs>
      <w:spacing w:before="480" w:beforeLines="0" w:after="0" w:afterLines="0" w:line="276" w:lineRule="auto"/>
      <w:jc w:val="left"/>
      <w:outlineLvl w:val="9"/>
    </w:pPr>
    <w:rPr>
      <w:rFonts w:ascii="Cambria" w:hAnsi="Cambria"/>
      <w:color w:val="365F91"/>
      <w:kern w:val="0"/>
      <w:sz w:val="28"/>
      <w:szCs w:val="28"/>
    </w:rPr>
  </w:style>
  <w:style w:type="paragraph" w:customStyle="1" w:styleId="478">
    <w:name w:val="xl5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Cs w:val="21"/>
    </w:rPr>
  </w:style>
  <w:style w:type="paragraph" w:customStyle="1" w:styleId="479">
    <w:name w:val="xl56"/>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right"/>
      <w:textAlignment w:val="center"/>
    </w:pPr>
    <w:rPr>
      <w:kern w:val="0"/>
      <w:szCs w:val="21"/>
    </w:rPr>
  </w:style>
  <w:style w:type="paragraph" w:customStyle="1" w:styleId="480">
    <w:name w:val="xl36"/>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481">
    <w:name w:val="Numbered list 2.1"/>
    <w:basedOn w:val="2"/>
    <w:next w:val="1"/>
    <w:qFormat/>
    <w:uiPriority w:val="0"/>
    <w:pPr>
      <w:widowControl/>
      <w:tabs>
        <w:tab w:val="left" w:pos="720"/>
      </w:tabs>
      <w:spacing w:before="240" w:beforeLines="0" w:after="60" w:afterLines="0" w:line="240" w:lineRule="auto"/>
      <w:ind w:left="902" w:hanging="420"/>
      <w:jc w:val="left"/>
    </w:pPr>
    <w:rPr>
      <w:rFonts w:ascii="Arial" w:hAnsi="Arial"/>
      <w:bCs w:val="0"/>
      <w:kern w:val="28"/>
      <w:sz w:val="28"/>
      <w:szCs w:val="20"/>
      <w:lang w:eastAsia="en-US"/>
    </w:rPr>
  </w:style>
  <w:style w:type="paragraph" w:customStyle="1" w:styleId="482">
    <w:name w:val="title 3"/>
    <w:basedOn w:val="1"/>
    <w:qFormat/>
    <w:uiPriority w:val="0"/>
    <w:pPr>
      <w:tabs>
        <w:tab w:val="left" w:pos="420"/>
        <w:tab w:val="left" w:pos="720"/>
      </w:tabs>
      <w:spacing w:line="500" w:lineRule="exact"/>
      <w:ind w:left="720" w:hanging="360"/>
      <w:jc w:val="left"/>
    </w:pPr>
    <w:rPr>
      <w:rFonts w:cs="宋体"/>
      <w:b/>
      <w:bCs/>
      <w:sz w:val="28"/>
    </w:rPr>
  </w:style>
  <w:style w:type="paragraph" w:customStyle="1" w:styleId="483">
    <w:name w:val="默认段落字体 Para Char"/>
    <w:basedOn w:val="1"/>
    <w:qFormat/>
    <w:uiPriority w:val="0"/>
    <w:pPr>
      <w:tabs>
        <w:tab w:val="left" w:pos="360"/>
      </w:tabs>
      <w:ind w:left="360" w:hanging="360"/>
    </w:pPr>
    <w:rPr>
      <w:szCs w:val="24"/>
    </w:rPr>
  </w:style>
  <w:style w:type="paragraph" w:customStyle="1" w:styleId="484">
    <w:name w:val=" Char1"/>
    <w:basedOn w:val="1"/>
    <w:qFormat/>
    <w:uiPriority w:val="0"/>
    <w:rPr>
      <w:rFonts w:ascii="仿宋_GB2312" w:eastAsia="仿宋_GB2312"/>
      <w:b/>
      <w:sz w:val="32"/>
      <w:szCs w:val="32"/>
    </w:rPr>
  </w:style>
  <w:style w:type="paragraph" w:customStyle="1" w:styleId="485">
    <w:name w:val="默认段落字体 Para Char Char Char Char Char Char Char"/>
    <w:basedOn w:val="1"/>
    <w:qFormat/>
    <w:uiPriority w:val="0"/>
    <w:rPr>
      <w:rFonts w:ascii="Tahoma" w:hAnsi="Tahoma"/>
      <w:sz w:val="24"/>
    </w:rPr>
  </w:style>
  <w:style w:type="paragraph" w:customStyle="1" w:styleId="486">
    <w:name w:val="正文中带正方形项目符号正文"/>
    <w:basedOn w:val="1"/>
    <w:qFormat/>
    <w:uiPriority w:val="0"/>
    <w:pPr>
      <w:tabs>
        <w:tab w:val="left" w:pos="814"/>
      </w:tabs>
      <w:ind w:left="284" w:firstLine="170"/>
    </w:pPr>
    <w:rPr>
      <w:sz w:val="24"/>
    </w:rPr>
  </w:style>
  <w:style w:type="paragraph" w:customStyle="1" w:styleId="487">
    <w:name w:val="p5"/>
    <w:basedOn w:val="1"/>
    <w:qFormat/>
    <w:uiPriority w:val="0"/>
    <w:pPr>
      <w:tabs>
        <w:tab w:val="left" w:pos="720"/>
      </w:tabs>
      <w:spacing w:line="240" w:lineRule="atLeast"/>
      <w:jc w:val="left"/>
    </w:pPr>
    <w:rPr>
      <w:snapToGrid w:val="0"/>
      <w:kern w:val="0"/>
      <w:sz w:val="24"/>
      <w:lang w:val="en-GB" w:eastAsia="de-DE"/>
    </w:rPr>
  </w:style>
  <w:style w:type="paragraph" w:customStyle="1" w:styleId="488">
    <w:name w:val="正文2级"/>
    <w:qFormat/>
    <w:uiPriority w:val="0"/>
    <w:pPr>
      <w:widowControl w:val="0"/>
      <w:tabs>
        <w:tab w:val="left" w:pos="839"/>
        <w:tab w:val="left" w:pos="2880"/>
      </w:tabs>
      <w:spacing w:after="60" w:line="400" w:lineRule="exact"/>
      <w:ind w:left="2880" w:hanging="360"/>
      <w:jc w:val="both"/>
    </w:pPr>
    <w:rPr>
      <w:rFonts w:ascii="Times New Roman" w:hAnsi="Times New Roman" w:eastAsia="宋体" w:cs="Times New Roman"/>
      <w:bCs/>
      <w:kern w:val="44"/>
      <w:sz w:val="24"/>
      <w:szCs w:val="44"/>
      <w:lang w:val="en-US" w:eastAsia="zh-CN" w:bidi="ar-SA"/>
    </w:rPr>
  </w:style>
  <w:style w:type="paragraph" w:customStyle="1" w:styleId="4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490">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top"/>
    </w:pPr>
    <w:rPr>
      <w:color w:val="FFFFFF"/>
      <w:kern w:val="0"/>
      <w:szCs w:val="21"/>
    </w:rPr>
  </w:style>
  <w:style w:type="paragraph" w:customStyle="1" w:styleId="491">
    <w:name w:val="表格文字"/>
    <w:basedOn w:val="1"/>
    <w:qFormat/>
    <w:uiPriority w:val="0"/>
    <w:pPr>
      <w:spacing w:before="78" w:beforeLines="25" w:after="78" w:afterLines="25"/>
    </w:pPr>
    <w:rPr>
      <w:spacing w:val="10"/>
      <w:sz w:val="24"/>
      <w:szCs w:val="24"/>
    </w:rPr>
  </w:style>
  <w:style w:type="paragraph" w:customStyle="1" w:styleId="492">
    <w:name w:val="font8"/>
    <w:basedOn w:val="1"/>
    <w:qFormat/>
    <w:uiPriority w:val="0"/>
    <w:pPr>
      <w:widowControl/>
      <w:spacing w:before="100" w:beforeLines="0" w:beforeAutospacing="1" w:after="100" w:afterLines="0" w:afterAutospacing="1"/>
      <w:jc w:val="left"/>
    </w:pPr>
    <w:rPr>
      <w:kern w:val="0"/>
      <w:sz w:val="36"/>
      <w:szCs w:val="36"/>
    </w:rPr>
  </w:style>
  <w:style w:type="paragraph" w:customStyle="1" w:styleId="493">
    <w:name w:val="编号1级"/>
    <w:qFormat/>
    <w:uiPriority w:val="0"/>
    <w:pPr>
      <w:tabs>
        <w:tab w:val="left" w:pos="0"/>
        <w:tab w:val="left" w:pos="720"/>
      </w:tabs>
      <w:spacing w:after="93" w:afterLines="30" w:line="400" w:lineRule="exact"/>
      <w:ind w:left="720" w:hanging="360"/>
      <w:outlineLvl w:val="8"/>
    </w:pPr>
    <w:rPr>
      <w:rFonts w:ascii="Times New Roman" w:hAnsi="Times New Roman" w:eastAsia="宋体" w:cs="Times New Roman"/>
      <w:b/>
      <w:kern w:val="2"/>
      <w:sz w:val="24"/>
      <w:szCs w:val="28"/>
      <w:lang w:val="en-US" w:eastAsia="zh-CN" w:bidi="ar-SA"/>
    </w:rPr>
  </w:style>
  <w:style w:type="paragraph" w:customStyle="1" w:styleId="494">
    <w:name w:val="表格正文（左对齐）"/>
    <w:basedOn w:val="1"/>
    <w:qFormat/>
    <w:uiPriority w:val="0"/>
    <w:pPr>
      <w:autoSpaceDE w:val="0"/>
      <w:autoSpaceDN w:val="0"/>
      <w:adjustRightInd w:val="0"/>
      <w:jc w:val="left"/>
    </w:pPr>
    <w:rPr>
      <w:rFonts w:ascii="宋体"/>
      <w:b/>
      <w:color w:val="000000"/>
      <w:kern w:val="0"/>
      <w:sz w:val="28"/>
    </w:rPr>
  </w:style>
  <w:style w:type="paragraph" w:customStyle="1" w:styleId="495">
    <w:name w:val="yd正文"/>
    <w:basedOn w:val="1"/>
    <w:qFormat/>
    <w:uiPriority w:val="0"/>
    <w:pPr>
      <w:widowControl/>
      <w:spacing w:line="360" w:lineRule="auto"/>
      <w:ind w:firstLine="482"/>
    </w:pPr>
    <w:rPr>
      <w:rFonts w:ascii="宋体" w:hAnsi="Arial Unicode MS"/>
      <w:bCs/>
      <w:kern w:val="0"/>
      <w:sz w:val="24"/>
      <w:szCs w:val="24"/>
    </w:rPr>
  </w:style>
  <w:style w:type="paragraph" w:customStyle="1" w:styleId="496">
    <w:name w:val="Char Char Char Char1 Char"/>
    <w:basedOn w:val="17"/>
    <w:qFormat/>
    <w:uiPriority w:val="0"/>
    <w:pPr>
      <w:shd w:val="clear" w:color="auto" w:fill="000080"/>
      <w:adjustRightInd w:val="0"/>
      <w:spacing w:line="436" w:lineRule="exact"/>
      <w:ind w:left="357"/>
      <w:jc w:val="left"/>
      <w:outlineLvl w:val="3"/>
    </w:pPr>
    <w:rPr>
      <w:rFonts w:ascii="Times New Roman"/>
      <w:sz w:val="21"/>
      <w:szCs w:val="24"/>
      <w:shd w:val="clear" w:color="auto" w:fill="000080"/>
    </w:rPr>
  </w:style>
  <w:style w:type="paragraph" w:customStyle="1" w:styleId="497">
    <w:name w:val="Char2 Char Char Char Char Char Char Char Char Char1 Char Char Char"/>
    <w:basedOn w:val="17"/>
    <w:qFormat/>
    <w:uiPriority w:val="0"/>
    <w:pPr>
      <w:shd w:val="clear" w:color="auto" w:fill="000080"/>
      <w:tabs>
        <w:tab w:val="left" w:pos="360"/>
      </w:tabs>
    </w:pPr>
    <w:rPr>
      <w:rFonts w:ascii="Tahoma" w:hAnsi="Tahoma"/>
      <w:sz w:val="24"/>
      <w:szCs w:val="24"/>
      <w:shd w:val="clear" w:color="auto" w:fill="000080"/>
    </w:rPr>
  </w:style>
  <w:style w:type="paragraph" w:customStyle="1" w:styleId="49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eastAsia="Arial Unicode MS"/>
      <w:color w:val="000000"/>
      <w:kern w:val="0"/>
      <w:sz w:val="20"/>
    </w:rPr>
  </w:style>
  <w:style w:type="paragraph" w:customStyle="1" w:styleId="499">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500">
    <w:name w:val="Char Char1 Char Char1 Char Char11"/>
    <w:basedOn w:val="1"/>
    <w:qFormat/>
    <w:uiPriority w:val="0"/>
    <w:rPr>
      <w:kern w:val="0"/>
      <w:sz w:val="24"/>
    </w:rPr>
  </w:style>
  <w:style w:type="paragraph" w:customStyle="1" w:styleId="501">
    <w:name w:val="n"/>
    <w:basedOn w:val="1"/>
    <w:qFormat/>
    <w:uiPriority w:val="0"/>
    <w:pPr>
      <w:autoSpaceDE w:val="0"/>
      <w:autoSpaceDN w:val="0"/>
      <w:adjustRightInd w:val="0"/>
      <w:spacing w:line="400" w:lineRule="atLeast"/>
      <w:textAlignment w:val="baseline"/>
    </w:pPr>
    <w:rPr>
      <w:rFonts w:ascii="宋体"/>
      <w:kern w:val="0"/>
      <w:sz w:val="24"/>
    </w:rPr>
  </w:style>
  <w:style w:type="paragraph" w:customStyle="1" w:styleId="502">
    <w:name w:val="列表编号1"/>
    <w:basedOn w:val="503"/>
    <w:qFormat/>
    <w:uiPriority w:val="0"/>
    <w:pPr>
      <w:tabs>
        <w:tab w:val="left" w:pos="420"/>
        <w:tab w:val="left" w:pos="720"/>
      </w:tabs>
      <w:ind w:left="720" w:hanging="360"/>
      <w:jc w:val="left"/>
    </w:pPr>
  </w:style>
  <w:style w:type="paragraph" w:customStyle="1" w:styleId="503">
    <w:name w:val="无缩进正文"/>
    <w:basedOn w:val="1"/>
    <w:next w:val="1"/>
    <w:qFormat/>
    <w:uiPriority w:val="0"/>
    <w:pPr>
      <w:spacing w:before="156" w:beforeLines="50" w:after="156" w:afterLines="50"/>
    </w:pPr>
    <w:rPr>
      <w:rFonts w:ascii="Arial" w:hAnsi="Arial"/>
      <w:sz w:val="24"/>
      <w:szCs w:val="24"/>
    </w:rPr>
  </w:style>
  <w:style w:type="paragraph" w:customStyle="1" w:styleId="504">
    <w:name w:val="1）编号"/>
    <w:qFormat/>
    <w:uiPriority w:val="0"/>
    <w:pPr>
      <w:tabs>
        <w:tab w:val="left" w:pos="902"/>
      </w:tabs>
      <w:spacing w:line="360" w:lineRule="auto"/>
      <w:ind w:left="420" w:hanging="420"/>
    </w:pPr>
    <w:rPr>
      <w:rFonts w:ascii="宋体" w:hAnsi="宋体" w:eastAsia="宋体" w:cs="宋体"/>
      <w:sz w:val="24"/>
      <w:lang w:val="en-US" w:eastAsia="zh-CN" w:bidi="ar-SA"/>
    </w:rPr>
  </w:style>
  <w:style w:type="paragraph" w:customStyle="1" w:styleId="505">
    <w:name w:val="Char Char1 Char Char1 Char Char1 Char Char Char"/>
    <w:basedOn w:val="1"/>
    <w:qFormat/>
    <w:uiPriority w:val="0"/>
    <w:rPr>
      <w:sz w:val="24"/>
      <w:szCs w:val="24"/>
    </w:rPr>
  </w:style>
  <w:style w:type="paragraph" w:customStyle="1" w:styleId="506">
    <w:name w:val="样式 首行缩进:  2 字符"/>
    <w:basedOn w:val="1"/>
    <w:qFormat/>
    <w:uiPriority w:val="0"/>
    <w:pPr>
      <w:spacing w:line="400" w:lineRule="exact"/>
      <w:ind w:firstLine="200" w:firstLineChars="200"/>
    </w:pPr>
    <w:rPr>
      <w:rFonts w:cs="宋体"/>
      <w:sz w:val="24"/>
      <w:szCs w:val="24"/>
    </w:rPr>
  </w:style>
  <w:style w:type="paragraph" w:customStyle="1" w:styleId="507">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50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509">
    <w:name w:val="正文2"/>
    <w:basedOn w:val="1"/>
    <w:qFormat/>
    <w:uiPriority w:val="0"/>
    <w:pPr>
      <w:tabs>
        <w:tab w:val="left" w:pos="0"/>
        <w:tab w:val="left" w:pos="480"/>
      </w:tabs>
      <w:autoSpaceDE w:val="0"/>
      <w:autoSpaceDN w:val="0"/>
      <w:spacing w:line="300" w:lineRule="exact"/>
      <w:ind w:left="-23" w:leftChars="-432" w:right="-335" w:hanging="884" w:hangingChars="402"/>
    </w:pPr>
    <w:rPr>
      <w:rFonts w:ascii="仿宋_GB2312" w:hAnsi="宋体" w:eastAsia="仿宋_GB2312"/>
      <w:spacing w:val="5"/>
      <w:szCs w:val="24"/>
    </w:rPr>
  </w:style>
  <w:style w:type="paragraph" w:customStyle="1" w:styleId="510">
    <w:name w:val="样式 列表接续 3title new 3 + 左侧:  0 厘米"/>
    <w:basedOn w:val="53"/>
    <w:qFormat/>
    <w:uiPriority w:val="0"/>
    <w:rPr>
      <w:rFonts w:cs="宋体"/>
      <w:bCs/>
    </w:rPr>
  </w:style>
  <w:style w:type="paragraph" w:customStyle="1" w:styleId="511">
    <w:name w:val="正文1级"/>
    <w:qFormat/>
    <w:uiPriority w:val="0"/>
    <w:pPr>
      <w:widowControl w:val="0"/>
      <w:tabs>
        <w:tab w:val="left" w:pos="420"/>
        <w:tab w:val="left" w:pos="1440"/>
      </w:tabs>
      <w:spacing w:after="60" w:line="400" w:lineRule="exact"/>
      <w:ind w:left="1440" w:hanging="360"/>
      <w:jc w:val="both"/>
    </w:pPr>
    <w:rPr>
      <w:rFonts w:ascii="Times New Roman" w:hAnsi="Times New Roman" w:eastAsia="宋体" w:cs="Times New Roman"/>
      <w:bCs/>
      <w:kern w:val="44"/>
      <w:sz w:val="24"/>
      <w:szCs w:val="44"/>
      <w:lang w:val="en-US" w:eastAsia="zh-CN" w:bidi="ar-SA"/>
    </w:rPr>
  </w:style>
  <w:style w:type="paragraph" w:customStyle="1" w:styleId="51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513">
    <w:name w:val="插图题注"/>
    <w:next w:val="1"/>
    <w:qFormat/>
    <w:uiPriority w:val="0"/>
    <w:pPr>
      <w:tabs>
        <w:tab w:val="left" w:pos="1555"/>
      </w:tabs>
      <w:spacing w:after="312" w:afterLines="100"/>
      <w:ind w:left="1555" w:hanging="420"/>
      <w:jc w:val="center"/>
    </w:pPr>
    <w:rPr>
      <w:rFonts w:ascii="Arial" w:hAnsi="Arial" w:eastAsia="宋体" w:cs="Times New Roman"/>
      <w:sz w:val="18"/>
      <w:szCs w:val="18"/>
      <w:lang w:val="en-US" w:eastAsia="zh-CN" w:bidi="ar-SA"/>
    </w:rPr>
  </w:style>
  <w:style w:type="paragraph" w:customStyle="1" w:styleId="514">
    <w:name w:val="正文缩进1"/>
    <w:basedOn w:val="1"/>
    <w:next w:val="1"/>
    <w:qFormat/>
    <w:uiPriority w:val="0"/>
    <w:pPr>
      <w:widowControl/>
      <w:ind w:firstLine="420"/>
    </w:pPr>
    <w:rPr>
      <w:color w:val="000000"/>
    </w:rPr>
  </w:style>
  <w:style w:type="paragraph" w:customStyle="1" w:styleId="515">
    <w:name w:val="实施日期"/>
    <w:basedOn w:val="1"/>
    <w:qFormat/>
    <w:uiPriority w:val="0"/>
    <w:pPr>
      <w:widowControl/>
      <w:jc w:val="right"/>
    </w:pPr>
    <w:rPr>
      <w:rFonts w:eastAsia="黑体"/>
      <w:kern w:val="0"/>
      <w:sz w:val="28"/>
    </w:rPr>
  </w:style>
  <w:style w:type="paragraph" w:customStyle="1" w:styleId="516">
    <w:name w:val="需求正文"/>
    <w:basedOn w:val="1"/>
    <w:qFormat/>
    <w:uiPriority w:val="0"/>
    <w:pPr>
      <w:spacing w:line="360" w:lineRule="auto"/>
    </w:pPr>
    <w:rPr>
      <w:rFonts w:ascii="宋体" w:hAnsi="宋体"/>
      <w:kern w:val="0"/>
      <w:sz w:val="24"/>
      <w:szCs w:val="24"/>
    </w:rPr>
  </w:style>
  <w:style w:type="paragraph" w:customStyle="1" w:styleId="517">
    <w:name w:val="样式 样式 正文new + 首行缩进:  2 字符 + 加粗"/>
    <w:basedOn w:val="518"/>
    <w:qFormat/>
    <w:uiPriority w:val="0"/>
    <w:pPr>
      <w:tabs>
        <w:tab w:val="left" w:pos="-360"/>
        <w:tab w:val="left" w:pos="900"/>
      </w:tabs>
      <w:ind w:firstLine="200"/>
    </w:pPr>
    <w:rPr>
      <w:b/>
      <w:bCs/>
    </w:rPr>
  </w:style>
  <w:style w:type="paragraph" w:customStyle="1" w:styleId="518">
    <w:name w:val="样式 正文new + 首行缩进:  2 字符"/>
    <w:basedOn w:val="519"/>
    <w:qFormat/>
    <w:uiPriority w:val="0"/>
    <w:pPr>
      <w:widowControl w:val="0"/>
      <w:tabs>
        <w:tab w:val="left" w:pos="-360"/>
        <w:tab w:val="left" w:pos="900"/>
      </w:tabs>
      <w:spacing w:line="500" w:lineRule="exact"/>
      <w:ind w:firstLine="420"/>
      <w:jc w:val="both"/>
    </w:pPr>
    <w:rPr>
      <w:rFonts w:cs="宋体"/>
      <w:color w:val="000000"/>
      <w:kern w:val="2"/>
      <w:sz w:val="21"/>
      <w:szCs w:val="20"/>
    </w:rPr>
  </w:style>
  <w:style w:type="paragraph" w:customStyle="1" w:styleId="519">
    <w:name w:val="正文new"/>
    <w:basedOn w:val="1"/>
    <w:qFormat/>
    <w:uiPriority w:val="0"/>
    <w:pPr>
      <w:widowControl/>
      <w:tabs>
        <w:tab w:val="left" w:pos="-360"/>
        <w:tab w:val="left" w:pos="900"/>
      </w:tabs>
      <w:spacing w:line="360" w:lineRule="auto"/>
      <w:ind w:firstLine="200" w:firstLineChars="200"/>
      <w:jc w:val="left"/>
    </w:pPr>
    <w:rPr>
      <w:rFonts w:ascii="宋体" w:hAnsi="宋体"/>
      <w:kern w:val="0"/>
      <w:sz w:val="24"/>
      <w:szCs w:val="24"/>
    </w:rPr>
  </w:style>
  <w:style w:type="paragraph" w:customStyle="1" w:styleId="520">
    <w:name w:val="xl23"/>
    <w:basedOn w:val="1"/>
    <w:qFormat/>
    <w:uiPriority w:val="0"/>
    <w:pPr>
      <w:widowControl/>
      <w:spacing w:before="100" w:beforeLines="0" w:beforeAutospacing="1" w:after="100" w:afterLines="0" w:afterAutospacing="1"/>
    </w:pPr>
    <w:rPr>
      <w:rFonts w:ascii="Arial Unicode MS" w:hAnsi="Arial Unicode MS"/>
      <w:kern w:val="0"/>
      <w:szCs w:val="21"/>
    </w:rPr>
  </w:style>
  <w:style w:type="paragraph" w:customStyle="1" w:styleId="521">
    <w:name w:val="font10"/>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522">
    <w:name w:val="封面标题"/>
    <w:basedOn w:val="1"/>
    <w:qFormat/>
    <w:uiPriority w:val="0"/>
    <w:pPr>
      <w:spacing w:line="360" w:lineRule="auto"/>
      <w:jc w:val="center"/>
    </w:pPr>
    <w:rPr>
      <w:rFonts w:eastAsia="黑体"/>
      <w:sz w:val="48"/>
    </w:rPr>
  </w:style>
  <w:style w:type="paragraph" w:customStyle="1" w:styleId="523">
    <w:name w:val=" Char Char6"/>
    <w:basedOn w:val="1"/>
    <w:qFormat/>
    <w:uiPriority w:val="0"/>
  </w:style>
  <w:style w:type="paragraph" w:customStyle="1" w:styleId="524">
    <w:name w:val="圆点列表1（Alt+A）"/>
    <w:basedOn w:val="1"/>
    <w:qFormat/>
    <w:uiPriority w:val="0"/>
    <w:pPr>
      <w:tabs>
        <w:tab w:val="left" w:pos="720"/>
      </w:tabs>
      <w:spacing w:line="360" w:lineRule="auto"/>
      <w:ind w:left="720" w:hanging="360"/>
    </w:pPr>
    <w:rPr>
      <w:rFonts w:ascii="宋体"/>
      <w:sz w:val="24"/>
    </w:rPr>
  </w:style>
  <w:style w:type="paragraph" w:customStyle="1" w:styleId="525">
    <w:name w:val="文档编号"/>
    <w:basedOn w:val="1"/>
    <w:next w:val="1"/>
    <w:qFormat/>
    <w:uiPriority w:val="0"/>
    <w:pPr>
      <w:adjustRightInd w:val="0"/>
      <w:spacing w:line="360" w:lineRule="auto"/>
      <w:jc w:val="center"/>
      <w:textAlignment w:val="baseline"/>
    </w:pPr>
    <w:rPr>
      <w:rFonts w:ascii="宋体"/>
      <w:kern w:val="0"/>
    </w:rPr>
  </w:style>
  <w:style w:type="paragraph" w:customStyle="1" w:styleId="5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527">
    <w:name w:val="特点"/>
    <w:basedOn w:val="1"/>
    <w:next w:val="14"/>
    <w:qFormat/>
    <w:uiPriority w:val="0"/>
    <w:pPr>
      <w:widowControl/>
      <w:spacing w:line="360" w:lineRule="auto"/>
      <w:ind w:firstLine="200" w:firstLineChars="200"/>
      <w:jc w:val="left"/>
    </w:pPr>
    <w:rPr>
      <w:kern w:val="0"/>
      <w:sz w:val="24"/>
    </w:rPr>
  </w:style>
  <w:style w:type="paragraph" w:customStyle="1" w:styleId="528">
    <w:name w:val="样式 样式 列表接续 3title new 3 + 小三 + 小三"/>
    <w:basedOn w:val="529"/>
    <w:qFormat/>
    <w:uiPriority w:val="0"/>
    <w:pPr>
      <w:tabs>
        <w:tab w:val="left" w:pos="72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529">
    <w:name w:val="样式 列表接续 3title new 3 + 小三"/>
    <w:basedOn w:val="53"/>
    <w:qFormat/>
    <w:uiPriority w:val="0"/>
    <w:rPr>
      <w:bCs/>
    </w:rPr>
  </w:style>
  <w:style w:type="paragraph" w:customStyle="1" w:styleId="530">
    <w:name w:val="Style Heading 4H4Ref Heading 1rh1Heading sqlsect 1.2.3.4bulle...1"/>
    <w:basedOn w:val="5"/>
    <w:qFormat/>
    <w:uiPriority w:val="0"/>
    <w:pPr>
      <w:numPr>
        <w:ilvl w:val="0"/>
        <w:numId w:val="0"/>
      </w:numPr>
      <w:tabs>
        <w:tab w:val="left" w:pos="1134"/>
      </w:tabs>
      <w:adjustRightInd/>
      <w:spacing w:before="100" w:beforeLines="0" w:after="100" w:afterLines="0" w:line="374" w:lineRule="auto"/>
      <w:ind w:left="864" w:hanging="864"/>
      <w:textAlignment w:val="auto"/>
    </w:pPr>
    <w:rPr>
      <w:rFonts w:ascii="宋体" w:hAnsi="宋体" w:eastAsia="宋体" w:cs="宋体"/>
      <w:bCs/>
      <w:kern w:val="2"/>
      <w:sz w:val="24"/>
    </w:rPr>
  </w:style>
  <w:style w:type="paragraph" w:customStyle="1" w:styleId="531">
    <w:name w:val="Char Char Char Char Char Char1 Char Char Char Char"/>
    <w:basedOn w:val="17"/>
    <w:qFormat/>
    <w:uiPriority w:val="0"/>
    <w:pPr>
      <w:shd w:val="clear" w:color="auto" w:fill="000080"/>
    </w:pPr>
    <w:rPr>
      <w:rFonts w:ascii="Times New Roman"/>
      <w:sz w:val="21"/>
      <w:szCs w:val="24"/>
      <w:shd w:val="clear" w:color="auto" w:fill="000080"/>
    </w:rPr>
  </w:style>
  <w:style w:type="paragraph" w:customStyle="1" w:styleId="532">
    <w:name w:val="样式 标题 5Alt+5dashdsddH5h5Block LabelPIM 5 + 小四"/>
    <w:basedOn w:val="6"/>
    <w:qFormat/>
    <w:uiPriority w:val="0"/>
    <w:pPr>
      <w:numPr>
        <w:ilvl w:val="0"/>
        <w:numId w:val="0"/>
      </w:numPr>
      <w:tabs>
        <w:tab w:val="left" w:pos="1368"/>
      </w:tabs>
      <w:adjustRightInd/>
      <w:spacing w:before="120" w:beforeLines="0" w:after="120" w:afterLines="0" w:line="360" w:lineRule="auto"/>
      <w:ind w:left="1368" w:hanging="1008"/>
      <w:jc w:val="left"/>
      <w:textAlignment w:val="auto"/>
    </w:pPr>
    <w:rPr>
      <w:rFonts w:ascii="宋体"/>
      <w:b w:val="0"/>
      <w:bCs/>
      <w:kern w:val="2"/>
      <w:sz w:val="24"/>
      <w:szCs w:val="24"/>
    </w:rPr>
  </w:style>
  <w:style w:type="paragraph" w:customStyle="1" w:styleId="533">
    <w:name w:val="_Style 2"/>
    <w:basedOn w:val="1"/>
    <w:qFormat/>
    <w:uiPriority w:val="0"/>
    <w:pPr>
      <w:spacing w:after="160" w:line="259" w:lineRule="auto"/>
      <w:ind w:firstLine="420" w:firstLineChars="200"/>
    </w:pPr>
    <w:rPr>
      <w:rFonts w:ascii="Calibri" w:hAnsi="Calibri" w:eastAsia="宋体" w:cs="Times New Roman"/>
      <w:sz w:val="18"/>
      <w:szCs w:val="18"/>
    </w:rPr>
  </w:style>
  <w:style w:type="paragraph" w:customStyle="1" w:styleId="534">
    <w:name w:val="标准标题一"/>
    <w:basedOn w:val="1"/>
    <w:qFormat/>
    <w:uiPriority w:val="0"/>
    <w:pPr>
      <w:tabs>
        <w:tab w:val="left" w:pos="425"/>
        <w:tab w:val="left" w:pos="720"/>
      </w:tabs>
      <w:spacing w:line="480" w:lineRule="atLeast"/>
      <w:ind w:left="720" w:hanging="360"/>
    </w:pPr>
    <w:rPr>
      <w:rFonts w:eastAsia="黑体"/>
      <w:b/>
      <w:sz w:val="32"/>
    </w:rPr>
  </w:style>
  <w:style w:type="paragraph" w:customStyle="1" w:styleId="535">
    <w:name w:val="样式6"/>
    <w:basedOn w:val="23"/>
    <w:qFormat/>
    <w:uiPriority w:val="0"/>
    <w:pPr>
      <w:spacing w:after="0" w:afterLines="0" w:line="360" w:lineRule="auto"/>
      <w:ind w:firstLine="200" w:firstLineChars="200"/>
    </w:pPr>
    <w:rPr>
      <w:rFonts w:ascii="Arial" w:hAnsi="Arial" w:cs="Arial"/>
      <w:sz w:val="24"/>
      <w:szCs w:val="24"/>
    </w:rPr>
  </w:style>
  <w:style w:type="paragraph" w:customStyle="1" w:styleId="536">
    <w:name w:val="xl4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paragraph" w:customStyle="1" w:styleId="537">
    <w:name w:val="样式4"/>
    <w:basedOn w:val="535"/>
    <w:qFormat/>
    <w:uiPriority w:val="0"/>
    <w:rPr>
      <w:rFonts w:ascii="Times New Roman" w:hAnsi="Times New Roman"/>
      <w:kern w:val="0"/>
    </w:rPr>
  </w:style>
  <w:style w:type="paragraph" w:customStyle="1" w:styleId="538">
    <w:name w:val="p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39">
    <w:name w:val="xl4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rPr>
  </w:style>
  <w:style w:type="paragraph" w:customStyle="1" w:styleId="540">
    <w:name w:val="封面表格"/>
    <w:qFormat/>
    <w:uiPriority w:val="0"/>
    <w:pPr>
      <w:spacing w:line="480" w:lineRule="auto"/>
      <w:jc w:val="center"/>
    </w:pPr>
    <w:rPr>
      <w:rFonts w:ascii="Times New Roman" w:hAnsi="Times New Roman" w:eastAsia="宋体" w:cs="Times New Roman"/>
      <w:sz w:val="28"/>
      <w:lang w:val="en-US" w:eastAsia="zh-CN" w:bidi="ar-SA"/>
    </w:rPr>
  </w:style>
  <w:style w:type="paragraph" w:customStyle="1" w:styleId="54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42">
    <w:name w:val="t4"/>
    <w:basedOn w:val="5"/>
    <w:next w:val="23"/>
    <w:qFormat/>
    <w:uiPriority w:val="0"/>
    <w:pPr>
      <w:numPr>
        <w:ilvl w:val="0"/>
        <w:numId w:val="0"/>
      </w:numPr>
      <w:tabs>
        <w:tab w:val="left" w:pos="2134"/>
      </w:tabs>
      <w:adjustRightInd/>
      <w:spacing w:before="156" w:beforeLines="50" w:after="0" w:afterLines="0" w:line="360" w:lineRule="auto"/>
      <w:ind w:left="851" w:hanging="851"/>
      <w:textAlignment w:val="auto"/>
    </w:pPr>
    <w:rPr>
      <w:rFonts w:ascii="Times New Roman" w:hAnsi="宋体" w:eastAsia="宋体"/>
      <w:bCs/>
      <w:kern w:val="2"/>
      <w:sz w:val="24"/>
      <w:szCs w:val="24"/>
    </w:rPr>
  </w:style>
  <w:style w:type="paragraph" w:customStyle="1" w:styleId="543">
    <w:name w:val="默认段落字体 Para Char Char Char Char Char Char Char Char Char Char"/>
    <w:basedOn w:val="1"/>
    <w:qFormat/>
    <w:uiPriority w:val="0"/>
    <w:rPr>
      <w:szCs w:val="24"/>
    </w:rPr>
  </w:style>
  <w:style w:type="paragraph" w:customStyle="1" w:styleId="54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32"/>
      <w:szCs w:val="32"/>
    </w:rPr>
  </w:style>
  <w:style w:type="paragraph" w:customStyle="1" w:styleId="545">
    <w:name w:val="Char Char Char Char Char Char1 Char Char Char Char1"/>
    <w:basedOn w:val="17"/>
    <w:qFormat/>
    <w:uiPriority w:val="0"/>
    <w:pPr>
      <w:shd w:val="clear" w:color="auto" w:fill="000080"/>
    </w:pPr>
    <w:rPr>
      <w:rFonts w:ascii="Times New Roman"/>
      <w:sz w:val="21"/>
      <w:szCs w:val="24"/>
      <w:shd w:val="clear" w:color="auto" w:fill="000080"/>
    </w:rPr>
  </w:style>
  <w:style w:type="paragraph" w:customStyle="1" w:styleId="546">
    <w:name w:val="标题3"/>
    <w:basedOn w:val="4"/>
    <w:qFormat/>
    <w:uiPriority w:val="0"/>
    <w:rPr>
      <w:rFonts w:ascii="宋体" w:hAnsi="宋体"/>
      <w:sz w:val="28"/>
      <w:szCs w:val="28"/>
    </w:rPr>
  </w:style>
  <w:style w:type="paragraph" w:customStyle="1" w:styleId="547">
    <w:name w:val="样式 标题 4 + 左侧:  0 厘米 首行缩进:  0 厘米 行距: 1.5 倍行距"/>
    <w:basedOn w:val="5"/>
    <w:qFormat/>
    <w:uiPriority w:val="0"/>
    <w:pPr>
      <w:numPr>
        <w:ilvl w:val="0"/>
        <w:numId w:val="0"/>
      </w:numPr>
      <w:tabs>
        <w:tab w:val="left" w:pos="720"/>
      </w:tabs>
      <w:adjustRightInd/>
      <w:spacing w:line="374" w:lineRule="auto"/>
      <w:ind w:left="720" w:hanging="720"/>
      <w:textAlignment w:val="auto"/>
      <w:outlineLvl w:val="2"/>
    </w:pPr>
    <w:rPr>
      <w:rFonts w:ascii="宋体" w:hAnsi="宋体" w:eastAsia="宋体" w:cs="宋体"/>
      <w:sz w:val="30"/>
    </w:rPr>
  </w:style>
  <w:style w:type="paragraph" w:customStyle="1" w:styleId="548">
    <w:name w:val="Char Char Char Char Char Char Char"/>
    <w:basedOn w:val="1"/>
    <w:qFormat/>
    <w:uiPriority w:val="0"/>
  </w:style>
  <w:style w:type="paragraph" w:customStyle="1" w:styleId="549">
    <w:name w:val="Char4"/>
    <w:next w:val="1"/>
    <w:qFormat/>
    <w:uiPriority w:val="0"/>
    <w:pPr>
      <w:keepNext/>
      <w:keepLines/>
      <w:tabs>
        <w:tab w:val="left" w:pos="3360"/>
      </w:tabs>
      <w:spacing w:before="240" w:after="240"/>
      <w:ind w:left="3360" w:hanging="420"/>
      <w:outlineLvl w:val="7"/>
    </w:pPr>
    <w:rPr>
      <w:rFonts w:ascii="Arial" w:hAnsi="Arial" w:eastAsia="黑体" w:cs="Arial"/>
      <w:snapToGrid w:val="0"/>
      <w:sz w:val="21"/>
      <w:szCs w:val="21"/>
      <w:lang w:val="en-US" w:eastAsia="zh-CN" w:bidi="ar-SA"/>
    </w:rPr>
  </w:style>
  <w:style w:type="paragraph" w:customStyle="1" w:styleId="550">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表头"/>
    <w:basedOn w:val="1"/>
    <w:qFormat/>
    <w:uiPriority w:val="0"/>
    <w:pPr>
      <w:keepNext/>
      <w:keepLines/>
      <w:spacing w:before="120" w:beforeLines="0" w:after="120" w:afterLines="0"/>
      <w:jc w:val="center"/>
    </w:pPr>
    <w:rPr>
      <w:rFonts w:eastAsia="黑体"/>
      <w:kern w:val="44"/>
      <w:sz w:val="24"/>
    </w:rPr>
  </w:style>
  <w:style w:type="paragraph" w:customStyle="1" w:styleId="55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color w:val="000000"/>
      <w:kern w:val="0"/>
      <w:sz w:val="20"/>
    </w:rPr>
  </w:style>
  <w:style w:type="paragraph" w:customStyle="1" w:styleId="553">
    <w:name w:val="封面"/>
    <w:basedOn w:val="1"/>
    <w:qFormat/>
    <w:uiPriority w:val="0"/>
    <w:pPr>
      <w:spacing w:line="360" w:lineRule="auto"/>
      <w:jc w:val="distribute"/>
    </w:pPr>
    <w:rPr>
      <w:kern w:val="28"/>
      <w:sz w:val="24"/>
    </w:rPr>
  </w:style>
  <w:style w:type="paragraph" w:customStyle="1" w:styleId="554">
    <w:name w:val="列表数字编号1"/>
    <w:basedOn w:val="503"/>
    <w:qFormat/>
    <w:uiPriority w:val="0"/>
    <w:pPr>
      <w:tabs>
        <w:tab w:val="left" w:pos="360"/>
        <w:tab w:val="left" w:pos="850"/>
      </w:tabs>
      <w:ind w:left="360" w:hanging="360"/>
    </w:pPr>
  </w:style>
  <w:style w:type="paragraph" w:customStyle="1" w:styleId="555">
    <w:name w:val="列表（符号一级）（绿盟科技）"/>
    <w:basedOn w:val="1"/>
    <w:qFormat/>
    <w:uiPriority w:val="0"/>
    <w:pPr>
      <w:widowControl/>
      <w:tabs>
        <w:tab w:val="left" w:pos="993"/>
      </w:tabs>
      <w:spacing w:line="300" w:lineRule="auto"/>
      <w:ind w:left="902" w:hanging="420"/>
      <w:jc w:val="left"/>
    </w:pPr>
    <w:rPr>
      <w:rFonts w:ascii="Arial" w:hAnsi="Arial" w:cs="方正小标宋简体"/>
      <w:kern w:val="0"/>
      <w:szCs w:val="21"/>
    </w:rPr>
  </w:style>
  <w:style w:type="paragraph" w:customStyle="1" w:styleId="556">
    <w:name w:val="09、“1.”表格内一级标题"/>
    <w:basedOn w:val="1"/>
    <w:qFormat/>
    <w:uiPriority w:val="0"/>
    <w:pPr>
      <w:numPr>
        <w:ilvl w:val="0"/>
        <w:numId w:val="3"/>
      </w:numPr>
      <w:tabs>
        <w:tab w:val="left" w:pos="0"/>
      </w:tabs>
      <w:wordWrap w:val="0"/>
      <w:topLinePunct/>
      <w:spacing w:line="360" w:lineRule="exact"/>
      <w:ind w:left="48" w:leftChars="20"/>
    </w:pPr>
    <w:rPr>
      <w:rFonts w:ascii="宋体" w:hAnsi="宋体" w:eastAsia="宋体"/>
      <w:snapToGrid w:val="0"/>
      <w:sz w:val="21"/>
    </w:rPr>
  </w:style>
  <w:style w:type="paragraph" w:customStyle="1" w:styleId="557">
    <w:name w:val="样式 标题 3第二层条第三层h3H31.1.1 标题 3l3CT3h4Heading 3 - old3rd..."/>
    <w:basedOn w:val="4"/>
    <w:qFormat/>
    <w:uiPriority w:val="0"/>
    <w:pPr>
      <w:numPr>
        <w:ilvl w:val="0"/>
        <w:numId w:val="0"/>
      </w:numPr>
      <w:tabs>
        <w:tab w:val="left" w:pos="720"/>
      </w:tabs>
      <w:spacing w:before="156" w:beforeLines="50" w:after="156" w:afterLines="50" w:line="240" w:lineRule="auto"/>
      <w:ind w:left="2222" w:hanging="420"/>
      <w:jc w:val="left"/>
    </w:pPr>
    <w:rPr>
      <w:sz w:val="28"/>
    </w:rPr>
  </w:style>
  <w:style w:type="paragraph" w:customStyle="1" w:styleId="558">
    <w:name w:val="1.1.1.1 标题"/>
    <w:basedOn w:val="559"/>
    <w:qFormat/>
    <w:uiPriority w:val="0"/>
    <w:pPr>
      <w:tabs>
        <w:tab w:val="left" w:pos="850"/>
      </w:tabs>
      <w:spacing w:before="0" w:beforeLines="0" w:after="0" w:afterLines="0" w:line="240" w:lineRule="atLeast"/>
      <w:ind w:left="57" w:hanging="57"/>
      <w:outlineLvl w:val="3"/>
    </w:pPr>
    <w:rPr>
      <w:rFonts w:eastAsia="宋体"/>
      <w:b w:val="0"/>
      <w:sz w:val="24"/>
    </w:rPr>
  </w:style>
  <w:style w:type="paragraph" w:customStyle="1" w:styleId="559">
    <w:name w:val="1 标题"/>
    <w:basedOn w:val="2"/>
    <w:qFormat/>
    <w:uiPriority w:val="0"/>
    <w:pPr>
      <w:tabs>
        <w:tab w:val="left" w:pos="850"/>
      </w:tabs>
      <w:spacing w:before="160" w:beforeLines="0" w:after="160" w:afterLines="0" w:line="240" w:lineRule="auto"/>
      <w:jc w:val="left"/>
    </w:pPr>
    <w:rPr>
      <w:rFonts w:eastAsia="黑体"/>
      <w:bCs w:val="0"/>
      <w:sz w:val="28"/>
      <w:szCs w:val="20"/>
    </w:rPr>
  </w:style>
  <w:style w:type="paragraph" w:customStyle="1" w:styleId="560">
    <w:name w:val="Table Contents"/>
    <w:basedOn w:val="1"/>
    <w:qFormat/>
    <w:uiPriority w:val="0"/>
    <w:pPr>
      <w:suppressLineNumbers/>
      <w:suppressAutoHyphens/>
      <w:jc w:val="left"/>
    </w:pPr>
    <w:rPr>
      <w:rFonts w:eastAsia="Arial Unicode MS" w:cs="Arial Unicode MS"/>
      <w:kern w:val="1"/>
      <w:sz w:val="24"/>
      <w:szCs w:val="24"/>
      <w:lang w:eastAsia="hi-IN" w:bidi="hi-IN"/>
    </w:rPr>
  </w:style>
  <w:style w:type="paragraph" w:customStyle="1" w:styleId="561">
    <w:name w:val="三级条标题"/>
    <w:basedOn w:val="562"/>
    <w:next w:val="5"/>
    <w:qFormat/>
    <w:uiPriority w:val="0"/>
    <w:pPr>
      <w:tabs>
        <w:tab w:val="left" w:pos="1440"/>
        <w:tab w:val="left" w:pos="3600"/>
      </w:tabs>
      <w:outlineLvl w:val="4"/>
    </w:pPr>
  </w:style>
  <w:style w:type="paragraph" w:customStyle="1" w:styleId="562">
    <w:name w:val="二级条标题"/>
    <w:basedOn w:val="205"/>
    <w:next w:val="5"/>
    <w:qFormat/>
    <w:uiPriority w:val="0"/>
    <w:pPr>
      <w:tabs>
        <w:tab w:val="left" w:pos="3600"/>
        <w:tab w:val="clear" w:pos="2880"/>
      </w:tabs>
      <w:ind w:left="3600"/>
      <w:outlineLvl w:val="3"/>
    </w:pPr>
  </w:style>
  <w:style w:type="paragraph" w:customStyle="1" w:styleId="563">
    <w:name w:val="型号"/>
    <w:basedOn w:val="1"/>
    <w:qFormat/>
    <w:uiPriority w:val="0"/>
    <w:pPr>
      <w:spacing w:before="156" w:beforeLines="50" w:line="360" w:lineRule="auto"/>
      <w:ind w:firstLine="482" w:firstLineChars="200"/>
    </w:pPr>
    <w:rPr>
      <w:rFonts w:ascii="Arial" w:hAnsi="Arial" w:cs="Arial"/>
      <w:b/>
      <w:bCs/>
      <w:sz w:val="24"/>
    </w:rPr>
  </w:style>
  <w:style w:type="paragraph" w:customStyle="1" w:styleId="564">
    <w:name w:val="四级条标题"/>
    <w:basedOn w:val="561"/>
    <w:next w:val="5"/>
    <w:qFormat/>
    <w:uiPriority w:val="0"/>
    <w:pPr>
      <w:tabs>
        <w:tab w:val="clear" w:pos="3600"/>
      </w:tabs>
      <w:outlineLvl w:val="5"/>
    </w:pPr>
  </w:style>
  <w:style w:type="paragraph" w:customStyle="1" w:styleId="565">
    <w:name w:val="xl4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566">
    <w:name w:val="正文字缩2字"/>
    <w:basedOn w:val="1"/>
    <w:qFormat/>
    <w:uiPriority w:val="0"/>
    <w:pPr>
      <w:adjustRightInd w:val="0"/>
      <w:spacing w:before="60" w:beforeLines="0" w:after="60" w:afterLines="0" w:line="360" w:lineRule="auto"/>
      <w:ind w:left="200" w:leftChars="200" w:firstLine="200" w:firstLineChars="200"/>
      <w:textAlignment w:val="baseline"/>
    </w:pPr>
    <w:rPr>
      <w:sz w:val="24"/>
      <w:szCs w:val="24"/>
    </w:rPr>
  </w:style>
  <w:style w:type="paragraph" w:customStyle="1" w:styleId="56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568">
    <w:name w:val=" Char"/>
    <w:basedOn w:val="1"/>
    <w:qFormat/>
    <w:uiPriority w:val="0"/>
    <w:pPr>
      <w:adjustRightInd w:val="0"/>
      <w:spacing w:line="360" w:lineRule="auto"/>
    </w:pPr>
    <w:rPr>
      <w:kern w:val="0"/>
      <w:sz w:val="24"/>
    </w:rPr>
  </w:style>
  <w:style w:type="paragraph" w:customStyle="1" w:styleId="569">
    <w:name w:val="正文3级"/>
    <w:qFormat/>
    <w:uiPriority w:val="0"/>
    <w:pPr>
      <w:widowControl w:val="0"/>
      <w:tabs>
        <w:tab w:val="left" w:pos="0"/>
        <w:tab w:val="left" w:pos="4320"/>
      </w:tabs>
      <w:spacing w:after="60" w:line="400" w:lineRule="exact"/>
      <w:ind w:left="4320" w:hanging="360"/>
      <w:jc w:val="both"/>
    </w:pPr>
    <w:rPr>
      <w:rFonts w:ascii="Times New Roman" w:hAnsi="Times New Roman" w:eastAsia="宋体" w:cs="Times New Roman"/>
      <w:bCs/>
      <w:kern w:val="44"/>
      <w:sz w:val="24"/>
      <w:szCs w:val="44"/>
      <w:lang w:val="en-US" w:eastAsia="zh-CN" w:bidi="ar-SA"/>
    </w:rPr>
  </w:style>
  <w:style w:type="paragraph" w:customStyle="1" w:styleId="570">
    <w:name w:val="xl46"/>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rPr>
  </w:style>
  <w:style w:type="paragraph" w:customStyle="1" w:styleId="571">
    <w:name w:val="样式 宋体"/>
    <w:basedOn w:val="1"/>
    <w:next w:val="34"/>
    <w:qFormat/>
    <w:uiPriority w:val="0"/>
    <w:pPr>
      <w:spacing w:line="500" w:lineRule="exact"/>
      <w:ind w:firstLine="200" w:firstLineChars="200"/>
    </w:pPr>
    <w:rPr>
      <w:rFonts w:ascii="宋体" w:hAnsi="宋体"/>
      <w:bCs/>
      <w:spacing w:val="24"/>
      <w:szCs w:val="28"/>
    </w:rPr>
  </w:style>
  <w:style w:type="paragraph" w:customStyle="1" w:styleId="572">
    <w:name w:val="表格内容"/>
    <w:basedOn w:val="1"/>
    <w:qFormat/>
    <w:uiPriority w:val="0"/>
    <w:pPr>
      <w:ind w:right="193"/>
    </w:pPr>
    <w:rPr>
      <w:rFonts w:ascii="幼圆" w:eastAsia="幼圆"/>
      <w:color w:val="008080"/>
    </w:rPr>
  </w:style>
  <w:style w:type="paragraph" w:customStyle="1" w:styleId="573">
    <w:name w:val="font11"/>
    <w:basedOn w:val="1"/>
    <w:qFormat/>
    <w:uiPriority w:val="0"/>
    <w:pPr>
      <w:widowControl/>
      <w:spacing w:before="100" w:beforeLines="0" w:beforeAutospacing="1" w:after="100" w:afterLines="0" w:afterAutospacing="1"/>
      <w:jc w:val="left"/>
    </w:pPr>
    <w:rPr>
      <w:color w:val="000000"/>
      <w:kern w:val="0"/>
      <w:sz w:val="18"/>
      <w:szCs w:val="18"/>
    </w:rPr>
  </w:style>
  <w:style w:type="paragraph" w:customStyle="1" w:styleId="574">
    <w:name w:val="Table Text: USseed"/>
    <w:basedOn w:val="116"/>
    <w:qFormat/>
    <w:uiPriority w:val="0"/>
    <w:pPr>
      <w:keepLines/>
      <w:spacing w:before="0" w:beforeLines="0" w:after="0" w:afterLines="0"/>
    </w:pPr>
    <w:rPr>
      <w:rFonts w:ascii="Book Antiqua" w:hAnsi="Book Antiqua"/>
      <w:color w:val="FF0000"/>
      <w:sz w:val="16"/>
      <w:szCs w:val="20"/>
      <w:lang w:eastAsia="en-US"/>
    </w:rPr>
  </w:style>
  <w:style w:type="paragraph" w:customStyle="1" w:styleId="575">
    <w:name w:val="列项"/>
    <w:basedOn w:val="1"/>
    <w:qFormat/>
    <w:uiPriority w:val="0"/>
    <w:pPr>
      <w:tabs>
        <w:tab w:val="left" w:pos="709"/>
      </w:tabs>
      <w:adjustRightInd w:val="0"/>
      <w:ind w:left="720" w:hanging="360"/>
    </w:pPr>
  </w:style>
  <w:style w:type="paragraph" w:customStyle="1" w:styleId="576">
    <w:name w:val="Char Char Char Char Char Char1 Char"/>
    <w:basedOn w:val="17"/>
    <w:qFormat/>
    <w:uiPriority w:val="0"/>
    <w:pPr>
      <w:shd w:val="clear" w:color="auto" w:fill="000080"/>
    </w:pPr>
    <w:rPr>
      <w:rFonts w:ascii="Tahoma" w:hAnsi="Tahoma"/>
      <w:sz w:val="24"/>
      <w:szCs w:val="24"/>
    </w:rPr>
  </w:style>
  <w:style w:type="paragraph" w:customStyle="1" w:styleId="577">
    <w:name w:val="公文正文"/>
    <w:basedOn w:val="1"/>
    <w:qFormat/>
    <w:uiPriority w:val="0"/>
    <w:pPr>
      <w:spacing w:line="520" w:lineRule="exact"/>
      <w:ind w:firstLine="200" w:firstLineChars="200"/>
    </w:pPr>
    <w:rPr>
      <w:rFonts w:ascii="宋体" w:hAnsi="宋体" w:cs="Times New Roman"/>
      <w:sz w:val="32"/>
      <w:szCs w:val="30"/>
    </w:rPr>
  </w:style>
  <w:style w:type="paragraph" w:customStyle="1" w:styleId="578">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579">
    <w:name w:val="正文缩减"/>
    <w:basedOn w:val="1"/>
    <w:qFormat/>
    <w:uiPriority w:val="0"/>
    <w:pPr>
      <w:spacing w:line="300" w:lineRule="auto"/>
      <w:ind w:firstLine="420" w:firstLineChars="200"/>
    </w:pPr>
    <w:rPr>
      <w:szCs w:val="24"/>
    </w:rPr>
  </w:style>
  <w:style w:type="paragraph" w:customStyle="1" w:styleId="580">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kern w:val="0"/>
      <w:szCs w:val="21"/>
    </w:rPr>
  </w:style>
  <w:style w:type="paragraph" w:customStyle="1" w:styleId="581">
    <w:name w:val="标题6"/>
    <w:basedOn w:val="7"/>
    <w:qFormat/>
    <w:uiPriority w:val="0"/>
    <w:pPr>
      <w:tabs>
        <w:tab w:val="right" w:leader="dot" w:pos="9061"/>
      </w:tabs>
      <w:adjustRightInd/>
      <w:spacing w:line="319" w:lineRule="auto"/>
      <w:jc w:val="center"/>
      <w:textAlignment w:val="auto"/>
    </w:pPr>
    <w:rPr>
      <w:rFonts w:ascii="宋体" w:eastAsia="宋体"/>
      <w:kern w:val="2"/>
      <w:sz w:val="21"/>
    </w:rPr>
  </w:style>
  <w:style w:type="paragraph" w:customStyle="1" w:styleId="582">
    <w:name w:val="正1"/>
    <w:basedOn w:val="1"/>
    <w:qFormat/>
    <w:uiPriority w:val="0"/>
    <w:pPr>
      <w:spacing w:line="360" w:lineRule="auto"/>
      <w:ind w:firstLine="104" w:firstLineChars="43"/>
    </w:pPr>
    <w:rPr>
      <w:rFonts w:ascii="宋体" w:hAnsi="宋体"/>
      <w:sz w:val="24"/>
      <w:szCs w:val="24"/>
    </w:rPr>
  </w:style>
  <w:style w:type="paragraph" w:customStyle="1" w:styleId="583">
    <w:name w:val="说明"/>
    <w:qFormat/>
    <w:uiPriority w:val="0"/>
    <w:pPr>
      <w:tabs>
        <w:tab w:val="left" w:pos="1150"/>
      </w:tabs>
    </w:pPr>
    <w:rPr>
      <w:rFonts w:ascii="Helvetica" w:hAnsi="Helvetica" w:eastAsia="Arial Unicode MS" w:cs="Arial Unicode MS"/>
      <w:b/>
      <w:bCs/>
      <w:caps/>
      <w:color w:val="000000"/>
      <w:lang w:val="zh-TW" w:eastAsia="zh-TW" w:bidi="ar-SA"/>
    </w:rPr>
  </w:style>
  <w:style w:type="paragraph" w:customStyle="1" w:styleId="584">
    <w:name w:val="样式 行距: 固定值 25 磅"/>
    <w:basedOn w:val="1"/>
    <w:qFormat/>
    <w:uiPriority w:val="0"/>
    <w:pPr>
      <w:snapToGrid w:val="0"/>
      <w:spacing w:line="360" w:lineRule="auto"/>
      <w:ind w:firstLine="480" w:firstLineChars="200"/>
    </w:pPr>
    <w:rPr>
      <w:rFonts w:cs="宋体"/>
      <w:color w:val="000000"/>
      <w:sz w:val="24"/>
      <w:szCs w:val="24"/>
    </w:rPr>
  </w:style>
  <w:style w:type="paragraph" w:customStyle="1" w:styleId="585">
    <w:name w:val="样式 正1 + 首行缩进:  2 字符"/>
    <w:basedOn w:val="582"/>
    <w:qFormat/>
    <w:uiPriority w:val="0"/>
    <w:rPr>
      <w:rFonts w:ascii="仿宋_GB2312" w:hAnsi="Times New Roman" w:eastAsia="仿宋_GB2312"/>
    </w:rPr>
  </w:style>
  <w:style w:type="paragraph" w:customStyle="1" w:styleId="586">
    <w:name w:val="样式 样式 标题 1章节第一层h1Head1Heading appsBMS Heading 1H1PIM 1Head... + ..."/>
    <w:basedOn w:val="1"/>
    <w:qFormat/>
    <w:uiPriority w:val="0"/>
    <w:pPr>
      <w:keepNext/>
      <w:keepLines/>
      <w:pageBreakBefore/>
      <w:pBdr>
        <w:bottom w:val="single" w:color="1A5290" w:sz="36" w:space="1"/>
      </w:pBdr>
      <w:tabs>
        <w:tab w:val="left" w:pos="980"/>
      </w:tabs>
      <w:spacing w:before="120" w:beforeLines="0" w:after="120" w:afterLines="0"/>
      <w:ind w:left="932" w:hanging="420"/>
      <w:jc w:val="left"/>
      <w:outlineLvl w:val="0"/>
    </w:pPr>
    <w:rPr>
      <w:b/>
      <w:bCs/>
      <w:kern w:val="44"/>
      <w:sz w:val="30"/>
      <w:szCs w:val="44"/>
    </w:rPr>
  </w:style>
  <w:style w:type="paragraph" w:customStyle="1" w:styleId="587">
    <w:name w:val="样式 标题 4H4Ref Heading 1rh1Heading sqlsect 1.2.3.4第三层条blbb..."/>
    <w:basedOn w:val="5"/>
    <w:qFormat/>
    <w:uiPriority w:val="0"/>
    <w:pPr>
      <w:numPr>
        <w:ilvl w:val="0"/>
        <w:numId w:val="0"/>
      </w:numPr>
      <w:tabs>
        <w:tab w:val="left" w:pos="1104"/>
      </w:tabs>
      <w:adjustRightInd/>
      <w:spacing w:before="100" w:beforeLines="0" w:after="100" w:afterLines="0" w:line="240" w:lineRule="auto"/>
      <w:ind w:left="862" w:hanging="862"/>
      <w:textAlignment w:val="auto"/>
    </w:pPr>
    <w:rPr>
      <w:rFonts w:ascii="Times New Roman" w:hAnsi="Times New Roman" w:cs="宋体"/>
      <w:bCs/>
      <w:kern w:val="2"/>
      <w:sz w:val="24"/>
    </w:rPr>
  </w:style>
  <w:style w:type="paragraph" w:customStyle="1" w:styleId="588">
    <w:name w:val="table head"/>
    <w:basedOn w:val="1"/>
    <w:qFormat/>
    <w:uiPriority w:val="0"/>
    <w:pPr>
      <w:keepNext/>
      <w:keepLines/>
      <w:adjustRightInd w:val="0"/>
      <w:spacing w:line="312" w:lineRule="atLeast"/>
      <w:jc w:val="center"/>
      <w:textAlignment w:val="baseline"/>
    </w:pPr>
    <w:rPr>
      <w:b/>
      <w:kern w:val="0"/>
    </w:rPr>
  </w:style>
  <w:style w:type="paragraph" w:customStyle="1" w:styleId="589">
    <w:name w:val="样式 正文缩进 + 首行缩进:  2 字符"/>
    <w:basedOn w:val="14"/>
    <w:qFormat/>
    <w:uiPriority w:val="0"/>
    <w:pPr>
      <w:tabs>
        <w:tab w:val="left" w:pos="0"/>
      </w:tabs>
      <w:spacing w:before="120" w:beforeLines="0" w:after="120" w:afterLines="0" w:line="320" w:lineRule="atLeast"/>
      <w:ind w:firstLine="200" w:firstLineChars="200"/>
      <w:jc w:val="left"/>
    </w:pPr>
    <w:rPr>
      <w:rFonts w:cs="宋体"/>
      <w:sz w:val="24"/>
      <w:szCs w:val="24"/>
    </w:rPr>
  </w:style>
  <w:style w:type="paragraph" w:customStyle="1" w:styleId="590">
    <w:name w:val="样式 标题 5Alt+5dashdsddH5h5Block LabelPIM 5Roman listHead..."/>
    <w:basedOn w:val="6"/>
    <w:qFormat/>
    <w:uiPriority w:val="0"/>
    <w:pPr>
      <w:numPr>
        <w:ilvl w:val="0"/>
        <w:numId w:val="0"/>
      </w:numPr>
      <w:tabs>
        <w:tab w:val="left" w:pos="1110"/>
      </w:tabs>
      <w:adjustRightInd/>
      <w:spacing w:before="240" w:beforeLines="0" w:after="120" w:afterLines="0" w:line="240" w:lineRule="auto"/>
      <w:ind w:left="1110" w:hanging="600"/>
      <w:jc w:val="left"/>
      <w:textAlignment w:val="auto"/>
    </w:pPr>
    <w:rPr>
      <w:bCs/>
      <w:kern w:val="2"/>
      <w:sz w:val="21"/>
      <w:szCs w:val="24"/>
    </w:rPr>
  </w:style>
  <w:style w:type="paragraph" w:customStyle="1" w:styleId="591">
    <w:name w:val="!正文"/>
    <w:basedOn w:val="1"/>
    <w:qFormat/>
    <w:uiPriority w:val="0"/>
    <w:pPr>
      <w:spacing w:line="360" w:lineRule="auto"/>
      <w:ind w:firstLine="480" w:firstLineChars="200"/>
    </w:pPr>
    <w:rPr>
      <w:rFonts w:ascii="Calibri" w:hAnsi="Calibri"/>
      <w:sz w:val="24"/>
      <w:szCs w:val="21"/>
    </w:rPr>
  </w:style>
  <w:style w:type="paragraph" w:customStyle="1" w:styleId="592">
    <w:name w:val="WW-正文缩进"/>
    <w:basedOn w:val="1"/>
    <w:qFormat/>
    <w:uiPriority w:val="0"/>
    <w:pPr>
      <w:suppressAutoHyphens/>
      <w:ind w:firstLine="420"/>
    </w:pPr>
    <w:rPr>
      <w:rFonts w:ascii="Times New Roman" w:hAnsi="Times New Roman" w:eastAsia="宋体" w:cs="Times New Roman"/>
      <w:kern w:val="1"/>
      <w:sz w:val="21"/>
      <w:szCs w:val="24"/>
      <w:lang w:eastAsia="ar-SA"/>
    </w:rPr>
  </w:style>
  <w:style w:type="paragraph" w:customStyle="1" w:styleId="593">
    <w:name w:val="正文缩进加点"/>
    <w:basedOn w:val="24"/>
    <w:qFormat/>
    <w:uiPriority w:val="0"/>
    <w:pPr>
      <w:tabs>
        <w:tab w:val="left" w:pos="360"/>
        <w:tab w:val="left" w:pos="720"/>
      </w:tabs>
      <w:overflowPunct w:val="0"/>
      <w:adjustRightInd w:val="0"/>
      <w:snapToGrid w:val="0"/>
      <w:spacing w:line="360" w:lineRule="auto"/>
      <w:ind w:left="360" w:leftChars="200" w:hanging="360"/>
    </w:pPr>
    <w:rPr>
      <w:rFonts w:ascii="宋体"/>
      <w:kern w:val="0"/>
      <w:sz w:val="24"/>
      <w:szCs w:val="24"/>
    </w:rPr>
  </w:style>
  <w:style w:type="paragraph" w:customStyle="1" w:styleId="594">
    <w:name w:val="headlines"/>
    <w:basedOn w:val="1"/>
    <w:qFormat/>
    <w:uiPriority w:val="0"/>
    <w:pPr>
      <w:widowControl/>
      <w:spacing w:before="100" w:beforeLines="0" w:beforeAutospacing="1" w:after="100" w:afterLines="0" w:afterAutospacing="1"/>
      <w:jc w:val="center"/>
    </w:pPr>
    <w:rPr>
      <w:rFonts w:ascii="_x001A_" w:hAnsi="_x001A_"/>
      <w:color w:val="FF0000"/>
      <w:kern w:val="0"/>
      <w:sz w:val="36"/>
      <w:szCs w:val="36"/>
    </w:rPr>
  </w:style>
  <w:style w:type="paragraph" w:customStyle="1" w:styleId="595">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596">
    <w:name w:val="标准标题二"/>
    <w:basedOn w:val="534"/>
    <w:qFormat/>
    <w:uiPriority w:val="0"/>
    <w:pPr>
      <w:tabs>
        <w:tab w:val="left" w:pos="840"/>
        <w:tab w:val="left" w:pos="1440"/>
        <w:tab w:val="clear" w:pos="425"/>
        <w:tab w:val="clear" w:pos="720"/>
      </w:tabs>
      <w:ind w:left="840" w:hanging="420"/>
    </w:pPr>
    <w:rPr>
      <w:sz w:val="30"/>
    </w:rPr>
  </w:style>
  <w:style w:type="paragraph" w:customStyle="1" w:styleId="597">
    <w:name w:val="样式 样式 (符号) 宋体 小四 首行缩进:  0.85 厘米 段后: 6 磅 行距: 固定值 20 磅 + 首行缩进:  2 ..."/>
    <w:basedOn w:val="1"/>
    <w:qFormat/>
    <w:uiPriority w:val="0"/>
    <w:pPr>
      <w:spacing w:line="360" w:lineRule="auto"/>
      <w:ind w:firstLine="480" w:firstLineChars="200"/>
    </w:pPr>
    <w:rPr>
      <w:rFonts w:ascii="仿宋_GB2312" w:hAnsi="宋体" w:eastAsia="仿宋_GB2312" w:cs="仿宋_GB2312"/>
      <w:color w:val="000000"/>
      <w:kern w:val="0"/>
      <w:sz w:val="24"/>
      <w:szCs w:val="24"/>
    </w:rPr>
  </w:style>
  <w:style w:type="paragraph" w:customStyle="1" w:styleId="598">
    <w:name w:val="白皮书正文"/>
    <w:basedOn w:val="58"/>
    <w:qFormat/>
    <w:uiPriority w:val="0"/>
    <w:pPr>
      <w:spacing w:line="360" w:lineRule="auto"/>
      <w:ind w:left="400" w:leftChars="400" w:firstLine="200"/>
    </w:pPr>
    <w:rPr>
      <w:sz w:val="21"/>
      <w:szCs w:val="21"/>
    </w:rPr>
  </w:style>
  <w:style w:type="paragraph" w:customStyle="1" w:styleId="599">
    <w:name w:val="编号"/>
    <w:basedOn w:val="1"/>
    <w:qFormat/>
    <w:uiPriority w:val="0"/>
    <w:pPr>
      <w:tabs>
        <w:tab w:val="left" w:pos="567"/>
      </w:tabs>
      <w:spacing w:line="360" w:lineRule="auto"/>
      <w:ind w:firstLine="567"/>
    </w:pPr>
    <w:rPr>
      <w:b/>
      <w:sz w:val="24"/>
      <w:szCs w:val="24"/>
    </w:rPr>
  </w:style>
  <w:style w:type="paragraph" w:customStyle="1" w:styleId="600">
    <w:name w:val=" Char Char1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601">
    <w:name w:val="样式 标题 2H2Heading 2 HiddenHeading 2 CCBSh22nd levelHeader 2..."/>
    <w:basedOn w:val="3"/>
    <w:qFormat/>
    <w:uiPriority w:val="0"/>
    <w:pPr>
      <w:widowControl/>
      <w:numPr>
        <w:ilvl w:val="0"/>
        <w:numId w:val="0"/>
      </w:numPr>
      <w:tabs>
        <w:tab w:val="left" w:pos="425"/>
      </w:tabs>
      <w:adjustRightInd w:val="0"/>
      <w:spacing w:before="120" w:beforeLines="0" w:after="100" w:afterLines="0" w:afterAutospacing="1" w:line="360" w:lineRule="auto"/>
      <w:jc w:val="left"/>
    </w:pPr>
    <w:rPr>
      <w:rFonts w:ascii="Times New Roman" w:hAnsi="Times New Roman" w:eastAsia="宋体" w:cs="宋体"/>
      <w:kern w:val="0"/>
      <w:sz w:val="36"/>
      <w:szCs w:val="36"/>
    </w:rPr>
  </w:style>
  <w:style w:type="paragraph" w:customStyle="1" w:styleId="602">
    <w:name w:val="样式 标题 3h3heading 3h31heading 31h32heading 32h311heading ..."/>
    <w:basedOn w:val="1"/>
    <w:qFormat/>
    <w:uiPriority w:val="0"/>
    <w:pPr>
      <w:spacing w:line="360" w:lineRule="auto"/>
    </w:pPr>
    <w:rPr>
      <w:sz w:val="24"/>
    </w:rPr>
  </w:style>
  <w:style w:type="paragraph" w:customStyle="1" w:styleId="603">
    <w:name w:val="样式 标题 2第一层条第二层论文标题 1ICSS章标记sect 1.2HD2H2h2Level 2 Topic..."/>
    <w:basedOn w:val="3"/>
    <w:qFormat/>
    <w:uiPriority w:val="0"/>
    <w:pPr>
      <w:numPr>
        <w:ilvl w:val="0"/>
        <w:numId w:val="0"/>
      </w:numPr>
      <w:tabs>
        <w:tab w:val="left" w:pos="576"/>
      </w:tabs>
      <w:spacing w:before="156" w:beforeLines="50" w:after="156" w:afterLines="50" w:line="240" w:lineRule="auto"/>
      <w:jc w:val="left"/>
    </w:pPr>
    <w:rPr>
      <w:rFonts w:cs="宋体"/>
      <w:bCs w:val="0"/>
      <w:szCs w:val="20"/>
    </w:rPr>
  </w:style>
  <w:style w:type="paragraph" w:customStyle="1" w:styleId="604">
    <w:name w:val="正文 + 小四"/>
    <w:basedOn w:val="1"/>
    <w:qFormat/>
    <w:uiPriority w:val="0"/>
    <w:pPr>
      <w:spacing w:line="600" w:lineRule="auto"/>
      <w:ind w:left="-2" w:leftChars="-1" w:firstLine="362"/>
      <w:outlineLvl w:val="0"/>
    </w:pPr>
    <w:rPr>
      <w:b/>
      <w:bCs/>
      <w:sz w:val="24"/>
      <w:szCs w:val="24"/>
    </w:rPr>
  </w:style>
  <w:style w:type="paragraph" w:customStyle="1" w:styleId="605">
    <w:name w:val="样式 标题 4 + 加粗"/>
    <w:basedOn w:val="5"/>
    <w:qFormat/>
    <w:uiPriority w:val="0"/>
    <w:pPr>
      <w:numPr>
        <w:ilvl w:val="0"/>
        <w:numId w:val="0"/>
      </w:numPr>
      <w:tabs>
        <w:tab w:val="left" w:pos="1134"/>
      </w:tabs>
      <w:adjustRightInd/>
      <w:spacing w:line="374" w:lineRule="auto"/>
      <w:ind w:left="864" w:hanging="864"/>
      <w:textAlignment w:val="auto"/>
    </w:pPr>
    <w:rPr>
      <w:rFonts w:ascii="宋体" w:hAnsi="宋体" w:eastAsia="宋体"/>
      <w:b w:val="0"/>
      <w:sz w:val="30"/>
      <w:szCs w:val="28"/>
    </w:rPr>
  </w:style>
  <w:style w:type="paragraph" w:customStyle="1" w:styleId="606">
    <w:name w:val="0"/>
    <w:basedOn w:val="1"/>
    <w:qFormat/>
    <w:uiPriority w:val="0"/>
    <w:pPr>
      <w:widowControl/>
      <w:snapToGrid w:val="0"/>
      <w:spacing w:line="365" w:lineRule="atLeast"/>
      <w:ind w:left="1"/>
      <w:textAlignment w:val="bottom"/>
    </w:pPr>
    <w:rPr>
      <w:kern w:val="0"/>
      <w:sz w:val="20"/>
    </w:rPr>
  </w:style>
  <w:style w:type="paragraph" w:customStyle="1" w:styleId="607">
    <w:name w:val="菲页2"/>
    <w:basedOn w:val="4"/>
    <w:qFormat/>
    <w:uiPriority w:val="0"/>
    <w:pPr>
      <w:widowControl/>
      <w:tabs>
        <w:tab w:val="left" w:pos="1000"/>
      </w:tabs>
      <w:spacing w:before="120" w:beforeLines="0" w:after="120" w:afterLines="0" w:line="360" w:lineRule="auto"/>
      <w:ind w:left="1000" w:hanging="1000"/>
      <w:jc w:val="center"/>
    </w:pPr>
    <w:rPr>
      <w:rFonts w:ascii="黑体" w:hAnsi="宋体" w:eastAsia="黑体"/>
      <w:b w:val="0"/>
      <w:bCs w:val="0"/>
      <w:kern w:val="0"/>
      <w:sz w:val="44"/>
      <w:szCs w:val="20"/>
    </w:rPr>
  </w:style>
  <w:style w:type="paragraph" w:customStyle="1" w:styleId="608">
    <w:name w:val="Char Char Char Char Char Char Char Char Char Char Char Char Char Char Char Char Char Char Char Char Char Char Char1 Char"/>
    <w:basedOn w:val="1"/>
    <w:qFormat/>
    <w:uiPriority w:val="0"/>
    <w:pPr>
      <w:widowControl/>
      <w:spacing w:line="360" w:lineRule="auto"/>
      <w:ind w:left="420"/>
      <w:textAlignment w:val="baseline"/>
    </w:pPr>
    <w:rPr>
      <w:rFonts w:ascii="Arial" w:hAnsi="Arial" w:cs="Arial"/>
      <w:szCs w:val="24"/>
    </w:rPr>
  </w:style>
  <w:style w:type="paragraph" w:customStyle="1" w:styleId="609">
    <w:name w:val="Body1!"/>
    <w:basedOn w:val="1"/>
    <w:qFormat/>
    <w:uiPriority w:val="0"/>
    <w:pPr>
      <w:widowControl/>
      <w:tabs>
        <w:tab w:val="left" w:pos="1247"/>
      </w:tabs>
      <w:spacing w:before="120" w:beforeLines="0" w:line="288" w:lineRule="auto"/>
      <w:ind w:left="1247" w:firstLine="200" w:firstLineChars="200"/>
    </w:pPr>
    <w:rPr>
      <w:rFonts w:ascii="Arial" w:hAnsi="Arial"/>
      <w:kern w:val="0"/>
      <w:szCs w:val="21"/>
    </w:rPr>
  </w:style>
  <w:style w:type="paragraph" w:customStyle="1" w:styleId="610">
    <w:name w:val="版本控制标题"/>
    <w:basedOn w:val="1"/>
    <w:qFormat/>
    <w:uiPriority w:val="0"/>
    <w:pPr>
      <w:spacing w:before="156" w:beforeLines="0" w:after="156" w:afterLines="0"/>
    </w:pPr>
    <w:rPr>
      <w:rFonts w:cs="宋体"/>
      <w:b/>
      <w:bCs/>
      <w:sz w:val="24"/>
    </w:rPr>
  </w:style>
  <w:style w:type="paragraph" w:customStyle="1" w:styleId="611">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center"/>
    </w:pPr>
    <w:rPr>
      <w:kern w:val="0"/>
      <w:szCs w:val="21"/>
    </w:rPr>
  </w:style>
  <w:style w:type="paragraph" w:customStyle="1" w:styleId="612">
    <w:name w:val="默认段落字体 Para Char Char Char Char Char Char Char Char Char1 Char Char Char Char"/>
    <w:basedOn w:val="1"/>
    <w:qFormat/>
    <w:uiPriority w:val="0"/>
    <w:rPr>
      <w:rFonts w:ascii="Tahoma" w:hAnsi="Tahoma"/>
      <w:sz w:val="24"/>
    </w:rPr>
  </w:style>
  <w:style w:type="paragraph" w:customStyle="1" w:styleId="613">
    <w:name w:val="修订1"/>
    <w:qFormat/>
    <w:uiPriority w:val="0"/>
    <w:rPr>
      <w:rFonts w:ascii="Times New Roman" w:hAnsi="Times New Roman" w:eastAsia="宋体" w:cs="Times New Roman"/>
      <w:kern w:val="2"/>
      <w:sz w:val="24"/>
      <w:szCs w:val="24"/>
      <w:lang w:val="en-US" w:eastAsia="zh-CN" w:bidi="ar-SA"/>
    </w:rPr>
  </w:style>
  <w:style w:type="paragraph" w:customStyle="1" w:styleId="614">
    <w:name w:val="1.1.1 标题"/>
    <w:basedOn w:val="2"/>
    <w:qFormat/>
    <w:uiPriority w:val="0"/>
    <w:pPr>
      <w:tabs>
        <w:tab w:val="left" w:pos="850"/>
      </w:tabs>
      <w:spacing w:before="0" w:beforeLines="0" w:after="0" w:afterLines="0" w:line="240" w:lineRule="auto"/>
      <w:ind w:left="57" w:hanging="57"/>
      <w:jc w:val="left"/>
      <w:outlineLvl w:val="2"/>
    </w:pPr>
    <w:rPr>
      <w:rFonts w:eastAsia="黑体"/>
      <w:b w:val="0"/>
      <w:bCs w:val="0"/>
      <w:sz w:val="24"/>
      <w:szCs w:val="20"/>
    </w:rPr>
  </w:style>
  <w:style w:type="paragraph" w:customStyle="1" w:styleId="615">
    <w:name w:val="接續5"/>
    <w:basedOn w:val="5"/>
    <w:qFormat/>
    <w:uiPriority w:val="0"/>
    <w:pPr>
      <w:keepNext w:val="0"/>
      <w:keepLines w:val="0"/>
      <w:autoSpaceDE w:val="0"/>
      <w:autoSpaceDN w:val="0"/>
      <w:adjustRightInd/>
      <w:spacing w:before="100" w:beforeLines="0" w:after="40" w:afterLines="0" w:line="360" w:lineRule="exact"/>
      <w:ind w:left="737" w:leftChars="737"/>
      <w:outlineLvl w:val="9"/>
    </w:pPr>
    <w:rPr>
      <w:rFonts w:ascii="宋体" w:hAnsi="宋体" w:eastAsia="宋体"/>
      <w:b w:val="0"/>
      <w:color w:val="000000"/>
      <w:sz w:val="24"/>
    </w:rPr>
  </w:style>
  <w:style w:type="paragraph" w:customStyle="1" w:styleId="6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rPr>
  </w:style>
  <w:style w:type="paragraph" w:customStyle="1" w:styleId="617">
    <w:name w:val="标准标题三"/>
    <w:basedOn w:val="596"/>
    <w:qFormat/>
    <w:uiPriority w:val="0"/>
    <w:pPr>
      <w:tabs>
        <w:tab w:val="left" w:pos="1260"/>
        <w:tab w:val="clear" w:pos="840"/>
        <w:tab w:val="clear" w:pos="1440"/>
      </w:tabs>
      <w:ind w:left="1260"/>
    </w:pPr>
    <w:rPr>
      <w:sz w:val="28"/>
    </w:rPr>
  </w:style>
  <w:style w:type="paragraph" w:customStyle="1" w:styleId="618">
    <w:name w:val="样式 标题 2 + 左侧:  1 字符 右侧:  1 字符"/>
    <w:basedOn w:val="3"/>
    <w:qFormat/>
    <w:uiPriority w:val="0"/>
    <w:pPr>
      <w:numPr>
        <w:ilvl w:val="0"/>
        <w:numId w:val="0"/>
      </w:numPr>
      <w:tabs>
        <w:tab w:val="left" w:pos="425"/>
      </w:tabs>
      <w:spacing w:line="415" w:lineRule="auto"/>
      <w:ind w:left="210" w:leftChars="100" w:right="210" w:rightChars="100"/>
    </w:pPr>
    <w:rPr>
      <w:rFonts w:cs="宋体"/>
      <w:szCs w:val="20"/>
    </w:rPr>
  </w:style>
  <w:style w:type="paragraph" w:customStyle="1" w:styleId="619">
    <w:name w:val="Numbered list 2.4"/>
    <w:basedOn w:val="5"/>
    <w:next w:val="1"/>
    <w:qFormat/>
    <w:uiPriority w:val="0"/>
    <w:pPr>
      <w:widowControl/>
      <w:numPr>
        <w:ilvl w:val="0"/>
        <w:numId w:val="0"/>
      </w:numPr>
      <w:tabs>
        <w:tab w:val="left" w:pos="1080"/>
        <w:tab w:val="left" w:pos="1800"/>
        <w:tab w:val="left" w:pos="2160"/>
      </w:tabs>
      <w:adjustRightInd/>
      <w:spacing w:before="240" w:beforeLines="0" w:after="60" w:afterLines="0" w:line="240" w:lineRule="auto"/>
      <w:ind w:left="1440" w:hanging="420"/>
      <w:jc w:val="left"/>
      <w:textAlignment w:val="auto"/>
    </w:pPr>
    <w:rPr>
      <w:rFonts w:eastAsia="宋体"/>
      <w:sz w:val="20"/>
      <w:lang w:eastAsia="en-US"/>
    </w:rPr>
  </w:style>
  <w:style w:type="paragraph" w:customStyle="1" w:styleId="620">
    <w:name w:val="Char Char Char Char1 Char1"/>
    <w:basedOn w:val="17"/>
    <w:qFormat/>
    <w:uiPriority w:val="0"/>
    <w:pPr>
      <w:shd w:val="clear" w:color="auto" w:fill="000080"/>
      <w:adjustRightInd w:val="0"/>
      <w:spacing w:line="436" w:lineRule="exact"/>
      <w:ind w:left="357"/>
      <w:jc w:val="left"/>
      <w:outlineLvl w:val="3"/>
    </w:pPr>
    <w:rPr>
      <w:rFonts w:ascii="Times New Roman"/>
      <w:sz w:val="21"/>
      <w:szCs w:val="24"/>
      <w:shd w:val="clear" w:color="auto" w:fill="000080"/>
    </w:rPr>
  </w:style>
  <w:style w:type="paragraph" w:customStyle="1" w:styleId="621">
    <w:name w:val="条目1_My"/>
    <w:basedOn w:val="1"/>
    <w:qFormat/>
    <w:uiPriority w:val="0"/>
    <w:pPr>
      <w:tabs>
        <w:tab w:val="left" w:pos="1300"/>
      </w:tabs>
      <w:spacing w:line="360" w:lineRule="auto"/>
    </w:pPr>
    <w:rPr>
      <w:rFonts w:ascii="Verdana" w:hAnsi="Verdana"/>
      <w:sz w:val="24"/>
    </w:rPr>
  </w:style>
  <w:style w:type="paragraph" w:customStyle="1" w:styleId="622">
    <w:name w:val=" Char1 Char Char"/>
    <w:basedOn w:val="1"/>
    <w:qFormat/>
    <w:uiPriority w:val="0"/>
    <w:pPr>
      <w:adjustRightInd w:val="0"/>
      <w:spacing w:line="360" w:lineRule="auto"/>
    </w:pPr>
    <w:rPr>
      <w:kern w:val="0"/>
      <w:sz w:val="24"/>
    </w:rPr>
  </w:style>
  <w:style w:type="paragraph" w:customStyle="1" w:styleId="623">
    <w:name w:val="with编号1"/>
    <w:basedOn w:val="1"/>
    <w:qFormat/>
    <w:uiPriority w:val="0"/>
    <w:pPr>
      <w:tabs>
        <w:tab w:val="left" w:pos="420"/>
      </w:tabs>
      <w:spacing w:line="360" w:lineRule="auto"/>
      <w:ind w:left="425" w:hanging="425"/>
    </w:pPr>
    <w:rPr>
      <w:sz w:val="24"/>
      <w:szCs w:val="24"/>
    </w:rPr>
  </w:style>
  <w:style w:type="paragraph" w:customStyle="1" w:styleId="624">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textAlignment w:val="center"/>
    </w:pPr>
    <w:rPr>
      <w:rFonts w:ascii="宋体" w:hAnsi="宋体"/>
      <w:kern w:val="0"/>
      <w:szCs w:val="21"/>
    </w:rPr>
  </w:style>
  <w:style w:type="paragraph" w:customStyle="1" w:styleId="625">
    <w:name w:val="Char Char Char Char"/>
    <w:basedOn w:val="17"/>
    <w:qFormat/>
    <w:uiPriority w:val="0"/>
    <w:pPr>
      <w:widowControl/>
      <w:shd w:val="clear" w:color="auto" w:fill="000080"/>
      <w:ind w:firstLine="454"/>
      <w:jc w:val="left"/>
    </w:pPr>
    <w:rPr>
      <w:rFonts w:ascii="Tahoma" w:hAnsi="Tahoma" w:cs="宋体"/>
      <w:kern w:val="0"/>
      <w:sz w:val="24"/>
      <w:szCs w:val="20"/>
      <w:shd w:val="clear" w:color="auto" w:fill="000080"/>
    </w:rPr>
  </w:style>
  <w:style w:type="paragraph" w:customStyle="1" w:styleId="626">
    <w:name w:val="Table Heading"/>
    <w:basedOn w:val="116"/>
    <w:qFormat/>
    <w:uiPriority w:val="0"/>
    <w:pPr>
      <w:keepLines/>
      <w:overflowPunct w:val="0"/>
      <w:autoSpaceDE w:val="0"/>
      <w:autoSpaceDN w:val="0"/>
      <w:adjustRightInd w:val="0"/>
      <w:spacing w:before="120" w:beforeLines="0" w:after="120" w:afterLines="0"/>
      <w:textAlignment w:val="baseline"/>
    </w:pPr>
    <w:rPr>
      <w:rFonts w:ascii="Book Antiqua" w:hAnsi="Book Antiqua"/>
      <w:b/>
      <w:sz w:val="16"/>
      <w:szCs w:val="20"/>
    </w:rPr>
  </w:style>
  <w:style w:type="paragraph" w:customStyle="1" w:styleId="627">
    <w:name w:val="Char Char Char Char Char Char Char Char Char Char Char Char Char Char Char Char Char1 Char"/>
    <w:basedOn w:val="1"/>
    <w:qFormat/>
    <w:uiPriority w:val="0"/>
    <w:rPr>
      <w:rFonts w:ascii="Tahoma" w:hAnsi="Tahoma" w:eastAsia="黑体"/>
      <w:sz w:val="30"/>
    </w:rPr>
  </w:style>
  <w:style w:type="character" w:customStyle="1" w:styleId="628">
    <w:name w:val="列表段落 字符1"/>
    <w:link w:val="629"/>
    <w:qFormat/>
    <w:uiPriority w:val="0"/>
    <w:rPr>
      <w:sz w:val="34"/>
      <w:szCs w:val="22"/>
    </w:rPr>
  </w:style>
  <w:style w:type="paragraph" w:customStyle="1" w:styleId="629">
    <w:name w:val="_Style 631"/>
    <w:basedOn w:val="1"/>
    <w:next w:val="176"/>
    <w:link w:val="628"/>
    <w:qFormat/>
    <w:uiPriority w:val="0"/>
    <w:pPr>
      <w:ind w:firstLine="420" w:firstLineChars="200"/>
    </w:pPr>
    <w:rPr>
      <w:kern w:val="0"/>
      <w:sz w:val="34"/>
      <w:szCs w:val="22"/>
    </w:rPr>
  </w:style>
  <w:style w:type="character" w:customStyle="1" w:styleId="630">
    <w:name w:val="font41"/>
    <w:basedOn w:val="61"/>
    <w:qFormat/>
    <w:uiPriority w:val="0"/>
    <w:rPr>
      <w:rFonts w:hint="default" w:ascii="Times New Roman" w:hAnsi="Times New Roman" w:cs="Times New Roman"/>
      <w:color w:val="000000"/>
      <w:sz w:val="20"/>
      <w:szCs w:val="20"/>
      <w:u w:val="none"/>
    </w:rPr>
  </w:style>
  <w:style w:type="character" w:customStyle="1" w:styleId="631">
    <w:name w:val="font61"/>
    <w:basedOn w:val="61"/>
    <w:qFormat/>
    <w:uiPriority w:val="0"/>
    <w:rPr>
      <w:rFonts w:hint="eastAsia" w:ascii="宋体" w:hAnsi="宋体" w:eastAsia="宋体" w:cs="宋体"/>
      <w:color w:val="000000"/>
      <w:sz w:val="22"/>
      <w:szCs w:val="22"/>
      <w:u w:val="none"/>
    </w:rPr>
  </w:style>
  <w:style w:type="character" w:customStyle="1" w:styleId="632">
    <w:name w:val="font31"/>
    <w:basedOn w:val="61"/>
    <w:qFormat/>
    <w:uiPriority w:val="0"/>
    <w:rPr>
      <w:rFonts w:hint="eastAsia" w:ascii="宋体" w:hAnsi="宋体" w:eastAsia="宋体" w:cs="宋体"/>
      <w:b/>
      <w:bCs/>
      <w:color w:val="000000"/>
      <w:sz w:val="18"/>
      <w:szCs w:val="18"/>
      <w:u w:val="none"/>
    </w:rPr>
  </w:style>
  <w:style w:type="character" w:customStyle="1" w:styleId="633">
    <w:name w:val="无"/>
    <w:qFormat/>
    <w:uiPriority w:val="0"/>
  </w:style>
  <w:style w:type="character" w:customStyle="1" w:styleId="634">
    <w:name w:val="info"/>
    <w:basedOn w:val="61"/>
    <w:qFormat/>
    <w:uiPriority w:val="0"/>
  </w:style>
  <w:style w:type="character" w:customStyle="1" w:styleId="635">
    <w:name w:val="l-btn-left"/>
    <w:basedOn w:val="61"/>
    <w:qFormat/>
    <w:uiPriority w:val="0"/>
  </w:style>
  <w:style w:type="character" w:customStyle="1" w:styleId="636">
    <w:name w:val="l-btn-left1"/>
    <w:basedOn w:val="61"/>
    <w:qFormat/>
    <w:uiPriority w:val="0"/>
  </w:style>
  <w:style w:type="character" w:customStyle="1" w:styleId="637">
    <w:name w:val="l-btn-left2"/>
    <w:basedOn w:val="61"/>
    <w:qFormat/>
    <w:uiPriority w:val="0"/>
  </w:style>
  <w:style w:type="character" w:customStyle="1" w:styleId="638">
    <w:name w:val="l-btn-left3"/>
    <w:basedOn w:val="61"/>
    <w:qFormat/>
    <w:uiPriority w:val="0"/>
  </w:style>
  <w:style w:type="character" w:customStyle="1" w:styleId="639">
    <w:name w:val="topic"/>
    <w:basedOn w:val="61"/>
    <w:qFormat/>
    <w:uiPriority w:val="0"/>
    <w:rPr>
      <w:color w:val="FF0000"/>
    </w:rPr>
  </w:style>
  <w:style w:type="character" w:customStyle="1" w:styleId="640">
    <w:name w:val="valueinfo"/>
    <w:basedOn w:val="61"/>
    <w:qFormat/>
    <w:uiPriority w:val="0"/>
    <w:rPr>
      <w:color w:val="666666"/>
    </w:rPr>
  </w:style>
  <w:style w:type="character" w:customStyle="1" w:styleId="641">
    <w:name w:val="selectedtreerow8"/>
    <w:basedOn w:val="61"/>
    <w:qFormat/>
    <w:uiPriority w:val="0"/>
  </w:style>
  <w:style w:type="character" w:customStyle="1" w:styleId="642">
    <w:name w:val="selectedtreerow9"/>
    <w:basedOn w:val="61"/>
    <w:qFormat/>
    <w:uiPriority w:val="0"/>
    <w:rPr>
      <w:color w:val="000000"/>
      <w:shd w:val="clear" w:color="auto" w:fill="ACDAF0"/>
    </w:rPr>
  </w:style>
  <w:style w:type="character" w:customStyle="1" w:styleId="643">
    <w:name w:val="selectedtreerow10"/>
    <w:basedOn w:val="61"/>
    <w:qFormat/>
    <w:uiPriority w:val="0"/>
    <w:rPr>
      <w:color w:val="000000"/>
      <w:shd w:val="clear" w:color="auto" w:fill="FFF3A1"/>
    </w:rPr>
  </w:style>
  <w:style w:type="character" w:customStyle="1" w:styleId="644">
    <w:name w:val="selectedtreerow_lor8"/>
    <w:basedOn w:val="61"/>
    <w:qFormat/>
    <w:uiPriority w:val="0"/>
  </w:style>
  <w:style w:type="character" w:customStyle="1" w:styleId="645">
    <w:name w:val="selectedtreerow_lor9"/>
    <w:basedOn w:val="61"/>
    <w:qFormat/>
    <w:uiPriority w:val="0"/>
    <w:rPr>
      <w:color w:val="000000"/>
      <w:shd w:val="clear" w:color="auto" w:fill="ACDAF0"/>
    </w:rPr>
  </w:style>
  <w:style w:type="character" w:customStyle="1" w:styleId="646">
    <w:name w:val="selectedtreerow_lor10"/>
    <w:basedOn w:val="61"/>
    <w:qFormat/>
    <w:uiPriority w:val="0"/>
    <w:rPr>
      <w:color w:val="000000"/>
      <w:shd w:val="clear" w:color="auto" w:fill="FFF3A1"/>
    </w:rPr>
  </w:style>
  <w:style w:type="character" w:customStyle="1" w:styleId="647">
    <w:name w:val="standarttreerow8"/>
    <w:basedOn w:val="61"/>
    <w:qFormat/>
    <w:uiPriority w:val="0"/>
  </w:style>
  <w:style w:type="character" w:customStyle="1" w:styleId="648">
    <w:name w:val="standarttreerow9"/>
    <w:basedOn w:val="61"/>
    <w:qFormat/>
    <w:uiPriority w:val="0"/>
  </w:style>
  <w:style w:type="character" w:customStyle="1" w:styleId="649">
    <w:name w:val="standarttreerow_lor3"/>
    <w:basedOn w:val="61"/>
    <w:qFormat/>
    <w:uiPriority w:val="0"/>
  </w:style>
  <w:style w:type="character" w:customStyle="1" w:styleId="650">
    <w:name w:val="pwdtips_alert"/>
    <w:basedOn w:val="61"/>
    <w:qFormat/>
    <w:uiPriority w:val="0"/>
    <w:rPr>
      <w:bdr w:val="single" w:color="FFCB25" w:sz="6" w:space="0"/>
      <w:shd w:val="clear" w:color="auto" w:fill="FFEAA6"/>
    </w:rPr>
  </w:style>
  <w:style w:type="character" w:customStyle="1" w:styleId="651">
    <w:name w:val="pwdtips_error"/>
    <w:basedOn w:val="61"/>
    <w:qFormat/>
    <w:uiPriority w:val="0"/>
    <w:rPr>
      <w:bdr w:val="single" w:color="FF2525" w:sz="6" w:space="0"/>
      <w:shd w:val="clear" w:color="auto" w:fill="FFA6A6"/>
    </w:rPr>
  </w:style>
  <w:style w:type="character" w:customStyle="1" w:styleId="652">
    <w:name w:val="tree-file"/>
    <w:basedOn w:val="61"/>
    <w:qFormat/>
    <w:uiPriority w:val="0"/>
  </w:style>
  <w:style w:type="character" w:customStyle="1" w:styleId="653">
    <w:name w:val="l-btn-text"/>
    <w:basedOn w:val="61"/>
    <w:qFormat/>
    <w:uiPriority w:val="0"/>
  </w:style>
  <w:style w:type="character" w:customStyle="1" w:styleId="654">
    <w:name w:val="l-btn-text1"/>
    <w:basedOn w:val="61"/>
    <w:qFormat/>
    <w:uiPriority w:val="0"/>
    <w:rPr>
      <w:color w:val="1864AC"/>
      <w:sz w:val="18"/>
      <w:szCs w:val="18"/>
    </w:rPr>
  </w:style>
  <w:style w:type="character" w:customStyle="1" w:styleId="655">
    <w:name w:val="l-btn-empty"/>
    <w:basedOn w:val="61"/>
    <w:qFormat/>
    <w:uiPriority w:val="0"/>
  </w:style>
  <w:style w:type="character" w:customStyle="1" w:styleId="656">
    <w:name w:val="combo2"/>
    <w:basedOn w:val="61"/>
    <w:qFormat/>
    <w:uiPriority w:val="0"/>
  </w:style>
  <w:style w:type="character" w:customStyle="1" w:styleId="657">
    <w:name w:val="tree-title4"/>
    <w:basedOn w:val="61"/>
    <w:qFormat/>
    <w:uiPriority w:val="0"/>
    <w:rPr>
      <w:color w:val="1864AC"/>
    </w:rPr>
  </w:style>
  <w:style w:type="character" w:customStyle="1" w:styleId="658">
    <w:name w:val="tree-title5"/>
    <w:basedOn w:val="61"/>
    <w:qFormat/>
    <w:uiPriority w:val="0"/>
    <w:rPr>
      <w:color w:val="FFFFFF"/>
      <w:shd w:val="clear" w:color="auto" w:fill="3366CC"/>
    </w:rPr>
  </w:style>
  <w:style w:type="character" w:customStyle="1" w:styleId="659">
    <w:name w:val="pwdtips_ok"/>
    <w:basedOn w:val="61"/>
    <w:qFormat/>
    <w:uiPriority w:val="0"/>
    <w:rPr>
      <w:bdr w:val="single" w:color="8EFF25" w:sz="6" w:space="0"/>
      <w:shd w:val="clear" w:color="auto" w:fill="B4FFA6"/>
    </w:rPr>
  </w:style>
  <w:style w:type="character" w:customStyle="1" w:styleId="660">
    <w:name w:val="vainfo2"/>
    <w:basedOn w:val="61"/>
    <w:qFormat/>
    <w:uiPriority w:val="0"/>
    <w:rPr>
      <w:color w:val="FF0000"/>
      <w:bdr w:val="single" w:color="FCBCBC" w:sz="6" w:space="0"/>
      <w:shd w:val="clear" w:color="auto" w:fill="FFE4E4"/>
    </w:rPr>
  </w:style>
  <w:style w:type="character" w:customStyle="1" w:styleId="661">
    <w:name w:val="green"/>
    <w:basedOn w:val="61"/>
    <w:qFormat/>
    <w:uiPriority w:val="0"/>
    <w:rPr>
      <w:color w:val="00A521"/>
    </w:rPr>
  </w:style>
  <w:style w:type="character" w:customStyle="1" w:styleId="662">
    <w:name w:val="red"/>
    <w:basedOn w:val="61"/>
    <w:qFormat/>
    <w:uiPriority w:val="0"/>
    <w:rPr>
      <w:color w:val="FF0000"/>
    </w:rPr>
  </w:style>
  <w:style w:type="character" w:customStyle="1" w:styleId="663">
    <w:name w:val="standarttreerow_lor"/>
    <w:basedOn w:val="61"/>
    <w:qFormat/>
    <w:uiPriority w:val="0"/>
  </w:style>
  <w:style w:type="character" w:customStyle="1" w:styleId="664">
    <w:name w:val="standarttreerow_lor4"/>
    <w:basedOn w:val="61"/>
    <w:qFormat/>
    <w:uiPriority w:val="0"/>
  </w:style>
  <w:style w:type="character" w:customStyle="1" w:styleId="665">
    <w:name w:val="selectedtreerow"/>
    <w:basedOn w:val="61"/>
    <w:qFormat/>
    <w:uiPriority w:val="0"/>
  </w:style>
  <w:style w:type="character" w:customStyle="1" w:styleId="666">
    <w:name w:val="selectedtreerow1"/>
    <w:basedOn w:val="61"/>
    <w:qFormat/>
    <w:uiPriority w:val="0"/>
    <w:rPr>
      <w:rFonts w:ascii="Arial" w:hAnsi="Arial" w:cs="Arial"/>
      <w:color w:val="000000"/>
      <w:sz w:val="19"/>
      <w:szCs w:val="19"/>
      <w:shd w:val="clear" w:color="auto" w:fill="FFF3A1"/>
    </w:rPr>
  </w:style>
  <w:style w:type="character" w:customStyle="1" w:styleId="667">
    <w:name w:val="selectedtreerow2"/>
    <w:basedOn w:val="61"/>
    <w:qFormat/>
    <w:uiPriority w:val="0"/>
    <w:rPr>
      <w:rFonts w:ascii="Tahoma" w:hAnsi="Tahoma" w:eastAsia="Tahoma" w:cs="Tahoma"/>
      <w:color w:val="000000"/>
      <w:sz w:val="18"/>
      <w:szCs w:val="18"/>
      <w:shd w:val="clear" w:color="auto" w:fill="ACDAF0"/>
    </w:rPr>
  </w:style>
  <w:style w:type="character" w:customStyle="1" w:styleId="668">
    <w:name w:val="selectedtreerow_lor"/>
    <w:basedOn w:val="61"/>
    <w:qFormat/>
    <w:uiPriority w:val="0"/>
  </w:style>
  <w:style w:type="character" w:customStyle="1" w:styleId="669">
    <w:name w:val="selectedtreerow_lor1"/>
    <w:basedOn w:val="61"/>
    <w:qFormat/>
    <w:uiPriority w:val="0"/>
    <w:rPr>
      <w:rFonts w:hint="default" w:ascii="Arial" w:hAnsi="Arial" w:cs="Arial"/>
      <w:color w:val="000000"/>
      <w:sz w:val="19"/>
      <w:szCs w:val="19"/>
      <w:shd w:val="clear" w:color="auto" w:fill="FFF3A1"/>
    </w:rPr>
  </w:style>
  <w:style w:type="character" w:customStyle="1" w:styleId="670">
    <w:name w:val="selectedtreerow_lor2"/>
    <w:basedOn w:val="61"/>
    <w:qFormat/>
    <w:uiPriority w:val="0"/>
    <w:rPr>
      <w:rFonts w:hint="default" w:ascii="Tahoma" w:hAnsi="Tahoma" w:eastAsia="Tahoma" w:cs="Tahoma"/>
      <w:color w:val="000000"/>
      <w:sz w:val="18"/>
      <w:szCs w:val="18"/>
      <w:shd w:val="clear" w:color="auto" w:fill="ACDAF0"/>
    </w:rPr>
  </w:style>
  <w:style w:type="character" w:customStyle="1" w:styleId="671">
    <w:name w:val="standarttreerow"/>
    <w:basedOn w:val="61"/>
    <w:qFormat/>
    <w:uiPriority w:val="0"/>
  </w:style>
  <w:style w:type="character" w:customStyle="1" w:styleId="672">
    <w:name w:val="standarttreerow1"/>
    <w:basedOn w:val="61"/>
    <w:qFormat/>
    <w:uiPriority w:val="0"/>
    <w:rPr>
      <w:rFonts w:hint="default" w:ascii="Tahoma" w:hAnsi="Tahoma" w:eastAsia="Tahoma" w:cs="Tahoma"/>
      <w:sz w:val="18"/>
      <w:szCs w:val="18"/>
    </w:rPr>
  </w:style>
  <w:style w:type="character" w:customStyle="1" w:styleId="673">
    <w:name w:val="l-btn-left4"/>
    <w:basedOn w:val="61"/>
    <w:qFormat/>
    <w:uiPriority w:val="0"/>
  </w:style>
  <w:style w:type="character" w:customStyle="1" w:styleId="674">
    <w:name w:val="l-btn-left5"/>
    <w:basedOn w:val="61"/>
    <w:qFormat/>
    <w:uiPriority w:val="0"/>
  </w:style>
  <w:style w:type="character" w:customStyle="1" w:styleId="675">
    <w:name w:val="vainfo"/>
    <w:basedOn w:val="61"/>
    <w:qFormat/>
    <w:uiPriority w:val="0"/>
    <w:rPr>
      <w:color w:val="FF0000"/>
      <w:bdr w:val="single" w:color="FCBCBC" w:sz="6" w:space="0"/>
      <w:shd w:val="clear" w:color="auto" w:fill="FFE4E4"/>
    </w:rPr>
  </w:style>
  <w:style w:type="character" w:customStyle="1" w:styleId="676">
    <w:name w:val="tree-file2"/>
    <w:basedOn w:val="61"/>
    <w:qFormat/>
    <w:uiPriority w:val="0"/>
  </w:style>
  <w:style w:type="character" w:customStyle="1" w:styleId="677">
    <w:name w:val="tree-title"/>
    <w:basedOn w:val="61"/>
    <w:qFormat/>
    <w:uiPriority w:val="0"/>
    <w:rPr>
      <w:color w:val="1864AC"/>
    </w:rPr>
  </w:style>
  <w:style w:type="character" w:customStyle="1" w:styleId="678">
    <w:name w:val="tree-title1"/>
    <w:basedOn w:val="61"/>
    <w:qFormat/>
    <w:uiPriority w:val="0"/>
    <w:rPr>
      <w:color w:val="FFFFFF"/>
      <w:shd w:val="clear" w:color="auto" w:fill="3366CC"/>
    </w:rPr>
  </w:style>
  <w:style w:type="paragraph" w:customStyle="1" w:styleId="679">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680">
    <w:name w:val="_Style 24"/>
    <w:basedOn w:val="1"/>
    <w:next w:val="176"/>
    <w:qFormat/>
    <w:uiPriority w:val="34"/>
    <w:pPr>
      <w:ind w:firstLine="420" w:firstLineChars="200"/>
    </w:pPr>
  </w:style>
  <w:style w:type="character" w:customStyle="1" w:styleId="681">
    <w:name w:val="standarttreerow5"/>
    <w:basedOn w:val="61"/>
    <w:qFormat/>
    <w:uiPriority w:val="0"/>
  </w:style>
  <w:style w:type="character" w:customStyle="1" w:styleId="682">
    <w:name w:val="standarttreerow6"/>
    <w:basedOn w:val="61"/>
    <w:qFormat/>
    <w:uiPriority w:val="0"/>
  </w:style>
  <w:style w:type="character" w:customStyle="1" w:styleId="683">
    <w:name w:val="selectedtreerow_lor5"/>
    <w:basedOn w:val="61"/>
    <w:qFormat/>
    <w:uiPriority w:val="0"/>
    <w:rPr>
      <w:color w:val="000000"/>
      <w:shd w:val="clear" w:fill="FFF3A1"/>
    </w:rPr>
  </w:style>
  <w:style w:type="character" w:customStyle="1" w:styleId="684">
    <w:name w:val="selectedtreerow_lor6"/>
    <w:basedOn w:val="61"/>
    <w:qFormat/>
    <w:uiPriority w:val="0"/>
  </w:style>
  <w:style w:type="character" w:customStyle="1" w:styleId="685">
    <w:name w:val="selectedtreerow_lor7"/>
    <w:basedOn w:val="61"/>
    <w:qFormat/>
    <w:uiPriority w:val="0"/>
    <w:rPr>
      <w:color w:val="000000"/>
      <w:shd w:val="clear" w:fill="ACDAF0"/>
    </w:rPr>
  </w:style>
  <w:style w:type="character" w:customStyle="1" w:styleId="686">
    <w:name w:val="combo"/>
    <w:basedOn w:val="61"/>
    <w:qFormat/>
    <w:uiPriority w:val="0"/>
  </w:style>
  <w:style w:type="paragraph" w:customStyle="1" w:styleId="687">
    <w:name w:val="正文 A"/>
    <w:next w:val="23"/>
    <w:qFormat/>
    <w:uiPriority w:val="0"/>
    <w:rPr>
      <w:rFonts w:hint="eastAsia" w:ascii="Arial Unicode MS" w:hAnsi="Arial Unicode MS" w:eastAsia="Times New Roman" w:cs="Arial Unicode MS"/>
      <w:color w:val="000000"/>
      <w:sz w:val="24"/>
      <w:szCs w:val="24"/>
      <w:u w:val="none" w:color="000000"/>
      <w:lang w:val="en-US" w:eastAsia="zh-CN" w:bidi="ar-SA"/>
    </w:rPr>
  </w:style>
  <w:style w:type="character" w:customStyle="1" w:styleId="688">
    <w:name w:val="selectedtreerow5"/>
    <w:basedOn w:val="61"/>
    <w:qFormat/>
    <w:uiPriority w:val="0"/>
    <w:rPr>
      <w:color w:val="000000"/>
      <w:shd w:val="clear" w:fill="ACDAF0"/>
    </w:rPr>
  </w:style>
  <w:style w:type="character" w:customStyle="1" w:styleId="689">
    <w:name w:val="selectedtreerow6"/>
    <w:basedOn w:val="61"/>
    <w:qFormat/>
    <w:uiPriority w:val="0"/>
  </w:style>
  <w:style w:type="character" w:customStyle="1" w:styleId="690">
    <w:name w:val="selectedtreerow7"/>
    <w:basedOn w:val="61"/>
    <w:qFormat/>
    <w:uiPriority w:val="0"/>
    <w:rPr>
      <w:color w:val="000000"/>
      <w:shd w:val="clear" w:fill="FFF3A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6182</Words>
  <Characters>6773</Characters>
  <Lines>747</Lines>
  <Paragraphs>210</Paragraphs>
  <TotalTime>55</TotalTime>
  <ScaleCrop>false</ScaleCrop>
  <LinksUpToDate>false</LinksUpToDate>
  <CharactersWithSpaces>6867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2021-09-24T02:45:00Z</dcterms:created>
  <dc:creator>User</dc:creator>
  <cp:lastModifiedBy>彭君</cp:lastModifiedBy>
  <cp:lastPrinted>2024-08-21T01:48:00Z</cp:lastPrinted>
  <dcterms:modified xsi:type="dcterms:W3CDTF">2024-12-20T09:38:47Z</dcterms:modified>
  <dc:title>招标编号：SCWZDL-201402-SFB02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88CB5D32309E4B6AAE7A6423ED4F71C5_13</vt:lpwstr>
  </property>
</Properties>
</file>