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浙江省消防救援总队消防器材装备</w:t>
      </w:r>
    </w:p>
    <w:p>
      <w:pPr>
        <w:snapToGrid w:val="0"/>
        <w:spacing w:before="120" w:beforeLines="50" w:line="36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（破拆类第一批）采购项目</w:t>
      </w:r>
    </w:p>
    <w:p>
      <w:pPr>
        <w:snapToGrid w:val="0"/>
        <w:spacing w:before="120" w:beforeLines="50" w:line="360" w:lineRule="auto"/>
        <w:ind w:left="1"/>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48"/>
          <w:szCs w:val="48"/>
          <w:highlight w:val="none"/>
          <w:lang w:eastAsia="zh-CN"/>
        </w:rPr>
        <w:t>招标文件</w:t>
      </w:r>
    </w:p>
    <w:p>
      <w:pPr>
        <w:pStyle w:val="21"/>
        <w:jc w:val="center"/>
        <w:rPr>
          <w:rFonts w:hint="eastAsia" w:ascii="宋体" w:hAnsi="宋体" w:eastAsia="宋体" w:cs="宋体"/>
          <w:b/>
          <w:bCs/>
          <w:color w:val="auto"/>
          <w:sz w:val="30"/>
          <w:szCs w:val="30"/>
          <w:highlight w:val="none"/>
        </w:rPr>
      </w:pPr>
    </w:p>
    <w:p>
      <w:pPr>
        <w:pStyle w:val="21"/>
        <w:rPr>
          <w:rFonts w:hint="eastAsia" w:ascii="宋体" w:hAnsi="宋体" w:eastAsia="宋体" w:cs="宋体"/>
          <w:b/>
          <w:bCs/>
          <w:color w:val="auto"/>
          <w:sz w:val="30"/>
          <w:szCs w:val="30"/>
          <w:highlight w:val="none"/>
        </w:rPr>
      </w:pPr>
      <w:r>
        <w:rPr>
          <w:rFonts w:hint="eastAsia" w:ascii="宋体" w:hAnsi="宋体" w:eastAsia="宋体" w:cs="宋体"/>
          <w:color w:val="auto"/>
          <w:sz w:val="48"/>
          <w:szCs w:val="48"/>
          <w:highlight w:val="none"/>
          <w:lang w:val="en-US" w:eastAsia="zh-CN"/>
        </w:rPr>
        <w:t xml:space="preserve">        </w:t>
      </w:r>
      <w:r>
        <w:rPr>
          <w:rFonts w:hint="eastAsia" w:ascii="宋体" w:hAnsi="宋体" w:eastAsia="宋体" w:cs="宋体"/>
          <w:color w:val="auto"/>
          <w:sz w:val="48"/>
          <w:szCs w:val="48"/>
          <w:highlight w:val="none"/>
        </w:rPr>
        <w:drawing>
          <wp:inline distT="0" distB="0" distL="114300" distR="114300">
            <wp:extent cx="2889885" cy="2157095"/>
            <wp:effectExtent l="0" t="0" r="5715" b="1905"/>
            <wp:docPr id="8" name="图片 8" descr="中诺logo标准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诺logo标准色"/>
                    <pic:cNvPicPr>
                      <a:picLocks noChangeAspect="1"/>
                    </pic:cNvPicPr>
                  </pic:nvPicPr>
                  <pic:blipFill>
                    <a:blip r:embed="rId14"/>
                    <a:stretch>
                      <a:fillRect/>
                    </a:stretch>
                  </pic:blipFill>
                  <pic:spPr>
                    <a:xfrm>
                      <a:off x="0" y="0"/>
                      <a:ext cx="2889885" cy="2157095"/>
                    </a:xfrm>
                    <a:prstGeom prst="rect">
                      <a:avLst/>
                    </a:prstGeom>
                    <a:noFill/>
                    <a:ln>
                      <a:noFill/>
                    </a:ln>
                  </pic:spPr>
                </pic:pic>
              </a:graphicData>
            </a:graphic>
          </wp:inline>
        </w:drawing>
      </w:r>
    </w:p>
    <w:p>
      <w:pPr>
        <w:pStyle w:val="16"/>
        <w:snapToGrid w:val="0"/>
        <w:spacing w:before="120" w:after="120" w:line="360" w:lineRule="auto"/>
        <w:rPr>
          <w:rFonts w:hint="eastAsia" w:ascii="宋体" w:hAnsi="宋体" w:eastAsia="宋体" w:cs="宋体"/>
          <w:b/>
          <w:bCs/>
          <w:color w:val="auto"/>
          <w:sz w:val="30"/>
          <w:szCs w:val="30"/>
          <w:highlight w:val="none"/>
        </w:rPr>
      </w:pPr>
    </w:p>
    <w:p>
      <w:pPr>
        <w:pStyle w:val="16"/>
        <w:snapToGrid w:val="0"/>
        <w:spacing w:before="120" w:after="120" w:line="360" w:lineRule="auto"/>
        <w:ind w:firstLine="643" w:firstLineChars="2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eastAsia="zh-CN"/>
        </w:rPr>
        <w:t>ZJZN-SXF22178</w:t>
      </w:r>
    </w:p>
    <w:p>
      <w:pPr>
        <w:snapToGrid w:val="0"/>
        <w:spacing w:before="120" w:beforeLines="50" w:line="360" w:lineRule="auto"/>
        <w:ind w:left="1"/>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z w:val="32"/>
          <w:szCs w:val="32"/>
          <w:highlight w:val="none"/>
          <w:lang w:eastAsia="zh-CN"/>
        </w:rPr>
        <w:t>浙江省消防救援总队消防器材装备（破拆类第一批）采购项目</w:t>
      </w:r>
    </w:p>
    <w:p>
      <w:pPr>
        <w:pStyle w:val="16"/>
        <w:snapToGrid w:val="0"/>
        <w:spacing w:before="120" w:after="120" w:line="360" w:lineRule="auto"/>
        <w:jc w:val="center"/>
        <w:rPr>
          <w:rFonts w:hint="eastAsia" w:ascii="宋体" w:hAnsi="宋体" w:eastAsia="宋体" w:cs="宋体"/>
          <w:b/>
          <w:bCs/>
          <w:color w:val="auto"/>
          <w:kern w:val="2"/>
          <w:sz w:val="32"/>
          <w:szCs w:val="32"/>
          <w:highlight w:val="none"/>
        </w:rPr>
      </w:pPr>
    </w:p>
    <w:p>
      <w:pPr>
        <w:pStyle w:val="16"/>
        <w:snapToGrid w:val="0"/>
        <w:spacing w:before="120" w:after="120" w:line="360" w:lineRule="auto"/>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采购单位：浙江省消防救援总队</w:t>
      </w:r>
    </w:p>
    <w:p>
      <w:pPr>
        <w:pStyle w:val="16"/>
        <w:snapToGrid w:val="0"/>
        <w:spacing w:before="120" w:after="120" w:line="360" w:lineRule="auto"/>
        <w:ind w:firstLine="643" w:firstLineChars="200"/>
        <w:jc w:val="center"/>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kern w:val="2"/>
          <w:sz w:val="32"/>
          <w:szCs w:val="32"/>
          <w:highlight w:val="none"/>
        </w:rPr>
        <w:t>代理机构：</w:t>
      </w:r>
      <w:r>
        <w:rPr>
          <w:rFonts w:hint="eastAsia" w:ascii="宋体" w:hAnsi="宋体" w:eastAsia="宋体" w:cs="宋体"/>
          <w:b/>
          <w:bCs/>
          <w:color w:val="auto"/>
          <w:kern w:val="2"/>
          <w:sz w:val="32"/>
          <w:szCs w:val="32"/>
          <w:highlight w:val="none"/>
          <w:lang w:eastAsia="zh-CN"/>
        </w:rPr>
        <w:t>浙江中诺招标代理有限公司</w:t>
      </w:r>
    </w:p>
    <w:p>
      <w:pPr>
        <w:pStyle w:val="107"/>
        <w:widowControl w:val="0"/>
        <w:snapToGrid w:val="0"/>
        <w:spacing w:line="360" w:lineRule="auto"/>
        <w:ind w:firstLine="3203" w:firstLineChars="997"/>
        <w:jc w:val="both"/>
        <w:rPr>
          <w:rFonts w:hint="eastAsia" w:ascii="宋体" w:hAnsi="宋体" w:eastAsia="宋体" w:cs="宋体"/>
          <w:color w:val="auto"/>
          <w:highlight w:val="none"/>
        </w:rPr>
      </w:pPr>
      <w:r>
        <w:rPr>
          <w:rFonts w:hint="eastAsia" w:ascii="宋体" w:hAnsi="宋体" w:eastAsia="宋体" w:cs="宋体"/>
          <w:bCs/>
          <w:color w:val="auto"/>
          <w:sz w:val="32"/>
          <w:szCs w:val="32"/>
          <w:highlight w:val="none"/>
        </w:rPr>
        <w:t>二〇二二年</w:t>
      </w:r>
      <w:r>
        <w:rPr>
          <w:rFonts w:hint="eastAsia" w:ascii="宋体" w:hAnsi="宋体" w:eastAsia="宋体" w:cs="宋体"/>
          <w:bCs/>
          <w:color w:val="auto"/>
          <w:sz w:val="32"/>
          <w:szCs w:val="32"/>
          <w:highlight w:val="none"/>
          <w:lang w:val="en-US" w:eastAsia="zh-CN"/>
        </w:rPr>
        <w:t>十</w:t>
      </w:r>
      <w:r>
        <w:rPr>
          <w:rFonts w:hint="eastAsia" w:ascii="宋体" w:hAnsi="宋体" w:cs="宋体"/>
          <w:bCs/>
          <w:color w:val="auto"/>
          <w:sz w:val="32"/>
          <w:szCs w:val="32"/>
          <w:highlight w:val="none"/>
          <w:lang w:val="en-US" w:eastAsia="zh-CN"/>
        </w:rPr>
        <w:t>二</w:t>
      </w:r>
      <w:r>
        <w:rPr>
          <w:rFonts w:hint="eastAsia" w:ascii="宋体" w:hAnsi="宋体" w:eastAsia="宋体" w:cs="宋体"/>
          <w:bCs/>
          <w:color w:val="auto"/>
          <w:sz w:val="32"/>
          <w:szCs w:val="32"/>
          <w:highlight w:val="none"/>
        </w:rPr>
        <w:t>月</w:t>
      </w:r>
    </w:p>
    <w:p>
      <w:pPr>
        <w:snapToGrid w:val="0"/>
        <w:spacing w:line="360" w:lineRule="auto"/>
        <w:rPr>
          <w:rFonts w:hint="eastAsia" w:ascii="宋体" w:hAnsi="宋体" w:eastAsia="宋体" w:cs="宋体"/>
          <w:color w:val="auto"/>
          <w:sz w:val="28"/>
          <w:szCs w:val="2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sdt>
      <w:sdtPr>
        <w:rPr>
          <w:rFonts w:hint="eastAsia" w:ascii="宋体" w:hAnsi="宋体" w:eastAsia="宋体" w:cs="宋体"/>
          <w:b/>
          <w:bCs/>
          <w:color w:val="auto"/>
          <w:kern w:val="2"/>
          <w:sz w:val="28"/>
          <w:szCs w:val="28"/>
          <w:highlight w:val="none"/>
          <w:lang w:val="en-US" w:eastAsia="zh-CN" w:bidi="ar-SA"/>
        </w:rPr>
        <w:id w:val="147482180"/>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pPr>
            <w:pStyle w:val="23"/>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_Toc5008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6"/>
              <w:sz w:val="28"/>
              <w:szCs w:val="28"/>
              <w:highlight w:val="none"/>
            </w:rPr>
            <w:t>第一部分  招标公告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_Toc5008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3"/>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_Toc30575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第二部分  投标人须知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_Toc30575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3"/>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_Toc32093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第三部分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_Toc32093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3"/>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_Toc5762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pacing w:val="-6"/>
              <w:sz w:val="28"/>
              <w:szCs w:val="28"/>
              <w:highlight w:val="none"/>
            </w:rPr>
            <w:t>第四部分  评分办法及评分标准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_Toc5762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3"/>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_Toc31754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第五部分  合同主要条款</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_Toc31754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3"/>
            <w:tabs>
              <w:tab w:val="right" w:leader="dot" w:pos="8306"/>
            </w:tabs>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_Toc28239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第六部分  投标文件格式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_Toc28239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62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3"/>
            <w:tabs>
              <w:tab w:val="right" w:leader="dot" w:pos="8306"/>
            </w:tabs>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bCs/>
              <w:color w:val="auto"/>
              <w:szCs w:val="28"/>
              <w:highlight w:val="none"/>
            </w:rPr>
            <w:fldChar w:fldCharType="end"/>
          </w:r>
        </w:p>
      </w:sdtContent>
    </w:sdt>
    <w:p>
      <w:pPr>
        <w:pStyle w:val="16"/>
        <w:snapToGrid w:val="0"/>
        <w:spacing w:beforeLines="0" w:afterLines="0" w:line="360" w:lineRule="auto"/>
        <w:jc w:val="center"/>
        <w:outlineLvl w:val="9"/>
        <w:rPr>
          <w:rFonts w:hint="eastAsia" w:ascii="宋体" w:hAnsi="宋体" w:eastAsia="宋体" w:cs="宋体"/>
          <w:b/>
          <w:color w:val="auto"/>
          <w:spacing w:val="-6"/>
          <w:sz w:val="32"/>
          <w:szCs w:val="32"/>
          <w:highlight w:val="none"/>
        </w:rPr>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pStyle w:val="16"/>
        <w:snapToGrid w:val="0"/>
        <w:spacing w:beforeLines="0" w:afterLines="0" w:line="360" w:lineRule="auto"/>
        <w:jc w:val="center"/>
        <w:outlineLvl w:val="0"/>
        <w:rPr>
          <w:rFonts w:hint="eastAsia" w:ascii="宋体" w:hAnsi="宋体" w:eastAsia="宋体" w:cs="宋体"/>
          <w:b/>
          <w:color w:val="auto"/>
          <w:sz w:val="32"/>
          <w:szCs w:val="32"/>
          <w:highlight w:val="none"/>
        </w:rPr>
      </w:pPr>
      <w:bookmarkStart w:id="0" w:name="_Toc5008"/>
      <w:r>
        <w:rPr>
          <w:rFonts w:hint="eastAsia" w:ascii="宋体" w:hAnsi="宋体" w:eastAsia="宋体" w:cs="宋体"/>
          <w:b/>
          <w:color w:val="auto"/>
          <w:spacing w:val="-6"/>
          <w:sz w:val="32"/>
          <w:szCs w:val="32"/>
          <w:highlight w:val="none"/>
        </w:rPr>
        <w:t>第一部分  招标公告</w:t>
      </w:r>
      <w:bookmarkEnd w:id="0"/>
    </w:p>
    <w:tbl>
      <w:tblPr>
        <w:tblStyle w:val="3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540" w:type="dxa"/>
            <w:noWrap w:val="0"/>
            <w:vAlign w:val="center"/>
          </w:tcPr>
          <w:p>
            <w:pPr>
              <w:pStyle w:val="14"/>
              <w:spacing w:line="360" w:lineRule="auto"/>
              <w:ind w:firstLine="0"/>
              <w:jc w:val="left"/>
              <w:rPr>
                <w:rFonts w:hint="eastAsia" w:ascii="宋体" w:hAnsi="宋体" w:eastAsia="宋体" w:cs="宋体"/>
                <w:b/>
                <w:bCs/>
                <w:color w:val="auto"/>
                <w:sz w:val="24"/>
                <w:highlight w:val="none"/>
                <w:u w:val="single"/>
              </w:rPr>
            </w:pPr>
            <w:r>
              <w:rPr>
                <w:rFonts w:hint="eastAsia" w:ascii="宋体" w:hAnsi="宋体" w:eastAsia="宋体" w:cs="宋体"/>
                <w:b/>
                <w:color w:val="auto"/>
                <w:sz w:val="24"/>
                <w:highlight w:val="none"/>
              </w:rPr>
              <w:t>项目概况</w:t>
            </w:r>
          </w:p>
          <w:p>
            <w:pPr>
              <w:pStyle w:val="14"/>
              <w:spacing w:line="360" w:lineRule="auto"/>
              <w:ind w:firstLine="0"/>
              <w:jc w:val="left"/>
              <w:rPr>
                <w:rFonts w:hint="eastAsia" w:ascii="宋体" w:hAnsi="宋体" w:eastAsia="宋体" w:cs="宋体"/>
                <w:b/>
                <w:color w:val="auto"/>
                <w:kern w:val="2"/>
                <w:sz w:val="24"/>
                <w:szCs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u w:val="single"/>
                <w:lang w:eastAsia="zh-CN"/>
              </w:rPr>
              <w:t>浙江省消防救援总队消防器材装备（破拆类第一批）采购项目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szCs w:val="24"/>
                <w:highlight w:val="none"/>
                <w:u w:val="single"/>
                <w:lang w:eastAsia="zh-CN"/>
              </w:rPr>
              <w:t>浙江中诺招标代理有限公司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获取招标文件，并于</w:t>
            </w:r>
            <w:r>
              <w:rPr>
                <w:rFonts w:hint="eastAsia" w:ascii="宋体" w:hAnsi="宋体" w:eastAsia="宋体" w:cs="宋体"/>
                <w:b/>
                <w:color w:val="auto"/>
                <w:sz w:val="24"/>
                <w:highlight w:val="none"/>
                <w:u w:val="single"/>
              </w:rPr>
              <w:t>2022年</w:t>
            </w:r>
            <w:r>
              <w:rPr>
                <w:rFonts w:hint="eastAsia" w:ascii="宋体" w:hAnsi="宋体" w:cs="宋体"/>
                <w:b/>
                <w:color w:val="auto"/>
                <w:sz w:val="24"/>
                <w:highlight w:val="none"/>
                <w:u w:val="single"/>
                <w:lang w:val="en-US" w:eastAsia="zh-CN"/>
              </w:rPr>
              <w:t>12</w:t>
            </w:r>
            <w:r>
              <w:rPr>
                <w:rFonts w:hint="eastAsia" w:ascii="宋体" w:hAnsi="宋体" w:eastAsia="宋体" w:cs="宋体"/>
                <w:b/>
                <w:color w:val="auto"/>
                <w:sz w:val="24"/>
                <w:highlight w:val="none"/>
                <w:u w:val="single"/>
              </w:rPr>
              <w:t>月</w:t>
            </w:r>
            <w:r>
              <w:rPr>
                <w:rFonts w:hint="eastAsia" w:ascii="宋体" w:hAnsi="宋体" w:cs="宋体"/>
                <w:b/>
                <w:color w:val="auto"/>
                <w:sz w:val="24"/>
                <w:highlight w:val="none"/>
                <w:u w:val="single"/>
                <w:lang w:val="en-US" w:eastAsia="zh-CN"/>
              </w:rPr>
              <w:t>26</w:t>
            </w:r>
            <w:r>
              <w:rPr>
                <w:rFonts w:hint="eastAsia" w:ascii="宋体" w:hAnsi="宋体" w:eastAsia="宋体" w:cs="宋体"/>
                <w:b/>
                <w:color w:val="auto"/>
                <w:sz w:val="24"/>
                <w:highlight w:val="none"/>
                <w:u w:val="single"/>
              </w:rPr>
              <w:t>日</w:t>
            </w:r>
            <w:r>
              <w:rPr>
                <w:rFonts w:hint="eastAsia" w:ascii="宋体" w:hAnsi="宋体" w:cs="宋体"/>
                <w:b/>
                <w:bCs/>
                <w:color w:val="auto"/>
                <w:sz w:val="24"/>
                <w:highlight w:val="none"/>
                <w:u w:val="single"/>
                <w:lang w:val="en-US" w:eastAsia="zh-CN"/>
              </w:rPr>
              <w:t>15</w:t>
            </w:r>
            <w:r>
              <w:rPr>
                <w:rFonts w:hint="eastAsia" w:ascii="宋体" w:hAnsi="宋体" w:eastAsia="宋体" w:cs="宋体"/>
                <w:b/>
                <w:bCs/>
                <w:color w:val="auto"/>
                <w:sz w:val="24"/>
                <w:highlight w:val="none"/>
                <w:u w:val="single"/>
                <w:lang w:val="en-US" w:eastAsia="zh-CN"/>
              </w:rPr>
              <w:t>：</w:t>
            </w:r>
            <w:r>
              <w:rPr>
                <w:rFonts w:hint="eastAsia" w:ascii="宋体" w:hAnsi="宋体" w:cs="宋体"/>
                <w:b/>
                <w:bCs/>
                <w:color w:val="auto"/>
                <w:sz w:val="24"/>
                <w:highlight w:val="none"/>
                <w:u w:val="single"/>
                <w:lang w:val="en-US" w:eastAsia="zh-CN"/>
              </w:rPr>
              <w:t>3</w:t>
            </w:r>
            <w:r>
              <w:rPr>
                <w:rFonts w:hint="eastAsia" w:ascii="宋体" w:hAnsi="宋体" w:eastAsia="宋体" w:cs="宋体"/>
                <w:b/>
                <w:bCs/>
                <w:color w:val="auto"/>
                <w:sz w:val="24"/>
                <w:highlight w:val="none"/>
                <w:u w:val="single"/>
              </w:rPr>
              <w:t>0</w:t>
            </w:r>
            <w:r>
              <w:rPr>
                <w:rFonts w:hint="eastAsia" w:ascii="宋体" w:hAnsi="宋体" w:eastAsia="宋体" w:cs="宋体"/>
                <w:bCs/>
                <w:color w:val="auto"/>
                <w:sz w:val="24"/>
                <w:highlight w:val="none"/>
              </w:rPr>
              <w:t>（北京时间）前递交投标文件。</w:t>
            </w:r>
          </w:p>
        </w:tc>
      </w:tr>
    </w:tbl>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根</w:t>
      </w:r>
      <w:r>
        <w:rPr>
          <w:rFonts w:hint="eastAsia" w:ascii="宋体" w:hAnsi="宋体" w:eastAsia="宋体" w:cs="宋体"/>
          <w:color w:val="auto"/>
          <w:sz w:val="24"/>
          <w:szCs w:val="24"/>
          <w:highlight w:val="none"/>
        </w:rPr>
        <w:t>据《中华人民共和国政府采购法》等有关规定，</w:t>
      </w:r>
      <w:r>
        <w:rPr>
          <w:rFonts w:hint="eastAsia" w:ascii="宋体" w:hAnsi="宋体" w:eastAsia="宋体" w:cs="宋体"/>
          <w:b/>
          <w:bCs/>
          <w:color w:val="auto"/>
          <w:sz w:val="24"/>
          <w:szCs w:val="24"/>
          <w:highlight w:val="none"/>
          <w:u w:val="single"/>
          <w:lang w:eastAsia="zh-CN"/>
        </w:rPr>
        <w:t>浙江中诺招标代理有限公司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浙江省消防救援总队</w:t>
      </w:r>
      <w:r>
        <w:rPr>
          <w:rFonts w:hint="eastAsia" w:ascii="宋体" w:hAnsi="宋体" w:eastAsia="宋体" w:cs="宋体"/>
          <w:color w:val="auto"/>
          <w:sz w:val="24"/>
          <w:szCs w:val="24"/>
          <w:highlight w:val="none"/>
        </w:rPr>
        <w:t>委托，就</w:t>
      </w:r>
      <w:r>
        <w:rPr>
          <w:rFonts w:hint="eastAsia" w:ascii="宋体" w:hAnsi="宋体" w:eastAsia="宋体" w:cs="宋体"/>
          <w:b/>
          <w:bCs/>
          <w:color w:val="auto"/>
          <w:sz w:val="24"/>
          <w:szCs w:val="24"/>
          <w:highlight w:val="none"/>
          <w:u w:val="single"/>
          <w:lang w:eastAsia="zh-CN"/>
        </w:rPr>
        <w:t>浙江省消防救援总队消防器材装备（破拆类第一批）采购项目</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进行公开招标，欢迎国内合格的供应商前来投标。</w:t>
      </w:r>
    </w:p>
    <w:p>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spacing w:line="360" w:lineRule="auto"/>
        <w:ind w:firstLine="482"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项目编号：</w:t>
      </w:r>
      <w:r>
        <w:rPr>
          <w:rFonts w:hint="eastAsia" w:ascii="宋体" w:hAnsi="宋体" w:eastAsia="宋体" w:cs="宋体"/>
          <w:bCs/>
          <w:color w:val="auto"/>
          <w:sz w:val="24"/>
          <w:szCs w:val="24"/>
          <w:highlight w:val="none"/>
          <w:lang w:eastAsia="zh-CN"/>
        </w:rPr>
        <w:t>ZJZN-SXF22178</w:t>
      </w:r>
    </w:p>
    <w:p>
      <w:pPr>
        <w:widowControl/>
        <w:spacing w:line="360" w:lineRule="auto"/>
        <w:ind w:firstLine="482"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项目名称：</w:t>
      </w:r>
      <w:r>
        <w:rPr>
          <w:rFonts w:hint="eastAsia" w:ascii="宋体" w:hAnsi="宋体" w:eastAsia="宋体" w:cs="宋体"/>
          <w:bCs/>
          <w:color w:val="auto"/>
          <w:sz w:val="24"/>
          <w:szCs w:val="24"/>
          <w:highlight w:val="none"/>
          <w:lang w:eastAsia="zh-CN"/>
        </w:rPr>
        <w:t>浙江省消防救援总队消防器材装备（破拆类第一批）采购项目</w:t>
      </w:r>
    </w:p>
    <w:p>
      <w:pPr>
        <w:widowControl/>
        <w:spacing w:line="360" w:lineRule="auto"/>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预算金额：</w:t>
      </w:r>
      <w:r>
        <w:rPr>
          <w:rFonts w:hint="eastAsia" w:ascii="宋体" w:hAnsi="宋体" w:cs="宋体"/>
          <w:bCs/>
          <w:color w:val="auto"/>
          <w:sz w:val="24"/>
          <w:szCs w:val="24"/>
          <w:highlight w:val="none"/>
          <w:lang w:val="en-US" w:eastAsia="zh-CN"/>
        </w:rPr>
        <w:t>3358.48</w:t>
      </w:r>
      <w:r>
        <w:rPr>
          <w:rFonts w:hint="eastAsia" w:ascii="宋体" w:hAnsi="宋体" w:eastAsia="宋体" w:cs="宋体"/>
          <w:bCs/>
          <w:color w:val="auto"/>
          <w:sz w:val="24"/>
          <w:szCs w:val="24"/>
          <w:highlight w:val="none"/>
          <w:lang w:val="en-US" w:eastAsia="zh-CN"/>
        </w:rPr>
        <w:t>万元</w:t>
      </w:r>
      <w:r>
        <w:rPr>
          <w:rFonts w:hint="eastAsia" w:ascii="宋体" w:hAnsi="宋体" w:eastAsia="宋体" w:cs="宋体"/>
          <w:bCs/>
          <w:color w:val="auto"/>
          <w:sz w:val="24"/>
          <w:szCs w:val="24"/>
          <w:highlight w:val="none"/>
        </w:rPr>
        <w:t>（人民币）</w:t>
      </w:r>
    </w:p>
    <w:p>
      <w:pPr>
        <w:widowControl/>
        <w:spacing w:line="360" w:lineRule="auto"/>
        <w:ind w:firstLine="482" w:firstLineChars="200"/>
        <w:jc w:val="left"/>
        <w:rPr>
          <w:rFonts w:hint="eastAsia" w:ascii="宋体" w:hAnsi="宋体" w:eastAsia="宋体" w:cs="宋体"/>
          <w:color w:val="auto"/>
          <w:highlight w:val="none"/>
          <w:lang w:eastAsia="zh-CN"/>
        </w:rPr>
      </w:pPr>
      <w:r>
        <w:rPr>
          <w:rFonts w:hint="eastAsia" w:ascii="宋体" w:hAnsi="宋体" w:eastAsia="宋体" w:cs="宋体"/>
          <w:b/>
          <w:color w:val="auto"/>
          <w:sz w:val="24"/>
          <w:szCs w:val="24"/>
          <w:highlight w:val="none"/>
        </w:rPr>
        <w:t>采购需求：</w:t>
      </w:r>
      <w:r>
        <w:rPr>
          <w:rFonts w:hint="eastAsia" w:ascii="宋体" w:hAnsi="宋体" w:eastAsia="宋体" w:cs="宋体"/>
          <w:color w:val="auto"/>
          <w:sz w:val="24"/>
          <w:szCs w:val="24"/>
          <w:highlight w:val="none"/>
        </w:rPr>
        <w:t>投标人可对一个或多个标项进行选择性投标，具体如下</w:t>
      </w:r>
      <w:r>
        <w:rPr>
          <w:rFonts w:hint="eastAsia" w:ascii="宋体" w:hAnsi="宋体" w:eastAsia="宋体" w:cs="宋体"/>
          <w:color w:val="auto"/>
          <w:sz w:val="24"/>
          <w:szCs w:val="24"/>
          <w:highlight w:val="none"/>
          <w:lang w:eastAsia="zh-CN"/>
        </w:rPr>
        <w:t>：</w:t>
      </w:r>
    </w:p>
    <w:tbl>
      <w:tblPr>
        <w:tblStyle w:val="33"/>
        <w:tblpPr w:leftFromText="180" w:rightFromText="180" w:vertAnchor="text" w:horzAnchor="page" w:tblpX="1528" w:tblpY="441"/>
        <w:tblOverlap w:val="never"/>
        <w:tblW w:w="9733" w:type="dxa"/>
        <w:tblInd w:w="0" w:type="dxa"/>
        <w:tblLayout w:type="fixed"/>
        <w:tblCellMar>
          <w:top w:w="0" w:type="dxa"/>
          <w:left w:w="108" w:type="dxa"/>
          <w:bottom w:w="0" w:type="dxa"/>
          <w:right w:w="108" w:type="dxa"/>
        </w:tblCellMar>
      </w:tblPr>
      <w:tblGrid>
        <w:gridCol w:w="653"/>
        <w:gridCol w:w="3035"/>
        <w:gridCol w:w="780"/>
        <w:gridCol w:w="730"/>
        <w:gridCol w:w="1060"/>
        <w:gridCol w:w="1133"/>
        <w:gridCol w:w="1404"/>
        <w:gridCol w:w="938"/>
      </w:tblGrid>
      <w:tr>
        <w:tblPrEx>
          <w:tblCellMar>
            <w:top w:w="0" w:type="dxa"/>
            <w:left w:w="108" w:type="dxa"/>
            <w:bottom w:w="0" w:type="dxa"/>
            <w:right w:w="108" w:type="dxa"/>
          </w:tblCellMar>
        </w:tblPrEx>
        <w:trPr>
          <w:trHeight w:val="66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标项</w:t>
            </w:r>
          </w:p>
        </w:tc>
        <w:tc>
          <w:tcPr>
            <w:tcW w:w="30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标项名称</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数量</w:t>
            </w:r>
          </w:p>
        </w:tc>
        <w:tc>
          <w:tcPr>
            <w:tcW w:w="73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left="0" w:leftChars="-95"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综合单价</w:t>
            </w:r>
          </w:p>
          <w:p>
            <w:pPr>
              <w:widowControl/>
              <w:spacing w:line="360" w:lineRule="auto"/>
              <w:ind w:left="0" w:leftChars="-95" w:hanging="199" w:hangingChars="95"/>
              <w:jc w:val="righ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万</w:t>
            </w:r>
            <w:r>
              <w:rPr>
                <w:rFonts w:hint="eastAsia" w:ascii="宋体" w:hAnsi="宋体" w:eastAsia="宋体" w:cs="宋体"/>
                <w:color w:val="auto"/>
                <w:kern w:val="0"/>
                <w:sz w:val="21"/>
                <w:szCs w:val="21"/>
                <w:highlight w:val="none"/>
              </w:rPr>
              <w:t>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合价</w:t>
            </w:r>
          </w:p>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万</w:t>
            </w:r>
            <w:r>
              <w:rPr>
                <w:rFonts w:hint="eastAsia" w:ascii="宋体" w:hAnsi="宋体" w:eastAsia="宋体" w:cs="宋体"/>
                <w:color w:val="auto"/>
                <w:kern w:val="0"/>
                <w:sz w:val="21"/>
                <w:szCs w:val="21"/>
                <w:highlight w:val="none"/>
              </w:rPr>
              <w:t>元）</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0" w:leftChars="-95" w:right="-34" w:rightChars="-16" w:hanging="199" w:hangingChars="95"/>
              <w:jc w:val="righ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简要规格描述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备注</w:t>
            </w: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救援支架</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0.650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74.1000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救生软梯</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0.100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9.0000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center"/>
              <w:rPr>
                <w:rFonts w:hint="eastAsia" w:ascii="宋体" w:hAnsi="宋体" w:eastAsia="宋体" w:cs="宋体"/>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90"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bookmarkStart w:id="1" w:name="_Hlk99280586"/>
            <w:r>
              <w:rPr>
                <w:rFonts w:hint="eastAsia" w:ascii="宋体" w:hAnsi="宋体" w:eastAsia="宋体" w:cs="宋体"/>
                <w:color w:val="auto"/>
                <w:sz w:val="21"/>
                <w:szCs w:val="21"/>
                <w:highlight w:val="none"/>
                <w:lang w:val="en-US" w:eastAsia="zh-CN"/>
              </w:rPr>
              <w:t>3</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消防轻型安全绳</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986</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0.030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auto"/>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29.5800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0" w:leftChars="-95" w:right="-34" w:rightChars="-16" w:hanging="199" w:hangingChars="95"/>
              <w:jc w:val="righ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righ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消防通用安全绳（按米报价））</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15300</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米</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0.003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45.9000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67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静力绳（按米报价）</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76000</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米</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0.005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380.0000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稳固保护附件 </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2.700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221.4000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气动起重气垫 A款</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434.0000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气动起重气垫 B款</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22.350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625.8000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液压破拆工具组（含双输出液压机动泵、扩张器、剪切器、液压剪扩器、撑顶器、液压管） A款</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组</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29.300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996.2000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ind w:left="-199" w:leftChars="-95" w:right="-46" w:rightChars="-22" w:firstLine="0" w:firstLineChars="0"/>
              <w:jc w:val="right"/>
              <w:rPr>
                <w:rFonts w:hint="eastAsia" w:ascii="宋体" w:hAnsi="宋体" w:eastAsia="宋体" w:cs="宋体"/>
                <w:color w:val="auto"/>
                <w:sz w:val="21"/>
                <w:szCs w:val="21"/>
                <w:highlight w:val="none"/>
                <w:lang w:val="en-US" w:eastAsia="zh-CN"/>
              </w:rPr>
            </w:pPr>
          </w:p>
        </w:tc>
      </w:tr>
      <w:tr>
        <w:tblPrEx>
          <w:tblCellMar>
            <w:top w:w="0" w:type="dxa"/>
            <w:left w:w="108" w:type="dxa"/>
            <w:bottom w:w="0" w:type="dxa"/>
            <w:right w:w="108" w:type="dxa"/>
          </w:tblCellMar>
        </w:tblPrEx>
        <w:trPr>
          <w:trHeight w:val="629"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p>
        </w:tc>
        <w:tc>
          <w:tcPr>
            <w:tcW w:w="30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支撑保护套具 </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7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542.5000 </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ind w:left="0" w:leftChars="-95" w:right="-34" w:rightChars="-16" w:hanging="199" w:hangingChars="95"/>
              <w:jc w:val="righ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详见采购需求</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auto"/>
                <w:sz w:val="21"/>
                <w:szCs w:val="21"/>
                <w:highlight w:val="none"/>
              </w:rPr>
            </w:pPr>
          </w:p>
        </w:tc>
      </w:tr>
      <w:bookmarkEnd w:id="1"/>
    </w:tbl>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 不接受 )联合体投标。</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合同履行期限：</w:t>
      </w:r>
      <w:r>
        <w:rPr>
          <w:rFonts w:hint="eastAsia" w:ascii="宋体" w:hAnsi="宋体" w:eastAsia="宋体" w:cs="宋体"/>
          <w:color w:val="auto"/>
          <w:sz w:val="24"/>
          <w:szCs w:val="24"/>
          <w:highlight w:val="none"/>
        </w:rPr>
        <w:t>合同签订后2个月内。</w:t>
      </w:r>
    </w:p>
    <w:p>
      <w:pPr>
        <w:widowControl/>
        <w:spacing w:line="360" w:lineRule="auto"/>
        <w:jc w:val="left"/>
        <w:rPr>
          <w:rFonts w:hint="eastAsia" w:ascii="宋体" w:hAnsi="宋体" w:eastAsia="宋体" w:cs="宋体"/>
          <w:b/>
          <w:bCs/>
          <w:color w:val="auto"/>
          <w:kern w:val="0"/>
          <w:sz w:val="24"/>
          <w:szCs w:val="24"/>
          <w:highlight w:val="none"/>
        </w:rPr>
      </w:pPr>
    </w:p>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sz w:val="24"/>
          <w:szCs w:val="24"/>
          <w:highlight w:val="none"/>
          <w:lang w:val="en-US" w:eastAsia="zh-CN"/>
        </w:rPr>
        <w:t>本项目为</w:t>
      </w:r>
      <w:r>
        <w:rPr>
          <w:rFonts w:hint="eastAsia" w:ascii="宋体" w:hAnsi="宋体" w:eastAsia="宋体" w:cs="宋体"/>
          <w:b w:val="0"/>
          <w:bCs w:val="0"/>
          <w:color w:val="auto"/>
          <w:sz w:val="24"/>
          <w:highlight w:val="none"/>
          <w:lang w:bidi="ar"/>
        </w:rPr>
        <w:t>专门面向中小企业</w:t>
      </w:r>
      <w:r>
        <w:rPr>
          <w:rFonts w:hint="eastAsia" w:ascii="宋体" w:hAnsi="宋体" w:cs="宋体"/>
          <w:b w:val="0"/>
          <w:bCs w:val="0"/>
          <w:color w:val="auto"/>
          <w:sz w:val="24"/>
          <w:highlight w:val="none"/>
          <w:lang w:eastAsia="zh-CN" w:bidi="ar"/>
        </w:rPr>
        <w:t>，</w:t>
      </w:r>
      <w:r>
        <w:rPr>
          <w:rFonts w:hint="eastAsia" w:ascii="宋体" w:hAnsi="宋体" w:cs="宋体"/>
          <w:color w:val="auto"/>
          <w:sz w:val="24"/>
          <w:highlight w:val="none"/>
        </w:rPr>
        <w:t>货物全部由符合政策要求的中小企业制造，提供中小企业声明函；</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3.本项目的特定资格要求：投标人未被“信用中国”（www.creditchina.gov.cn)、中国政府采购网（www.ccgp.gov.cn）列入失信被执行人、重大税收违法案件当事人名单、政府采购严重违法失信行为记录名单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szCs w:val="24"/>
          <w:highlight w:val="none"/>
          <w:lang w:eastAsia="zh-CN"/>
        </w:rPr>
        <w:t>。</w:t>
      </w:r>
    </w:p>
    <w:p>
      <w:pPr>
        <w:bidi w:val="0"/>
        <w:rPr>
          <w:rFonts w:hint="eastAsia"/>
          <w:color w:val="auto"/>
          <w:highlight w:val="none"/>
          <w:lang w:eastAsia="zh-CN"/>
        </w:rPr>
      </w:pPr>
    </w:p>
    <w:p>
      <w:pPr>
        <w:pStyle w:val="13"/>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日 至2022年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日，每天上午9:00至12:00，下午13:30至17:00（北京时间，法定节假日除外）</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rPr>
        <w:t>浙江中诺招标代理有限公司</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方式：（1）现场获取地点：杭州市</w:t>
      </w:r>
      <w:r>
        <w:rPr>
          <w:rFonts w:hint="eastAsia" w:ascii="宋体" w:hAnsi="宋体" w:eastAsia="宋体" w:cs="宋体"/>
          <w:color w:val="auto"/>
          <w:sz w:val="24"/>
          <w:szCs w:val="24"/>
          <w:highlight w:val="none"/>
          <w:lang w:eastAsia="zh-CN"/>
        </w:rPr>
        <w:t>环城北路</w:t>
      </w:r>
      <w:r>
        <w:rPr>
          <w:rFonts w:hint="eastAsia" w:ascii="宋体" w:hAnsi="宋体" w:eastAsia="宋体" w:cs="宋体"/>
          <w:color w:val="auto"/>
          <w:sz w:val="24"/>
          <w:szCs w:val="24"/>
          <w:highlight w:val="none"/>
        </w:rPr>
        <w:t>141号永通信息广场西写字楼10楼1002室； （2）电子邮件获取：（邮箱：</w:t>
      </w:r>
      <w:r>
        <w:rPr>
          <w:rFonts w:hint="eastAsia" w:ascii="宋体" w:hAnsi="宋体" w:eastAsia="宋体" w:cs="宋体"/>
          <w:color w:val="auto"/>
          <w:sz w:val="24"/>
          <w:szCs w:val="24"/>
          <w:highlight w:val="none"/>
          <w:lang w:eastAsia="zh-CN"/>
        </w:rPr>
        <w:t>wuzhijing@zngpa.cn</w:t>
      </w:r>
      <w:r>
        <w:rPr>
          <w:rFonts w:hint="eastAsia" w:ascii="宋体" w:hAnsi="宋体" w:eastAsia="宋体" w:cs="宋体"/>
          <w:color w:val="auto"/>
          <w:sz w:val="24"/>
          <w:szCs w:val="24"/>
          <w:highlight w:val="none"/>
        </w:rPr>
        <w:t>；备注获取相应项目采购文件名称、项目编号、联系人和联系电话，同时须致电采购代理机构进行确认，联系电话：0571-88821402</w:t>
      </w:r>
      <w:r>
        <w:rPr>
          <w:rFonts w:hint="eastAsia" w:ascii="宋体" w:hAnsi="宋体" w:eastAsia="宋体" w:cs="宋体"/>
          <w:color w:val="auto"/>
          <w:sz w:val="24"/>
          <w:szCs w:val="24"/>
          <w:highlight w:val="none"/>
          <w:lang w:val="en-US" w:eastAsia="zh-CN"/>
        </w:rPr>
        <w:t>-820</w:t>
      </w:r>
      <w:r>
        <w:rPr>
          <w:rFonts w:hint="eastAsia" w:ascii="宋体" w:hAnsi="宋体" w:eastAsia="宋体" w:cs="宋体"/>
          <w:color w:val="auto"/>
          <w:sz w:val="24"/>
          <w:szCs w:val="24"/>
          <w:highlight w:val="none"/>
        </w:rPr>
        <w:t>）。获取采购文件时应提供以下资料或扫描件：（1）有效期内的企业法人营业执照副本及复印件（加盖单位公章）； （2）法定代表人授权书（加盖单位公章）； （3）报名人有效身份证件复印件及联系方式（加盖单位公章）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）供应商报名登记表。</w:t>
      </w:r>
      <w:r>
        <w:rPr>
          <w:rFonts w:hint="eastAsia" w:ascii="宋体" w:hAnsi="宋体" w:eastAsia="宋体" w:cs="宋体"/>
          <w:color w:val="auto"/>
          <w:sz w:val="24"/>
          <w:szCs w:val="24"/>
          <w:highlight w:val="none"/>
          <w:lang w:val="en-US" w:eastAsia="zh-CN"/>
        </w:rPr>
        <w:t>代理公司将以邮箱的方式发送电子版招标文件，请投标人及时查收并邮件回复确认。</w:t>
      </w:r>
    </w:p>
    <w:p>
      <w:pPr>
        <w:pStyle w:val="32"/>
        <w:spacing w:line="360" w:lineRule="auto"/>
        <w:ind w:left="0" w:leftChars="0"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文件售价：¥300元，本公告包含的招标文件售价总和,</w:t>
      </w:r>
      <w:r>
        <w:rPr>
          <w:rFonts w:hint="eastAsia" w:ascii="宋体" w:hAnsi="宋体" w:eastAsia="宋体" w:cs="宋体"/>
          <w:color w:val="auto"/>
          <w:sz w:val="24"/>
          <w:szCs w:val="24"/>
          <w:highlight w:val="none"/>
        </w:rPr>
        <w:t>售后不退。</w:t>
      </w:r>
    </w:p>
    <w:p>
      <w:pPr>
        <w:widowControl/>
        <w:spacing w:line="360" w:lineRule="auto"/>
        <w:jc w:val="left"/>
        <w:rPr>
          <w:rFonts w:hint="eastAsia" w:ascii="宋体" w:hAnsi="宋体" w:eastAsia="宋体" w:cs="宋体"/>
          <w:b/>
          <w:bCs/>
          <w:color w:val="auto"/>
          <w:kern w:val="0"/>
          <w:sz w:val="24"/>
          <w:szCs w:val="24"/>
          <w:highlight w:val="none"/>
        </w:rPr>
      </w:pPr>
    </w:p>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四、提交投标文件截止时间、开标时间和地点</w:t>
      </w:r>
    </w:p>
    <w:p>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1、提交投标文件截止时间： 2022年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0分（北京时间）</w:t>
      </w:r>
    </w:p>
    <w:p>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2、开标时间：2022年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0分（北京时间）</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3、地点：浙江省绍兴市越城区育贤东路1188号浙江省消防救援总队训练与战勤保障支队（教学楼七楼阶梯会议室）</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投标文件提交</w:t>
      </w:r>
      <w:r>
        <w:rPr>
          <w:rFonts w:hint="eastAsia" w:ascii="宋体" w:hAnsi="宋体" w:eastAsia="宋体" w:cs="宋体"/>
          <w:color w:val="auto"/>
          <w:sz w:val="24"/>
          <w:szCs w:val="24"/>
          <w:highlight w:val="none"/>
        </w:rPr>
        <w:t>地址：浙江省绍兴市越城区育贤东路1188号浙江省消防救援总队训练与战勤保障支队（教学楼七楼阶梯会议室）联系人：</w:t>
      </w:r>
      <w:r>
        <w:rPr>
          <w:rFonts w:hint="eastAsia" w:ascii="宋体" w:hAnsi="宋体" w:eastAsia="宋体" w:cs="宋体"/>
          <w:color w:val="auto"/>
          <w:sz w:val="24"/>
          <w:szCs w:val="24"/>
          <w:highlight w:val="none"/>
          <w:lang w:val="en-US" w:eastAsia="zh-CN"/>
        </w:rPr>
        <w:t xml:space="preserve">吴女士，韦女士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18805716019,15869191496  </w:t>
      </w:r>
    </w:p>
    <w:p>
      <w:pPr>
        <w:widowControl/>
        <w:spacing w:line="360" w:lineRule="auto"/>
        <w:jc w:val="left"/>
        <w:rPr>
          <w:rFonts w:hint="eastAsia" w:ascii="宋体" w:hAnsi="宋体" w:eastAsia="宋体" w:cs="宋体"/>
          <w:b/>
          <w:bCs/>
          <w:color w:val="auto"/>
          <w:kern w:val="0"/>
          <w:sz w:val="24"/>
          <w:szCs w:val="24"/>
          <w:highlight w:val="none"/>
        </w:rPr>
      </w:pPr>
    </w:p>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五、公告期限</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bidi w:val="0"/>
        <w:rPr>
          <w:rFonts w:hint="eastAsia" w:ascii="宋体" w:hAnsi="宋体" w:eastAsia="宋体" w:cs="宋体"/>
          <w:color w:val="auto"/>
          <w:highlight w:val="none"/>
        </w:rPr>
      </w:pPr>
    </w:p>
    <w:p>
      <w:pPr>
        <w:widowControl/>
        <w:numPr>
          <w:ilvl w:val="0"/>
          <w:numId w:val="4"/>
        </w:numPr>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其他补充事宜</w:t>
      </w:r>
    </w:p>
    <w:p>
      <w:pPr>
        <w:pStyle w:val="14"/>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获取采购文件时汇款请在用途栏中注明项目编号：</w:t>
      </w:r>
      <w:r>
        <w:rPr>
          <w:rFonts w:hint="eastAsia" w:ascii="宋体" w:hAnsi="宋体" w:eastAsia="宋体" w:cs="宋体"/>
          <w:color w:val="auto"/>
          <w:sz w:val="24"/>
          <w:szCs w:val="24"/>
          <w:highlight w:val="none"/>
          <w:lang w:eastAsia="zh-CN"/>
        </w:rPr>
        <w:t>ZJZN-SXF22178</w:t>
      </w:r>
    </w:p>
    <w:p>
      <w:pPr>
        <w:pStyle w:val="14"/>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代理机构账户信息：</w:t>
      </w:r>
    </w:p>
    <w:p>
      <w:pPr>
        <w:pStyle w:val="14"/>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收款单位（户名）：浙江中诺招标代理有限公司</w:t>
      </w:r>
    </w:p>
    <w:p>
      <w:pPr>
        <w:tabs>
          <w:tab w:val="left" w:pos="735"/>
        </w:tabs>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开户银行：中信银行杭州玉泉支行</w:t>
      </w:r>
    </w:p>
    <w:p>
      <w:pPr>
        <w:tabs>
          <w:tab w:val="left" w:pos="73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zh-CN"/>
        </w:rPr>
        <w:t>银行账号：8110801012600973488</w:t>
      </w:r>
    </w:p>
    <w:p>
      <w:pPr>
        <w:pStyle w:val="14"/>
        <w:numPr>
          <w:ilvl w:val="0"/>
          <w:numId w:val="5"/>
        </w:numPr>
        <w:spacing w:line="360" w:lineRule="auto"/>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未按采购公告规定获取采购文件的投标将被拒绝。</w:t>
      </w:r>
    </w:p>
    <w:p>
      <w:pPr>
        <w:pStyle w:val="14"/>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4.单位负责人为同一人或者存在直接控股、管理关系的不同供应商，不得同时参加同一合同项下的投标。</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5.为项目提供整体设计、规范编制或者项目管理、监理、检测等服务的供应商，不得再参加该采购项目的其他采购活动。</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6.投标人不得为列入失信被执行人、重大税收违法案件当事人名单、政府采购严重违法失信行为记录名单的供应商。</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（1）信用信息查询渠道：“信用中国”网站（www.creditchina.gov.cn）、中国政府采购网（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9"/>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（2）信用信息查询截止时点：开标日由采购人或采购代理查询投标人的信用信息记录。</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（3）信用信息查询记录和证据留存的具体方式：信用信息查询记录将以网站截图打印稿形式与其他采购文件一并保存。</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p>
    <w:p>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7.本项目不收取投标保证金。</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8.本项目执行促进中小企业发展、优先采购节能产品、优先采购环境标志产品政策。</w:t>
      </w:r>
    </w:p>
    <w:p>
      <w:pPr>
        <w:pStyle w:val="14"/>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9.本项目相关公告在发布媒体：中国政府采购网(www.ccgp.gov.cn/)和浙江政府采购网（zfcg.czt.zj.gov.cn/）。相关公告在法定媒体上公布之日即视为有效送达，请各投标人及时关注。</w:t>
      </w:r>
    </w:p>
    <w:p>
      <w:pPr>
        <w:pStyle w:val="21"/>
        <w:rPr>
          <w:rFonts w:hint="eastAsia" w:ascii="宋体" w:hAnsi="宋体" w:eastAsia="宋体" w:cs="宋体"/>
          <w:color w:val="auto"/>
          <w:highlight w:val="none"/>
        </w:rPr>
      </w:pPr>
    </w:p>
    <w:p>
      <w:pPr>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称：浙江省消防救援总队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地址：杭州市文晖路319号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李</w:t>
      </w:r>
      <w:r>
        <w:rPr>
          <w:rFonts w:hint="eastAsia" w:ascii="宋体" w:hAnsi="宋体" w:eastAsia="宋体" w:cs="宋体"/>
          <w:color w:val="auto"/>
          <w:sz w:val="24"/>
          <w:szCs w:val="24"/>
          <w:highlight w:val="none"/>
        </w:rPr>
        <w:t>先生0571-</w:t>
      </w:r>
      <w:r>
        <w:rPr>
          <w:rFonts w:hint="eastAsia" w:ascii="宋体" w:hAnsi="宋体" w:eastAsia="宋体" w:cs="宋体"/>
          <w:color w:val="auto"/>
          <w:sz w:val="24"/>
          <w:szCs w:val="24"/>
          <w:highlight w:val="none"/>
          <w:lang w:eastAsia="zh-CN"/>
        </w:rPr>
        <w:t>85863568</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浙江中诺招标代理有限公司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地址：杭州市</w:t>
      </w:r>
      <w:r>
        <w:rPr>
          <w:rFonts w:hint="eastAsia" w:ascii="宋体" w:hAnsi="宋体" w:eastAsia="宋体" w:cs="宋体"/>
          <w:color w:val="auto"/>
          <w:sz w:val="24"/>
          <w:szCs w:val="24"/>
          <w:highlight w:val="none"/>
          <w:lang w:eastAsia="zh-CN"/>
        </w:rPr>
        <w:t>环城北路</w:t>
      </w:r>
      <w:r>
        <w:rPr>
          <w:rFonts w:hint="eastAsia" w:ascii="宋体" w:hAnsi="宋体" w:eastAsia="宋体" w:cs="宋体"/>
          <w:color w:val="auto"/>
          <w:sz w:val="24"/>
          <w:szCs w:val="24"/>
          <w:highlight w:val="none"/>
        </w:rPr>
        <w:t>141号永通信息广场西10楼</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传真：0571-88821402-820</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Style w:val="108"/>
          <w:rFonts w:hint="eastAsia" w:ascii="宋体" w:hAnsi="宋体" w:eastAsia="宋体" w:cs="宋体"/>
          <w:color w:val="auto"/>
          <w:sz w:val="24"/>
          <w:szCs w:val="24"/>
          <w:highlight w:val="none"/>
        </w:rPr>
        <w:t>项目联系人：吴</w:t>
      </w:r>
      <w:r>
        <w:rPr>
          <w:rFonts w:hint="eastAsia" w:ascii="宋体" w:hAnsi="宋体" w:eastAsia="宋体" w:cs="宋体"/>
          <w:color w:val="auto"/>
          <w:sz w:val="24"/>
          <w:szCs w:val="24"/>
          <w:highlight w:val="none"/>
          <w:lang w:val="en-US" w:eastAsia="zh-CN"/>
        </w:rPr>
        <w:t>女士</w:t>
      </w:r>
      <w:r>
        <w:rPr>
          <w:rStyle w:val="108"/>
          <w:rFonts w:hint="eastAsia" w:ascii="宋体" w:hAnsi="宋体" w:eastAsia="宋体" w:cs="宋体"/>
          <w:color w:val="auto"/>
          <w:sz w:val="24"/>
          <w:szCs w:val="24"/>
          <w:highlight w:val="none"/>
          <w:lang w:eastAsia="zh-CN"/>
        </w:rPr>
        <w:t>、</w:t>
      </w:r>
      <w:r>
        <w:rPr>
          <w:rStyle w:val="108"/>
          <w:rFonts w:hint="eastAsia" w:ascii="宋体" w:hAnsi="宋体" w:eastAsia="宋体" w:cs="宋体"/>
          <w:color w:val="auto"/>
          <w:sz w:val="24"/>
          <w:szCs w:val="24"/>
          <w:highlight w:val="none"/>
          <w:lang w:val="en-US" w:eastAsia="zh-CN"/>
        </w:rPr>
        <w:t>韦</w:t>
      </w:r>
      <w:r>
        <w:rPr>
          <w:rFonts w:hint="eastAsia" w:ascii="宋体" w:hAnsi="宋体" w:eastAsia="宋体" w:cs="宋体"/>
          <w:color w:val="auto"/>
          <w:sz w:val="24"/>
          <w:szCs w:val="24"/>
          <w:highlight w:val="none"/>
          <w:lang w:val="en-US" w:eastAsia="zh-CN"/>
        </w:rPr>
        <w:t>女士</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Style w:val="108"/>
          <w:rFonts w:hint="eastAsia" w:ascii="宋体" w:hAnsi="宋体" w:eastAsia="宋体" w:cs="宋体"/>
          <w:color w:val="auto"/>
          <w:sz w:val="24"/>
          <w:szCs w:val="24"/>
          <w:highlight w:val="none"/>
          <w:lang w:val="en-US" w:eastAsia="zh-CN"/>
        </w:rPr>
      </w:pPr>
      <w:r>
        <w:rPr>
          <w:rStyle w:val="108"/>
          <w:rFonts w:hint="eastAsia" w:ascii="宋体" w:hAnsi="宋体" w:eastAsia="宋体" w:cs="宋体"/>
          <w:color w:val="auto"/>
          <w:sz w:val="24"/>
          <w:szCs w:val="24"/>
          <w:highlight w:val="none"/>
        </w:rPr>
        <w:t>项目方式：0571-88821402</w:t>
      </w:r>
      <w:r>
        <w:rPr>
          <w:rStyle w:val="108"/>
          <w:rFonts w:hint="eastAsia" w:ascii="宋体" w:hAnsi="宋体" w:eastAsia="宋体" w:cs="宋体"/>
          <w:color w:val="auto"/>
          <w:sz w:val="24"/>
          <w:szCs w:val="24"/>
          <w:highlight w:val="none"/>
          <w:lang w:val="en-US" w:eastAsia="zh-CN"/>
        </w:rPr>
        <w:t>-808、801</w:t>
      </w:r>
    </w:p>
    <w:p>
      <w:pPr>
        <w:pStyle w:val="2"/>
        <w:rPr>
          <w:rFonts w:hint="eastAsia" w:ascii="宋体" w:hAnsi="宋体" w:eastAsia="宋体" w:cs="宋体"/>
          <w:color w:val="auto"/>
          <w:highlight w:val="none"/>
        </w:rPr>
      </w:pPr>
    </w:p>
    <w:p>
      <w:pPr>
        <w:snapToGrid w:val="0"/>
        <w:spacing w:line="360" w:lineRule="auto"/>
        <w:ind w:left="238"/>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浙江省消防救援总队</w:t>
      </w:r>
    </w:p>
    <w:p>
      <w:pPr>
        <w:snapToGrid w:val="0"/>
        <w:spacing w:line="360" w:lineRule="auto"/>
        <w:ind w:left="238"/>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eastAsia="zh-CN"/>
        </w:rPr>
        <w:t>浙江中诺招标代理有限公司</w:t>
      </w:r>
      <w:r>
        <w:rPr>
          <w:rFonts w:hint="eastAsia" w:ascii="宋体" w:hAnsi="宋体" w:eastAsia="宋体" w:cs="宋体"/>
          <w:bCs/>
          <w:color w:val="auto"/>
          <w:sz w:val="24"/>
          <w:highlight w:val="none"/>
        </w:rPr>
        <w:t xml:space="preserve"> </w:t>
      </w:r>
    </w:p>
    <w:p>
      <w:pPr>
        <w:snapToGrid w:val="0"/>
        <w:spacing w:line="360" w:lineRule="auto"/>
        <w:ind w:left="238"/>
        <w:jc w:val="right"/>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t xml:space="preserve"> 二○二二年</w:t>
      </w:r>
      <w:r>
        <w:rPr>
          <w:rFonts w:hint="eastAsia" w:ascii="宋体" w:hAnsi="宋体" w:eastAsia="宋体" w:cs="宋体"/>
          <w:bCs/>
          <w:color w:val="auto"/>
          <w:sz w:val="24"/>
          <w:highlight w:val="none"/>
          <w:lang w:val="en-US" w:eastAsia="zh-CN"/>
        </w:rPr>
        <w:t>十</w:t>
      </w:r>
      <w:r>
        <w:rPr>
          <w:rFonts w:hint="eastAsia" w:ascii="宋体" w:hAnsi="宋体" w:cs="宋体"/>
          <w:bCs/>
          <w:color w:val="auto"/>
          <w:sz w:val="24"/>
          <w:highlight w:val="none"/>
          <w:lang w:val="en-US" w:eastAsia="zh-CN"/>
        </w:rPr>
        <w:t>二</w:t>
      </w:r>
      <w:r>
        <w:rPr>
          <w:rFonts w:hint="eastAsia" w:ascii="宋体" w:hAnsi="宋体" w:eastAsia="宋体" w:cs="宋体"/>
          <w:bCs/>
          <w:color w:val="auto"/>
          <w:sz w:val="24"/>
          <w:highlight w:val="none"/>
        </w:rPr>
        <w:t>月</w:t>
      </w:r>
    </w:p>
    <w:p>
      <w:pPr>
        <w:spacing w:line="288" w:lineRule="auto"/>
        <w:jc w:val="center"/>
        <w:outlineLvl w:val="0"/>
        <w:rPr>
          <w:rFonts w:hint="eastAsia" w:ascii="宋体" w:hAnsi="宋体" w:eastAsia="宋体" w:cs="宋体"/>
          <w:b/>
          <w:color w:val="auto"/>
          <w:sz w:val="32"/>
          <w:szCs w:val="32"/>
          <w:highlight w:val="none"/>
        </w:rPr>
        <w:sectPr>
          <w:footerReference r:id="rId10" w:type="firs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 w:name="_Toc30575"/>
    </w:p>
    <w:p>
      <w:pPr>
        <w:spacing w:line="288"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第二部分  投标人须知</w:t>
      </w:r>
      <w:bookmarkEnd w:id="2"/>
    </w:p>
    <w:p>
      <w:pPr>
        <w:spacing w:line="288"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 附 表</w:t>
      </w:r>
    </w:p>
    <w:tbl>
      <w:tblPr>
        <w:tblStyle w:val="33"/>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1251"/>
        <w:gridCol w:w="73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序号</w:t>
            </w:r>
          </w:p>
        </w:tc>
        <w:tc>
          <w:tcPr>
            <w:tcW w:w="12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内容</w:t>
            </w:r>
          </w:p>
        </w:tc>
        <w:tc>
          <w:tcPr>
            <w:tcW w:w="73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1</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项目名称</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jc w:val="left"/>
              <w:rPr>
                <w:rFonts w:hint="eastAsia" w:ascii="宋体" w:hAnsi="宋体" w:eastAsia="宋体" w:cs="宋体"/>
                <w:color w:val="auto"/>
                <w:spacing w:val="-6"/>
                <w:sz w:val="24"/>
                <w:szCs w:val="24"/>
                <w:highlight w:val="none"/>
                <w:lang w:eastAsia="zh-CN"/>
              </w:rPr>
            </w:pPr>
            <w:r>
              <w:rPr>
                <w:rFonts w:hint="eastAsia" w:ascii="宋体" w:hAnsi="宋体" w:eastAsia="宋体" w:cs="宋体"/>
                <w:b/>
                <w:bCs/>
                <w:color w:val="auto"/>
                <w:sz w:val="24"/>
                <w:szCs w:val="24"/>
                <w:highlight w:val="none"/>
                <w:lang w:eastAsia="zh-CN"/>
              </w:rPr>
              <w:t>浙江省消防救援总队消防器材装备（破拆类第一批）采购项目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2</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项目编号</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eastAsia="zh-CN"/>
              </w:rPr>
              <w:t>ZJZN-SXF22178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3</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采购内容</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浙江省消防救援总队消防器材装备（破拆类第一批）采购项目</w:t>
            </w:r>
            <w:r>
              <w:rPr>
                <w:rFonts w:hint="eastAsia" w:ascii="宋体" w:hAnsi="宋体" w:eastAsia="宋体" w:cs="宋体"/>
                <w:color w:val="auto"/>
                <w:spacing w:val="-6"/>
                <w:sz w:val="24"/>
                <w:szCs w:val="24"/>
                <w:highlight w:val="none"/>
              </w:rPr>
              <w:t>，详见第三部分采购需求。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4</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交货期</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合同签订后2个月内。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5</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项目预算</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人民币</w:t>
            </w:r>
            <w:r>
              <w:rPr>
                <w:rFonts w:hint="eastAsia" w:ascii="宋体" w:hAnsi="宋体" w:cs="宋体"/>
                <w:bCs/>
                <w:color w:val="auto"/>
                <w:sz w:val="24"/>
                <w:szCs w:val="24"/>
                <w:highlight w:val="none"/>
                <w:lang w:val="en-US" w:eastAsia="zh-CN"/>
              </w:rPr>
              <w:t>3358.48</w:t>
            </w:r>
            <w:r>
              <w:rPr>
                <w:rFonts w:hint="eastAsia" w:ascii="宋体" w:hAnsi="宋体" w:eastAsia="宋体" w:cs="宋体"/>
                <w:bCs/>
                <w:color w:val="auto"/>
                <w:sz w:val="24"/>
                <w:szCs w:val="24"/>
                <w:highlight w:val="none"/>
                <w:lang w:val="en-US" w:eastAsia="zh-CN"/>
              </w:rPr>
              <w:t>万元</w:t>
            </w:r>
            <w:r>
              <w:rPr>
                <w:rFonts w:hint="eastAsia" w:ascii="宋体" w:hAnsi="宋体" w:eastAsia="宋体" w:cs="宋体"/>
                <w:color w:val="auto"/>
                <w:spacing w:val="-6"/>
                <w:sz w:val="24"/>
                <w:szCs w:val="24"/>
                <w:highlight w:val="none"/>
              </w:rPr>
              <w:t>。</w:t>
            </w:r>
            <w:r>
              <w:rPr>
                <w:rFonts w:hint="eastAsia" w:ascii="宋体" w:hAnsi="宋体" w:eastAsia="宋体" w:cs="宋体"/>
                <w:b/>
                <w:color w:val="auto"/>
                <w:sz w:val="24"/>
                <w:szCs w:val="24"/>
                <w:highlight w:val="none"/>
              </w:rPr>
              <w:t>投标报价超过预算金额的，其投标文件将被否决。投标报价超过最高限价的，其投标文件将被否决。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6</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投标报价及费用</w:t>
            </w:r>
          </w:p>
          <w:p>
            <w:pPr>
              <w:snapToGrid w:val="0"/>
              <w:spacing w:line="360" w:lineRule="auto"/>
              <w:jc w:val="center"/>
              <w:rPr>
                <w:rFonts w:hint="eastAsia" w:ascii="宋体" w:hAnsi="宋体" w:eastAsia="宋体" w:cs="宋体"/>
                <w:b/>
                <w:bCs/>
                <w:color w:val="auto"/>
                <w:spacing w:val="-6"/>
                <w:sz w:val="24"/>
                <w:szCs w:val="24"/>
                <w:highlight w:val="none"/>
              </w:rPr>
            </w:pP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1、本项目投标应以人民币报价；</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2、不论投标结果如何，投标人均应自行承担所有与投标有关的全部费用。</w:t>
            </w:r>
            <w:r>
              <w:rPr>
                <w:rFonts w:hint="eastAsia" w:ascii="宋体" w:hAnsi="宋体" w:eastAsia="宋体" w:cs="宋体"/>
                <w:b/>
                <w:bCs/>
                <w:color w:val="auto"/>
                <w:spacing w:val="-6"/>
                <w:sz w:val="24"/>
                <w:szCs w:val="24"/>
                <w:highlight w:val="none"/>
              </w:rPr>
              <w:t>▲</w:t>
            </w:r>
            <w:r>
              <w:rPr>
                <w:rFonts w:hint="eastAsia" w:ascii="宋体" w:hAnsi="宋体" w:eastAsia="宋体" w:cs="宋体"/>
                <w:b/>
                <w:color w:val="auto"/>
                <w:sz w:val="24"/>
                <w:szCs w:val="24"/>
                <w:highlight w:val="none"/>
              </w:rPr>
              <w:t>评标委员会认为其报价明显低于其他通过符合性审查投标人的报价，且投标人不能证明其报价合理性，有可能影响产品质量或者不能诚信履约的，其投标无效。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7</w:t>
            </w:r>
          </w:p>
        </w:tc>
        <w:tc>
          <w:tcPr>
            <w:tcW w:w="12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开标</w:t>
            </w:r>
          </w:p>
          <w:p>
            <w:pPr>
              <w:adjustRightInd w:val="0"/>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安排</w:t>
            </w:r>
          </w:p>
        </w:tc>
        <w:tc>
          <w:tcPr>
            <w:tcW w:w="7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开标时间：2022年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0分（北京时间）</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2、开标地点：浙江省绍兴市越城区育贤东路1188号浙江省消防救援总队训练与战勤保障支队（教学楼七楼阶梯会议室）</w:t>
            </w:r>
          </w:p>
          <w:p>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样品接受：因标项较多，于2022年12月16日9：30-17：00接收样品</w:t>
            </w:r>
            <w:r>
              <w:rPr>
                <w:rFonts w:hint="eastAsia" w:ascii="宋体" w:hAnsi="宋体" w:eastAsia="宋体" w:cs="宋体"/>
                <w:color w:val="auto"/>
                <w:sz w:val="24"/>
                <w:szCs w:val="24"/>
                <w:highlight w:val="none"/>
                <w:lang w:val="en-US" w:eastAsia="zh-CN"/>
              </w:rPr>
              <w:t>，递交的样品应包装完整、牢固不易脱落，若因包装问题在移动、搬运过程中造成遗失或破损的，由投标人承担。须确保在截止时间前送达，未按时送达的按未提供样品认定。</w:t>
            </w:r>
          </w:p>
          <w:p>
            <w:pPr>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4、投标文件接受：因标项较多，于2022年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val="en-US" w:eastAsia="zh-CN"/>
              </w:rPr>
              <w:t>点</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0</w:t>
            </w:r>
            <w:r>
              <w:rPr>
                <w:rFonts w:hint="eastAsia" w:ascii="宋体" w:hAnsi="宋体" w:cs="宋体"/>
                <w:b/>
                <w:bCs/>
                <w:color w:val="auto"/>
                <w:sz w:val="24"/>
                <w:szCs w:val="24"/>
                <w:highlight w:val="none"/>
                <w:lang w:val="en-US" w:eastAsia="zh-CN"/>
              </w:rPr>
              <w:t>分-15点30</w:t>
            </w:r>
            <w:r>
              <w:rPr>
                <w:rFonts w:hint="eastAsia" w:ascii="宋体" w:hAnsi="宋体" w:eastAsia="宋体" w:cs="宋体"/>
                <w:b/>
                <w:bCs/>
                <w:color w:val="auto"/>
                <w:sz w:val="24"/>
                <w:szCs w:val="24"/>
                <w:highlight w:val="none"/>
                <w:lang w:val="en-US" w:eastAsia="zh-CN"/>
              </w:rPr>
              <w:t>分接收投标文件。</w:t>
            </w:r>
            <w:r>
              <w:rPr>
                <w:rFonts w:hint="eastAsia" w:ascii="宋体" w:hAnsi="宋体" w:eastAsia="宋体" w:cs="宋体"/>
                <w:color w:val="auto"/>
                <w:sz w:val="24"/>
                <w:szCs w:val="24"/>
                <w:highlight w:val="none"/>
                <w:lang w:val="en-US" w:eastAsia="zh-CN"/>
              </w:rPr>
              <w:t>递交的投标文件应包装完整、牢固不易脱落，若因包装问题在移动、搬运过程中造成遗失或破损的，由投标人承担。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8</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投标</w:t>
            </w:r>
          </w:p>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保证金</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9</w:t>
            </w:r>
          </w:p>
        </w:tc>
        <w:tc>
          <w:tcPr>
            <w:tcW w:w="12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textAlignment w:val="bottom"/>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投标文件份数</w:t>
            </w:r>
          </w:p>
        </w:tc>
        <w:tc>
          <w:tcPr>
            <w:tcW w:w="7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投标文件由</w:t>
            </w:r>
            <w:r>
              <w:rPr>
                <w:rFonts w:hint="eastAsia" w:ascii="宋体" w:hAnsi="宋体" w:eastAsia="宋体" w:cs="宋体"/>
                <w:color w:val="auto"/>
                <w:spacing w:val="-6"/>
                <w:sz w:val="24"/>
                <w:szCs w:val="24"/>
                <w:highlight w:val="none"/>
                <w:lang w:val="en-US" w:eastAsia="zh-CN"/>
              </w:rPr>
              <w:t>资格文件、</w:t>
            </w:r>
            <w:r>
              <w:rPr>
                <w:rFonts w:hint="eastAsia" w:ascii="宋体" w:hAnsi="宋体" w:eastAsia="宋体" w:cs="宋体"/>
                <w:color w:val="auto"/>
                <w:spacing w:val="-6"/>
                <w:sz w:val="24"/>
                <w:szCs w:val="24"/>
                <w:highlight w:val="none"/>
              </w:rPr>
              <w:t>商务技术文件、报价文件三部分组成，三部分合并成一册，其中正本1份，</w:t>
            </w:r>
            <w:r>
              <w:rPr>
                <w:rFonts w:hint="eastAsia" w:ascii="宋体" w:hAnsi="宋体" w:eastAsia="宋体" w:cs="宋体"/>
                <w:color w:val="auto"/>
                <w:spacing w:val="-6"/>
                <w:sz w:val="24"/>
                <w:szCs w:val="24"/>
                <w:highlight w:val="none"/>
                <w:lang w:eastAsia="zh-CN"/>
              </w:rPr>
              <w:t>副本3份</w:t>
            </w:r>
            <w:r>
              <w:rPr>
                <w:rFonts w:hint="eastAsia" w:ascii="宋体" w:hAnsi="宋体" w:eastAsia="宋体" w:cs="宋体"/>
                <w:color w:val="auto"/>
                <w:spacing w:val="-6"/>
                <w:sz w:val="24"/>
                <w:szCs w:val="24"/>
                <w:highlight w:val="none"/>
              </w:rPr>
              <w:t>。</w:t>
            </w:r>
          </w:p>
          <w:p>
            <w:pPr>
              <w:adjustRightInd w:val="0"/>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提供电子版投标文件U盘一份（含word版本，盖章扫描件pdf版本各一份），单独密封包装。</w:t>
            </w:r>
          </w:p>
          <w:p>
            <w:pPr>
              <w:adjustRightInd w:val="0"/>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注：按标项装订标书。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10</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投标文件装订要求</w:t>
            </w:r>
          </w:p>
        </w:tc>
        <w:tc>
          <w:tcPr>
            <w:tcW w:w="73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资格证明文件、商务技术文件、报价文件的</w:t>
            </w:r>
            <w:r>
              <w:rPr>
                <w:rFonts w:hint="eastAsia" w:ascii="宋体" w:hAnsi="宋体" w:eastAsia="宋体" w:cs="宋体"/>
                <w:b/>
                <w:color w:val="auto"/>
                <w:sz w:val="24"/>
                <w:szCs w:val="24"/>
                <w:highlight w:val="none"/>
              </w:rPr>
              <w:t>纸质版</w:t>
            </w:r>
            <w:r>
              <w:rPr>
                <w:rFonts w:hint="eastAsia" w:ascii="宋体" w:hAnsi="宋体" w:eastAsia="宋体" w:cs="宋体"/>
                <w:color w:val="auto"/>
                <w:sz w:val="24"/>
                <w:szCs w:val="24"/>
                <w:highlight w:val="none"/>
                <w:lang w:val="en-US" w:eastAsia="zh-CN"/>
              </w:rPr>
              <w:t>建议</w:t>
            </w:r>
            <w:r>
              <w:rPr>
                <w:rFonts w:hint="eastAsia" w:ascii="宋体" w:hAnsi="宋体" w:eastAsia="宋体" w:cs="宋体"/>
                <w:color w:val="auto"/>
                <w:spacing w:val="-6"/>
                <w:sz w:val="24"/>
                <w:szCs w:val="24"/>
                <w:highlight w:val="none"/>
              </w:rPr>
              <w:t>合并成一册</w:t>
            </w:r>
            <w:r>
              <w:rPr>
                <w:rFonts w:hint="eastAsia" w:ascii="宋体" w:hAnsi="宋体" w:eastAsia="宋体" w:cs="宋体"/>
                <w:color w:val="auto"/>
                <w:sz w:val="24"/>
                <w:szCs w:val="24"/>
                <w:highlight w:val="none"/>
              </w:rPr>
              <w:t>，采用胶装，不得采用活页装订。采用活页装订的投标文件由现场工作人员退还投标人代表。</w:t>
            </w:r>
          </w:p>
          <w:p>
            <w:pPr>
              <w:autoSpaceDE w:val="0"/>
              <w:autoSpaceDN w:val="0"/>
              <w:adjustRightIn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u w:val="single"/>
              </w:rPr>
              <w:t>注：副本的封面应加盖公章，副本的其他部分可以是正本的复印件</w:t>
            </w:r>
            <w:r>
              <w:rPr>
                <w:rFonts w:hint="eastAsia" w:ascii="宋体" w:hAnsi="宋体" w:eastAsia="宋体" w:cs="宋体"/>
                <w:b/>
                <w:color w:val="auto"/>
                <w:sz w:val="24"/>
                <w:szCs w:val="24"/>
                <w:highlight w:val="none"/>
                <w:u w:val="single"/>
                <w:lang w:eastAsia="zh-CN"/>
              </w:rPr>
              <w:t>，文本内容清晰可见</w:t>
            </w:r>
            <w:r>
              <w:rPr>
                <w:rFonts w:hint="eastAsia" w:ascii="宋体" w:hAnsi="宋体" w:eastAsia="宋体" w:cs="宋体"/>
                <w:b/>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6"/>
                <w:sz w:val="24"/>
                <w:szCs w:val="24"/>
                <w:highlight w:val="none"/>
                <w:lang w:val="en-US" w:eastAsia="zh-CN"/>
              </w:rPr>
              <w:t>1</w:t>
            </w:r>
          </w:p>
        </w:tc>
        <w:tc>
          <w:tcPr>
            <w:tcW w:w="125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样品</w:t>
            </w:r>
          </w:p>
          <w:p>
            <w:pPr>
              <w:adjustRightInd w:val="0"/>
              <w:spacing w:line="360" w:lineRule="auto"/>
              <w:jc w:val="center"/>
              <w:rPr>
                <w:rFonts w:hint="eastAsia" w:ascii="宋体" w:hAnsi="宋体" w:eastAsia="宋体" w:cs="宋体"/>
                <w:b/>
                <w:bCs/>
                <w:color w:val="auto"/>
                <w:spacing w:val="-6"/>
                <w:sz w:val="24"/>
                <w:szCs w:val="24"/>
                <w:highlight w:val="none"/>
              </w:rPr>
            </w:pPr>
          </w:p>
        </w:tc>
        <w:tc>
          <w:tcPr>
            <w:tcW w:w="73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rPr>
              <w:t>标项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提供样品一件（套），未提供样品、样品不全或样品与采购要求或投标文件中不相符的样品评分为0分</w:t>
            </w:r>
            <w:r>
              <w:rPr>
                <w:rFonts w:hint="eastAsia" w:ascii="宋体" w:hAnsi="宋体" w:eastAsia="宋体" w:cs="宋体"/>
                <w:color w:val="auto"/>
                <w:sz w:val="24"/>
                <w:szCs w:val="24"/>
                <w:highlight w:val="none"/>
                <w:lang w:eastAsia="zh-CN"/>
              </w:rPr>
              <w:t>，无需样品比对测试的标项不需送样（</w:t>
            </w:r>
            <w:r>
              <w:rPr>
                <w:rFonts w:hint="eastAsia" w:ascii="宋体" w:hAnsi="宋体" w:eastAsia="宋体" w:cs="宋体"/>
                <w:color w:val="auto"/>
                <w:sz w:val="24"/>
                <w:szCs w:val="24"/>
                <w:highlight w:val="none"/>
                <w:lang w:val="en-US" w:eastAsia="zh-CN"/>
              </w:rPr>
              <w:t>本项目标项二救生软梯无需提供样品）</w:t>
            </w:r>
            <w:r>
              <w:rPr>
                <w:rFonts w:hint="eastAsia" w:ascii="宋体" w:hAnsi="宋体" w:eastAsia="宋体" w:cs="宋体"/>
                <w:color w:val="auto"/>
                <w:sz w:val="24"/>
                <w:szCs w:val="24"/>
                <w:highlight w:val="none"/>
              </w:rPr>
              <w:t>；</w:t>
            </w:r>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2、本项目样品采用暗标评审方式进行，所提供样品的外形或包装上均不得出现任何能反映品牌或公司信息的标识，如在递交样品之后仍发现的，样品得分为0分。</w:t>
            </w:r>
            <w:bookmarkStart w:id="125" w:name="_GoBack"/>
            <w:bookmarkEnd w:id="125"/>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3、供应商应仔细核对并确保参与标项及递交样品的一致性，避免造成参与标项但未提供样品（坚持参与但不提供样品的应提前说明）或不参与标项仍提供样品的情形及样品分得0分的风险。</w:t>
            </w:r>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4、样品提交要求：递交样品时需同时递交投标样品清单（样品清单须包含正面、背面、左侧面45度角清晰照片三张）、递交投标响应文件/样品登记表（表格见附件）。</w:t>
            </w:r>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样品递交：</w:t>
            </w:r>
            <w:r>
              <w:rPr>
                <w:rFonts w:hint="eastAsia" w:ascii="宋体" w:hAnsi="宋体" w:eastAsia="宋体" w:cs="宋体"/>
                <w:b/>
                <w:bCs/>
                <w:color w:val="auto"/>
                <w:sz w:val="24"/>
                <w:szCs w:val="24"/>
                <w:highlight w:val="none"/>
                <w:lang w:val="en-US" w:eastAsia="zh-CN"/>
              </w:rPr>
              <w:t>因标项较多，于2022年12月16日9：30-17：00前接收样品</w:t>
            </w:r>
            <w:r>
              <w:rPr>
                <w:rFonts w:hint="eastAsia" w:ascii="宋体" w:hAnsi="宋体" w:eastAsia="宋体" w:cs="宋体"/>
                <w:color w:val="auto"/>
                <w:sz w:val="24"/>
                <w:szCs w:val="24"/>
                <w:highlight w:val="none"/>
                <w:lang w:val="en-US" w:eastAsia="zh-CN"/>
              </w:rPr>
              <w:t>，递交的样品应包装完整、牢固不易脱落，若因包装问题在移动、搬运过程中造成遗失或破损的，由投标人承担。须确保在截止时间前送达，未按时送达的按未提供样品认定。</w:t>
            </w:r>
          </w:p>
          <w:p>
            <w:p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6、样品递交地址：浙江省绍兴市越城区育贤东路1519号（浙江省消防救援总队训练与战勤保障支队马路对面</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7、样品递交方式：现场提交。</w:t>
            </w:r>
          </w:p>
          <w:p>
            <w:pPr>
              <w:autoSpaceDE w:val="0"/>
              <w:autoSpaceDN w:val="0"/>
              <w:adjustRightInd w:val="0"/>
              <w:spacing w:line="360" w:lineRule="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8、本项目中标单位的投标样品保存，作为验收标准之一。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6"/>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textAlignment w:val="bottom"/>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投标文件有效期</w:t>
            </w:r>
          </w:p>
        </w:tc>
        <w:tc>
          <w:tcPr>
            <w:tcW w:w="737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自投标截止日起180日内有效。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13</w:t>
            </w:r>
          </w:p>
        </w:tc>
        <w:tc>
          <w:tcPr>
            <w:tcW w:w="12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textAlignment w:val="bottom"/>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投标</w:t>
            </w:r>
          </w:p>
          <w:p>
            <w:pPr>
              <w:autoSpaceDE w:val="0"/>
              <w:autoSpaceDN w:val="0"/>
              <w:snapToGrid w:val="0"/>
              <w:spacing w:line="360" w:lineRule="auto"/>
              <w:jc w:val="center"/>
              <w:textAlignment w:val="bottom"/>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答疑</w:t>
            </w:r>
          </w:p>
        </w:tc>
        <w:tc>
          <w:tcPr>
            <w:tcW w:w="737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供应商如认为采购文件表述不清晰、存在歧视性或者倾向性或者其他违法内容的，必须在投标截止时间前</w:t>
            </w:r>
            <w:r>
              <w:rPr>
                <w:rFonts w:hint="eastAsia" w:ascii="宋体" w:hAnsi="宋体" w:eastAsia="宋体" w:cs="宋体"/>
                <w:color w:val="auto"/>
                <w:spacing w:val="-6"/>
                <w:sz w:val="24"/>
                <w:szCs w:val="24"/>
                <w:highlight w:val="none"/>
                <w:lang w:val="en-US" w:eastAsia="zh-CN"/>
              </w:rPr>
              <w:t>10</w:t>
            </w:r>
            <w:r>
              <w:rPr>
                <w:rFonts w:hint="eastAsia" w:ascii="宋体" w:hAnsi="宋体" w:eastAsia="宋体" w:cs="宋体"/>
                <w:color w:val="auto"/>
                <w:spacing w:val="-6"/>
                <w:sz w:val="24"/>
                <w:szCs w:val="24"/>
                <w:highlight w:val="none"/>
              </w:rPr>
              <w:t>天内将要求答疑的问题发送邮箱（</w:t>
            </w:r>
            <w:r>
              <w:rPr>
                <w:rFonts w:hint="eastAsia" w:ascii="宋体" w:hAnsi="宋体" w:eastAsia="宋体" w:cs="宋体"/>
                <w:color w:val="auto"/>
                <w:spacing w:val="-6"/>
                <w:sz w:val="24"/>
                <w:szCs w:val="24"/>
                <w:highlight w:val="none"/>
                <w:lang w:val="en-US" w:eastAsia="zh-CN"/>
              </w:rPr>
              <w:t>wuzhijing@zngpa.cn</w:t>
            </w:r>
            <w:r>
              <w:rPr>
                <w:rFonts w:hint="eastAsia" w:ascii="宋体" w:hAnsi="宋体" w:eastAsia="宋体" w:cs="宋体"/>
                <w:color w:val="auto"/>
                <w:spacing w:val="-6"/>
                <w:sz w:val="24"/>
                <w:szCs w:val="24"/>
                <w:highlight w:val="none"/>
              </w:rPr>
              <w:t>）。截止期后的或逾期购买采购文件的疑问将不予受理、也不答复。答疑回复内容是采购文件的组成部份，并将以书面形式送达所有已购买采购文件的供应商。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14</w:t>
            </w:r>
          </w:p>
        </w:tc>
        <w:tc>
          <w:tcPr>
            <w:tcW w:w="12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jc w:val="center"/>
              <w:textAlignment w:val="bottom"/>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采购文件的澄清与修改</w:t>
            </w:r>
          </w:p>
        </w:tc>
        <w:tc>
          <w:tcPr>
            <w:tcW w:w="737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在投标截止时间15天前，采购人有权澄清和修改采购文件，</w:t>
            </w:r>
            <w:r>
              <w:rPr>
                <w:rFonts w:hint="eastAsia" w:ascii="宋体" w:hAnsi="宋体" w:eastAsia="宋体" w:cs="宋体"/>
                <w:color w:val="auto"/>
                <w:spacing w:val="-6"/>
                <w:sz w:val="24"/>
                <w:szCs w:val="24"/>
                <w:highlight w:val="none"/>
                <w:lang w:eastAsia="zh-CN"/>
              </w:rPr>
              <w:t>在财政部门指定的政府采购信息发布媒体上发布更正公告，</w:t>
            </w:r>
            <w:r>
              <w:rPr>
                <w:rFonts w:hint="eastAsia" w:ascii="宋体" w:hAnsi="宋体" w:eastAsia="宋体" w:cs="宋体"/>
                <w:color w:val="auto"/>
                <w:spacing w:val="-6"/>
                <w:sz w:val="24"/>
                <w:szCs w:val="24"/>
                <w:highlight w:val="none"/>
              </w:rPr>
              <w:t>并以</w:t>
            </w:r>
            <w:r>
              <w:rPr>
                <w:rFonts w:hint="eastAsia" w:ascii="宋体" w:hAnsi="宋体" w:eastAsia="宋体" w:cs="宋体"/>
                <w:color w:val="auto"/>
                <w:spacing w:val="-6"/>
                <w:sz w:val="24"/>
                <w:szCs w:val="24"/>
                <w:highlight w:val="none"/>
                <w:lang w:eastAsia="zh-CN"/>
              </w:rPr>
              <w:t>邮箱发送电子文件</w:t>
            </w:r>
            <w:r>
              <w:rPr>
                <w:rFonts w:hint="eastAsia" w:ascii="宋体" w:hAnsi="宋体" w:eastAsia="宋体" w:cs="宋体"/>
                <w:color w:val="auto"/>
                <w:spacing w:val="-6"/>
                <w:sz w:val="24"/>
                <w:szCs w:val="24"/>
                <w:highlight w:val="none"/>
              </w:rPr>
              <w:t>形式通知所有已购买采购文件的供应商。修改和澄清（答疑）答复的文件作为采购采购文件的补充和组成部分，对所有供应商均有约束力。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评标办法</w:t>
            </w:r>
          </w:p>
        </w:tc>
        <w:tc>
          <w:tcPr>
            <w:tcW w:w="737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9"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6"/>
                <w:sz w:val="24"/>
                <w:szCs w:val="24"/>
                <w:highlight w:val="none"/>
                <w:lang w:val="en-US" w:eastAsia="zh-CN"/>
              </w:rPr>
              <w:t>6</w:t>
            </w:r>
          </w:p>
        </w:tc>
        <w:tc>
          <w:tcPr>
            <w:tcW w:w="12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招标代理服务费</w:t>
            </w:r>
          </w:p>
        </w:tc>
        <w:tc>
          <w:tcPr>
            <w:tcW w:w="73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由中标供应商支付。收费标准为最终中标金额按照原国家计委关于印发《招标代理服务收费管理暂行办法》（计价格[2002]1980号）货物类下浮36%计取。中标人在收到中标通知书的同时向采购代理机构支付。</w:t>
            </w:r>
          </w:p>
          <w:p>
            <w:pPr>
              <w:snapToGrid w:val="0"/>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结算方式及时间为：在领取中标通知书时由中标单位向代理机构一次性付清。</w:t>
            </w:r>
          </w:p>
          <w:p>
            <w:pPr>
              <w:adjustRightInd w:val="0"/>
              <w:snapToGrid w:val="0"/>
              <w:spacing w:line="360" w:lineRule="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代理服务费收款账号：</w:t>
            </w:r>
          </w:p>
          <w:p>
            <w:pPr>
              <w:spacing w:line="360" w:lineRule="auto"/>
              <w:rPr>
                <w:rFonts w:hint="eastAsia" w:ascii="宋体" w:hAnsi="宋体" w:eastAsia="宋体" w:cs="宋体"/>
                <w:snapToGrid w:val="0"/>
                <w:color w:val="auto"/>
                <w:kern w:val="28"/>
                <w:sz w:val="24"/>
                <w:szCs w:val="24"/>
                <w:highlight w:val="none"/>
                <w:lang w:val="zh-CN"/>
              </w:rPr>
            </w:pPr>
            <w:r>
              <w:rPr>
                <w:rFonts w:hint="eastAsia" w:ascii="宋体" w:hAnsi="宋体" w:eastAsia="宋体" w:cs="宋体"/>
                <w:snapToGrid w:val="0"/>
                <w:color w:val="auto"/>
                <w:kern w:val="28"/>
                <w:sz w:val="24"/>
                <w:szCs w:val="24"/>
                <w:highlight w:val="none"/>
                <w:lang w:val="zh-CN"/>
              </w:rPr>
              <w:t>收款单位（户名）：浙江中诺招标代理有限公司</w:t>
            </w:r>
          </w:p>
          <w:p>
            <w:pPr>
              <w:spacing w:line="360" w:lineRule="auto"/>
              <w:rPr>
                <w:rFonts w:hint="eastAsia" w:ascii="宋体" w:hAnsi="宋体" w:eastAsia="宋体" w:cs="宋体"/>
                <w:snapToGrid w:val="0"/>
                <w:color w:val="auto"/>
                <w:kern w:val="28"/>
                <w:sz w:val="24"/>
                <w:szCs w:val="24"/>
                <w:highlight w:val="none"/>
                <w:lang w:val="zh-CN"/>
              </w:rPr>
            </w:pPr>
            <w:r>
              <w:rPr>
                <w:rFonts w:hint="eastAsia" w:ascii="宋体" w:hAnsi="宋体" w:eastAsia="宋体" w:cs="宋体"/>
                <w:snapToGrid w:val="0"/>
                <w:color w:val="auto"/>
                <w:kern w:val="28"/>
                <w:sz w:val="24"/>
                <w:szCs w:val="24"/>
                <w:highlight w:val="none"/>
                <w:lang w:val="zh-CN"/>
              </w:rPr>
              <w:t>开户银行：中信银行杭州玉泉支行</w:t>
            </w:r>
          </w:p>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snapToGrid w:val="0"/>
                <w:color w:val="auto"/>
                <w:kern w:val="28"/>
                <w:sz w:val="24"/>
                <w:szCs w:val="24"/>
                <w:highlight w:val="none"/>
                <w:lang w:val="zh-CN"/>
              </w:rPr>
              <w:t>银行账号：811080101260097348</w:t>
            </w:r>
            <w:r>
              <w:rPr>
                <w:rFonts w:hint="eastAsia" w:ascii="宋体" w:hAnsi="宋体" w:eastAsia="宋体" w:cs="宋体"/>
                <w:snapToGrid w:val="0"/>
                <w:color w:val="auto"/>
                <w:kern w:val="28"/>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6"/>
                <w:sz w:val="24"/>
                <w:szCs w:val="24"/>
                <w:highlight w:val="none"/>
                <w:lang w:val="en-US" w:eastAsia="zh-CN"/>
              </w:rPr>
              <w:t>7</w:t>
            </w:r>
          </w:p>
        </w:tc>
        <w:tc>
          <w:tcPr>
            <w:tcW w:w="125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360" w:lineRule="auto"/>
              <w:ind w:left="1" w:leftChars="-95" w:right="-147" w:rightChars="-70" w:hanging="200" w:hangingChars="83"/>
              <w:jc w:val="center"/>
              <w:textAlignment w:val="bottom"/>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小微企</w:t>
            </w:r>
          </w:p>
          <w:p>
            <w:pPr>
              <w:widowControl/>
              <w:autoSpaceDE w:val="0"/>
              <w:autoSpaceDN w:val="0"/>
              <w:snapToGrid w:val="0"/>
              <w:spacing w:line="360" w:lineRule="auto"/>
              <w:ind w:left="1" w:leftChars="-95" w:right="-147" w:rightChars="-70" w:hanging="200" w:hangingChars="83"/>
              <w:jc w:val="center"/>
              <w:textAlignment w:val="bottom"/>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z w:val="24"/>
                <w:szCs w:val="24"/>
                <w:highlight w:val="none"/>
                <w:lang w:val="en-US" w:eastAsia="zh-CN" w:bidi="ar"/>
              </w:rPr>
              <w:t>业认定</w:t>
            </w:r>
          </w:p>
        </w:tc>
        <w:tc>
          <w:tcPr>
            <w:tcW w:w="73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eastAsia="zh-CN" w:bidi="ar"/>
              </w:rPr>
            </w:pPr>
            <w:r>
              <w:rPr>
                <w:rFonts w:hint="eastAsia" w:ascii="宋体" w:hAnsi="宋体" w:eastAsia="宋体" w:cs="宋体"/>
                <w:b w:val="0"/>
                <w:bCs w:val="0"/>
                <w:color w:val="auto"/>
                <w:sz w:val="24"/>
                <w:highlight w:val="none"/>
                <w:lang w:bidi="ar"/>
              </w:rPr>
              <w:t>（1）</w:t>
            </w:r>
            <w:r>
              <w:rPr>
                <w:rFonts w:hint="eastAsia" w:ascii="宋体" w:hAnsi="宋体" w:eastAsia="宋体" w:cs="宋体"/>
                <w:b/>
                <w:bCs/>
                <w:color w:val="auto"/>
                <w:sz w:val="24"/>
                <w:highlight w:val="none"/>
                <w:lang w:bidi="ar"/>
              </w:rPr>
              <w:t>本次采购</w:t>
            </w:r>
            <w:r>
              <w:rPr>
                <w:rFonts w:hint="eastAsia" w:ascii="宋体" w:hAnsi="宋体" w:cs="宋体"/>
                <w:b/>
                <w:bCs/>
                <w:color w:val="auto"/>
                <w:sz w:val="24"/>
                <w:highlight w:val="none"/>
                <w:lang w:val="en-US" w:eastAsia="zh-CN" w:bidi="ar"/>
              </w:rPr>
              <w:t>所有标项均</w:t>
            </w:r>
            <w:r>
              <w:rPr>
                <w:rFonts w:hint="eastAsia" w:ascii="宋体" w:hAnsi="宋体" w:eastAsia="宋体" w:cs="宋体"/>
                <w:b/>
                <w:bCs/>
                <w:color w:val="auto"/>
                <w:sz w:val="24"/>
                <w:highlight w:val="none"/>
                <w:lang w:bidi="ar"/>
              </w:rPr>
              <w:t>为专门面向中小企业预留采购份额的采购项目。投标文件中须</w:t>
            </w:r>
            <w:r>
              <w:rPr>
                <w:rFonts w:hint="eastAsia" w:ascii="宋体" w:hAnsi="宋体" w:eastAsia="宋体" w:cs="宋体"/>
                <w:b/>
                <w:bCs/>
                <w:color w:val="auto"/>
                <w:sz w:val="24"/>
                <w:highlight w:val="none"/>
                <w:lang w:val="en-US" w:eastAsia="zh-CN" w:bidi="ar"/>
              </w:rPr>
              <w:t>提供</w:t>
            </w:r>
            <w:r>
              <w:rPr>
                <w:rFonts w:hint="eastAsia" w:ascii="宋体" w:hAnsi="宋体" w:eastAsia="宋体" w:cs="宋体"/>
                <w:b/>
                <w:bCs/>
                <w:color w:val="auto"/>
                <w:sz w:val="24"/>
                <w:highlight w:val="none"/>
                <w:lang w:bidi="ar"/>
              </w:rPr>
              <w:t>制造商出具</w:t>
            </w:r>
            <w:r>
              <w:rPr>
                <w:rFonts w:hint="eastAsia" w:ascii="宋体" w:hAnsi="宋体" w:eastAsia="宋体" w:cs="宋体"/>
                <w:b/>
                <w:bCs/>
                <w:color w:val="auto"/>
                <w:sz w:val="24"/>
                <w:highlight w:val="none"/>
                <w:lang w:val="en-US" w:eastAsia="zh-CN" w:bidi="ar"/>
              </w:rPr>
              <w:t>的</w:t>
            </w:r>
            <w:r>
              <w:rPr>
                <w:rFonts w:hint="eastAsia" w:ascii="宋体" w:hAnsi="宋体" w:eastAsia="宋体" w:cs="宋体"/>
                <w:b/>
                <w:bCs/>
                <w:color w:val="auto"/>
                <w:sz w:val="24"/>
                <w:highlight w:val="none"/>
                <w:lang w:bidi="ar"/>
              </w:rPr>
              <w:t>《政府采购促进中小企业发展管理办法》【</w:t>
            </w:r>
            <w:r>
              <w:rPr>
                <w:rFonts w:hint="eastAsia" w:ascii="宋体" w:hAnsi="宋体" w:eastAsia="宋体" w:cs="宋体"/>
                <w:b/>
                <w:bCs/>
                <w:color w:val="auto"/>
                <w:sz w:val="24"/>
                <w:highlight w:val="none"/>
                <w:lang w:eastAsia="zh-CN" w:bidi="ar"/>
              </w:rPr>
              <w:t>财库2022年19号文件</w:t>
            </w:r>
            <w:r>
              <w:rPr>
                <w:rFonts w:hint="eastAsia" w:ascii="宋体" w:hAnsi="宋体" w:eastAsia="宋体" w:cs="宋体"/>
                <w:b/>
                <w:bCs/>
                <w:color w:val="auto"/>
                <w:sz w:val="24"/>
                <w:highlight w:val="none"/>
                <w:lang w:bidi="ar"/>
              </w:rPr>
              <w:t>】规定的《中小企业声明函》</w:t>
            </w:r>
            <w:r>
              <w:rPr>
                <w:rFonts w:hint="eastAsia" w:ascii="宋体" w:hAnsi="宋体" w:cs="宋体"/>
                <w:b/>
                <w:bCs/>
                <w:color w:val="auto"/>
                <w:sz w:val="24"/>
                <w:highlight w:val="none"/>
                <w:lang w:eastAsia="zh-CN" w:bidi="ar"/>
              </w:rPr>
              <w:t>。</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cs="宋体"/>
                <w:b w:val="0"/>
                <w:bCs w:val="0"/>
                <w:color w:val="auto"/>
                <w:sz w:val="24"/>
                <w:highlight w:val="none"/>
                <w:lang w:eastAsia="zh-CN" w:bidi="ar"/>
              </w:rPr>
              <w:t>（</w:t>
            </w:r>
            <w:r>
              <w:rPr>
                <w:rFonts w:hint="eastAsia" w:ascii="宋体" w:hAnsi="宋体" w:cs="宋体"/>
                <w:b w:val="0"/>
                <w:bCs w:val="0"/>
                <w:color w:val="auto"/>
                <w:sz w:val="24"/>
                <w:highlight w:val="none"/>
                <w:lang w:val="en-US" w:eastAsia="zh-CN" w:bidi="ar"/>
              </w:rPr>
              <w:t>2</w:t>
            </w:r>
            <w:r>
              <w:rPr>
                <w:rFonts w:hint="eastAsia" w:ascii="宋体" w:hAnsi="宋体" w:cs="宋体"/>
                <w:b w:val="0"/>
                <w:bCs w:val="0"/>
                <w:color w:val="auto"/>
                <w:sz w:val="24"/>
                <w:highlight w:val="none"/>
                <w:lang w:eastAsia="zh-CN" w:bidi="ar"/>
              </w:rPr>
              <w:t>）</w:t>
            </w:r>
            <w:r>
              <w:rPr>
                <w:rFonts w:hint="eastAsia" w:ascii="宋体" w:hAnsi="宋体" w:eastAsia="宋体" w:cs="宋体"/>
                <w:b w:val="0"/>
                <w:bCs w:val="0"/>
                <w:color w:val="auto"/>
                <w:sz w:val="24"/>
                <w:highlight w:val="none"/>
                <w:lang w:bidi="ar"/>
              </w:rPr>
              <w:t>本次采购标的为货物，对应的中小企业划分标准所属行业是：</w:t>
            </w:r>
            <w:r>
              <w:rPr>
                <w:rFonts w:hint="eastAsia" w:ascii="宋体" w:hAnsi="宋体" w:eastAsia="宋体" w:cs="宋体"/>
                <w:b w:val="0"/>
                <w:bCs w:val="0"/>
                <w:color w:val="auto"/>
                <w:sz w:val="24"/>
                <w:highlight w:val="none"/>
                <w:u w:val="single"/>
                <w:lang w:bidi="ar"/>
              </w:rPr>
              <w:t>工业。</w:t>
            </w:r>
            <w:r>
              <w:rPr>
                <w:rFonts w:hint="eastAsia" w:ascii="宋体" w:hAnsi="宋体" w:eastAsia="宋体" w:cs="宋体"/>
                <w:b w:val="0"/>
                <w:bCs w:val="0"/>
                <w:color w:val="auto"/>
                <w:sz w:val="24"/>
                <w:highlight w:val="none"/>
                <w:lang w:bidi="ar"/>
              </w:rPr>
              <w:t>（从业人员 1000 人以下或营业收入 40000 万元以下的为中小微型企业。其中，从业人员 300 人及以上，且营业收入 2000 万元及以上的为中型企业；从业人员20 人及以上，且营业收入 300 万元及以上的为小型企业； 从业人员 20 人以下或营业收入 300 万元以下的为微型企 业。）</w:t>
            </w:r>
          </w:p>
          <w:p>
            <w:pPr>
              <w:pStyle w:val="41"/>
              <w:spacing w:line="360" w:lineRule="auto"/>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eastAsia="zh-CN" w:bidi="ar"/>
              </w:rPr>
              <w:t>（</w:t>
            </w:r>
            <w:r>
              <w:rPr>
                <w:rFonts w:hint="eastAsia" w:ascii="宋体" w:hAnsi="宋体" w:eastAsia="宋体" w:cs="宋体"/>
                <w:b w:val="0"/>
                <w:bCs w:val="0"/>
                <w:color w:val="auto"/>
                <w:sz w:val="24"/>
                <w:highlight w:val="none"/>
                <w:lang w:val="en-US" w:eastAsia="zh-CN" w:bidi="ar"/>
              </w:rPr>
              <w:t>3</w:t>
            </w:r>
            <w:r>
              <w:rPr>
                <w:rFonts w:hint="eastAsia" w:ascii="宋体" w:hAnsi="宋体" w:eastAsia="宋体" w:cs="宋体"/>
                <w:b w:val="0"/>
                <w:bCs w:val="0"/>
                <w:color w:val="auto"/>
                <w:sz w:val="24"/>
                <w:highlight w:val="none"/>
                <w:lang w:eastAsia="zh-CN" w:bidi="ar"/>
              </w:rPr>
              <w:t>）</w:t>
            </w:r>
            <w:r>
              <w:rPr>
                <w:rFonts w:hint="eastAsia" w:ascii="宋体" w:hAnsi="宋体" w:eastAsia="宋体" w:cs="宋体"/>
                <w:b w:val="0"/>
                <w:bCs w:val="0"/>
                <w:color w:val="auto"/>
                <w:sz w:val="24"/>
                <w:highlight w:val="none"/>
                <w:lang w:bidi="ar"/>
              </w:rPr>
              <w:t>残疾人福利性单位视同小型、微型企业，享受预留份额、评审中价格扣除等促进中小企业发展的政府采购政策。符合条件的残疾人福利性单位在参加政府采购活动时，应当提供本通知规定的《残疾人福利性单位声明函》（见附件），并对声明的真实性负责。</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享受政府采购支持政策的残疾人福利性单位应当同时满足以下条件：</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（一）安置的残疾人占本单位在职职工人数的比例不低于25%（含25%），并且安置的残疾人人数不少于10人（含10人）；</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（二）依法与安置的每位残疾人签订了一年以上（含一年）的劳动合同或服务协议；</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（三）为安置的每位残疾人按月足额缴纳了基本养老保险、基本医疗保险、失业保险、工伤保险和生育保险等社会保险费；</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（四）通过银行等金融机构向安置的每位残疾人，按月支付了不低于单位所在区县适用的经省级人民政府批准的月最低工资标准的工资；</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（五）提供本单位制造的货物、承担的工程或者服务（以下简称产品），或者提供其他残疾人福利性单位制造的货物（不包括使用非残疾人福利性单位注册商标的货物）。</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eastAsia="zh-CN" w:bidi="ar"/>
              </w:rPr>
            </w:pPr>
            <w:r>
              <w:rPr>
                <w:rFonts w:hint="eastAsia" w:ascii="宋体" w:hAnsi="宋体" w:eastAsia="宋体" w:cs="宋体"/>
                <w:b w:val="0"/>
                <w:bCs w:val="0"/>
                <w:color w:val="auto"/>
                <w:sz w:val="24"/>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68" w:hanging="229" w:hangingChars="100"/>
              <w:jc w:val="left"/>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强制采购政策与优先采购政策</w:t>
            </w:r>
          </w:p>
        </w:tc>
        <w:tc>
          <w:tcPr>
            <w:tcW w:w="73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1、节能产品的强制采购政策</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 xml:space="preserve">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供应商提供的产品应具有国家确定的认证机构出具的、处于有效期之内的节能产品认证证书，并在投标文件中提供该产品节能产品认证证书，否则无效。（注：本项目执行最新政府采购节能产品、环境标志产品品目清单。） </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val="en-US" w:eastAsia="zh-CN" w:bidi="ar"/>
              </w:rPr>
              <w:t>2、</w:t>
            </w:r>
            <w:r>
              <w:rPr>
                <w:rFonts w:hint="eastAsia" w:ascii="宋体" w:hAnsi="宋体" w:eastAsia="宋体" w:cs="宋体"/>
                <w:b w:val="0"/>
                <w:bCs w:val="0"/>
                <w:color w:val="auto"/>
                <w:sz w:val="24"/>
                <w:highlight w:val="none"/>
                <w:lang w:bidi="ar"/>
              </w:rPr>
              <w:t>节能产品、环境标志产品的优先采购政策</w:t>
            </w:r>
          </w:p>
          <w:p>
            <w:pPr>
              <w:widowControl/>
              <w:autoSpaceDE w:val="0"/>
              <w:autoSpaceDN w:val="0"/>
              <w:snapToGrid w:val="0"/>
              <w:spacing w:line="360" w:lineRule="auto"/>
              <w:jc w:val="left"/>
              <w:textAlignment w:val="bottom"/>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bidi="ar"/>
              </w:rPr>
              <w:t>根据财政部、国家发展和改革委员会、生态环境部等部门公布的 政府采购节能产品、环境标志产品品目清单的规定、依据品目清单和认证证书实施政府优先采购和强制采购。采购人拟采购的产品属于品目清单范围内的优先采购品目的，供应商提供的产品应具有国家确定的认证机构出具的、处于有效期之内的节能产品、环境标志产品认证证书，并在投标文件中提供该产品节能产品、环境标志产品认证证书</w:t>
            </w:r>
            <w:r>
              <w:rPr>
                <w:rFonts w:hint="eastAsia" w:ascii="宋体" w:hAnsi="宋体" w:eastAsia="宋体" w:cs="宋体"/>
                <w:b w:val="0"/>
                <w:bCs w:val="0"/>
                <w:color w:val="auto"/>
                <w:sz w:val="24"/>
                <w:highlight w:val="none"/>
                <w:lang w:eastAsia="zh-CN" w:bidi="ar"/>
              </w:rPr>
              <w:t>。</w:t>
            </w:r>
            <w:r>
              <w:rPr>
                <w:rFonts w:hint="eastAsia" w:ascii="宋体" w:hAnsi="宋体" w:eastAsia="宋体" w:cs="宋体"/>
                <w:b w:val="0"/>
                <w:bCs w:val="0"/>
                <w:color w:val="auto"/>
                <w:sz w:val="24"/>
                <w:highlight w:val="none"/>
                <w:lang w:bidi="ar"/>
              </w:rPr>
              <w:t xml:space="preserve">（注：本项目执行最新政府采购节能产品、环境标志产品品目清单。）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质疑</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根据《中华人民共和国政府采购法》第五十二条、《中华人民共和国政府采购法实施条例》第五十三条、《浙江省政府采购供应商质疑处理办法》的规定：</w:t>
            </w:r>
          </w:p>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如认为采购文件使自身的合法权益受到损害的，应于自收到采购文件之日或者采购文件公告期限届满之日起七个工作日内以书面形式向采购机构提出质疑（采购文件领取截止时间之后获取的，应于自采购文件领取截止时间之日起七个工作日内以书面形式向采购机构提出）；</w:t>
            </w:r>
          </w:p>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供应商如认为采购过程使自身的合法权益受到损害的，应于各采购程序环节结束之日起七个工作日内以书面形式向采购机构提出质疑；</w:t>
            </w:r>
          </w:p>
          <w:p>
            <w:pPr>
              <w:snapToGrid w:val="0"/>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供应商如认为中标结果使自身的合法权益受到损害的，应于中标或者成交结果公告期限届满之日起七个工作日内以书面形式向采购机构提出质疑。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6"/>
                <w:sz w:val="24"/>
                <w:szCs w:val="24"/>
                <w:highlight w:val="none"/>
                <w:lang w:val="en-US" w:eastAsia="zh-CN"/>
              </w:rPr>
              <w:t>0</w:t>
            </w:r>
          </w:p>
        </w:tc>
        <w:tc>
          <w:tcPr>
            <w:tcW w:w="12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投诉</w:t>
            </w:r>
          </w:p>
        </w:tc>
        <w:tc>
          <w:tcPr>
            <w:tcW w:w="73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政府采购法》第五十五条的规定，质疑供应商对招标人、采购代理机构的答复不满意或者招标人、采购代理机构未在规定的时间内作出答复的，可以在答复期满后十五个工作日内向同级政府采购监督管理部门投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6"/>
                <w:sz w:val="24"/>
                <w:szCs w:val="24"/>
                <w:highlight w:val="none"/>
                <w:lang w:val="en-US" w:eastAsia="zh-CN"/>
              </w:rPr>
              <w:t>1</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kern w:val="2"/>
                <w:sz w:val="24"/>
                <w:szCs w:val="24"/>
                <w:highlight w:val="none"/>
                <w:lang w:val="en-US" w:eastAsia="zh-CN" w:bidi="ar-SA"/>
              </w:rPr>
            </w:pPr>
            <w:r>
              <w:rPr>
                <w:rFonts w:hint="eastAsia" w:ascii="宋体" w:hAnsi="宋体" w:eastAsia="宋体" w:cs="宋体"/>
                <w:b/>
                <w:color w:val="auto"/>
                <w:sz w:val="24"/>
                <w:highlight w:val="none"/>
              </w:rPr>
              <w:t>是否允许采购进口产品</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本项目不允许采购进口产品。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bCs/>
                <w:color w:val="auto"/>
                <w:spacing w:val="-6"/>
                <w:kern w:val="2"/>
                <w:sz w:val="24"/>
                <w:szCs w:val="24"/>
                <w:highlight w:val="none"/>
                <w:lang w:val="en-US" w:eastAsia="zh-CN" w:bidi="ar-SA"/>
              </w:rPr>
            </w:pPr>
            <w:r>
              <w:rPr>
                <w:rFonts w:hint="eastAsia" w:ascii="宋体" w:hAnsi="宋体" w:eastAsia="宋体" w:cs="宋体"/>
                <w:b/>
                <w:bCs/>
                <w:color w:val="auto"/>
                <w:spacing w:val="-6"/>
                <w:sz w:val="24"/>
                <w:szCs w:val="24"/>
                <w:highlight w:val="none"/>
              </w:rPr>
              <w:t>解释</w:t>
            </w:r>
          </w:p>
        </w:tc>
        <w:tc>
          <w:tcPr>
            <w:tcW w:w="73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z w:val="24"/>
                <w:szCs w:val="24"/>
                <w:highlight w:val="none"/>
              </w:rPr>
              <w:t>本招标文件的解释权属于采购人和采购代理机构。</w:t>
            </w:r>
          </w:p>
        </w:tc>
      </w:tr>
    </w:tbl>
    <w:p>
      <w:pPr>
        <w:pStyle w:val="16"/>
        <w:snapToGrid w:val="0"/>
        <w:spacing w:beforeLines="0" w:afterLines="0" w:line="360" w:lineRule="auto"/>
        <w:rPr>
          <w:rFonts w:hint="eastAsia" w:ascii="宋体" w:hAnsi="宋体" w:eastAsia="宋体" w:cs="宋体"/>
          <w:color w:val="auto"/>
          <w:spacing w:val="-6"/>
          <w:kern w:val="2"/>
          <w:sz w:val="24"/>
          <w:szCs w:val="24"/>
          <w:highlight w:val="none"/>
          <w:lang w:val="en-US" w:eastAsia="zh-CN" w:bidi="ar-SA"/>
        </w:rPr>
      </w:pPr>
    </w:p>
    <w:p>
      <w:pPr>
        <w:pStyle w:val="16"/>
        <w:snapToGrid w:val="0"/>
        <w:spacing w:beforeLines="0" w:afterLines="0" w:line="360" w:lineRule="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注：以上内容如有变化将另行书面通知。另行通知中未提及事项不作变动。</w:t>
      </w:r>
    </w:p>
    <w:p>
      <w:pPr>
        <w:pStyle w:val="16"/>
        <w:snapToGrid w:val="0"/>
        <w:spacing w:before="120" w:after="120" w:line="360" w:lineRule="auto"/>
        <w:ind w:firstLine="482" w:firstLineChars="20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bookmarkStart w:id="3" w:name="_Toc9624375"/>
      <w:r>
        <w:rPr>
          <w:rFonts w:hint="eastAsia" w:ascii="宋体" w:hAnsi="宋体" w:eastAsia="宋体" w:cs="宋体"/>
          <w:b/>
          <w:color w:val="auto"/>
          <w:sz w:val="28"/>
          <w:szCs w:val="28"/>
          <w:highlight w:val="none"/>
        </w:rPr>
        <w:t>一、总  则</w:t>
      </w:r>
      <w:bookmarkEnd w:id="3"/>
    </w:p>
    <w:p>
      <w:pPr>
        <w:spacing w:line="360" w:lineRule="auto"/>
        <w:ind w:firstLine="566" w:firstLineChars="235"/>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 适用范围</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本招标文件适用于本次采购项目的招标、投标、评标、定标、验收、合同履约、付款等行为（法律、法规另有规定的，从其规定）。</w:t>
      </w:r>
    </w:p>
    <w:p>
      <w:pPr>
        <w:spacing w:line="360" w:lineRule="auto"/>
        <w:ind w:firstLine="566" w:firstLineChars="235"/>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（二）定义</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1.招标采购单位：系指组织本次招标的代理机构和采购人。</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2.投标人：系指购买了招标文件并向招标采购单位提交投标文件的单位或个人，也称作供应商。</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3.投标人代表：是指参加本项目投标活动的供应商法定代表人或法定代表人授权代表。</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4.联合体：是指两个以上供应商组成联合体，以一个供应商的身份参加投标。</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5.甲方：是指合同签订的一方，一般与采购人、招标人、用户相同。</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6.乙方：是指合同签订的另一方，与中标人相同。</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7.“产品”系指供方按招标文件规定，须向采购人提供的一切设备、保险、税金、备品备件、工具、手册及其它有关技术资料和材料。</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8.“服务”系指招标文件规定投标人须承担的安装、调试、技术协助、校准、培训、技术指导以及其他类似的义务。</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9.“项目”系指投标人按招标文件规定向采购人提供的产品和服务。</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10.“书面形式”包括信函、传真、电报等。</w:t>
      </w:r>
    </w:p>
    <w:p>
      <w:pPr>
        <w:spacing w:line="360" w:lineRule="auto"/>
        <w:ind w:firstLine="566" w:firstLineChars="235"/>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（三）招标方式</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本次招标采用公开招标方式进行。</w:t>
      </w:r>
    </w:p>
    <w:p>
      <w:pPr>
        <w:spacing w:line="360" w:lineRule="auto"/>
        <w:ind w:firstLine="566" w:firstLineChars="235"/>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（四）投标委托</w:t>
      </w:r>
    </w:p>
    <w:p>
      <w:pPr>
        <w:spacing w:line="360" w:lineRule="auto"/>
        <w:ind w:firstLine="564" w:firstLineChars="2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w:t>
      </w:r>
      <w:r>
        <w:rPr>
          <w:rFonts w:hint="eastAsia" w:ascii="宋体" w:hAnsi="宋体" w:eastAsia="宋体" w:cs="宋体"/>
          <w:color w:val="auto"/>
          <w:sz w:val="24"/>
          <w:szCs w:val="24"/>
          <w:highlight w:val="none"/>
        </w:rPr>
        <w:t>参加开标活动时应当手持递交投标响应文件/样品登记表、有效期内本人身份证或公安机关出具的临时身份证明或港澳台胞证或护照原件或户口本原件（其他诸如驾驶证、市民卡等一律视为未提供有效的身份证明）和法定代表人出具的授权委托书。若是法定代表人参加，须携提供法定代表人身份证明书（格式见第六部分）。</w:t>
      </w:r>
    </w:p>
    <w:p>
      <w:pPr>
        <w:spacing w:line="360" w:lineRule="auto"/>
        <w:ind w:firstLine="566" w:firstLineChars="235"/>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（五）投标费用</w:t>
      </w:r>
    </w:p>
    <w:p>
      <w:pPr>
        <w:spacing w:line="360" w:lineRule="auto"/>
        <w:ind w:firstLine="564" w:firstLineChars="235"/>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不论投标结果如何，投标人均应自行承担所有与投标有关的全部费用。</w:t>
      </w:r>
    </w:p>
    <w:p>
      <w:pPr>
        <w:numPr>
          <w:ilvl w:val="0"/>
          <w:numId w:val="6"/>
        </w:numPr>
        <w:spacing w:line="360" w:lineRule="auto"/>
        <w:ind w:firstLine="566" w:firstLineChars="2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联合体投标</w:t>
      </w:r>
    </w:p>
    <w:p>
      <w:pPr>
        <w:numPr>
          <w:ilvl w:val="0"/>
          <w:numId w:val="0"/>
        </w:numPr>
        <w:spacing w:line="360" w:lineRule="auto"/>
        <w:ind w:firstLine="720" w:firstLineChars="300"/>
        <w:outlineLvl w:val="2"/>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highlight w:val="none"/>
        </w:rPr>
        <w:t>本项目不接受联合体参加投标</w:t>
      </w:r>
    </w:p>
    <w:p>
      <w:pPr>
        <w:spacing w:line="360" w:lineRule="auto"/>
        <w:ind w:firstLine="566" w:firstLineChars="235"/>
        <w:outlineLvl w:val="2"/>
        <w:rPr>
          <w:rFonts w:hint="eastAsia" w:ascii="宋体" w:hAnsi="宋体" w:eastAsia="宋体" w:cs="宋体"/>
          <w:b/>
          <w:color w:val="auto"/>
          <w:kern w:val="0"/>
          <w:sz w:val="24"/>
          <w:szCs w:val="20"/>
          <w:highlight w:val="none"/>
        </w:rPr>
      </w:pPr>
      <w:r>
        <w:rPr>
          <w:rFonts w:hint="eastAsia" w:ascii="宋体" w:hAnsi="宋体" w:eastAsia="宋体" w:cs="宋体"/>
          <w:b/>
          <w:color w:val="auto"/>
          <w:sz w:val="24"/>
          <w:highlight w:val="none"/>
        </w:rPr>
        <w:t>（七）</w:t>
      </w:r>
      <w:r>
        <w:rPr>
          <w:rFonts w:hint="eastAsia" w:ascii="宋体" w:hAnsi="宋体" w:eastAsia="宋体" w:cs="宋体"/>
          <w:b/>
          <w:color w:val="auto"/>
          <w:kern w:val="0"/>
          <w:sz w:val="24"/>
          <w:highlight w:val="none"/>
        </w:rPr>
        <w:t>转包与分包</w:t>
      </w:r>
    </w:p>
    <w:p>
      <w:pPr>
        <w:spacing w:line="360" w:lineRule="auto"/>
        <w:ind w:firstLine="564" w:firstLineChars="2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1.本项目不允许转包。</w:t>
      </w:r>
    </w:p>
    <w:p>
      <w:pPr>
        <w:spacing w:line="360" w:lineRule="auto"/>
        <w:ind w:firstLine="566" w:firstLineChars="235"/>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color w:val="auto"/>
          <w:kern w:val="0"/>
          <w:sz w:val="24"/>
          <w:highlight w:val="none"/>
        </w:rPr>
        <w:t>本项目不允许分包。</w:t>
      </w:r>
    </w:p>
    <w:p>
      <w:pPr>
        <w:spacing w:line="360" w:lineRule="auto"/>
        <w:ind w:firstLine="566" w:firstLineChars="2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（八）特别说明 </w:t>
      </w:r>
    </w:p>
    <w:p>
      <w:pPr>
        <w:spacing w:line="360" w:lineRule="auto"/>
        <w:ind w:firstLine="564" w:firstLineChars="2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招标文件中指出的工艺、材料、设备、服务等标准以及推荐、参照的品牌或型号仅起说明作用，并没有任何限制性。投标人在投标中可以选用替代标准、品牌或型号，但这些替代要实质上满足或超过招标文件的要求。</w:t>
      </w:r>
    </w:p>
    <w:p>
      <w:pPr>
        <w:spacing w:line="360" w:lineRule="auto"/>
        <w:ind w:firstLine="564" w:firstLineChars="2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2.除招标文件另有说明外，投标人投标所使用的资格、信誉、荣誉、业绩与企业认证证书必须为该投标人所拥有。</w:t>
      </w:r>
    </w:p>
    <w:p>
      <w:pPr>
        <w:spacing w:line="360" w:lineRule="auto"/>
        <w:ind w:firstLine="564" w:firstLineChars="23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3.投标人应仔细阅读招标文件的所有内容，按照招标文件的要求提交投标文件，并对所提供的全部资料的真实性承担法律责任。</w:t>
      </w:r>
    </w:p>
    <w:p>
      <w:pPr>
        <w:spacing w:line="360" w:lineRule="auto"/>
        <w:ind w:firstLine="566" w:firstLineChars="2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（九）质疑和投诉</w:t>
      </w:r>
    </w:p>
    <w:p>
      <w:pPr>
        <w:spacing w:line="360" w:lineRule="auto"/>
        <w:ind w:firstLine="545" w:firstLineChars="235"/>
        <w:rPr>
          <w:rFonts w:hint="eastAsia" w:ascii="宋体" w:hAnsi="宋体" w:eastAsia="宋体" w:cs="宋体"/>
          <w:color w:val="auto"/>
          <w:sz w:val="24"/>
          <w:highlight w:val="none"/>
        </w:rPr>
      </w:pPr>
      <w:r>
        <w:rPr>
          <w:rFonts w:hint="eastAsia" w:ascii="宋体" w:hAnsi="宋体" w:eastAsia="宋体" w:cs="宋体"/>
          <w:color w:val="auto"/>
          <w:spacing w:val="-4"/>
          <w:sz w:val="24"/>
          <w:szCs w:val="20"/>
          <w:highlight w:val="none"/>
        </w:rPr>
        <w:t>1.</w:t>
      </w:r>
      <w:r>
        <w:rPr>
          <w:rFonts w:hint="eastAsia" w:ascii="宋体" w:hAnsi="宋体" w:eastAsia="宋体" w:cs="宋体"/>
          <w:bCs/>
          <w:color w:val="auto"/>
          <w:highlight w:val="none"/>
        </w:rPr>
        <w:t xml:space="preserve"> </w:t>
      </w:r>
      <w:r>
        <w:rPr>
          <w:rFonts w:hint="eastAsia" w:ascii="宋体" w:hAnsi="宋体" w:eastAsia="宋体" w:cs="宋体"/>
          <w:bCs/>
          <w:color w:val="auto"/>
          <w:spacing w:val="-4"/>
          <w:sz w:val="24"/>
          <w:szCs w:val="20"/>
          <w:highlight w:val="none"/>
        </w:rPr>
        <w:t>投标人认为招标文件、招标过程或中标结果使自己的合法权益受到损害的，应当在知道或者应知其权益受到损害之日起七个工作日内，以书面形式一次性向采购人、采购代理机构提出质疑。</w:t>
      </w:r>
      <w:r>
        <w:rPr>
          <w:rFonts w:hint="eastAsia" w:ascii="宋体" w:hAnsi="宋体" w:eastAsia="宋体" w:cs="宋体"/>
          <w:color w:val="auto"/>
          <w:spacing w:val="-4"/>
          <w:sz w:val="24"/>
          <w:szCs w:val="20"/>
          <w:highlight w:val="none"/>
        </w:rPr>
        <w:t>投标人对</w:t>
      </w:r>
      <w:r>
        <w:rPr>
          <w:rFonts w:hint="eastAsia" w:ascii="宋体" w:hAnsi="宋体" w:eastAsia="宋体" w:cs="宋体"/>
          <w:bCs/>
          <w:color w:val="auto"/>
          <w:spacing w:val="-4"/>
          <w:sz w:val="24"/>
          <w:szCs w:val="20"/>
          <w:highlight w:val="none"/>
        </w:rPr>
        <w:t>采购人、采购代理机构</w:t>
      </w:r>
      <w:r>
        <w:rPr>
          <w:rFonts w:hint="eastAsia" w:ascii="宋体" w:hAnsi="宋体" w:eastAsia="宋体" w:cs="宋体"/>
          <w:color w:val="auto"/>
          <w:spacing w:val="-4"/>
          <w:sz w:val="24"/>
          <w:szCs w:val="20"/>
          <w:highlight w:val="none"/>
        </w:rPr>
        <w:t>的质疑答复不满意或者</w:t>
      </w:r>
      <w:r>
        <w:rPr>
          <w:rFonts w:hint="eastAsia" w:ascii="宋体" w:hAnsi="宋体" w:eastAsia="宋体" w:cs="宋体"/>
          <w:bCs/>
          <w:color w:val="auto"/>
          <w:spacing w:val="-4"/>
          <w:sz w:val="24"/>
          <w:szCs w:val="20"/>
          <w:highlight w:val="none"/>
        </w:rPr>
        <w:t>采购人、采购代理机构</w:t>
      </w:r>
      <w:r>
        <w:rPr>
          <w:rFonts w:hint="eastAsia" w:ascii="宋体" w:hAnsi="宋体" w:eastAsia="宋体" w:cs="宋体"/>
          <w:color w:val="auto"/>
          <w:spacing w:val="-4"/>
          <w:sz w:val="24"/>
          <w:szCs w:val="20"/>
          <w:highlight w:val="none"/>
        </w:rPr>
        <w:t>未在规定时间内作出答复的，</w:t>
      </w:r>
      <w:r>
        <w:rPr>
          <w:rFonts w:hint="eastAsia" w:ascii="宋体" w:hAnsi="宋体" w:eastAsia="宋体" w:cs="宋体"/>
          <w:color w:val="auto"/>
          <w:sz w:val="24"/>
          <w:highlight w:val="none"/>
        </w:rPr>
        <w:t>可以在答复期满后十五个工作日内向采购人监管部门投诉。</w:t>
      </w:r>
    </w:p>
    <w:p>
      <w:pPr>
        <w:pStyle w:val="16"/>
        <w:snapToGrid w:val="0"/>
        <w:spacing w:beforeLines="0" w:afterLines="0" w:line="360" w:lineRule="auto"/>
        <w:ind w:firstLine="551" w:firstLineChars="196"/>
        <w:jc w:val="center"/>
        <w:outlineLvl w:val="1"/>
        <w:rPr>
          <w:rFonts w:hint="eastAsia" w:ascii="宋体" w:hAnsi="宋体" w:eastAsia="宋体" w:cs="宋体"/>
          <w:b/>
          <w:color w:val="auto"/>
          <w:sz w:val="28"/>
          <w:szCs w:val="28"/>
          <w:highlight w:val="none"/>
        </w:rPr>
      </w:pPr>
      <w:bookmarkStart w:id="4" w:name="_Toc9624376"/>
      <w:r>
        <w:rPr>
          <w:rFonts w:hint="eastAsia" w:ascii="宋体" w:hAnsi="宋体" w:eastAsia="宋体" w:cs="宋体"/>
          <w:b/>
          <w:color w:val="auto"/>
          <w:sz w:val="28"/>
          <w:szCs w:val="28"/>
          <w:highlight w:val="none"/>
        </w:rPr>
        <w:t>二、招标文件</w:t>
      </w:r>
      <w:bookmarkEnd w:id="4"/>
    </w:p>
    <w:p>
      <w:pPr>
        <w:snapToGrid w:val="0"/>
        <w:spacing w:line="360" w:lineRule="auto"/>
        <w:ind w:firstLine="472" w:firstLineChars="196"/>
        <w:jc w:val="left"/>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（一）招标文件的构成。</w:t>
      </w:r>
    </w:p>
    <w:p>
      <w:pPr>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本招标文件由以下部份组成：</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1.招标公告</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2.投标人须知</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3.评标办法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4.采购内容及需求</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5.合同主要条款</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6.投标文件格式</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7.本项目招标文件的澄清、修改内容（如有）</w:t>
      </w:r>
    </w:p>
    <w:p>
      <w:pPr>
        <w:snapToGrid w:val="0"/>
        <w:spacing w:before="120" w:beforeLines="50" w:line="360" w:lineRule="auto"/>
        <w:ind w:firstLine="472" w:firstLineChars="196"/>
        <w:jc w:val="left"/>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（二）投标人的风险</w:t>
      </w:r>
    </w:p>
    <w:p>
      <w:pPr>
        <w:pStyle w:val="2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投标人没有按照招标文件要求提供全部资料，或者投标人没有对招标文件在各方面作出实质性响应是投标人的风险，并可能导致其投标无效。</w:t>
      </w:r>
    </w:p>
    <w:p>
      <w:pPr>
        <w:pStyle w:val="7"/>
        <w:widowControl w:val="0"/>
        <w:numPr>
          <w:ilvl w:val="0"/>
          <w:numId w:val="0"/>
        </w:numPr>
        <w:snapToGrid w:val="0"/>
        <w:spacing w:before="120" w:beforeLines="50" w:after="0" w:afterLines="0" w:line="360" w:lineRule="auto"/>
        <w:ind w:firstLine="472" w:firstLineChars="196"/>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pPr>
        <w:pStyle w:val="16"/>
        <w:snapToGrid w:val="0"/>
        <w:spacing w:before="0" w:beforeLines="0" w:after="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1.投标人应认真阅读本招标文件，发现其中有表述不清晰、前后矛盾等内容的，投标人可以在投标截止日十天前以书面形式要求招标采购单位澄清。将问题</w:t>
      </w:r>
      <w:r>
        <w:rPr>
          <w:rFonts w:hint="eastAsia" w:ascii="宋体" w:hAnsi="宋体" w:eastAsia="宋体" w:cs="宋体"/>
          <w:color w:val="auto"/>
          <w:highlight w:val="none"/>
          <w:lang w:val="en-US" w:eastAsia="zh-CN"/>
        </w:rPr>
        <w:t>盖章扫描发送至代理机构邮箱wuzhijing@zngpa.cn</w:t>
      </w:r>
      <w:r>
        <w:rPr>
          <w:rFonts w:hint="eastAsia" w:ascii="宋体" w:hAnsi="宋体" w:eastAsia="宋体" w:cs="宋体"/>
          <w:color w:val="auto"/>
          <w:highlight w:val="none"/>
        </w:rPr>
        <w:t>）。截止期后的疑问将不予受理、答复。招标采购单位对已发出的招标文件进行必要澄清、修改的内容可能影响投标文件编制的，应当在招标文件要求提交投标文件截止时间</w:t>
      </w:r>
      <w:r>
        <w:rPr>
          <w:rFonts w:hint="eastAsia" w:ascii="宋体" w:hAnsi="宋体" w:eastAsia="宋体" w:cs="宋体"/>
          <w:b/>
          <w:color w:val="auto"/>
          <w:highlight w:val="none"/>
        </w:rPr>
        <w:t>十五</w:t>
      </w:r>
      <w:r>
        <w:rPr>
          <w:rFonts w:hint="eastAsia" w:ascii="宋体" w:hAnsi="宋体" w:eastAsia="宋体" w:cs="宋体"/>
          <w:color w:val="auto"/>
          <w:highlight w:val="none"/>
        </w:rPr>
        <w:t>日前，在财政部门指定的政府采购信息发布媒体上发布更正公告，并以</w:t>
      </w:r>
      <w:r>
        <w:rPr>
          <w:rFonts w:hint="eastAsia" w:ascii="宋体" w:hAnsi="宋体" w:eastAsia="宋体" w:cs="宋体"/>
          <w:color w:val="auto"/>
          <w:highlight w:val="none"/>
          <w:lang w:eastAsia="zh-CN"/>
        </w:rPr>
        <w:t>邮箱发送电子文件</w:t>
      </w:r>
      <w:r>
        <w:rPr>
          <w:rFonts w:hint="eastAsia" w:ascii="宋体" w:hAnsi="宋体" w:eastAsia="宋体" w:cs="宋体"/>
          <w:color w:val="auto"/>
          <w:highlight w:val="none"/>
        </w:rPr>
        <w:t>通知所有招标文件收受人。</w:t>
      </w:r>
    </w:p>
    <w:p>
      <w:pPr>
        <w:pStyle w:val="16"/>
        <w:snapToGrid w:val="0"/>
        <w:spacing w:before="0" w:beforeLines="0" w:after="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2.招标文件澄清、修改的内容为招标文件的组成部分。当招标文件与招标文件的澄清、修改通知就同一内容的表述不一致时，以最后发出的书面文件为准。</w:t>
      </w:r>
    </w:p>
    <w:p>
      <w:pPr>
        <w:pStyle w:val="16"/>
        <w:snapToGrid w:val="0"/>
        <w:spacing w:before="0" w:beforeLines="0" w:after="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3..招标文件的澄清、修改都应该通过本代理机构发布。</w:t>
      </w:r>
    </w:p>
    <w:p>
      <w:pPr>
        <w:pStyle w:val="16"/>
        <w:snapToGrid w:val="0"/>
        <w:spacing w:before="0" w:beforeLines="0" w:after="0" w:afterLines="0" w:line="360" w:lineRule="auto"/>
        <w:ind w:firstLine="480" w:firstLineChars="200"/>
        <w:rPr>
          <w:rFonts w:hint="eastAsia" w:ascii="宋体" w:hAnsi="宋体" w:eastAsia="宋体" w:cs="宋体"/>
          <w:color w:val="auto"/>
          <w:highlight w:val="none"/>
        </w:rPr>
      </w:pPr>
    </w:p>
    <w:p>
      <w:pPr>
        <w:pStyle w:val="16"/>
        <w:snapToGrid w:val="0"/>
        <w:spacing w:beforeLines="0" w:afterLines="0" w:line="360" w:lineRule="auto"/>
        <w:ind w:firstLine="551" w:firstLineChars="196"/>
        <w:jc w:val="center"/>
        <w:outlineLvl w:val="1"/>
        <w:rPr>
          <w:rFonts w:hint="eastAsia" w:ascii="宋体" w:hAnsi="宋体" w:eastAsia="宋体" w:cs="宋体"/>
          <w:b/>
          <w:color w:val="auto"/>
          <w:sz w:val="28"/>
          <w:szCs w:val="28"/>
          <w:highlight w:val="none"/>
        </w:rPr>
      </w:pPr>
      <w:bookmarkStart w:id="5" w:name="_Toc9624377"/>
      <w:r>
        <w:rPr>
          <w:rFonts w:hint="eastAsia" w:ascii="宋体" w:hAnsi="宋体" w:eastAsia="宋体" w:cs="宋体"/>
          <w:b/>
          <w:color w:val="auto"/>
          <w:sz w:val="28"/>
          <w:szCs w:val="28"/>
          <w:highlight w:val="none"/>
        </w:rPr>
        <w:t>三、投标文件的编制</w:t>
      </w:r>
      <w:bookmarkEnd w:id="5"/>
    </w:p>
    <w:p>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（一）投标文件的组成</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各标项的投标文件由资格证明文件、商务技术文件、报价文件三部份组成。</w:t>
      </w:r>
    </w:p>
    <w:p>
      <w:pPr>
        <w:snapToGrid w:val="0"/>
        <w:spacing w:before="120" w:beforeLines="50"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1.资格证明文件：</w:t>
      </w:r>
    </w:p>
    <w:p>
      <w:pPr>
        <w:widowControl/>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（1）符合参加政府采购活动应当具备的一般条件的承诺函</w:t>
      </w:r>
      <w:r>
        <w:rPr>
          <w:rFonts w:hint="eastAsia" w:ascii="宋体" w:hAnsi="宋体" w:eastAsia="宋体" w:cs="宋体"/>
          <w:color w:val="auto"/>
          <w:sz w:val="24"/>
          <w:highlight w:val="none"/>
        </w:rPr>
        <w:t>(格式见</w:t>
      </w:r>
      <w:r>
        <w:rPr>
          <w:rFonts w:hint="eastAsia" w:ascii="宋体" w:hAnsi="宋体" w:eastAsia="宋体" w:cs="宋体"/>
          <w:color w:val="auto"/>
          <w:sz w:val="24"/>
          <w:highlight w:val="none"/>
          <w:lang w:eastAsia="zh-CN"/>
        </w:rPr>
        <w:t>第六部分</w:t>
      </w:r>
      <w:r>
        <w:rPr>
          <w:rFonts w:hint="eastAsia" w:ascii="宋体" w:hAnsi="宋体" w:eastAsia="宋体" w:cs="宋体"/>
          <w:color w:val="auto"/>
          <w:sz w:val="24"/>
          <w:highlight w:val="none"/>
        </w:rPr>
        <w:t>)</w:t>
      </w:r>
    </w:p>
    <w:p>
      <w:pPr>
        <w:widowControl/>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）法人或者其他组织的营业执照等证明文件</w:t>
      </w:r>
      <w:r>
        <w:rPr>
          <w:rFonts w:hint="eastAsia" w:ascii="宋体" w:hAnsi="宋体" w:eastAsia="宋体" w:cs="宋体"/>
          <w:color w:val="auto"/>
          <w:kern w:val="0"/>
          <w:sz w:val="24"/>
          <w:highlight w:val="none"/>
          <w:lang w:val="en-US" w:eastAsia="zh-CN"/>
        </w:rPr>
        <w:t>复印件加盖公章</w:t>
      </w:r>
      <w:r>
        <w:rPr>
          <w:rFonts w:hint="eastAsia" w:ascii="宋体" w:hAnsi="宋体" w:eastAsia="宋体" w:cs="宋体"/>
          <w:color w:val="auto"/>
          <w:kern w:val="0"/>
          <w:sz w:val="24"/>
          <w:highlight w:val="none"/>
        </w:rPr>
        <w:t>（如投标人为自然人，则应提供自然人的身份证明）</w:t>
      </w:r>
    </w:p>
    <w:p>
      <w:pPr>
        <w:widowControl/>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投标声明书</w:t>
      </w:r>
      <w:r>
        <w:rPr>
          <w:rFonts w:hint="eastAsia" w:ascii="宋体" w:hAnsi="宋体" w:eastAsia="宋体" w:cs="宋体"/>
          <w:color w:val="auto"/>
          <w:sz w:val="24"/>
          <w:highlight w:val="none"/>
        </w:rPr>
        <w:t>(格式见</w:t>
      </w:r>
      <w:r>
        <w:rPr>
          <w:rFonts w:hint="eastAsia" w:ascii="宋体" w:hAnsi="宋体" w:eastAsia="宋体" w:cs="宋体"/>
          <w:color w:val="auto"/>
          <w:sz w:val="24"/>
          <w:highlight w:val="none"/>
          <w:lang w:eastAsia="zh-CN"/>
        </w:rPr>
        <w:t>第六部分</w:t>
      </w:r>
      <w:r>
        <w:rPr>
          <w:rFonts w:hint="eastAsia" w:ascii="宋体" w:hAnsi="宋体" w:eastAsia="宋体" w:cs="宋体"/>
          <w:color w:val="auto"/>
          <w:sz w:val="24"/>
          <w:highlight w:val="none"/>
        </w:rPr>
        <w:t>)</w:t>
      </w:r>
    </w:p>
    <w:p>
      <w:pPr>
        <w:widowControl/>
        <w:spacing w:line="360" w:lineRule="auto"/>
        <w:ind w:firstLine="360" w:firstLineChars="15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投标人资格条件中要求的其他材料</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中小企业声明函</w:t>
      </w:r>
      <w:r>
        <w:rPr>
          <w:rFonts w:hint="eastAsia" w:ascii="宋体" w:hAnsi="宋体" w:cs="宋体"/>
          <w:color w:val="auto"/>
          <w:kern w:val="0"/>
          <w:sz w:val="24"/>
          <w:highlight w:val="none"/>
          <w:lang w:eastAsia="zh-CN"/>
        </w:rPr>
        <w:t>）</w:t>
      </w:r>
    </w:p>
    <w:p>
      <w:pPr>
        <w:snapToGrid w:val="0"/>
        <w:spacing w:line="360" w:lineRule="auto"/>
        <w:ind w:firstLine="472" w:firstLineChars="196"/>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2.商务技术文件</w:t>
      </w:r>
    </w:p>
    <w:p>
      <w:pPr>
        <w:snapToGrid w:val="0"/>
        <w:spacing w:line="360" w:lineRule="auto"/>
        <w:ind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（1）法定代表人授权委托书(格式见第六</w:t>
      </w:r>
      <w:r>
        <w:rPr>
          <w:rFonts w:hint="eastAsia" w:ascii="宋体" w:hAnsi="宋体" w:eastAsia="宋体" w:cs="宋体"/>
          <w:color w:val="auto"/>
          <w:sz w:val="24"/>
          <w:highlight w:val="none"/>
          <w:lang w:eastAsia="zh-CN"/>
        </w:rPr>
        <w:t>部分</w:t>
      </w:r>
      <w:r>
        <w:rPr>
          <w:rFonts w:hint="eastAsia" w:ascii="宋体" w:hAnsi="宋体" w:eastAsia="宋体" w:cs="宋体"/>
          <w:color w:val="auto"/>
          <w:sz w:val="24"/>
          <w:highlight w:val="none"/>
        </w:rPr>
        <w:t xml:space="preserve">)； </w:t>
      </w:r>
    </w:p>
    <w:p>
      <w:pPr>
        <w:snapToGrid w:val="0"/>
        <w:spacing w:line="360" w:lineRule="auto"/>
        <w:ind w:firstLine="470" w:firstLineChars="196"/>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（2）节能产品的相关证明材料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highlight w:val="none"/>
        </w:rPr>
        <w:t>环境标志产品的相关证明材料</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）投标人情况介绍（格式自拟）；</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）商务响应表（格式见</w:t>
      </w:r>
      <w:r>
        <w:rPr>
          <w:rFonts w:hint="eastAsia" w:ascii="宋体" w:hAnsi="宋体" w:eastAsia="宋体" w:cs="宋体"/>
          <w:color w:val="auto"/>
          <w:kern w:val="0"/>
          <w:sz w:val="24"/>
          <w:highlight w:val="none"/>
          <w:lang w:eastAsia="zh-CN"/>
        </w:rPr>
        <w:t>第六部分</w:t>
      </w:r>
      <w:r>
        <w:rPr>
          <w:rFonts w:hint="eastAsia" w:ascii="宋体" w:hAnsi="宋体" w:eastAsia="宋体" w:cs="宋体"/>
          <w:color w:val="auto"/>
          <w:kern w:val="0"/>
          <w:sz w:val="24"/>
          <w:highlight w:val="none"/>
        </w:rPr>
        <w:t>）；</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）同类项目业绩（格式见</w:t>
      </w:r>
      <w:r>
        <w:rPr>
          <w:rFonts w:hint="eastAsia" w:ascii="宋体" w:hAnsi="宋体" w:eastAsia="宋体" w:cs="宋体"/>
          <w:color w:val="auto"/>
          <w:kern w:val="0"/>
          <w:sz w:val="24"/>
          <w:highlight w:val="none"/>
          <w:lang w:eastAsia="zh-CN"/>
        </w:rPr>
        <w:t>第六部分</w:t>
      </w:r>
      <w:r>
        <w:rPr>
          <w:rFonts w:hint="eastAsia" w:ascii="宋体" w:hAnsi="宋体" w:eastAsia="宋体" w:cs="宋体"/>
          <w:color w:val="auto"/>
          <w:kern w:val="0"/>
          <w:sz w:val="24"/>
          <w:highlight w:val="none"/>
        </w:rPr>
        <w:t xml:space="preserve">）； </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）针对本项目建设的详细实施计划，包括技术方案、装备详细配置清单及所用材质等明细（品牌、产地、规格、参数）；</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）生产工艺流程，质量控制措施等；</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）所投产品或主要材质的检测报告；</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产品及原材料验收标准及检测具体办法；</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）技术偏离表（格式见附件）；</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）项目的组织实施方案，包括产品的供货、验收、安装调试方案及配送承诺等；</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12</w:t>
      </w:r>
      <w:r>
        <w:rPr>
          <w:rFonts w:hint="eastAsia" w:ascii="宋体" w:hAnsi="宋体" w:eastAsia="宋体" w:cs="宋体"/>
          <w:color w:val="auto"/>
          <w:kern w:val="0"/>
          <w:sz w:val="24"/>
          <w:highlight w:val="none"/>
        </w:rPr>
        <w:t>）技术服务、售后服务的内容和措施，明确售后服务承诺（范围、标准、期限等），并明示服务承诺可能涉及的前提设定和费用，否则将被认为是无条件和免费的；</w:t>
      </w:r>
    </w:p>
    <w:p>
      <w:pPr>
        <w:snapToGrid w:val="0"/>
        <w:spacing w:line="360" w:lineRule="auto"/>
        <w:ind w:firstLine="468" w:firstLineChars="195"/>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13</w:t>
      </w:r>
      <w:r>
        <w:rPr>
          <w:rFonts w:hint="eastAsia" w:ascii="宋体" w:hAnsi="宋体" w:eastAsia="宋体" w:cs="宋体"/>
          <w:color w:val="auto"/>
          <w:kern w:val="0"/>
          <w:sz w:val="24"/>
          <w:highlight w:val="none"/>
        </w:rPr>
        <w:t>）本项目实施人员一览表</w:t>
      </w:r>
      <w:r>
        <w:rPr>
          <w:rFonts w:hint="eastAsia" w:ascii="宋体" w:hAnsi="宋体" w:eastAsia="宋体" w:cs="宋体"/>
          <w:color w:val="auto"/>
          <w:kern w:val="0"/>
          <w:sz w:val="24"/>
          <w:highlight w:val="none"/>
          <w:lang w:eastAsia="zh-CN"/>
        </w:rPr>
        <w:t>；</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项目保障应急预案</w:t>
      </w:r>
      <w:r>
        <w:rPr>
          <w:rFonts w:hint="eastAsia" w:ascii="宋体" w:hAnsi="宋体" w:eastAsia="宋体" w:cs="宋体"/>
          <w:color w:val="auto"/>
          <w:kern w:val="0"/>
          <w:sz w:val="24"/>
          <w:highlight w:val="none"/>
        </w:rPr>
        <w:t>；</w:t>
      </w:r>
    </w:p>
    <w:p>
      <w:pPr>
        <w:snapToGrid w:val="0"/>
        <w:spacing w:line="360" w:lineRule="auto"/>
        <w:ind w:firstLine="468" w:firstLineChars="195"/>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承诺函，提供关于“交货前，所有器材供货厂家须在应急管理部消防救援局消防装备物资信息采集系统（http://xfzb.119.gov.cn）录入装备信息，申请装备编码，并按照应急管理部消防救援局和浙江省消防救援总队要求，制作RFID数字管理标签。投标人必须对上述要求在投标文件中做出承诺(格式自拟)，并且由此所产生的费用必须包含在投标报价内，投标人不提供相关承诺的，视为未实质性响应招标文件要求，投标无效。”</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）供应商提出的对本项目的实质性优惠条件和承诺情况；</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）供应商认为需要说明的其他文件和资料（请结合评标办法自行添加相应内容）。</w:t>
      </w:r>
    </w:p>
    <w:p>
      <w:pPr>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3.报价文件：</w:t>
      </w:r>
    </w:p>
    <w:p>
      <w:pPr>
        <w:tabs>
          <w:tab w:val="left" w:pos="3870"/>
          <w:tab w:val="left" w:pos="4085"/>
        </w:tabs>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（1）投标函（格式见第六</w:t>
      </w:r>
      <w:r>
        <w:rPr>
          <w:rFonts w:hint="eastAsia" w:ascii="宋体" w:hAnsi="宋体" w:eastAsia="宋体" w:cs="宋体"/>
          <w:color w:val="auto"/>
          <w:sz w:val="24"/>
          <w:highlight w:val="none"/>
          <w:lang w:eastAsia="zh-CN"/>
        </w:rPr>
        <w:t>部分</w:t>
      </w:r>
      <w:r>
        <w:rPr>
          <w:rFonts w:hint="eastAsia" w:ascii="宋体" w:hAnsi="宋体" w:eastAsia="宋体" w:cs="宋体"/>
          <w:color w:val="auto"/>
          <w:sz w:val="24"/>
          <w:highlight w:val="none"/>
        </w:rPr>
        <w:t xml:space="preserve">）； </w:t>
      </w:r>
    </w:p>
    <w:p>
      <w:pPr>
        <w:tabs>
          <w:tab w:val="left" w:pos="3870"/>
          <w:tab w:val="left" w:pos="4085"/>
        </w:tabs>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（2）开标一览表（格式见第六</w:t>
      </w:r>
      <w:r>
        <w:rPr>
          <w:rFonts w:hint="eastAsia" w:ascii="宋体" w:hAnsi="宋体" w:eastAsia="宋体" w:cs="宋体"/>
          <w:color w:val="auto"/>
          <w:sz w:val="24"/>
          <w:highlight w:val="none"/>
          <w:lang w:eastAsia="zh-CN"/>
        </w:rPr>
        <w:t>部分</w:t>
      </w:r>
      <w:r>
        <w:rPr>
          <w:rFonts w:hint="eastAsia" w:ascii="宋体" w:hAnsi="宋体" w:eastAsia="宋体" w:cs="宋体"/>
          <w:color w:val="auto"/>
          <w:sz w:val="24"/>
          <w:highlight w:val="none"/>
        </w:rPr>
        <w:t>）；</w:t>
      </w:r>
    </w:p>
    <w:p>
      <w:pPr>
        <w:tabs>
          <w:tab w:val="left" w:pos="3870"/>
          <w:tab w:val="left" w:pos="4085"/>
        </w:tabs>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（3）投标报价明细表（格式见第六</w:t>
      </w:r>
      <w:r>
        <w:rPr>
          <w:rFonts w:hint="eastAsia" w:ascii="宋体" w:hAnsi="宋体" w:eastAsia="宋体" w:cs="宋体"/>
          <w:color w:val="auto"/>
          <w:sz w:val="24"/>
          <w:highlight w:val="none"/>
          <w:lang w:eastAsia="zh-CN"/>
        </w:rPr>
        <w:t>部分</w:t>
      </w:r>
      <w:r>
        <w:rPr>
          <w:rFonts w:hint="eastAsia" w:ascii="宋体" w:hAnsi="宋体" w:eastAsia="宋体" w:cs="宋体"/>
          <w:color w:val="auto"/>
          <w:sz w:val="24"/>
          <w:highlight w:val="none"/>
        </w:rPr>
        <w:t>）；</w:t>
      </w:r>
    </w:p>
    <w:p>
      <w:pPr>
        <w:tabs>
          <w:tab w:val="left" w:pos="3870"/>
          <w:tab w:val="left" w:pos="4085"/>
        </w:tabs>
        <w:snapToGrid w:val="0"/>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（4）中小企业的相关证明材料：中小企业声明函(格式见第六</w:t>
      </w:r>
      <w:r>
        <w:rPr>
          <w:rFonts w:hint="eastAsia" w:ascii="宋体" w:hAnsi="宋体" w:eastAsia="宋体" w:cs="宋体"/>
          <w:color w:val="auto"/>
          <w:sz w:val="24"/>
          <w:highlight w:val="none"/>
          <w:lang w:eastAsia="zh-CN"/>
        </w:rPr>
        <w:t>部分</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w:t>
      </w:r>
    </w:p>
    <w:p>
      <w:pPr>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）投标人针对报价需要说明的其他文件和说明。 </w:t>
      </w:r>
    </w:p>
    <w:p>
      <w:pPr>
        <w:spacing w:line="360" w:lineRule="auto"/>
        <w:ind w:firstLine="590" w:firstLineChars="245"/>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以上所需的各种证书、证件、证明、执照若系复印件，须在复印件上盖上有效的投标人公章。</w:t>
      </w:r>
    </w:p>
    <w:p>
      <w:pPr>
        <w:numPr>
          <w:ilvl w:val="0"/>
          <w:numId w:val="0"/>
        </w:numPr>
        <w:snapToGrid w:val="0"/>
        <w:spacing w:line="360" w:lineRule="auto"/>
        <w:ind w:left="420" w:left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样品</w:t>
      </w:r>
    </w:p>
    <w:p>
      <w:pPr>
        <w:pStyle w:val="17"/>
        <w:snapToGrid w:val="0"/>
        <w:spacing w:line="360" w:lineRule="auto"/>
        <w:ind w:left="0" w:leftChars="0"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须提供样品</w:t>
      </w:r>
      <w:r>
        <w:rPr>
          <w:rFonts w:hint="eastAsia" w:ascii="宋体" w:hAnsi="宋体" w:eastAsia="宋体" w:cs="宋体"/>
          <w:color w:val="auto"/>
          <w:sz w:val="24"/>
          <w:szCs w:val="24"/>
          <w:highlight w:val="none"/>
          <w:lang w:val="en-US" w:eastAsia="zh-CN"/>
        </w:rPr>
        <w:t>的标项</w:t>
      </w:r>
      <w:r>
        <w:rPr>
          <w:rFonts w:hint="eastAsia" w:ascii="宋体" w:hAnsi="宋体" w:eastAsia="宋体" w:cs="宋体"/>
          <w:color w:val="auto"/>
          <w:sz w:val="24"/>
          <w:szCs w:val="24"/>
          <w:highlight w:val="none"/>
        </w:rPr>
        <w:t>未提供样品、样品不全或样品与采购要求或投标文件中不相符的样品评分为0</w:t>
      </w:r>
      <w:r>
        <w:rPr>
          <w:rFonts w:hint="eastAsia" w:ascii="宋体" w:hAnsi="宋体" w:eastAsia="宋体" w:cs="宋体"/>
          <w:color w:val="auto"/>
          <w:kern w:val="2"/>
          <w:sz w:val="24"/>
          <w:szCs w:val="24"/>
          <w:highlight w:val="none"/>
          <w:lang w:val="en-US" w:eastAsia="zh-CN" w:bidi="ar-SA"/>
        </w:rPr>
        <w:t xml:space="preserve">分，无需样品比对测试的标项不需提供样品； </w:t>
      </w:r>
    </w:p>
    <w:p>
      <w:pPr>
        <w:pStyle w:val="17"/>
        <w:snapToGrid w:val="0"/>
        <w:spacing w:line="360" w:lineRule="auto"/>
        <w:ind w:left="0" w:lef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本项目样品采用暗标评审方式进行，所提供样品的外形或包装上均不得出现任何能反映品牌或公司信息的标识，如在递交样品之后仍发现的，样品得分为0分</w:t>
      </w:r>
      <w:r>
        <w:rPr>
          <w:rFonts w:hint="eastAsia" w:ascii="宋体" w:hAnsi="宋体" w:eastAsia="宋体" w:cs="宋体"/>
          <w:color w:val="auto"/>
          <w:sz w:val="24"/>
          <w:szCs w:val="24"/>
          <w:highlight w:val="none"/>
          <w:lang w:eastAsia="zh-CN"/>
        </w:rPr>
        <w:t>。</w:t>
      </w:r>
    </w:p>
    <w:p>
      <w:pPr>
        <w:pStyle w:val="17"/>
        <w:snapToGrid w:val="0"/>
        <w:spacing w:line="360" w:lineRule="auto"/>
        <w:ind w:left="0" w:leftChars="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供应商应仔细核对并确保参与标项及递交样品的一致性，避免造成参与标项但未提供样品（坚持参与但不提供样品的应提前说明）或不参与标项仍提供样品的情形及样品分得0分的风险。</w:t>
      </w:r>
    </w:p>
    <w:p>
      <w:pPr>
        <w:pStyle w:val="17"/>
        <w:snapToGrid w:val="0"/>
        <w:spacing w:line="360" w:lineRule="auto"/>
        <w:ind w:left="0" w:leftChars="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样品提交要求：递交样品时需同时递交投标样品清单（样品清单须包含正面、背面、左侧面45度角清晰照片三张）、递交投标响应文件/样品登记表（表格见附件）。 </w:t>
      </w:r>
    </w:p>
    <w:p>
      <w:pPr>
        <w:pStyle w:val="17"/>
        <w:snapToGrid w:val="0"/>
        <w:spacing w:line="360" w:lineRule="auto"/>
        <w:ind w:left="0" w:leftChars="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样品递交：</w:t>
      </w:r>
      <w:r>
        <w:rPr>
          <w:rFonts w:hint="eastAsia" w:ascii="宋体" w:hAnsi="宋体" w:eastAsia="宋体" w:cs="宋体"/>
          <w:color w:val="auto"/>
          <w:sz w:val="24"/>
          <w:szCs w:val="24"/>
          <w:highlight w:val="none"/>
          <w:lang w:val="en-US" w:eastAsia="zh-CN"/>
        </w:rPr>
        <w:t>因标项较多，于2022年 12月16日9：30-17：00前接收样品，递交的样品应包装完整、牢固不易脱落，若因包装问题在移动、搬运过程中造成遗失或破损的，由投标人承担。须确保在截止时间前送达，未按时送达的按未提供样品认定。</w:t>
      </w:r>
      <w:r>
        <w:rPr>
          <w:rFonts w:hint="eastAsia" w:ascii="宋体" w:hAnsi="宋体" w:eastAsia="宋体" w:cs="宋体"/>
          <w:color w:val="auto"/>
          <w:sz w:val="24"/>
          <w:szCs w:val="24"/>
          <w:highlight w:val="none"/>
        </w:rPr>
        <w:t xml:space="preserve">  </w:t>
      </w:r>
    </w:p>
    <w:p>
      <w:pPr>
        <w:spacing w:line="360" w:lineRule="auto"/>
        <w:ind w:firstLine="422" w:firstLineChars="176"/>
        <w:outlineLvl w:val="2"/>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样品递交地址：浙江省绍兴市越城区育贤东路1519号（浙江省消防救援总队训练与战勤保障支队马路对面） ，未按时送达的按未提供样品认定。地址：浙江省绍兴市越城区马山街道育贤东路1519号消防仓库；联系人：</w:t>
      </w:r>
      <w:r>
        <w:rPr>
          <w:rFonts w:hint="eastAsia" w:ascii="宋体" w:hAnsi="宋体" w:eastAsia="宋体" w:cs="宋体"/>
          <w:color w:val="auto"/>
          <w:sz w:val="24"/>
          <w:szCs w:val="24"/>
          <w:highlight w:val="none"/>
          <w:lang w:val="en-US" w:eastAsia="zh-CN"/>
        </w:rPr>
        <w:t xml:space="preserve">吴女士，韦女士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18805716019,15869191496</w:t>
      </w:r>
      <w:r>
        <w:rPr>
          <w:rFonts w:hint="eastAsia" w:ascii="宋体" w:hAnsi="宋体" w:eastAsia="宋体" w:cs="宋体"/>
          <w:color w:val="auto"/>
          <w:sz w:val="24"/>
          <w:szCs w:val="24"/>
          <w:highlight w:val="none"/>
        </w:rPr>
        <w:t xml:space="preserve">  余</w:t>
      </w:r>
      <w:r>
        <w:rPr>
          <w:rFonts w:hint="eastAsia" w:ascii="宋体" w:hAnsi="宋体" w:eastAsia="宋体" w:cs="宋体"/>
          <w:color w:val="auto"/>
          <w:sz w:val="24"/>
          <w:szCs w:val="24"/>
          <w:highlight w:val="none"/>
          <w:lang w:val="en-US" w:eastAsia="zh-CN"/>
        </w:rPr>
        <w:t>先生</w:t>
      </w:r>
      <w:r>
        <w:rPr>
          <w:rFonts w:hint="eastAsia" w:ascii="宋体" w:hAnsi="宋体" w:eastAsia="宋体" w:cs="宋体"/>
          <w:color w:val="auto"/>
          <w:sz w:val="24"/>
          <w:szCs w:val="24"/>
          <w:highlight w:val="none"/>
        </w:rPr>
        <w:t>18205759396。</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（二）投标文件的语言及计量</w:t>
      </w:r>
    </w:p>
    <w:p>
      <w:pPr>
        <w:snapToGrid w:val="0"/>
        <w:spacing w:line="360" w:lineRule="auto"/>
        <w:ind w:firstLine="422" w:firstLineChars="17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1.投标文件以及投标人与招标方就有关投标事宜的所有来往函电，均应以中文汉语书写。除签名、盖章、专用名称等特殊情形外，以中文汉语以外的文字表述的投标文件视同未提供。 </w:t>
      </w:r>
    </w:p>
    <w:p>
      <w:pPr>
        <w:snapToGrid w:val="0"/>
        <w:spacing w:line="360" w:lineRule="auto"/>
        <w:ind w:firstLine="422" w:firstLineChars="17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2.投标计量单位，招标文件已有明确规定的，使用招标文件规定的计量单位；招标文件没有规定的，应采用中华人民共和国法定计量单位（货币单位：人民币元），否则视同未响应。</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（三）投标报价</w:t>
      </w:r>
    </w:p>
    <w:p>
      <w:pPr>
        <w:tabs>
          <w:tab w:val="left" w:pos="0"/>
        </w:tabs>
        <w:spacing w:line="360" w:lineRule="auto"/>
        <w:ind w:firstLine="424" w:firstLineChars="17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投标报价应按招标文件中相关附表格式填写。</w:t>
      </w:r>
    </w:p>
    <w:p>
      <w:pPr>
        <w:tabs>
          <w:tab w:val="left" w:pos="0"/>
        </w:tabs>
        <w:spacing w:line="360" w:lineRule="auto"/>
        <w:ind w:firstLine="424" w:firstLineChars="17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投标综合单价应当包括履行合同的全部价格，包括但不限于货款、标准附件、备品备件、专用工具、包装、运输、装卸、保险、税金、货到就位以及安装、调试、培训、保修、税金等一切费用。</w:t>
      </w:r>
    </w:p>
    <w:p>
      <w:pPr>
        <w:tabs>
          <w:tab w:val="left" w:pos="0"/>
        </w:tabs>
        <w:spacing w:line="360" w:lineRule="auto"/>
        <w:ind w:firstLine="424" w:firstLineChars="17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投标人的投标报价应在项目预算（最高限价）之内，超出预算金额（最高限价）的投标文件按无效标处理。</w:t>
      </w:r>
    </w:p>
    <w:p>
      <w:pPr>
        <w:tabs>
          <w:tab w:val="left" w:pos="0"/>
        </w:tabs>
        <w:spacing w:line="360" w:lineRule="auto"/>
        <w:ind w:firstLine="422" w:firstLineChars="176"/>
        <w:rPr>
          <w:rFonts w:hint="eastAsia" w:ascii="宋体" w:hAnsi="宋体" w:eastAsia="宋体" w:cs="宋体"/>
          <w:bCs/>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bCs/>
          <w:color w:val="auto"/>
          <w:sz w:val="24"/>
          <w:highlight w:val="none"/>
        </w:rPr>
        <w:t>不论采购结果如何，投标人均应自行承担所有与此次投标有关的全部费用。</w:t>
      </w:r>
    </w:p>
    <w:p>
      <w:pPr>
        <w:tabs>
          <w:tab w:val="left" w:pos="0"/>
        </w:tabs>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 投标报价是指一次性报出不得修改的价格，投标报价应按采购文件中相关附表格式填写。</w:t>
      </w:r>
    </w:p>
    <w:p>
      <w:pPr>
        <w:tabs>
          <w:tab w:val="left" w:pos="0"/>
        </w:tabs>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 投标报价是履行合同的最终价格，应包括完成所有产品供货及履行所有规定服务所产生的全部费用。 </w:t>
      </w:r>
    </w:p>
    <w:p>
      <w:pPr>
        <w:tabs>
          <w:tab w:val="left" w:pos="0"/>
        </w:tabs>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7. 投标文件只允许有一个报价，有选择或有条件的报价将不予接受，其投标无效。</w:t>
      </w:r>
    </w:p>
    <w:p>
      <w:pPr>
        <w:pStyle w:val="7"/>
        <w:widowControl w:val="0"/>
        <w:numPr>
          <w:ilvl w:val="0"/>
          <w:numId w:val="0"/>
        </w:numPr>
        <w:snapToGrid w:val="0"/>
        <w:spacing w:after="0" w:afterLines="0" w:line="360" w:lineRule="auto"/>
        <w:ind w:firstLine="424" w:firstLineChars="176"/>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pPr>
        <w:pStyle w:val="7"/>
        <w:widowControl w:val="0"/>
        <w:numPr>
          <w:ilvl w:val="0"/>
          <w:numId w:val="0"/>
        </w:numPr>
        <w:snapToGrid w:val="0"/>
        <w:spacing w:after="0" w:afterLines="0" w:line="360" w:lineRule="auto"/>
        <w:ind w:firstLine="422" w:firstLineChars="176"/>
        <w:rPr>
          <w:rFonts w:hint="eastAsia" w:ascii="宋体" w:hAnsi="宋体" w:eastAsia="宋体" w:cs="宋体"/>
          <w:color w:val="auto"/>
          <w:szCs w:val="24"/>
          <w:highlight w:val="none"/>
        </w:rPr>
      </w:pPr>
      <w:r>
        <w:rPr>
          <w:rFonts w:hint="eastAsia" w:ascii="宋体" w:hAnsi="宋体" w:eastAsia="宋体" w:cs="宋体"/>
          <w:color w:val="auto"/>
          <w:szCs w:val="24"/>
          <w:highlight w:val="none"/>
        </w:rPr>
        <w:t>1.自投标截止日起并在投标有效期内投标文件应保持有效，投标有效期详见《第二</w:t>
      </w:r>
      <w:r>
        <w:rPr>
          <w:rFonts w:hint="eastAsia" w:ascii="宋体" w:hAnsi="宋体" w:eastAsia="宋体" w:cs="宋体"/>
          <w:color w:val="auto"/>
          <w:szCs w:val="24"/>
          <w:highlight w:val="none"/>
          <w:lang w:eastAsia="zh-CN"/>
        </w:rPr>
        <w:t>部分</w:t>
      </w:r>
      <w:r>
        <w:rPr>
          <w:rFonts w:hint="eastAsia" w:ascii="宋体" w:hAnsi="宋体" w:eastAsia="宋体" w:cs="宋体"/>
          <w:color w:val="auto"/>
          <w:szCs w:val="24"/>
          <w:highlight w:val="none"/>
        </w:rPr>
        <w:t xml:space="preserve">  投标人须知》前附表。有效期不足的投标文件将被视为无效。</w:t>
      </w:r>
    </w:p>
    <w:p>
      <w:pPr>
        <w:pStyle w:val="7"/>
        <w:widowControl w:val="0"/>
        <w:numPr>
          <w:ilvl w:val="0"/>
          <w:numId w:val="0"/>
        </w:numPr>
        <w:snapToGrid w:val="0"/>
        <w:spacing w:after="0" w:afterLines="0" w:line="360" w:lineRule="auto"/>
        <w:ind w:firstLine="422" w:firstLineChars="176"/>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2.在特殊情况下，招标人可与投标人协商延长投标书的有效期，这种要求和答复均以书面形式进行。</w:t>
      </w:r>
    </w:p>
    <w:p>
      <w:pPr>
        <w:pStyle w:val="7"/>
        <w:widowControl w:val="0"/>
        <w:numPr>
          <w:ilvl w:val="0"/>
          <w:numId w:val="0"/>
        </w:numPr>
        <w:snapToGrid w:val="0"/>
        <w:spacing w:after="0" w:afterLines="0" w:line="360" w:lineRule="auto"/>
        <w:ind w:firstLine="422" w:firstLineChars="176"/>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3.中标人的投标文件自开标之日起至合同履行完毕之日均应保持有效。</w:t>
      </w:r>
    </w:p>
    <w:p>
      <w:pPr>
        <w:pStyle w:val="7"/>
        <w:widowControl w:val="0"/>
        <w:numPr>
          <w:ilvl w:val="0"/>
          <w:numId w:val="0"/>
        </w:numPr>
        <w:snapToGrid w:val="0"/>
        <w:spacing w:after="0" w:afterLines="0" w:line="360" w:lineRule="auto"/>
        <w:ind w:firstLine="424" w:firstLineChars="176"/>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（五）投标文件的装订、签署和份数（每个标项须单独编制）</w:t>
      </w:r>
    </w:p>
    <w:p>
      <w:pPr>
        <w:pStyle w:val="7"/>
        <w:widowControl w:val="0"/>
        <w:numPr>
          <w:ilvl w:val="0"/>
          <w:numId w:val="0"/>
        </w:numPr>
        <w:snapToGrid w:val="0"/>
        <w:spacing w:after="0" w:afterLines="0" w:line="360" w:lineRule="auto"/>
        <w:ind w:firstLine="422" w:firstLineChars="176"/>
        <w:rPr>
          <w:rFonts w:hint="eastAsia" w:ascii="宋体" w:hAnsi="宋体" w:eastAsia="宋体" w:cs="宋体"/>
          <w:color w:val="auto"/>
          <w:highlight w:val="none"/>
        </w:rPr>
      </w:pPr>
      <w:r>
        <w:rPr>
          <w:rFonts w:hint="eastAsia" w:ascii="宋体" w:hAnsi="宋体" w:eastAsia="宋体" w:cs="宋体"/>
          <w:color w:val="auto"/>
          <w:szCs w:val="24"/>
          <w:highlight w:val="none"/>
        </w:rPr>
        <w:t>1.投标人应按本招标文件规定的格式和顺序编制、装订投标文件并标注页码，投标文件内容不完整、编排混乱导致投标文件被误读、漏</w:t>
      </w:r>
      <w:r>
        <w:rPr>
          <w:rFonts w:hint="eastAsia" w:ascii="宋体" w:hAnsi="宋体" w:eastAsia="宋体" w:cs="宋体"/>
          <w:color w:val="auto"/>
          <w:highlight w:val="none"/>
        </w:rPr>
        <w:t>读或者查找不到相关内容的，是投标人的责任。</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2.投标人应按资格证明文件、商务技术文件、报价文件</w:t>
      </w:r>
      <w:r>
        <w:rPr>
          <w:rFonts w:hint="eastAsia" w:ascii="宋体" w:hAnsi="宋体" w:eastAsia="宋体" w:cs="宋体"/>
          <w:color w:val="auto"/>
          <w:sz w:val="24"/>
          <w:highlight w:val="none"/>
          <w:lang w:val="en-US" w:eastAsia="zh-CN"/>
        </w:rPr>
        <w:t>合并装订成一</w:t>
      </w:r>
      <w:r>
        <w:rPr>
          <w:rFonts w:hint="eastAsia" w:ascii="宋体" w:hAnsi="宋体" w:eastAsia="宋体" w:cs="宋体"/>
          <w:color w:val="auto"/>
          <w:sz w:val="24"/>
          <w:highlight w:val="none"/>
        </w:rPr>
        <w:t>册。正本各1份，副本数量按前附表要求。投标文件的封面应注明“正本”、“副本”字样。采用活页装订的投标文件将被拒绝，开标时由现场工作人员退还投标人代表。</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3.投标文件的正本需打印或用不褪色的墨水填写，副本可为正本的复印件。</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4.投标文件须由投标人在规定位置盖章并由法定代表人或法定代表人的授权委托人签署，投标人应写全称。</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5.投标文件不得涂改，若有修改错漏处，须加盖单位公章或者法定代表人或授权委托人签字或盖章。投标文件因字迹潦草或表达不清所引起的后果由投标人负责。</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（六）投标文件的包装、密封、修改和撤回</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1.投标人应按资格文件、商务技术文件、报价文件三部分。</w:t>
      </w:r>
      <w:r>
        <w:rPr>
          <w:rFonts w:hint="eastAsia" w:ascii="宋体" w:hAnsi="宋体" w:eastAsia="宋体" w:cs="宋体"/>
          <w:color w:val="auto"/>
          <w:sz w:val="24"/>
          <w:highlight w:val="none"/>
          <w:lang w:val="en-US" w:eastAsia="zh-CN"/>
        </w:rPr>
        <w:t>建议</w:t>
      </w:r>
      <w:r>
        <w:rPr>
          <w:rFonts w:hint="eastAsia" w:ascii="宋体" w:hAnsi="宋体" w:eastAsia="宋体" w:cs="宋体"/>
          <w:color w:val="auto"/>
          <w:sz w:val="24"/>
          <w:highlight w:val="none"/>
        </w:rPr>
        <w:t>三部分合并成一册，其中正本1份，</w:t>
      </w:r>
      <w:r>
        <w:rPr>
          <w:rFonts w:hint="eastAsia" w:ascii="宋体" w:hAnsi="宋体" w:eastAsia="宋体" w:cs="宋体"/>
          <w:color w:val="auto"/>
          <w:sz w:val="24"/>
          <w:highlight w:val="none"/>
          <w:lang w:eastAsia="zh-CN"/>
        </w:rPr>
        <w:t>副本3份</w:t>
      </w:r>
      <w:r>
        <w:rPr>
          <w:rFonts w:hint="eastAsia" w:ascii="宋体" w:hAnsi="宋体" w:eastAsia="宋体" w:cs="宋体"/>
          <w:b/>
          <w:bCs/>
          <w:color w:val="auto"/>
          <w:sz w:val="24"/>
          <w:highlight w:val="none"/>
        </w:rPr>
        <w:t>（每个标项须单独编制）</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2.投标文件的包装封面上应注明投标人名称、投标人地址、投标文件名称（资格证明文件、商务技术文件、报价文件）、投标项目名称、项目编号、标项及“在  年  月  日  时  分之前不得启封”字样，并加盖投标人公章。</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w:t>
      </w:r>
      <w:r>
        <w:rPr>
          <w:rFonts w:hint="eastAsia" w:ascii="宋体" w:hAnsi="宋体" w:eastAsia="宋体" w:cs="宋体"/>
          <w:color w:val="auto"/>
          <w:sz w:val="24"/>
          <w:highlight w:val="none"/>
          <w:lang w:val="en-US" w:eastAsia="zh-CN"/>
        </w:rPr>
        <w:t>纸质版和电子版分开密封，共2个密封包</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每个标项须单独</w:t>
      </w:r>
      <w:r>
        <w:rPr>
          <w:rFonts w:hint="eastAsia" w:ascii="宋体" w:hAnsi="宋体" w:eastAsia="宋体" w:cs="宋体"/>
          <w:b/>
          <w:bCs/>
          <w:color w:val="auto"/>
          <w:sz w:val="24"/>
          <w:highlight w:val="none"/>
          <w:lang w:val="en-US" w:eastAsia="zh-CN"/>
        </w:rPr>
        <w:t>密封</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rPr>
        <w:t>。</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4.未密封的投标文件将被拒绝接收，并由现场工作人员退还投标人代表。</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在投标截止时间之前，可以对已提交的投标文件进行修改或撤回，并书面通知招标采购单位；投标截止时间后，投标人不得撤回、修改投标文件。修改后重新递交的投标文件应当按本招标文件的要求签署、盖章、包装和密封。</w:t>
      </w:r>
    </w:p>
    <w:p>
      <w:pPr>
        <w:ind w:firstLine="424" w:firstLineChars="176"/>
        <w:rPr>
          <w:rFonts w:hint="eastAsia" w:ascii="宋体" w:hAnsi="宋体" w:eastAsia="宋体" w:cs="宋体"/>
          <w:b/>
          <w:snapToGrid w:val="0"/>
          <w:color w:val="auto"/>
          <w:sz w:val="24"/>
          <w:highlight w:val="none"/>
        </w:rPr>
      </w:pPr>
    </w:p>
    <w:p>
      <w:pPr>
        <w:pStyle w:val="16"/>
        <w:snapToGrid w:val="0"/>
        <w:spacing w:beforeLines="0" w:afterLines="0" w:line="360" w:lineRule="auto"/>
        <w:jc w:val="center"/>
        <w:outlineLvl w:val="1"/>
        <w:rPr>
          <w:rFonts w:hint="eastAsia" w:ascii="宋体" w:hAnsi="宋体" w:eastAsia="宋体" w:cs="宋体"/>
          <w:b/>
          <w:color w:val="auto"/>
          <w:sz w:val="28"/>
          <w:szCs w:val="28"/>
          <w:highlight w:val="none"/>
        </w:rPr>
      </w:pPr>
      <w:bookmarkStart w:id="6" w:name="_Toc9624378"/>
      <w:r>
        <w:rPr>
          <w:rFonts w:hint="eastAsia" w:ascii="宋体" w:hAnsi="宋体" w:eastAsia="宋体" w:cs="宋体"/>
          <w:b/>
          <w:color w:val="auto"/>
          <w:sz w:val="28"/>
          <w:szCs w:val="28"/>
          <w:highlight w:val="none"/>
        </w:rPr>
        <w:t>四、开标</w:t>
      </w:r>
      <w:bookmarkEnd w:id="6"/>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（一）开标准备</w:t>
      </w:r>
    </w:p>
    <w:p>
      <w:pPr>
        <w:spacing w:line="360" w:lineRule="auto"/>
        <w:ind w:firstLine="422" w:firstLineChars="17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采购代理机构将在规定的时间和地点进行开标，投标人的法定代表人或其授权代表应准时参加开标会并签到。</w:t>
      </w:r>
      <w:r>
        <w:rPr>
          <w:rFonts w:hint="eastAsia" w:ascii="宋体" w:hAnsi="宋体" w:eastAsia="宋体" w:cs="宋体"/>
          <w:color w:val="auto"/>
          <w:kern w:val="0"/>
          <w:sz w:val="24"/>
          <w:highlight w:val="none"/>
        </w:rPr>
        <w:t>参加开标活动时</w:t>
      </w:r>
      <w:r>
        <w:rPr>
          <w:rFonts w:hint="eastAsia" w:ascii="宋体" w:hAnsi="宋体" w:eastAsia="宋体" w:cs="宋体"/>
          <w:color w:val="auto"/>
          <w:sz w:val="24"/>
          <w:highlight w:val="none"/>
        </w:rPr>
        <w:t>应当</w:t>
      </w:r>
      <w:r>
        <w:rPr>
          <w:rFonts w:hint="eastAsia" w:ascii="宋体" w:hAnsi="宋体" w:eastAsia="宋体" w:cs="宋体"/>
          <w:color w:val="auto"/>
          <w:sz w:val="24"/>
          <w:highlight w:val="none"/>
          <w:lang w:val="en-US" w:eastAsia="zh-CN"/>
        </w:rPr>
        <w:t>手持</w:t>
      </w:r>
      <w:r>
        <w:rPr>
          <w:rFonts w:hint="eastAsia" w:ascii="宋体" w:hAnsi="宋体" w:eastAsia="宋体" w:cs="宋体"/>
          <w:color w:val="auto"/>
          <w:sz w:val="24"/>
          <w:highlight w:val="none"/>
        </w:rPr>
        <w:t>递交投标响应文件/样品登记表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有效期内</w:t>
      </w:r>
      <w:r>
        <w:rPr>
          <w:rFonts w:hint="eastAsia" w:ascii="宋体" w:hAnsi="宋体" w:eastAsia="宋体" w:cs="宋体"/>
          <w:color w:val="auto"/>
          <w:sz w:val="24"/>
          <w:highlight w:val="none"/>
        </w:rPr>
        <w:t>本人身份证或公安机关出具的临时身份证明或港澳台胞证或护照原件或户口本原件（其他诸如驾驶证、市民卡等一律视为未提供有效的身份证明）</w:t>
      </w:r>
      <w:r>
        <w:rPr>
          <w:rFonts w:hint="eastAsia" w:ascii="宋体" w:hAnsi="宋体" w:eastAsia="宋体" w:cs="宋体"/>
          <w:color w:val="auto"/>
          <w:sz w:val="24"/>
          <w:highlight w:val="none"/>
          <w:lang w:val="en-US" w:eastAsia="zh-CN"/>
        </w:rPr>
        <w:t>和法定代表人出具的授权委托书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rPr>
        <w:t>是法定代表人参加，须</w:t>
      </w:r>
      <w:r>
        <w:rPr>
          <w:rFonts w:hint="eastAsia" w:ascii="宋体" w:hAnsi="宋体" w:eastAsia="宋体" w:cs="宋体"/>
          <w:color w:val="auto"/>
          <w:sz w:val="24"/>
          <w:highlight w:val="none"/>
          <w:lang w:val="en-US" w:eastAsia="zh-CN"/>
        </w:rPr>
        <w:t>携提供</w:t>
      </w:r>
      <w:r>
        <w:rPr>
          <w:rFonts w:hint="eastAsia" w:ascii="宋体" w:hAnsi="宋体" w:eastAsia="宋体" w:cs="宋体"/>
          <w:color w:val="auto"/>
          <w:sz w:val="24"/>
          <w:highlight w:val="none"/>
        </w:rPr>
        <w:t>法定代表人身份证明书（格式见第六部分）。投标人的法定代表人或其授权代表未按时签到的，视同放弃开标监督权利、认可开标结果</w:t>
      </w:r>
      <w:r>
        <w:rPr>
          <w:rFonts w:hint="eastAsia" w:ascii="宋体" w:hAnsi="宋体" w:eastAsia="宋体" w:cs="宋体"/>
          <w:color w:val="auto"/>
          <w:sz w:val="24"/>
          <w:highlight w:val="none"/>
          <w:lang w:eastAsia="zh-CN"/>
        </w:rPr>
        <w:t>。</w:t>
      </w:r>
    </w:p>
    <w:p>
      <w:pPr>
        <w:spacing w:line="360" w:lineRule="auto"/>
        <w:ind w:firstLine="424" w:firstLineChars="176"/>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lang w:eastAsia="zh-CN"/>
        </w:rPr>
        <w:t>投标文件递交有效（投标文件递交有效性以纸质投标文件递交时间为准，下同），而投标人法定代表人或其委托代理人未能参加开标或未能携带上述资料的，视同其未参加开标，不得对开标提出异议，不影响开标结果，也不作为否决其投标的评审因素。</w:t>
      </w:r>
    </w:p>
    <w:p>
      <w:pPr>
        <w:bidi w:val="0"/>
        <w:rPr>
          <w:rFonts w:hint="eastAsia" w:ascii="宋体" w:hAnsi="宋体" w:eastAsia="宋体" w:cs="宋体"/>
          <w:color w:val="auto"/>
          <w:highlight w:val="none"/>
          <w:lang w:eastAsia="zh-CN"/>
        </w:rPr>
      </w:pPr>
    </w:p>
    <w:p>
      <w:pPr>
        <w:numPr>
          <w:ilvl w:val="0"/>
          <w:numId w:val="7"/>
        </w:numPr>
        <w:spacing w:line="360" w:lineRule="auto"/>
        <w:ind w:left="-210" w:leftChars="0" w:firstLine="424" w:firstLineChars="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开标程序</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1．开标会由采购代理机构主持，主持人宣布开标会议开始。</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2．主持人介绍参加开标会的人员名单，宣布开标纪律，告知应当回避的情形，提请有关人员回避。</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3．投标人或其当场推荐的代表检查投标文件密封的完整性并签字确认。</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4．按各投标人提交投标文件时间的先后顺序打开投标文件外包装，清点投标文件正本、副本数量。采用活页装订</w:t>
      </w:r>
      <w:r>
        <w:rPr>
          <w:rFonts w:hint="eastAsia" w:ascii="宋体" w:hAnsi="宋体" w:eastAsia="宋体" w:cs="宋体"/>
          <w:b/>
          <w:bCs/>
          <w:color w:val="auto"/>
          <w:sz w:val="24"/>
          <w:highlight w:val="none"/>
        </w:rPr>
        <w:t>（是指用卡条、抽杆夹、订书机等形式装订，使标书可以拆卸或者在翻动过程中易脱落的一种装订方式）</w:t>
      </w:r>
      <w:r>
        <w:rPr>
          <w:rFonts w:hint="eastAsia" w:ascii="宋体" w:hAnsi="宋体" w:eastAsia="宋体" w:cs="宋体"/>
          <w:color w:val="auto"/>
          <w:sz w:val="24"/>
          <w:highlight w:val="none"/>
        </w:rPr>
        <w:t>的投标文件将被当场退还投标人，并由投标人代表签字确认，无故拒绝或不签字确认的视同默认。</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5．按各投标人提交投标文件时间的先后顺序进行开标唱标，由唱标人宣读《开标一览表》中的投标人名称及在其投标文件中承诺的投标报价，以及采购代理机构认为有必要宣读的其他内容。</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代理机构做开标记录，投标人代表对开标记录进行当场校核及勘误，并签字确认；同时由记录人、监督人当场签字确认。投标人代表未到场签字确认或者拒绝签字确认的，视同默认开标结果，不影响开标过程。</w:t>
      </w:r>
    </w:p>
    <w:p>
      <w:pPr>
        <w:spacing w:line="360" w:lineRule="auto"/>
        <w:ind w:firstLine="422" w:firstLineChars="17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7．开标会议结束，投标文件并送评标室评审。</w:t>
      </w:r>
      <w:r>
        <w:rPr>
          <w:rFonts w:hint="eastAsia" w:ascii="宋体" w:hAnsi="宋体" w:eastAsia="宋体" w:cs="宋体"/>
          <w:color w:val="auto"/>
          <w:kern w:val="2"/>
          <w:sz w:val="24"/>
          <w:szCs w:val="24"/>
          <w:highlight w:val="none"/>
          <w:lang w:val="en-US" w:eastAsia="zh-CN" w:bidi="ar-SA"/>
        </w:rPr>
        <w:t xml:space="preserve">  </w:t>
      </w:r>
    </w:p>
    <w:p>
      <w:pPr>
        <w:pStyle w:val="16"/>
        <w:snapToGrid w:val="0"/>
        <w:spacing w:beforeLines="0" w:afterLines="0" w:line="360" w:lineRule="auto"/>
        <w:jc w:val="center"/>
        <w:outlineLvl w:val="1"/>
        <w:rPr>
          <w:rFonts w:hint="eastAsia" w:ascii="宋体" w:hAnsi="宋体" w:eastAsia="宋体" w:cs="宋体"/>
          <w:b/>
          <w:color w:val="auto"/>
          <w:sz w:val="28"/>
          <w:szCs w:val="28"/>
          <w:highlight w:val="none"/>
        </w:rPr>
      </w:pPr>
      <w:bookmarkStart w:id="7" w:name="_Toc9624379"/>
    </w:p>
    <w:p>
      <w:pPr>
        <w:pStyle w:val="16"/>
        <w:snapToGrid w:val="0"/>
        <w:spacing w:beforeLines="0" w:afterLines="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五、评标</w:t>
      </w:r>
      <w:bookmarkEnd w:id="7"/>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（一）组建评标委员会</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本项目评标委员会按《中华人民共和国政府采购法》相关要求，在浙江省财政厅采购专家库中随机抽取，成员由5人（含）以上奇数组成，其中政府采购专家人数不少于成员总数的三分之二。</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（二）评标程序</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1.在评审专家中推选评审小组组长。</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3.招标人或者招标代理机构对各投标人的资格进行审查，投标人资格条件不符合招标文件要求的投标无效，</w:t>
      </w:r>
      <w:r>
        <w:rPr>
          <w:rFonts w:hint="eastAsia" w:ascii="宋体" w:hAnsi="宋体" w:eastAsia="宋体" w:cs="宋体"/>
          <w:bCs/>
          <w:color w:val="auto"/>
          <w:sz w:val="24"/>
          <w:highlight w:val="none"/>
        </w:rPr>
        <w:t>不再进入符合性审查。</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4.评审小组对各投标文件的符合性进行审查，确定是否对招标文件作出了实质性响应。</w:t>
      </w:r>
      <w:r>
        <w:rPr>
          <w:rFonts w:hint="eastAsia" w:ascii="宋体" w:hAnsi="宋体" w:eastAsia="宋体" w:cs="宋体"/>
          <w:bCs/>
          <w:color w:val="auto"/>
          <w:sz w:val="24"/>
          <w:highlight w:val="none"/>
        </w:rPr>
        <w:t>实质上没有响应招标文件要求的投标将被视为无效投标，不再进入下一阶段的评审。</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5.评审人员按招标文件规定的评审方法和评审标准，依法独立对供应商投标文件进行评估、比较，并给予评价或打分，不受任何单位和个人的干预。</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6.各投标人的得分为所有评委的有效评分的算术平均数，由指定专人进行计算复核。</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7.评标委员会完成评标后,评委对各部分得分汇总,计算出本项目最终得分。评标委员会按评标原则推荐中标候选人，同时起草评标报告。</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8.实质上响应招标文件要求的投标人</w:t>
      </w:r>
      <w:r>
        <w:rPr>
          <w:rFonts w:hint="eastAsia" w:ascii="宋体" w:hAnsi="宋体" w:eastAsia="宋体" w:cs="宋体"/>
          <w:bCs/>
          <w:color w:val="auto"/>
          <w:sz w:val="24"/>
          <w:highlight w:val="none"/>
        </w:rPr>
        <w:t>不足三家的，除财政部门另有规定外，应当作废标处理。</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（三）澄清问题的形式</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（四）错误修正</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投标文件如果出现计算或表达上的错误，修正错误的原则如下：</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同时出现两种以上不一致的，按照前款规定的顺序修正。评标委员会应当以书面形式要求投标人对修正后的报价予以确认并对投标人产生约束力。投标人不予确认的，其投标无效。</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（五）评标原则和评标办法</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1.评标委员会必须公平、公正、客观，不带任何倾向性和启发性；不得向外界透露任何与评标有关的内容；任何单位和个人不得干扰、影响评标的正常进行；评标委员会及有关工作人员不得私下与投标人接触。</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2.本项目评标办法是综合评分法，具体评标内容及评分标准等详见《</w:t>
      </w:r>
      <w:r>
        <w:rPr>
          <w:rFonts w:hint="eastAsia" w:ascii="宋体" w:hAnsi="宋体" w:eastAsia="宋体" w:cs="宋体"/>
          <w:color w:val="auto"/>
          <w:sz w:val="24"/>
          <w:highlight w:val="none"/>
          <w:lang w:eastAsia="zh-CN"/>
        </w:rPr>
        <w:t>第三部分</w:t>
      </w:r>
      <w:r>
        <w:rPr>
          <w:rFonts w:hint="eastAsia" w:ascii="宋体" w:hAnsi="宋体" w:eastAsia="宋体" w:cs="宋体"/>
          <w:color w:val="auto"/>
          <w:sz w:val="24"/>
          <w:highlight w:val="none"/>
        </w:rPr>
        <w:t xml:space="preserve">：评标办法》。 </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采取“评审总得分相同的，投标报价低者优先；评审总得分且投标报价相同的，技术分高者优先；评审总得分、投标报价相同且技术分相同的，则采取随机抽取方式” 的原则确定一个投标人获得中标人推荐资格，其他同品牌投标人不作为中标候选人。</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多家投标人提供的核心产品品牌相同的，按前款规定处理。</w:t>
      </w:r>
    </w:p>
    <w:p>
      <w:pPr>
        <w:pStyle w:val="16"/>
        <w:snapToGrid w:val="0"/>
        <w:spacing w:beforeLines="0" w:afterLines="0" w:line="360" w:lineRule="auto"/>
        <w:jc w:val="center"/>
        <w:outlineLvl w:val="9"/>
        <w:rPr>
          <w:rFonts w:hint="eastAsia" w:ascii="宋体" w:hAnsi="宋体" w:eastAsia="宋体" w:cs="宋体"/>
          <w:b/>
          <w:color w:val="auto"/>
          <w:sz w:val="28"/>
          <w:szCs w:val="28"/>
          <w:highlight w:val="none"/>
        </w:rPr>
      </w:pPr>
      <w:bookmarkStart w:id="8" w:name="_Toc9624380"/>
    </w:p>
    <w:p>
      <w:pPr>
        <w:pStyle w:val="16"/>
        <w:snapToGrid w:val="0"/>
        <w:spacing w:beforeLines="0" w:afterLines="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六、定标</w:t>
      </w:r>
      <w:bookmarkEnd w:id="8"/>
    </w:p>
    <w:p>
      <w:pPr>
        <w:spacing w:line="360" w:lineRule="auto"/>
        <w:ind w:firstLine="424" w:firstLineChars="176"/>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（一）确定中标人</w:t>
      </w:r>
    </w:p>
    <w:p>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本项目由评标委员会推荐预中标供应商，采购结果由采购人确认。</w:t>
      </w:r>
    </w:p>
    <w:p>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.采购人依法确定中标人后2个工作日内，采购代理机构以书面形式发出《中标通知书》,并同时在公告媒体上发布中标公告。</w:t>
      </w:r>
    </w:p>
    <w:p>
      <w:pPr>
        <w:pStyle w:val="16"/>
        <w:snapToGrid w:val="0"/>
        <w:spacing w:beforeLines="0" w:afterLines="0" w:line="360" w:lineRule="auto"/>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 </w:t>
      </w:r>
    </w:p>
    <w:p>
      <w:pPr>
        <w:pStyle w:val="16"/>
        <w:snapToGrid w:val="0"/>
        <w:spacing w:beforeLines="0" w:afterLines="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七、合同授予</w:t>
      </w:r>
    </w:p>
    <w:p>
      <w:pPr>
        <w:spacing w:line="360" w:lineRule="auto"/>
        <w:ind w:firstLine="424" w:firstLineChars="176"/>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（一）签订合同</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1.采购人与中标人应当在《中标通知书》发出之日起30日内签订政府采购合同。同时，采购代理机构对合同内容进行审查，如发现与采购结果和投标承诺内容不一致的，应予以纠正。</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2.中标人拖延、拒签合同的,将被取消中标资格。</w:t>
      </w:r>
    </w:p>
    <w:p>
      <w:pPr>
        <w:spacing w:line="360" w:lineRule="auto"/>
        <w:ind w:firstLine="424" w:firstLineChars="176"/>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（二）履约保证金</w:t>
      </w:r>
    </w:p>
    <w:p>
      <w:pPr>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本项目不收取履约保证金。</w:t>
      </w:r>
    </w:p>
    <w:p>
      <w:pPr>
        <w:spacing w:line="360" w:lineRule="auto"/>
        <w:ind w:firstLine="480" w:firstLineChars="200"/>
        <w:rPr>
          <w:rFonts w:hint="eastAsia" w:ascii="宋体" w:hAnsi="宋体" w:eastAsia="宋体" w:cs="宋体"/>
          <w:b/>
          <w:color w:val="auto"/>
          <w:spacing w:val="-6"/>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b/>
          <w:color w:val="auto"/>
          <w:spacing w:val="-6"/>
          <w:sz w:val="24"/>
          <w:szCs w:val="24"/>
          <w:highlight w:val="none"/>
        </w:rPr>
        <w:t>采购代理服务费</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由中标供应商支付。收费标准为最终中标金额按照原国家计委关于印发《招标代理服务收费管理暂行办法》（计价格[2002]1980号）货物类下浮36%计取。中标人在收到中标通知书的同时向采购代理机构支付。</w:t>
      </w:r>
    </w:p>
    <w:p>
      <w:pPr>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结算方式及时间为：在领取中标通知书时由中标人一次性向采购代理机构付清。</w:t>
      </w:r>
    </w:p>
    <w:p>
      <w:pPr>
        <w:pStyle w:val="13"/>
        <w:spacing w:line="288" w:lineRule="auto"/>
        <w:rPr>
          <w:rFonts w:hint="eastAsia" w:ascii="宋体" w:hAnsi="宋体" w:eastAsia="宋体" w:cs="宋体"/>
          <w:color w:val="auto"/>
          <w:highlight w:val="none"/>
        </w:rPr>
      </w:pPr>
    </w:p>
    <w:p>
      <w:pPr>
        <w:spacing w:line="240" w:lineRule="auto"/>
        <w:jc w:val="lef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288" w:lineRule="auto"/>
        <w:jc w:val="center"/>
        <w:outlineLvl w:val="0"/>
        <w:rPr>
          <w:rFonts w:hint="eastAsia" w:ascii="宋体" w:hAnsi="宋体" w:eastAsia="宋体" w:cs="宋体"/>
          <w:b/>
          <w:color w:val="auto"/>
          <w:sz w:val="32"/>
          <w:szCs w:val="32"/>
          <w:highlight w:val="none"/>
        </w:rPr>
      </w:pPr>
      <w:bookmarkStart w:id="9" w:name="_Toc32093"/>
      <w:r>
        <w:rPr>
          <w:rFonts w:hint="eastAsia" w:ascii="宋体" w:hAnsi="宋体" w:eastAsia="宋体" w:cs="宋体"/>
          <w:b/>
          <w:color w:val="auto"/>
          <w:sz w:val="32"/>
          <w:szCs w:val="32"/>
          <w:highlight w:val="none"/>
        </w:rPr>
        <w:t>第三部分  采购需求</w:t>
      </w:r>
      <w:bookmarkEnd w:id="9"/>
    </w:p>
    <w:p>
      <w:pPr>
        <w:spacing w:line="360" w:lineRule="auto"/>
        <w:outlineLvl w:val="0"/>
        <w:rPr>
          <w:rFonts w:hint="eastAsia" w:ascii="宋体" w:hAnsi="宋体" w:eastAsia="宋体" w:cs="宋体"/>
          <w:b/>
          <w:color w:val="auto"/>
          <w:sz w:val="24"/>
          <w:szCs w:val="24"/>
          <w:highlight w:val="none"/>
        </w:rPr>
      </w:pPr>
      <w:bookmarkStart w:id="10" w:name="_Toc30508"/>
      <w:bookmarkStart w:id="11" w:name="_Toc9186"/>
      <w:bookmarkStart w:id="12" w:name="_Toc7488"/>
      <w:r>
        <w:rPr>
          <w:rFonts w:hint="eastAsia" w:ascii="宋体" w:hAnsi="宋体" w:eastAsia="宋体" w:cs="宋体"/>
          <w:b/>
          <w:color w:val="auto"/>
          <w:sz w:val="24"/>
          <w:szCs w:val="24"/>
          <w:highlight w:val="none"/>
        </w:rPr>
        <w:t>一、供货要求</w:t>
      </w:r>
      <w:bookmarkEnd w:id="10"/>
      <w:bookmarkEnd w:id="11"/>
      <w:bookmarkEnd w:id="12"/>
    </w:p>
    <w:p>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1、交货时间：合同签订完毕日起2个月内完成供货，交采购人验收。</w:t>
      </w:r>
    </w:p>
    <w:p>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2、交货地点：采购人指定地点。</w:t>
      </w:r>
    </w:p>
    <w:p>
      <w:pPr>
        <w:spacing w:line="360" w:lineRule="auto"/>
        <w:outlineLvl w:val="0"/>
        <w:rPr>
          <w:rFonts w:hint="eastAsia" w:ascii="宋体" w:hAnsi="宋体" w:eastAsia="宋体" w:cs="宋体"/>
          <w:b/>
          <w:color w:val="auto"/>
          <w:sz w:val="24"/>
          <w:szCs w:val="24"/>
          <w:highlight w:val="none"/>
        </w:rPr>
      </w:pPr>
      <w:bookmarkStart w:id="13" w:name="_Toc26956"/>
      <w:bookmarkStart w:id="14" w:name="_Toc26119"/>
      <w:bookmarkStart w:id="15" w:name="_Toc7704"/>
      <w:r>
        <w:rPr>
          <w:rFonts w:hint="eastAsia" w:ascii="宋体" w:hAnsi="宋体" w:eastAsia="宋体" w:cs="宋体"/>
          <w:b/>
          <w:color w:val="auto"/>
          <w:sz w:val="24"/>
          <w:szCs w:val="24"/>
          <w:highlight w:val="none"/>
        </w:rPr>
        <w:t>二、验收要求</w:t>
      </w:r>
      <w:bookmarkEnd w:id="13"/>
      <w:bookmarkEnd w:id="14"/>
      <w:bookmarkEnd w:id="15"/>
    </w:p>
    <w:p>
      <w:pPr>
        <w:adjustRightInd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能够满足采购文件、合同约定的各项要求。</w:t>
      </w:r>
    </w:p>
    <w:p>
      <w:pPr>
        <w:numPr>
          <w:ilvl w:val="0"/>
          <w:numId w:val="8"/>
        </w:numPr>
        <w:spacing w:line="360" w:lineRule="auto"/>
        <w:outlineLvl w:val="0"/>
        <w:rPr>
          <w:rFonts w:hint="eastAsia" w:ascii="宋体" w:hAnsi="宋体" w:eastAsia="宋体" w:cs="宋体"/>
          <w:b/>
          <w:color w:val="auto"/>
          <w:sz w:val="24"/>
          <w:szCs w:val="24"/>
          <w:highlight w:val="none"/>
        </w:rPr>
      </w:pPr>
      <w:bookmarkStart w:id="16" w:name="_Toc25742"/>
      <w:bookmarkStart w:id="17" w:name="_Toc12632"/>
      <w:bookmarkStart w:id="18" w:name="_Toc8114"/>
      <w:r>
        <w:rPr>
          <w:rFonts w:hint="eastAsia" w:ascii="宋体" w:hAnsi="宋体" w:eastAsia="宋体" w:cs="宋体"/>
          <w:b/>
          <w:color w:val="auto"/>
          <w:sz w:val="24"/>
          <w:szCs w:val="24"/>
          <w:highlight w:val="none"/>
        </w:rPr>
        <w:t>付款方式</w:t>
      </w:r>
      <w:bookmarkEnd w:id="16"/>
      <w:bookmarkEnd w:id="17"/>
      <w:bookmarkEnd w:id="18"/>
    </w:p>
    <w:p>
      <w:pPr>
        <w:numPr>
          <w:ilvl w:val="0"/>
          <w:numId w:val="0"/>
        </w:numPr>
        <w:adjustRightIn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全部货物</w:t>
      </w:r>
      <w:r>
        <w:rPr>
          <w:rFonts w:hint="eastAsia" w:ascii="宋体" w:hAnsi="宋体" w:eastAsia="宋体" w:cs="宋体"/>
          <w:color w:val="auto"/>
          <w:sz w:val="24"/>
          <w:szCs w:val="28"/>
          <w:highlight w:val="none"/>
          <w:lang w:val="zh-CN"/>
        </w:rPr>
        <w:t>交货、</w:t>
      </w:r>
      <w:r>
        <w:rPr>
          <w:rFonts w:hint="eastAsia" w:ascii="宋体" w:hAnsi="宋体" w:eastAsia="宋体" w:cs="宋体"/>
          <w:color w:val="auto"/>
          <w:sz w:val="24"/>
          <w:szCs w:val="28"/>
          <w:highlight w:val="none"/>
          <w:lang w:val="en-US" w:eastAsia="zh-CN"/>
        </w:rPr>
        <w:t>经采购人</w:t>
      </w:r>
      <w:r>
        <w:rPr>
          <w:rFonts w:hint="eastAsia" w:ascii="宋体" w:hAnsi="宋体" w:eastAsia="宋体" w:cs="宋体"/>
          <w:color w:val="auto"/>
          <w:sz w:val="24"/>
          <w:szCs w:val="28"/>
          <w:highlight w:val="none"/>
          <w:lang w:val="zh-CN"/>
        </w:rPr>
        <w:t>验收合格后并经</w:t>
      </w:r>
      <w:r>
        <w:rPr>
          <w:rFonts w:hint="eastAsia" w:ascii="宋体" w:hAnsi="宋体" w:eastAsia="宋体" w:cs="宋体"/>
          <w:color w:val="auto"/>
          <w:sz w:val="24"/>
          <w:szCs w:val="28"/>
          <w:highlight w:val="none"/>
          <w:lang w:val="en-US" w:eastAsia="zh-CN"/>
        </w:rPr>
        <w:t>采购人委托的第三方审价机构</w:t>
      </w:r>
      <w:r>
        <w:rPr>
          <w:rFonts w:hint="eastAsia" w:ascii="宋体" w:hAnsi="宋体" w:eastAsia="宋体" w:cs="宋体"/>
          <w:color w:val="auto"/>
          <w:sz w:val="24"/>
          <w:szCs w:val="28"/>
          <w:highlight w:val="none"/>
          <w:lang w:val="zh-CN"/>
        </w:rPr>
        <w:t>审计完成后凭《装备验收单》（附件1）支付至审计价的9</w:t>
      </w:r>
      <w:r>
        <w:rPr>
          <w:rFonts w:hint="eastAsia" w:ascii="宋体" w:hAnsi="宋体" w:eastAsia="宋体" w:cs="宋体"/>
          <w:color w:val="auto"/>
          <w:sz w:val="24"/>
          <w:szCs w:val="28"/>
          <w:highlight w:val="none"/>
          <w:lang w:val="en-US" w:eastAsia="zh-CN"/>
        </w:rPr>
        <w:t>7.</w:t>
      </w:r>
      <w:r>
        <w:rPr>
          <w:rFonts w:hint="eastAsia" w:ascii="宋体" w:hAnsi="宋体" w:eastAsia="宋体" w:cs="宋体"/>
          <w:color w:val="auto"/>
          <w:sz w:val="24"/>
          <w:szCs w:val="28"/>
          <w:highlight w:val="none"/>
          <w:lang w:val="zh-CN"/>
        </w:rPr>
        <w:t>5%；剩余</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lang w:val="zh-CN"/>
        </w:rPr>
        <w:t>5%作为质量保证金，质保期满后若无质量问题的，</w:t>
      </w:r>
      <w:r>
        <w:rPr>
          <w:rFonts w:hint="eastAsia" w:ascii="宋体" w:hAnsi="宋体" w:eastAsia="宋体" w:cs="宋体"/>
          <w:color w:val="auto"/>
          <w:sz w:val="24"/>
          <w:szCs w:val="28"/>
          <w:highlight w:val="none"/>
          <w:lang w:val="en-US" w:eastAsia="zh-CN"/>
        </w:rPr>
        <w:t>中标人</w:t>
      </w:r>
      <w:r>
        <w:rPr>
          <w:rFonts w:hint="eastAsia" w:ascii="宋体" w:hAnsi="宋体" w:eastAsia="宋体" w:cs="宋体"/>
          <w:color w:val="auto"/>
          <w:sz w:val="24"/>
          <w:szCs w:val="28"/>
          <w:highlight w:val="none"/>
          <w:lang w:val="zh-CN"/>
        </w:rPr>
        <w:t>凭《质保期内无质量疑义证明文件》（附件2）</w:t>
      </w:r>
      <w:r>
        <w:rPr>
          <w:rFonts w:hint="eastAsia" w:ascii="宋体" w:hAnsi="宋体" w:eastAsia="宋体" w:cs="宋体"/>
          <w:color w:val="auto"/>
          <w:sz w:val="24"/>
          <w:szCs w:val="28"/>
          <w:highlight w:val="none"/>
          <w:lang w:val="en-US" w:eastAsia="zh-CN"/>
        </w:rPr>
        <w:t>申请采购人</w:t>
      </w:r>
      <w:r>
        <w:rPr>
          <w:rFonts w:hint="eastAsia" w:ascii="宋体" w:hAnsi="宋体" w:eastAsia="宋体" w:cs="宋体"/>
          <w:color w:val="auto"/>
          <w:sz w:val="24"/>
          <w:szCs w:val="28"/>
          <w:highlight w:val="none"/>
          <w:lang w:val="zh-CN"/>
        </w:rPr>
        <w:t>支付。</w:t>
      </w:r>
    </w:p>
    <w:p>
      <w:pPr>
        <w:numPr>
          <w:ilvl w:val="0"/>
          <w:numId w:val="0"/>
        </w:numPr>
        <w:adjustRightIn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kern w:val="2"/>
          <w:sz w:val="24"/>
          <w:szCs w:val="24"/>
          <w:highlight w:val="none"/>
          <w:lang w:val="zh-CN" w:eastAsia="zh-CN" w:bidi="ar-SA"/>
        </w:rPr>
        <w:t>每次</w:t>
      </w:r>
      <w:r>
        <w:rPr>
          <w:rFonts w:hint="eastAsia" w:ascii="宋体" w:hAnsi="宋体" w:eastAsia="宋体" w:cs="宋体"/>
          <w:bCs/>
          <w:color w:val="auto"/>
          <w:kern w:val="2"/>
          <w:sz w:val="24"/>
          <w:szCs w:val="24"/>
          <w:highlight w:val="none"/>
          <w:lang w:val="en-US" w:eastAsia="zh-CN" w:bidi="ar-SA"/>
        </w:rPr>
        <w:t>采购人</w:t>
      </w:r>
      <w:r>
        <w:rPr>
          <w:rFonts w:hint="eastAsia" w:ascii="宋体" w:hAnsi="宋体" w:eastAsia="宋体" w:cs="宋体"/>
          <w:bCs/>
          <w:color w:val="auto"/>
          <w:kern w:val="2"/>
          <w:sz w:val="24"/>
          <w:szCs w:val="24"/>
          <w:highlight w:val="none"/>
          <w:lang w:val="zh-CN" w:eastAsia="zh-CN" w:bidi="ar-SA"/>
        </w:rPr>
        <w:t>付款前，</w:t>
      </w:r>
      <w:r>
        <w:rPr>
          <w:rFonts w:hint="eastAsia" w:ascii="宋体" w:hAnsi="宋体" w:eastAsia="宋体" w:cs="宋体"/>
          <w:bCs/>
          <w:color w:val="auto"/>
          <w:kern w:val="2"/>
          <w:sz w:val="24"/>
          <w:szCs w:val="24"/>
          <w:highlight w:val="none"/>
          <w:lang w:val="en-US" w:eastAsia="zh-CN" w:bidi="ar-SA"/>
        </w:rPr>
        <w:t>中标人</w:t>
      </w:r>
      <w:r>
        <w:rPr>
          <w:rFonts w:hint="eastAsia" w:ascii="宋体" w:hAnsi="宋体" w:eastAsia="宋体" w:cs="宋体"/>
          <w:bCs/>
          <w:color w:val="auto"/>
          <w:kern w:val="2"/>
          <w:sz w:val="24"/>
          <w:szCs w:val="24"/>
          <w:highlight w:val="none"/>
          <w:lang w:val="zh-CN" w:eastAsia="zh-CN" w:bidi="ar-SA"/>
        </w:rPr>
        <w:t>应提供相应金额的增值税专用发票，否则</w:t>
      </w:r>
      <w:r>
        <w:rPr>
          <w:rFonts w:hint="eastAsia" w:ascii="宋体" w:hAnsi="宋体" w:eastAsia="宋体" w:cs="宋体"/>
          <w:bCs/>
          <w:color w:val="auto"/>
          <w:kern w:val="2"/>
          <w:sz w:val="24"/>
          <w:szCs w:val="24"/>
          <w:highlight w:val="none"/>
          <w:lang w:val="en-US" w:eastAsia="zh-CN" w:bidi="ar-SA"/>
        </w:rPr>
        <w:t>采购人</w:t>
      </w:r>
      <w:r>
        <w:rPr>
          <w:rFonts w:hint="eastAsia" w:ascii="宋体" w:hAnsi="宋体" w:eastAsia="宋体" w:cs="宋体"/>
          <w:bCs/>
          <w:color w:val="auto"/>
          <w:kern w:val="2"/>
          <w:sz w:val="24"/>
          <w:szCs w:val="24"/>
          <w:highlight w:val="none"/>
          <w:lang w:val="zh-CN" w:eastAsia="zh-CN" w:bidi="ar-SA"/>
        </w:rPr>
        <w:t>有权暂不付款且不构成违约。</w:t>
      </w:r>
    </w:p>
    <w:p>
      <w:pPr>
        <w:numPr>
          <w:ilvl w:val="0"/>
          <w:numId w:val="8"/>
        </w:numPr>
        <w:spacing w:line="360" w:lineRule="auto"/>
        <w:outlineLvl w:val="0"/>
        <w:rPr>
          <w:rFonts w:hint="eastAsia" w:ascii="宋体" w:hAnsi="宋体" w:eastAsia="宋体" w:cs="宋体"/>
          <w:b/>
          <w:color w:val="auto"/>
          <w:sz w:val="24"/>
          <w:szCs w:val="24"/>
          <w:highlight w:val="none"/>
        </w:rPr>
      </w:pPr>
      <w:bookmarkStart w:id="19" w:name="_Toc29917"/>
      <w:bookmarkStart w:id="20" w:name="_Toc27784"/>
      <w:bookmarkStart w:id="21" w:name="_Toc29867"/>
      <w:r>
        <w:rPr>
          <w:rFonts w:hint="eastAsia" w:ascii="宋体" w:hAnsi="宋体" w:eastAsia="宋体" w:cs="宋体"/>
          <w:b/>
          <w:color w:val="auto"/>
          <w:sz w:val="24"/>
          <w:szCs w:val="24"/>
          <w:highlight w:val="none"/>
        </w:rPr>
        <w:t>质量保证及售后服务要求</w:t>
      </w:r>
      <w:bookmarkEnd w:id="19"/>
      <w:bookmarkEnd w:id="20"/>
      <w:bookmarkEnd w:id="21"/>
    </w:p>
    <w:p>
      <w:pPr>
        <w:adjustRightInd w:val="0"/>
        <w:spacing w:line="360" w:lineRule="auto"/>
        <w:ind w:firstLine="542"/>
        <w:outlineLvl w:val="0"/>
        <w:rPr>
          <w:rFonts w:hint="eastAsia" w:ascii="宋体" w:hAnsi="宋体" w:eastAsia="宋体" w:cs="宋体"/>
          <w:color w:val="auto"/>
          <w:spacing w:val="-6"/>
          <w:sz w:val="24"/>
          <w:szCs w:val="24"/>
          <w:highlight w:val="none"/>
        </w:rPr>
      </w:pPr>
      <w:bookmarkStart w:id="22" w:name="_Toc29129"/>
      <w:bookmarkStart w:id="23" w:name="_Toc24456"/>
      <w:bookmarkStart w:id="24" w:name="_Toc27057"/>
      <w:r>
        <w:rPr>
          <w:rFonts w:hint="eastAsia" w:ascii="宋体" w:hAnsi="宋体" w:eastAsia="宋体" w:cs="宋体"/>
          <w:color w:val="auto"/>
          <w:spacing w:val="-6"/>
          <w:sz w:val="24"/>
          <w:szCs w:val="24"/>
          <w:highlight w:val="none"/>
        </w:rPr>
        <w:t>1、质量要求：所供产品是符合国家技术规范和质量标准的合格产品，且未曾使用，制造标准、安装标准及技术规范要求必须符合我国相关标准和使用方认可的有关国际标准，并符合采购人的采购要求。</w:t>
      </w:r>
      <w:bookmarkEnd w:id="22"/>
      <w:bookmarkEnd w:id="23"/>
      <w:bookmarkEnd w:id="24"/>
    </w:p>
    <w:p>
      <w:pPr>
        <w:adjustRightInd w:val="0"/>
        <w:snapToGrid w:val="0"/>
        <w:spacing w:line="360" w:lineRule="auto"/>
        <w:ind w:firstLine="544"/>
        <w:outlineLvl w:val="0"/>
        <w:rPr>
          <w:rFonts w:hint="eastAsia" w:ascii="宋体" w:hAnsi="宋体" w:eastAsia="宋体" w:cs="宋体"/>
          <w:color w:val="auto"/>
          <w:spacing w:val="-6"/>
          <w:sz w:val="24"/>
          <w:szCs w:val="24"/>
          <w:highlight w:val="none"/>
        </w:rPr>
      </w:pPr>
      <w:bookmarkStart w:id="25" w:name="_Toc15659"/>
      <w:bookmarkStart w:id="26" w:name="_Toc16516"/>
      <w:bookmarkStart w:id="27" w:name="_Toc26491"/>
      <w:r>
        <w:rPr>
          <w:rFonts w:hint="eastAsia" w:ascii="宋体" w:hAnsi="宋体" w:eastAsia="宋体" w:cs="宋体"/>
          <w:color w:val="auto"/>
          <w:spacing w:val="-6"/>
          <w:sz w:val="24"/>
          <w:szCs w:val="24"/>
          <w:highlight w:val="none"/>
        </w:rPr>
        <w:t>2、包装要求：所有产品货物外包装按相关规定执行，不得有破损和霉烂。</w:t>
      </w:r>
      <w:bookmarkEnd w:id="25"/>
      <w:bookmarkEnd w:id="26"/>
      <w:bookmarkEnd w:id="27"/>
    </w:p>
    <w:p>
      <w:pPr>
        <w:adjustRightInd w:val="0"/>
        <w:snapToGrid w:val="0"/>
        <w:spacing w:line="360" w:lineRule="auto"/>
        <w:ind w:firstLine="544"/>
        <w:outlineLvl w:val="0"/>
        <w:rPr>
          <w:rFonts w:hint="eastAsia" w:ascii="宋体" w:hAnsi="宋体" w:eastAsia="宋体" w:cs="宋体"/>
          <w:color w:val="auto"/>
          <w:spacing w:val="-6"/>
          <w:sz w:val="24"/>
          <w:szCs w:val="24"/>
          <w:highlight w:val="none"/>
        </w:rPr>
      </w:pPr>
      <w:bookmarkStart w:id="28" w:name="_Toc4992"/>
      <w:bookmarkStart w:id="29" w:name="_Toc18944"/>
      <w:bookmarkStart w:id="30" w:name="_Toc14859"/>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、费用：中标人</w:t>
      </w:r>
      <w:bookmarkEnd w:id="28"/>
      <w:bookmarkEnd w:id="29"/>
      <w:bookmarkEnd w:id="30"/>
      <w:r>
        <w:rPr>
          <w:rFonts w:hint="eastAsia" w:ascii="宋体" w:hAnsi="宋体" w:eastAsia="宋体" w:cs="宋体"/>
          <w:bCs/>
          <w:color w:val="auto"/>
          <w:sz w:val="24"/>
          <w:highlight w:val="none"/>
          <w:lang w:eastAsia="zh-CN"/>
        </w:rPr>
        <w:t>负责产品的</w:t>
      </w:r>
      <w:r>
        <w:rPr>
          <w:rFonts w:hint="eastAsia" w:ascii="宋体" w:hAnsi="宋体" w:eastAsia="宋体" w:cs="宋体"/>
          <w:bCs/>
          <w:color w:val="auto"/>
          <w:sz w:val="24"/>
          <w:highlight w:val="none"/>
          <w:lang w:val="en-US" w:eastAsia="zh-CN"/>
        </w:rPr>
        <w:t>包装、</w:t>
      </w:r>
      <w:r>
        <w:rPr>
          <w:rFonts w:hint="eastAsia" w:ascii="宋体" w:hAnsi="宋体" w:eastAsia="宋体" w:cs="宋体"/>
          <w:bCs/>
          <w:color w:val="auto"/>
          <w:sz w:val="24"/>
          <w:highlight w:val="none"/>
          <w:lang w:eastAsia="zh-CN"/>
        </w:rPr>
        <w:t>运输、</w:t>
      </w:r>
      <w:r>
        <w:rPr>
          <w:rFonts w:hint="eastAsia" w:ascii="宋体" w:hAnsi="宋体" w:eastAsia="宋体" w:cs="宋体"/>
          <w:bCs/>
          <w:color w:val="auto"/>
          <w:sz w:val="24"/>
          <w:highlight w:val="none"/>
          <w:lang w:val="en-US" w:eastAsia="zh-CN"/>
        </w:rPr>
        <w:t>装卸、</w:t>
      </w:r>
      <w:r>
        <w:rPr>
          <w:rFonts w:hint="eastAsia" w:ascii="宋体" w:hAnsi="宋体" w:eastAsia="宋体" w:cs="宋体"/>
          <w:bCs/>
          <w:color w:val="auto"/>
          <w:sz w:val="24"/>
          <w:highlight w:val="none"/>
          <w:lang w:eastAsia="zh-CN"/>
        </w:rPr>
        <w:t>安装、调试、验收等工作，产品正式交付</w:t>
      </w:r>
      <w:r>
        <w:rPr>
          <w:rFonts w:hint="eastAsia" w:ascii="宋体" w:hAnsi="宋体" w:eastAsia="宋体" w:cs="宋体"/>
          <w:bCs/>
          <w:color w:val="auto"/>
          <w:sz w:val="24"/>
          <w:highlight w:val="none"/>
          <w:lang w:val="en-US" w:eastAsia="zh-CN"/>
        </w:rPr>
        <w:t>采购人</w:t>
      </w:r>
      <w:r>
        <w:rPr>
          <w:rFonts w:hint="eastAsia" w:ascii="宋体" w:hAnsi="宋体" w:eastAsia="宋体" w:cs="宋体"/>
          <w:bCs/>
          <w:color w:val="auto"/>
          <w:sz w:val="24"/>
          <w:highlight w:val="none"/>
          <w:lang w:eastAsia="zh-CN"/>
        </w:rPr>
        <w:t>使用前进行安装、调试和质保期内设备正常运行所需一切必要耗材及其费用均由</w:t>
      </w:r>
      <w:r>
        <w:rPr>
          <w:rFonts w:hint="eastAsia" w:ascii="宋体" w:hAnsi="宋体" w:eastAsia="宋体" w:cs="宋体"/>
          <w:bCs/>
          <w:color w:val="auto"/>
          <w:sz w:val="24"/>
          <w:highlight w:val="none"/>
          <w:lang w:val="en-US" w:eastAsia="zh-CN"/>
        </w:rPr>
        <w:t>中标人</w:t>
      </w:r>
      <w:r>
        <w:rPr>
          <w:rFonts w:hint="eastAsia" w:ascii="宋体" w:hAnsi="宋体" w:eastAsia="宋体" w:cs="宋体"/>
          <w:bCs/>
          <w:color w:val="auto"/>
          <w:sz w:val="24"/>
          <w:highlight w:val="none"/>
          <w:lang w:eastAsia="zh-CN"/>
        </w:rPr>
        <w:t>负责。</w:t>
      </w:r>
    </w:p>
    <w:p>
      <w:pPr>
        <w:adjustRightInd w:val="0"/>
        <w:snapToGrid w:val="0"/>
        <w:spacing w:line="360" w:lineRule="auto"/>
        <w:ind w:firstLine="542"/>
        <w:outlineLvl w:val="0"/>
        <w:rPr>
          <w:rFonts w:hint="eastAsia" w:ascii="宋体" w:hAnsi="宋体" w:eastAsia="宋体" w:cs="宋体"/>
          <w:color w:val="auto"/>
          <w:spacing w:val="-6"/>
          <w:sz w:val="24"/>
          <w:szCs w:val="24"/>
          <w:highlight w:val="none"/>
        </w:rPr>
      </w:pPr>
      <w:bookmarkStart w:id="31" w:name="_Toc31927"/>
      <w:bookmarkStart w:id="32" w:name="_Toc5378"/>
      <w:bookmarkStart w:id="33" w:name="_Toc26799"/>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、保修要求：产品从</w:t>
      </w:r>
      <w:r>
        <w:rPr>
          <w:rFonts w:hint="eastAsia" w:ascii="宋体" w:hAnsi="宋体" w:eastAsia="宋体" w:cs="宋体"/>
          <w:color w:val="auto"/>
          <w:spacing w:val="-6"/>
          <w:sz w:val="24"/>
          <w:szCs w:val="24"/>
          <w:highlight w:val="none"/>
          <w:lang w:val="en-US" w:eastAsia="zh-CN"/>
        </w:rPr>
        <w:t>采购人</w:t>
      </w:r>
      <w:r>
        <w:rPr>
          <w:rFonts w:hint="eastAsia" w:ascii="宋体" w:hAnsi="宋体" w:eastAsia="宋体" w:cs="宋体"/>
          <w:color w:val="auto"/>
          <w:spacing w:val="-6"/>
          <w:sz w:val="24"/>
          <w:szCs w:val="24"/>
          <w:highlight w:val="none"/>
        </w:rPr>
        <w:t>验收后合格之日起，保修按厂家规定标准执行。</w:t>
      </w:r>
      <w:bookmarkEnd w:id="31"/>
      <w:bookmarkEnd w:id="32"/>
      <w:bookmarkEnd w:id="33"/>
    </w:p>
    <w:p>
      <w:pPr>
        <w:adjustRightInd w:val="0"/>
        <w:snapToGrid w:val="0"/>
        <w:spacing w:line="360" w:lineRule="auto"/>
        <w:ind w:firstLine="542"/>
        <w:outlineLvl w:val="0"/>
        <w:rPr>
          <w:rFonts w:hint="eastAsia" w:ascii="宋体" w:hAnsi="宋体" w:eastAsia="宋体" w:cs="宋体"/>
          <w:color w:val="auto"/>
          <w:spacing w:val="-6"/>
          <w:sz w:val="24"/>
          <w:szCs w:val="24"/>
          <w:highlight w:val="none"/>
        </w:rPr>
      </w:pPr>
      <w:bookmarkStart w:id="34" w:name="_Toc19434"/>
      <w:bookmarkStart w:id="35" w:name="_Toc7083"/>
      <w:bookmarkStart w:id="36" w:name="_Toc5766"/>
      <w:r>
        <w:rPr>
          <w:rFonts w:hint="eastAsia" w:ascii="宋体" w:hAnsi="宋体" w:eastAsia="宋体" w:cs="宋体"/>
          <w:color w:val="auto"/>
          <w:spacing w:val="-6"/>
          <w:sz w:val="24"/>
          <w:szCs w:val="24"/>
          <w:highlight w:val="none"/>
          <w:lang w:val="en-US" w:eastAsia="zh-CN"/>
        </w:rPr>
        <w:t>5</w:t>
      </w:r>
      <w:r>
        <w:rPr>
          <w:rFonts w:hint="eastAsia" w:ascii="宋体" w:hAnsi="宋体" w:eastAsia="宋体" w:cs="宋体"/>
          <w:color w:val="auto"/>
          <w:spacing w:val="-6"/>
          <w:sz w:val="24"/>
          <w:szCs w:val="24"/>
          <w:highlight w:val="none"/>
        </w:rPr>
        <w:t>、质保期：</w:t>
      </w:r>
      <w:r>
        <w:rPr>
          <w:rFonts w:hint="eastAsia" w:ascii="宋体" w:hAnsi="宋体" w:eastAsia="宋体" w:cs="宋体"/>
          <w:b/>
          <w:bCs/>
          <w:color w:val="auto"/>
          <w:spacing w:val="-6"/>
          <w:sz w:val="24"/>
          <w:szCs w:val="24"/>
          <w:highlight w:val="none"/>
        </w:rPr>
        <w:t>本项目质保期二年，时间自货物测试完毕及</w:t>
      </w:r>
      <w:r>
        <w:rPr>
          <w:rFonts w:hint="eastAsia" w:ascii="宋体" w:hAnsi="宋体" w:eastAsia="宋体" w:cs="宋体"/>
          <w:b/>
          <w:bCs/>
          <w:color w:val="auto"/>
          <w:spacing w:val="-6"/>
          <w:sz w:val="24"/>
          <w:szCs w:val="24"/>
          <w:highlight w:val="none"/>
          <w:lang w:val="en-US" w:eastAsia="zh-CN"/>
        </w:rPr>
        <w:t>采购人</w:t>
      </w:r>
      <w:r>
        <w:rPr>
          <w:rFonts w:hint="eastAsia" w:ascii="宋体" w:hAnsi="宋体" w:eastAsia="宋体" w:cs="宋体"/>
          <w:b/>
          <w:bCs/>
          <w:color w:val="auto"/>
          <w:spacing w:val="-6"/>
          <w:sz w:val="24"/>
          <w:szCs w:val="24"/>
          <w:highlight w:val="none"/>
        </w:rPr>
        <w:t>验收合格之日起。</w:t>
      </w:r>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val="en-US" w:eastAsia="zh-CN"/>
        </w:rPr>
        <w:t>若参数中质保期大于二年的，以参数中明确的为准</w:t>
      </w:r>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color w:val="auto"/>
          <w:spacing w:val="-6"/>
          <w:sz w:val="24"/>
          <w:szCs w:val="24"/>
          <w:highlight w:val="none"/>
        </w:rPr>
        <w:t>在质保期内如发现质量问题，实行包修、包换、包退，直至产品符合质量要求。投标人应保证货物为全新、未使用过的原装正品，保证所提供的货物的外观和内在质量都无任何问题。如质量出现问题，成交方负责“三包”，费用由中标人负责。</w:t>
      </w:r>
      <w:bookmarkEnd w:id="34"/>
      <w:bookmarkEnd w:id="35"/>
      <w:bookmarkEnd w:id="36"/>
    </w:p>
    <w:p>
      <w:pPr>
        <w:adjustRightInd w:val="0"/>
        <w:snapToGrid w:val="0"/>
        <w:spacing w:line="360" w:lineRule="auto"/>
        <w:ind w:firstLine="542"/>
        <w:outlineLvl w:val="0"/>
        <w:rPr>
          <w:rFonts w:hint="eastAsia" w:ascii="宋体" w:hAnsi="宋体" w:eastAsia="宋体" w:cs="宋体"/>
          <w:color w:val="auto"/>
          <w:spacing w:val="-6"/>
          <w:sz w:val="24"/>
          <w:szCs w:val="24"/>
          <w:highlight w:val="none"/>
        </w:rPr>
      </w:pPr>
      <w:bookmarkStart w:id="37" w:name="_Toc21583"/>
      <w:bookmarkStart w:id="38" w:name="_Toc1329"/>
      <w:bookmarkStart w:id="39" w:name="_Toc1465"/>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中标人在产品保质期内，每年不少于2次定期上门对设备进行全面维护保养，保障设备正常运行。</w:t>
      </w:r>
      <w:bookmarkEnd w:id="37"/>
      <w:bookmarkEnd w:id="38"/>
      <w:bookmarkEnd w:id="39"/>
    </w:p>
    <w:p>
      <w:pPr>
        <w:adjustRightInd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7、维修响应：</w:t>
      </w:r>
      <w:r>
        <w:rPr>
          <w:rFonts w:hint="eastAsia" w:ascii="宋体" w:hAnsi="宋体" w:eastAsia="宋体" w:cs="宋体"/>
          <w:color w:val="auto"/>
          <w:spacing w:val="-6"/>
          <w:sz w:val="24"/>
          <w:szCs w:val="24"/>
          <w:highlight w:val="none"/>
          <w:lang w:val="en-US" w:eastAsia="zh-CN"/>
        </w:rPr>
        <w:t>中标人</w:t>
      </w:r>
      <w:r>
        <w:rPr>
          <w:rFonts w:hint="eastAsia" w:ascii="宋体" w:hAnsi="宋体" w:eastAsia="宋体" w:cs="宋体"/>
          <w:color w:val="auto"/>
          <w:spacing w:val="-6"/>
          <w:sz w:val="24"/>
          <w:szCs w:val="24"/>
          <w:highlight w:val="none"/>
        </w:rPr>
        <w:t>保证所供产品在质保期内因设备本身缺陷造成各种故障应由</w:t>
      </w:r>
      <w:r>
        <w:rPr>
          <w:rFonts w:hint="eastAsia" w:ascii="宋体" w:hAnsi="宋体" w:eastAsia="宋体" w:cs="宋体"/>
          <w:color w:val="auto"/>
          <w:spacing w:val="-6"/>
          <w:sz w:val="24"/>
          <w:szCs w:val="24"/>
          <w:highlight w:val="none"/>
          <w:lang w:val="en-US" w:eastAsia="zh-CN"/>
        </w:rPr>
        <w:t>中标人</w:t>
      </w:r>
      <w:r>
        <w:rPr>
          <w:rFonts w:hint="eastAsia" w:ascii="宋体" w:hAnsi="宋体" w:eastAsia="宋体" w:cs="宋体"/>
          <w:color w:val="auto"/>
          <w:spacing w:val="-6"/>
          <w:sz w:val="24"/>
          <w:szCs w:val="24"/>
          <w:highlight w:val="none"/>
        </w:rPr>
        <w:t>免费提供技术服务和维修，若出现产品质量问题应能够在1小时内响应，2小时内提出解决方案，6小时内派维修人员到达现场维修，对于维修期间超过10天的产品应提供备用件供</w:t>
      </w:r>
      <w:r>
        <w:rPr>
          <w:rFonts w:hint="eastAsia" w:ascii="宋体" w:hAnsi="宋体" w:eastAsia="宋体" w:cs="宋体"/>
          <w:color w:val="auto"/>
          <w:spacing w:val="-6"/>
          <w:sz w:val="24"/>
          <w:szCs w:val="24"/>
          <w:highlight w:val="none"/>
          <w:lang w:val="en-US" w:eastAsia="zh-CN"/>
        </w:rPr>
        <w:t>采购人</w:t>
      </w:r>
      <w:r>
        <w:rPr>
          <w:rFonts w:hint="eastAsia" w:ascii="宋体" w:hAnsi="宋体" w:eastAsia="宋体" w:cs="宋体"/>
          <w:color w:val="auto"/>
          <w:spacing w:val="-6"/>
          <w:sz w:val="24"/>
          <w:szCs w:val="24"/>
          <w:highlight w:val="none"/>
        </w:rPr>
        <w:t>使用。</w:t>
      </w:r>
      <w:r>
        <w:rPr>
          <w:rFonts w:hint="eastAsia" w:ascii="宋体" w:hAnsi="宋体" w:eastAsia="宋体" w:cs="宋体"/>
          <w:color w:val="auto"/>
          <w:spacing w:val="-6"/>
          <w:sz w:val="24"/>
          <w:szCs w:val="24"/>
          <w:highlight w:val="none"/>
          <w:lang w:val="en-US" w:eastAsia="zh-CN"/>
        </w:rPr>
        <w:t>若中标人未能按时响应并完成维修的，采购人有权自行委托第三方维修或更换，采购人由此产生的费用由中标人全额承担，采购人并有权直接在未付中标人的款项中予以扣除。</w:t>
      </w:r>
    </w:p>
    <w:p>
      <w:pPr>
        <w:adjustRightInd w:val="0"/>
        <w:snapToGrid w:val="0"/>
        <w:spacing w:line="360" w:lineRule="auto"/>
        <w:ind w:firstLine="458"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8、要求中标人送样时填写送样清单并提供样品检测报告（附件3）和产品承诺书，在退样时填写退样清单（附件4）。</w:t>
      </w:r>
    </w:p>
    <w:p>
      <w:pPr>
        <w:adjustRightInd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9、交货前，所有器材供货厂家须在应急管理部消防救援局消防装备物资信息采集系统（http://xfzb.119.gov.cn）录入装备信息，申请装备编码，并按照应急管理部消防救援局和浙江省消防救援总队要求，制作RFID数字管理标签。投标人必须对上述要求在投标文件中做出承诺(格式自拟)，并且由此所产生的费用必须包含在投标报价内，投标人不提供相关承诺的，视为未实质性响应招标文件要求，投标无效。</w:t>
      </w:r>
    </w:p>
    <w:p>
      <w:pPr>
        <w:spacing w:line="360" w:lineRule="auto"/>
        <w:rPr>
          <w:rFonts w:hint="eastAsia" w:ascii="宋体" w:hAnsi="宋体" w:eastAsia="宋体" w:cs="宋体"/>
          <w:b/>
          <w:bCs/>
          <w:color w:val="auto"/>
          <w:spacing w:val="-6"/>
          <w:sz w:val="24"/>
          <w:szCs w:val="24"/>
          <w:highlight w:val="none"/>
        </w:rPr>
      </w:pPr>
      <w:bookmarkStart w:id="40" w:name="_Hlk99005394"/>
      <w:r>
        <w:rPr>
          <w:rFonts w:hint="eastAsia" w:ascii="宋体" w:hAnsi="宋体" w:eastAsia="宋体" w:cs="宋体"/>
          <w:b/>
          <w:bCs/>
          <w:color w:val="auto"/>
          <w:spacing w:val="-6"/>
          <w:sz w:val="24"/>
          <w:szCs w:val="24"/>
          <w:highlight w:val="none"/>
          <w:lang w:eastAsia="zh-CN"/>
        </w:rPr>
        <w:t>五</w:t>
      </w:r>
      <w:r>
        <w:rPr>
          <w:rFonts w:hint="eastAsia" w:ascii="宋体" w:hAnsi="宋体" w:eastAsia="宋体" w:cs="宋体"/>
          <w:b/>
          <w:bCs/>
          <w:color w:val="auto"/>
          <w:spacing w:val="-6"/>
          <w:sz w:val="24"/>
          <w:szCs w:val="24"/>
          <w:highlight w:val="none"/>
        </w:rPr>
        <w:t>、其他约定</w:t>
      </w:r>
    </w:p>
    <w:p>
      <w:pPr>
        <w:tabs>
          <w:tab w:val="left" w:pos="1200"/>
        </w:tabs>
        <w:spacing w:line="360" w:lineRule="auto"/>
        <w:ind w:firstLine="45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lang w:val="en-US" w:eastAsia="zh-CN"/>
        </w:rPr>
        <w:t>投标人须对报修、维修响应和项目组成员做出承诺，</w:t>
      </w:r>
      <w:r>
        <w:rPr>
          <w:rFonts w:hint="eastAsia" w:ascii="宋体" w:hAnsi="宋体" w:eastAsia="宋体" w:cs="宋体"/>
          <w:color w:val="auto"/>
          <w:sz w:val="24"/>
          <w:szCs w:val="28"/>
          <w:highlight w:val="none"/>
          <w:lang w:val="zh-CN" w:eastAsia="zh-CN"/>
        </w:rPr>
        <w:t>保修、维修响应和项目组成员未按投标承诺履约的，</w:t>
      </w:r>
      <w:r>
        <w:rPr>
          <w:rFonts w:hint="eastAsia" w:ascii="宋体" w:hAnsi="宋体" w:eastAsia="宋体" w:cs="宋体"/>
          <w:color w:val="auto"/>
          <w:sz w:val="24"/>
          <w:szCs w:val="28"/>
          <w:highlight w:val="none"/>
          <w:lang w:val="zh-CN"/>
        </w:rPr>
        <w:t>每次按5000元</w:t>
      </w:r>
      <w:r>
        <w:rPr>
          <w:rFonts w:hint="eastAsia" w:ascii="宋体" w:hAnsi="宋体" w:eastAsia="宋体" w:cs="宋体"/>
          <w:color w:val="auto"/>
          <w:sz w:val="24"/>
          <w:szCs w:val="28"/>
          <w:highlight w:val="none"/>
          <w:lang w:val="zh-CN" w:eastAsia="zh-CN"/>
        </w:rPr>
        <w:t>向甲方支付违约金</w:t>
      </w:r>
      <w:r>
        <w:rPr>
          <w:rFonts w:hint="eastAsia" w:ascii="宋体" w:hAnsi="宋体" w:eastAsia="宋体" w:cs="宋体"/>
          <w:color w:val="auto"/>
          <w:sz w:val="24"/>
          <w:szCs w:val="28"/>
          <w:highlight w:val="none"/>
          <w:lang w:val="zh-CN"/>
        </w:rPr>
        <w:t>，最高限额为</w:t>
      </w:r>
      <w:r>
        <w:rPr>
          <w:rFonts w:hint="eastAsia" w:ascii="宋体" w:hAnsi="宋体" w:eastAsia="宋体" w:cs="宋体"/>
          <w:color w:val="auto"/>
          <w:sz w:val="24"/>
          <w:szCs w:val="28"/>
          <w:highlight w:val="none"/>
          <w:lang w:val="zh-CN" w:eastAsia="zh-CN"/>
        </w:rPr>
        <w:t>合同</w:t>
      </w:r>
      <w:r>
        <w:rPr>
          <w:rFonts w:hint="eastAsia" w:ascii="宋体" w:hAnsi="宋体" w:eastAsia="宋体" w:cs="宋体"/>
          <w:color w:val="auto"/>
          <w:sz w:val="24"/>
          <w:szCs w:val="28"/>
          <w:highlight w:val="none"/>
          <w:lang w:val="zh-CN"/>
        </w:rPr>
        <w:t>总价的2%。</w:t>
      </w:r>
    </w:p>
    <w:p>
      <w:pPr>
        <w:tabs>
          <w:tab w:val="left" w:pos="1200"/>
        </w:tabs>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培训</w:t>
      </w:r>
      <w:r>
        <w:rPr>
          <w:rFonts w:hint="eastAsia" w:ascii="宋体" w:hAnsi="宋体" w:eastAsia="宋体" w:cs="宋体"/>
          <w:color w:val="auto"/>
          <w:spacing w:val="-6"/>
          <w:sz w:val="24"/>
          <w:szCs w:val="24"/>
          <w:highlight w:val="none"/>
          <w:lang w:val="en-US" w:eastAsia="zh-CN"/>
        </w:rPr>
        <w:t>或售后服务</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投标人须对培训或售后服务做出承诺，</w:t>
      </w:r>
      <w:r>
        <w:rPr>
          <w:rFonts w:hint="eastAsia" w:ascii="宋体" w:hAnsi="宋体" w:eastAsia="宋体" w:cs="宋体"/>
          <w:color w:val="auto"/>
          <w:spacing w:val="-6"/>
          <w:sz w:val="24"/>
          <w:szCs w:val="24"/>
          <w:highlight w:val="none"/>
        </w:rPr>
        <w:t>负责提供采购人操作人员的使用培训，提供技术咨询，并在供货后一个月内组织人员对产品的使用、维护等方面进行现场指导，所产生的一切费用由投标人支付。</w:t>
      </w:r>
      <w:r>
        <w:rPr>
          <w:rFonts w:hint="eastAsia" w:ascii="宋体" w:hAnsi="宋体" w:eastAsia="宋体" w:cs="宋体"/>
          <w:color w:val="auto"/>
          <w:sz w:val="24"/>
          <w:szCs w:val="28"/>
          <w:highlight w:val="none"/>
          <w:lang w:val="en-US" w:eastAsia="zh-CN"/>
        </w:rPr>
        <w:t>若乙方违约，</w:t>
      </w:r>
      <w:r>
        <w:rPr>
          <w:rFonts w:hint="eastAsia" w:ascii="宋体" w:hAnsi="宋体" w:eastAsia="宋体" w:cs="宋体"/>
          <w:color w:val="auto"/>
          <w:sz w:val="24"/>
          <w:szCs w:val="28"/>
          <w:highlight w:val="none"/>
          <w:lang w:val="zh-CN"/>
        </w:rPr>
        <w:t>每次按5000元</w:t>
      </w:r>
      <w:r>
        <w:rPr>
          <w:rFonts w:hint="eastAsia" w:ascii="宋体" w:hAnsi="宋体" w:eastAsia="宋体" w:cs="宋体"/>
          <w:color w:val="auto"/>
          <w:sz w:val="24"/>
          <w:szCs w:val="28"/>
          <w:highlight w:val="none"/>
          <w:lang w:val="en-US" w:eastAsia="zh-CN"/>
        </w:rPr>
        <w:t>向甲方支付违约金，最高限额为合同总价的2%。</w:t>
      </w:r>
    </w:p>
    <w:p>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2、验收：</w:t>
      </w:r>
      <w:r>
        <w:rPr>
          <w:rFonts w:hint="eastAsia" w:ascii="宋体" w:hAnsi="宋体" w:eastAsia="宋体" w:cs="宋体"/>
          <w:color w:val="auto"/>
          <w:sz w:val="24"/>
          <w:szCs w:val="28"/>
          <w:highlight w:val="none"/>
          <w:lang w:val="zh-CN"/>
        </w:rPr>
        <w:t>由</w:t>
      </w:r>
      <w:r>
        <w:rPr>
          <w:rFonts w:hint="eastAsia" w:ascii="宋体" w:hAnsi="宋体" w:eastAsia="宋体" w:cs="宋体"/>
          <w:color w:val="auto"/>
          <w:sz w:val="24"/>
          <w:szCs w:val="28"/>
          <w:highlight w:val="none"/>
          <w:lang w:val="en-US" w:eastAsia="zh-CN"/>
        </w:rPr>
        <w:t>采购人</w:t>
      </w:r>
      <w:r>
        <w:rPr>
          <w:rFonts w:hint="eastAsia" w:ascii="宋体" w:hAnsi="宋体" w:eastAsia="宋体" w:cs="宋体"/>
          <w:color w:val="auto"/>
          <w:sz w:val="24"/>
          <w:szCs w:val="28"/>
          <w:highlight w:val="none"/>
          <w:lang w:val="zh-CN"/>
        </w:rPr>
        <w:t>组织验收，对产品技术性能指标验收不合格的，</w:t>
      </w:r>
      <w:r>
        <w:rPr>
          <w:rFonts w:hint="eastAsia" w:ascii="宋体" w:hAnsi="宋体" w:eastAsia="宋体" w:cs="宋体"/>
          <w:color w:val="auto"/>
          <w:sz w:val="24"/>
          <w:szCs w:val="28"/>
          <w:highlight w:val="none"/>
          <w:lang w:val="en-US" w:eastAsia="zh-CN"/>
        </w:rPr>
        <w:t>采购人</w:t>
      </w:r>
      <w:r>
        <w:rPr>
          <w:rFonts w:hint="eastAsia" w:ascii="宋体" w:hAnsi="宋体" w:eastAsia="宋体" w:cs="宋体"/>
          <w:color w:val="auto"/>
          <w:sz w:val="24"/>
          <w:szCs w:val="28"/>
          <w:highlight w:val="none"/>
          <w:lang w:val="zh-CN"/>
        </w:rPr>
        <w:t>将按国家相关法律法规对</w:t>
      </w:r>
      <w:r>
        <w:rPr>
          <w:rFonts w:hint="eastAsia" w:ascii="宋体" w:hAnsi="宋体" w:eastAsia="宋体" w:cs="宋体"/>
          <w:color w:val="auto"/>
          <w:sz w:val="24"/>
          <w:szCs w:val="28"/>
          <w:highlight w:val="none"/>
          <w:lang w:val="en-US" w:eastAsia="zh-CN"/>
        </w:rPr>
        <w:t>中标人</w:t>
      </w:r>
      <w:r>
        <w:rPr>
          <w:rFonts w:hint="eastAsia" w:ascii="宋体" w:hAnsi="宋体" w:eastAsia="宋体" w:cs="宋体"/>
          <w:color w:val="auto"/>
          <w:sz w:val="24"/>
          <w:szCs w:val="28"/>
          <w:highlight w:val="none"/>
          <w:lang w:val="zh-CN"/>
        </w:rPr>
        <w:t>进行违约处理。</w:t>
      </w:r>
    </w:p>
    <w:p>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在项目实施过程中，严格遵守国家相关保密与安全法律法规，遵循采购人各项安全保密制度和规章；工作人员对工作中涉及到的用户的数据、文件等任何资料进行保密。因工作人员的行为造成泄密等问题由中标</w:t>
      </w:r>
      <w:r>
        <w:rPr>
          <w:rFonts w:hint="eastAsia" w:ascii="宋体" w:hAnsi="宋体" w:eastAsia="宋体" w:cs="宋体"/>
          <w:color w:val="auto"/>
          <w:spacing w:val="-6"/>
          <w:sz w:val="24"/>
          <w:szCs w:val="24"/>
          <w:highlight w:val="none"/>
          <w:lang w:val="en-US" w:eastAsia="zh-CN"/>
        </w:rPr>
        <w:t>人</w:t>
      </w:r>
      <w:r>
        <w:rPr>
          <w:rFonts w:hint="eastAsia" w:ascii="宋体" w:hAnsi="宋体" w:eastAsia="宋体" w:cs="宋体"/>
          <w:color w:val="auto"/>
          <w:spacing w:val="-6"/>
          <w:sz w:val="24"/>
          <w:szCs w:val="24"/>
          <w:highlight w:val="none"/>
        </w:rPr>
        <w:t>承担相应的责任。</w:t>
      </w:r>
    </w:p>
    <w:p>
      <w:pPr>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4、所投产品须承诺不侵犯他人知识产权或专利，若侵犯他人知识产权或专利等所有法律问题，均由中标人负责。</w:t>
      </w:r>
    </w:p>
    <w:p>
      <w:pPr>
        <w:pStyle w:val="13"/>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对列入强制性认证产品目录中的产品须提供强制性认证证书（CCC证书）；对强制性认证产品目录以外的产品，有国家标准或行业标准的须提供具有法定资质的国家级检验机构出具的符合国家标准或行业标准的型式试验报告或自愿性认证证书；对未制定国家标准、行业标准的，必须符合保障人体健康和人身、财产安全的要求。</w:t>
      </w:r>
    </w:p>
    <w:p>
      <w:pPr>
        <w:pStyle w:val="13"/>
        <w:spacing w:line="288"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、采购需求</w:t>
      </w:r>
      <w:r>
        <w:rPr>
          <w:rFonts w:hint="eastAsia" w:ascii="宋体" w:hAnsi="宋体" w:eastAsia="宋体" w:cs="宋体"/>
          <w:b/>
          <w:color w:val="auto"/>
          <w:sz w:val="24"/>
          <w:highlight w:val="none"/>
          <w:lang w:eastAsia="zh-CN"/>
        </w:rPr>
        <w:t>：</w:t>
      </w:r>
    </w:p>
    <w:p>
      <w:pPr>
        <w:spacing w:line="288" w:lineRule="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一</w:t>
      </w:r>
    </w:p>
    <w:tbl>
      <w:tblPr>
        <w:tblStyle w:val="33"/>
        <w:tblpPr w:leftFromText="180" w:rightFromText="180" w:vertAnchor="text" w:horzAnchor="page" w:tblpX="1238" w:tblpY="358"/>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41"/>
        <w:gridCol w:w="938"/>
        <w:gridCol w:w="680"/>
        <w:gridCol w:w="6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41"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938"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8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212"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6"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41"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救援支架</w:t>
            </w:r>
          </w:p>
        </w:tc>
        <w:tc>
          <w:tcPr>
            <w:tcW w:w="93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114</w:t>
            </w:r>
          </w:p>
        </w:tc>
        <w:tc>
          <w:tcPr>
            <w:tcW w:w="68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12" w:type="dxa"/>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1、外观表面应光滑平整，无明显划伤、变形等缺陷，各金属部件无机械性损伤、裂纹、毛刺等缺陷；</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2、最大工作状态高度≤3000mm；</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3、额定负载质量≥200kg；</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4、顶端设置不少于2个固定锚点，且均应能安装通用型滑轮装置；</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5、各条支撑脚完全展开后，各支撑脚之间的最大长度差不大于1CM；</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6、设置连接每条支撑脚、可调节长度的保护链（带、绳），并有相应的捆绑固定措施；</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7、在超出额定负载质量下各部件无明显变形或损坏，仍能正常工作；</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8、支撑脚应具备防滑功能,从完全展开并承载起至作业完成为止；</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9、救援三脚架使用的承载连接部件工作负荷不小于5kN，极限负荷不小于20kN；</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10、手动绞盘转动灵活，无卡顿现象；</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11、手动绞盘的平均提拉速度≥0.1m/s；</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12、手动绞盘具备自锁功能。</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i w:val="0"/>
                <w:iCs w:val="0"/>
                <w:color w:val="auto"/>
                <w:kern w:val="2"/>
                <w:sz w:val="21"/>
                <w:szCs w:val="21"/>
                <w:highlight w:val="none"/>
                <w:u w:val="none"/>
                <w:lang w:val="en-US" w:eastAsia="zh-CN" w:bidi="ar-SA"/>
              </w:rPr>
              <w:t>符合XF3009-2020《救援三脚架》标准，提供国家消防装备质量检验检测中心或其他国家级消防产品检测机构出具的检测报告；</w:t>
            </w:r>
          </w:p>
        </w:tc>
      </w:tr>
    </w:tbl>
    <w:p>
      <w:pPr>
        <w:spacing w:line="288" w:lineRule="auto"/>
        <w:outlineLvl w:val="2"/>
        <w:rPr>
          <w:rFonts w:hint="eastAsia" w:ascii="宋体" w:hAnsi="宋体" w:eastAsia="宋体" w:cs="宋体"/>
          <w:b/>
          <w:bCs/>
          <w:color w:val="auto"/>
          <w:sz w:val="21"/>
          <w:szCs w:val="21"/>
          <w:highlight w:val="none"/>
        </w:rPr>
      </w:pPr>
    </w:p>
    <w:p>
      <w:pPr>
        <w:spacing w:line="288" w:lineRule="auto"/>
        <w:outlineLvl w:val="2"/>
        <w:rPr>
          <w:rFonts w:hint="eastAsia" w:ascii="宋体" w:hAnsi="宋体" w:eastAsia="宋体" w:cs="宋体"/>
          <w:b/>
          <w:bCs/>
          <w:color w:val="auto"/>
          <w:sz w:val="21"/>
          <w:szCs w:val="21"/>
          <w:highlight w:val="none"/>
        </w:rPr>
      </w:pPr>
    </w:p>
    <w:p>
      <w:pPr>
        <w:spacing w:line="288" w:lineRule="auto"/>
        <w:outlineLvl w:val="2"/>
        <w:rPr>
          <w:rFonts w:hint="eastAsia" w:ascii="宋体" w:hAnsi="宋体" w:eastAsia="宋体" w:cs="宋体"/>
          <w:b/>
          <w:bCs/>
          <w:color w:val="auto"/>
          <w:sz w:val="21"/>
          <w:szCs w:val="21"/>
          <w:highlight w:val="none"/>
        </w:rPr>
      </w:pPr>
    </w:p>
    <w:p>
      <w:pPr>
        <w:spacing w:line="288" w:lineRule="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二</w:t>
      </w:r>
    </w:p>
    <w:tbl>
      <w:tblPr>
        <w:tblStyle w:val="33"/>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88"/>
        <w:gridCol w:w="680"/>
        <w:gridCol w:w="680"/>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8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68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68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321"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8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救生软梯</w:t>
            </w:r>
          </w:p>
        </w:tc>
        <w:tc>
          <w:tcPr>
            <w:tcW w:w="680"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90</w:t>
            </w:r>
          </w:p>
        </w:tc>
        <w:tc>
          <w:tcPr>
            <w:tcW w:w="680"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套</w:t>
            </w:r>
          </w:p>
        </w:tc>
        <w:tc>
          <w:tcPr>
            <w:tcW w:w="6321" w:type="dxa"/>
            <w:vAlign w:val="center"/>
          </w:tcPr>
          <w:p>
            <w:pPr>
              <w:keepNext w:val="0"/>
              <w:keepLines w:val="0"/>
              <w:widowControl/>
              <w:numPr>
                <w:ilvl w:val="0"/>
                <w:numId w:val="9"/>
              </w:numPr>
              <w:suppressLineNumbers w:val="0"/>
              <w:spacing w:line="36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救生软梯采用直径≥9mm钢丝绳外包编织尼龙绳为软梯整体骨架，梯蹬采用轻质高强度材质；                                                                                                                             2、重量≤25kg；                                                                                                                                        3、救生软梯载荷≥1000kg；                                                                                                                              4、救生软梯长度≥15m。</w:t>
            </w:r>
          </w:p>
          <w:p>
            <w:pPr>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i w:val="0"/>
                <w:iCs w:val="0"/>
                <w:color w:val="auto"/>
                <w:kern w:val="2"/>
                <w:sz w:val="21"/>
                <w:szCs w:val="21"/>
                <w:highlight w:val="none"/>
                <w:u w:val="none"/>
                <w:lang w:val="en-US" w:eastAsia="zh-CN" w:bidi="ar-SA"/>
              </w:rPr>
              <w:t xml:space="preserve">符合GB137-2007《消防梯》标准，提供国家消防装备质量检验检测中心或其他国家级消防产品检测机构出具的检测报告；  </w:t>
            </w:r>
          </w:p>
        </w:tc>
      </w:tr>
    </w:tbl>
    <w:p>
      <w:pPr>
        <w:pStyle w:val="2"/>
        <w:rPr>
          <w:rFonts w:hint="eastAsia" w:ascii="宋体" w:hAnsi="宋体" w:eastAsia="宋体" w:cs="宋体"/>
          <w:color w:val="auto"/>
          <w:highlight w:val="none"/>
          <w:lang w:val="en-US" w:eastAsia="zh-CN"/>
        </w:rPr>
      </w:pPr>
      <w:r>
        <w:rPr>
          <w:rFonts w:hint="eastAsia" w:ascii="宋体" w:hAnsi="宋体" w:eastAsia="宋体" w:cs="宋体"/>
          <w:b/>
          <w:bCs w:val="0"/>
          <w:color w:val="auto"/>
          <w:sz w:val="21"/>
          <w:szCs w:val="21"/>
          <w:highlight w:val="none"/>
          <w:lang w:val="en-US" w:eastAsia="zh-CN"/>
        </w:rPr>
        <w:t>标项三</w:t>
      </w:r>
    </w:p>
    <w:tbl>
      <w:tblPr>
        <w:tblStyle w:val="33"/>
        <w:tblW w:w="10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78"/>
        <w:gridCol w:w="770"/>
        <w:gridCol w:w="770"/>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7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7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77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241"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7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消防轻型安全绳</w:t>
            </w:r>
          </w:p>
        </w:tc>
        <w:tc>
          <w:tcPr>
            <w:tcW w:w="77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986</w:t>
            </w:r>
          </w:p>
        </w:tc>
        <w:tc>
          <w:tcPr>
            <w:tcW w:w="77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41"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1、安全绳为连续结构，夹心绳，主承部分由连续纤维制成；直径 9.5mm；长度≥20m。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安全绳索外皮、内芯均为阻燃耐高温材质，安全绳应为包芯绳结构，整绳粗细均匀、结构一致，绳体柔软，主承重部分由连续纤维制成，绳皮主体颜色应为黄色；安全绳的一端采用绳环结构收尾，并用同种材料的细绳扎缝50mm，在扎缝处及另一端均需热封并包以裹紧的橡胶或塑料套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3、安全绳最小破断强度应不低于20kN；延伸率应大于1%且不大于 10%（承重达到最小破断强度的 10%时）；经 204℃±5℃的耐高温性能试验后，不应出现融熔、焦化现象；在 600℃±5℃、1.33kN 负荷环境下的承载 45s，在 400℃±5℃、1.33kN 负荷环境下承载300s，不应出现断裂现象。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4、安全绳芯内应编入一根宽度不小于 2mm、贯穿全绳的信息条，安全绳环下方应设置永久性标志。其上至少应包括生产者和/或生产企业名称，采用以下方式之一表示：中文全称、英文或拼音全称。</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5、总体性能符合XF494-2004《消防用防坠落装备》标准，提供国家消防装备质量检验检测中心或其他国家级消防产品检测机构出具的检测报告。</w:t>
            </w:r>
          </w:p>
        </w:tc>
      </w:tr>
    </w:tbl>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四</w:t>
      </w:r>
    </w:p>
    <w:tbl>
      <w:tblPr>
        <w:tblStyle w:val="33"/>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48"/>
        <w:gridCol w:w="810"/>
        <w:gridCol w:w="81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4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8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8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231"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4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消防通用安全绳（按米报价））</w:t>
            </w:r>
          </w:p>
        </w:tc>
        <w:tc>
          <w:tcPr>
            <w:tcW w:w="810" w:type="dxa"/>
            <w:shd w:val="clear" w:color="auto" w:fill="auto"/>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15300</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6231"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1、材料:尼龙或优于尼龙材质，直径16mm。安全绳为连续结构，夹心绳；</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2、最小破断强≥50kN；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3、安全绳的延伸率≤5%。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4、在高温情况下安全绳不会出现融熔、焦化现象；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5、按米报价，根据用户长度需求加工；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6、符合XF494-2004《消防用防坠落装备》标准，提供国家消防装备质量检验检测中心或其他国家级消防产品检测机构出具的检测报告；       </w:t>
            </w:r>
          </w:p>
        </w:tc>
      </w:tr>
    </w:tbl>
    <w:p>
      <w:pPr>
        <w:rPr>
          <w:rFonts w:hint="eastAsia" w:ascii="宋体" w:hAnsi="宋体" w:eastAsia="宋体" w:cs="宋体"/>
          <w:b/>
          <w:bCs/>
          <w:color w:val="auto"/>
          <w:sz w:val="21"/>
          <w:szCs w:val="21"/>
          <w:highlight w:val="none"/>
        </w:rPr>
      </w:pPr>
    </w:p>
    <w:p>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五</w:t>
      </w:r>
    </w:p>
    <w:tbl>
      <w:tblPr>
        <w:tblStyle w:val="33"/>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68"/>
        <w:gridCol w:w="810"/>
        <w:gridCol w:w="810"/>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6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8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8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211"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静力绳（按米报价）</w:t>
            </w:r>
          </w:p>
        </w:tc>
        <w:tc>
          <w:tcPr>
            <w:tcW w:w="810" w:type="dxa"/>
            <w:shd w:val="clear" w:color="auto" w:fill="auto"/>
            <w:vAlign w:val="center"/>
          </w:tcPr>
          <w:p>
            <w:pPr>
              <w:keepNext w:val="0"/>
              <w:keepLines w:val="0"/>
              <w:widowControl/>
              <w:suppressLineNumbers w:val="0"/>
              <w:spacing w:line="360" w:lineRule="auto"/>
              <w:jc w:val="righ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76000</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6211"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1、总体性能符合 XF494-2004《消防用防坠落装备》的标准，提供国家消防装备质量检验检测中心或其他国家级消防产品检测机构出具的检测报告。</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 xml:space="preserve">2、主要性能参数：安全绳为连续结构，夹心绳；材料:尼龙，直径10.5mm，长度≥100m。断裂强力≥30 kN，打结强力≥19 kN，极限冲坠次数＞15，首次冲击力≥5kN ，静态延伸率≤3%。 </w:t>
            </w:r>
          </w:p>
        </w:tc>
      </w:tr>
    </w:tbl>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六</w:t>
      </w:r>
    </w:p>
    <w:tbl>
      <w:tblPr>
        <w:tblStyle w:val="33"/>
        <w:tblpPr w:leftFromText="180" w:rightFromText="180" w:vertAnchor="text" w:horzAnchor="page" w:tblpX="880" w:tblpY="302"/>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20"/>
        <w:gridCol w:w="780"/>
        <w:gridCol w:w="810"/>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5"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20"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8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8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270"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5"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0"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稳固保护附件 </w:t>
            </w:r>
          </w:p>
        </w:tc>
        <w:tc>
          <w:tcPr>
            <w:tcW w:w="78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w:t>
            </w:r>
          </w:p>
        </w:tc>
        <w:tc>
          <w:tcPr>
            <w:tcW w:w="81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套</w:t>
            </w:r>
          </w:p>
        </w:tc>
        <w:tc>
          <w:tcPr>
            <w:tcW w:w="6270" w:type="dxa"/>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1、支撑垫块组套：含6种型号垫块，每种型号不少于2块；</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2、每套气垫包含小型支固气垫2只、中型支固气垫2只、小型机械支撑杆2只、中型机械支撑杆4只；</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气垫双面材质优选抗穿刺耐磨材料，充气后气垫保持完整平面，可配套机械支撑杆或支撑套具的支撑杆使用，可在1巴工作压力下工作，应用于沟渠的支撑固定，防止操作人员或救援人员在沟渠工作救援时沟渠发生坍塌；</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4、小型支固气垫：单个面积≥100x100cm，重量不大于5kg。中型支固气垫：单个面积不小于230x100cm，重量不大于8kg；</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5、操控组件：双路控制器2个，可同时控制两支气垫，支固气垫减压器2个，两种颜色输气管4根，每根长不小于5m，文丘里管2个，专用工具包2个。</w:t>
            </w:r>
          </w:p>
          <w:p>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6、提供国家消防装备质量检验检测中心或其他国家级消防产品检测机构出具的检测报告，主要用于稳固保护救援工具，防滑、防脱工具。</w:t>
            </w:r>
          </w:p>
        </w:tc>
      </w:tr>
    </w:tbl>
    <w:p>
      <w:pPr>
        <w:rPr>
          <w:rFonts w:hint="eastAsia" w:ascii="宋体" w:hAnsi="宋体" w:eastAsia="宋体" w:cs="宋体"/>
          <w:b/>
          <w:bCs/>
          <w:color w:val="auto"/>
          <w:sz w:val="21"/>
          <w:szCs w:val="21"/>
          <w:highlight w:val="none"/>
        </w:rPr>
      </w:pPr>
    </w:p>
    <w:p>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七</w:t>
      </w:r>
    </w:p>
    <w:tbl>
      <w:tblPr>
        <w:tblStyle w:val="33"/>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638"/>
        <w:gridCol w:w="790"/>
        <w:gridCol w:w="790"/>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3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9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79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437"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5"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气动起重气垫</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 A款</w:t>
            </w:r>
          </w:p>
        </w:tc>
        <w:tc>
          <w:tcPr>
            <w:tcW w:w="79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790"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37" w:type="dxa"/>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1、气垫材质具备抗静电、抗裂、耐磨、抗油、抗老化等和自熄灭特性，表层的特殊设计可提高在草地、泥沙等光滑地面上的抗滑性；                                                                                                           2、每套包含方形起重气垫4块：1块最大举升力≥10T，最大举升高度≥210mm，1块最大举升力≥15T，1块最大举升高度≥290mm，1块最大举升力≥25T，最大举升高度≥360mm，1块最大举升力≥50T，最大举升高度≥500mm。大小尺寸适用于各类救援；                                                                                      3、配备2套减压器，2套操作控制仪，4根充气导管，每根≥5m；配有安全阀门的截流单元。</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4、提供国家消防装备质量检验检测中心或其他国家级消防产品检测机构出具的检测报告；用于各种交通事故救援、地震等灾害救援、建筑物坍塌救援、有爆炸危险场合及崎岖不平地形救援；</w:t>
            </w:r>
          </w:p>
        </w:tc>
      </w:tr>
    </w:tbl>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八</w:t>
      </w:r>
    </w:p>
    <w:tbl>
      <w:tblPr>
        <w:tblStyle w:val="33"/>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18"/>
        <w:gridCol w:w="780"/>
        <w:gridCol w:w="780"/>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1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8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78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6291"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气动起重气垫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B款</w:t>
            </w:r>
          </w:p>
        </w:tc>
        <w:tc>
          <w:tcPr>
            <w:tcW w:w="78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78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套</w:t>
            </w:r>
          </w:p>
        </w:tc>
        <w:tc>
          <w:tcPr>
            <w:tcW w:w="6291" w:type="dxa"/>
            <w:vAlign w:val="center"/>
          </w:tcPr>
          <w:p>
            <w:pPr>
              <w:pStyle w:val="14"/>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1、应用于各种交通事故救援、地震等灾害救援、建筑物坍塌救援、有爆炸危险场合及崎岖不平地形救援。                                           2、气垫材质具备抗静电、抗裂、耐磨、抗油、抗老化等和自熄灭特性，表层的特殊设计可提高在草地、泥沙等光滑地面上的抗滑性；3、每套包括4个气垫，最多可以将3个气垫通过金属连接器件连接使用；最大起重能力≥20吨的气垫2个、最大起重能力≥50吨的气垫2个；</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4、每个气垫包括一个便携式包装盒；</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5、每个气垫的上、下两面，分别固定内置有防滑设计的金属平面板，可以直接顶升尖锐物体；</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6、通过金属连接器件，可将2个以上气垫固定联接成为一个整体，增加顶升高度；</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7、单个≥20吨气垫的最大顶升高度≥250mm；</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8、单个≥50吨气垫的最大顶升高度≥400mm；</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9、可承受压力≥45巴；</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10、气垫配件包括：包括内置安全阀的双控制器2个，调压阀2个，气垫金属联接器件3个，10m输气管4根，配有安全阀门的截流单元4根，地垫，地垫联接器，配件便携箱1个。</w:t>
            </w:r>
          </w:p>
          <w:p>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11、提供国家消防装备质量检验检测中心或其他国家级消防产品检测机构出具的检测报告</w:t>
            </w:r>
            <w:r>
              <w:rPr>
                <w:rFonts w:hint="eastAsia" w:ascii="宋体" w:hAnsi="宋体" w:cs="宋体"/>
                <w:i w:val="0"/>
                <w:iCs w:val="0"/>
                <w:color w:val="auto"/>
                <w:kern w:val="2"/>
                <w:sz w:val="21"/>
                <w:szCs w:val="21"/>
                <w:highlight w:val="none"/>
                <w:u w:val="none"/>
                <w:lang w:val="en-US" w:eastAsia="zh-CN" w:bidi="ar-SA"/>
              </w:rPr>
              <w:t>。</w:t>
            </w:r>
          </w:p>
        </w:tc>
      </w:tr>
    </w:tbl>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九</w:t>
      </w:r>
    </w:p>
    <w:tbl>
      <w:tblPr>
        <w:tblStyle w:val="33"/>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28"/>
        <w:gridCol w:w="780"/>
        <w:gridCol w:w="780"/>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2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78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78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5930"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2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液压破拆工具组（含双输出液压机动泵、扩张器、剪切器、液压剪扩器、撑顶器、液压管） A款</w:t>
            </w:r>
          </w:p>
        </w:tc>
        <w:tc>
          <w:tcPr>
            <w:tcW w:w="78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78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组</w:t>
            </w:r>
          </w:p>
        </w:tc>
        <w:tc>
          <w:tcPr>
            <w:tcW w:w="5930" w:type="dxa"/>
            <w:vAlign w:val="center"/>
          </w:tcPr>
          <w:p>
            <w:pPr>
              <w:pageBreakBefore w:val="0"/>
              <w:numPr>
                <w:ilvl w:val="0"/>
                <w:numId w:val="0"/>
              </w:numPr>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1、总体性能符合GB/T17906-2021《液压破拆工具通用技术条件》相关要求，提供国家消防装备质量检验检测中心或其他国家级检测机构出具的检测报告</w:t>
            </w:r>
            <w:r>
              <w:rPr>
                <w:rFonts w:hint="eastAsia" w:ascii="宋体" w:hAnsi="宋体" w:cs="宋体"/>
                <w:color w:val="auto"/>
                <w:sz w:val="21"/>
                <w:szCs w:val="21"/>
                <w:highlight w:val="none"/>
                <w:lang w:val="en-US" w:eastAsia="zh-CN"/>
              </w:rPr>
              <w:t>。</w:t>
            </w:r>
          </w:p>
          <w:p>
            <w:pPr>
              <w:pageBreakBefore w:val="0"/>
              <w:numPr>
                <w:ilvl w:val="0"/>
                <w:numId w:val="0"/>
              </w:numPr>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2、配置要求：包含且不限于一台双输出液压机动泵、一把液压扩张器、一把液压剪切器、一把液压剪扩器、一把液压撑顶器、两根液压管、防护布等；</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3、双输出液压机动泵：汽油机驱动，可同时接驳两套液压破拆工具工作3小时以上。最大工作压力不大于75Mpa，功率不小于2.2Kw，重量不大于30KG；</w:t>
            </w:r>
          </w:p>
          <w:p>
            <w:pPr>
              <w:pageBreakBefore w:val="0"/>
              <w:kinsoku/>
              <w:wordWrap/>
              <w:overflowPunct/>
              <w:topLinePunct w:val="0"/>
              <w:autoSpaceDE/>
              <w:autoSpaceDN/>
              <w:bidi w:val="0"/>
              <w:adjustRightInd/>
              <w:snapToGrid/>
              <w:spacing w:line="360" w:lineRule="auto"/>
              <w:jc w:val="left"/>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4、液压扩张器：用于灾害现场的扩张和牵引作业，单管工作原理、可带压操作，扩张在任何位置不回缩，最小扩张力≥60KN，扩张距离≥700mm；</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5、液压剪切器：用于剪切破拆金属或非金属结构，适合在狭小的空间使用，单管工作原理、可带压操作。开口距离≥180mm，剪切钢板厚度≥15mm，剪切圆钢直径≥40mm；</w:t>
            </w:r>
          </w:p>
          <w:p>
            <w:pPr>
              <w:pageBreakBefore w:val="0"/>
              <w:kinsoku/>
              <w:wordWrap/>
              <w:overflowPunct/>
              <w:topLinePunct w:val="0"/>
              <w:autoSpaceDE/>
              <w:autoSpaceDN/>
              <w:bidi w:val="0"/>
              <w:adjustRightInd/>
              <w:snapToGrid/>
              <w:spacing w:line="360" w:lineRule="auto"/>
              <w:jc w:val="left"/>
              <w:outlineLvl w:val="9"/>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6、液压剪扩器：单管工作原理、可带压操作，剪切圆钢直径≥36mm、剪切钢板厚度≥20mm，最小扩张力≥50kN，扩张距离≥380mm，牵拉距离≥285mm；</w:t>
            </w:r>
          </w:p>
          <w:p>
            <w:pPr>
              <w:pageBreakBefore w:val="0"/>
              <w:kinsoku/>
              <w:wordWrap/>
              <w:overflowPunct/>
              <w:topLinePunct w:val="0"/>
              <w:autoSpaceDE/>
              <w:autoSpaceDN/>
              <w:bidi w:val="0"/>
              <w:adjustRightInd/>
              <w:snapToGrid/>
              <w:spacing w:line="360" w:lineRule="auto"/>
              <w:jc w:val="lef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7、液压撑顶器：用于移动障碍物、撑顶物体、创造救援通道及保持物体稳定，撑顶长度≥1000mm，一级撑顶力≥250kN，二级撑顶力≥120kN；</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液压管：2套≥10米软管，单管设计，使用耐压高、抗磨损材料制成，可在工作状态下带压任意快速连接和插拔，可360度自由旋转而不扭曲、不打结、不漏油、在使用过程中随着操作人员拖动自动理直，即使打结也能正常使用；当液压管长度不足时也可将多根液压管进行串联，延长使用长度。 </w:t>
            </w:r>
          </w:p>
        </w:tc>
      </w:tr>
    </w:tbl>
    <w:p>
      <w:pPr>
        <w:spacing w:line="288" w:lineRule="auto"/>
        <w:outlineLvl w:val="2"/>
        <w:rPr>
          <w:rFonts w:hint="eastAsia" w:ascii="宋体" w:hAnsi="宋体" w:eastAsia="宋体" w:cs="宋体"/>
          <w:b/>
          <w:bCs/>
          <w:color w:val="auto"/>
          <w:sz w:val="21"/>
          <w:szCs w:val="21"/>
          <w:highlight w:val="none"/>
        </w:rPr>
      </w:pPr>
    </w:p>
    <w:p>
      <w:pPr>
        <w:spacing w:line="288" w:lineRule="auto"/>
        <w:outlineLvl w:val="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标项</w:t>
      </w:r>
      <w:r>
        <w:rPr>
          <w:rFonts w:hint="eastAsia" w:ascii="宋体" w:hAnsi="宋体" w:eastAsia="宋体" w:cs="宋体"/>
          <w:b/>
          <w:bCs/>
          <w:color w:val="auto"/>
          <w:sz w:val="21"/>
          <w:szCs w:val="21"/>
          <w:highlight w:val="none"/>
          <w:lang w:val="en-US" w:eastAsia="zh-CN"/>
        </w:rPr>
        <w:t>十</w:t>
      </w:r>
    </w:p>
    <w:p>
      <w:pPr>
        <w:tabs>
          <w:tab w:val="left" w:pos="704"/>
        </w:tabs>
        <w:spacing w:line="288" w:lineRule="auto"/>
        <w:outlineLvl w:val="2"/>
        <w:rPr>
          <w:rFonts w:hint="eastAsia" w:ascii="宋体" w:hAnsi="宋体" w:eastAsia="宋体" w:cs="宋体"/>
          <w:b/>
          <w:bCs/>
          <w:color w:val="auto"/>
          <w:sz w:val="21"/>
          <w:szCs w:val="21"/>
          <w:highlight w:val="none"/>
          <w:lang w:eastAsia="zh-CN"/>
        </w:rPr>
      </w:pPr>
    </w:p>
    <w:tbl>
      <w:tblPr>
        <w:tblStyle w:val="33"/>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868"/>
        <w:gridCol w:w="820"/>
        <w:gridCol w:w="8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68"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82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82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5935"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功能及技术参数等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6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支撑保护套具 </w:t>
            </w:r>
          </w:p>
        </w:tc>
        <w:tc>
          <w:tcPr>
            <w:tcW w:w="82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820"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套</w:t>
            </w:r>
          </w:p>
        </w:tc>
        <w:tc>
          <w:tcPr>
            <w:tcW w:w="5935" w:type="dxa"/>
            <w:vAlign w:val="center"/>
          </w:tcPr>
          <w:p>
            <w:pPr>
              <w:numPr>
                <w:ilvl w:val="0"/>
                <w:numId w:val="10"/>
              </w:numPr>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有效用于地震后建筑物倒塌救援，通常在进入危险建筑物中实施救援前需使用救援支撑柱，对危险的建筑物进行支撑固定，以保护救援者与被救者，具有支撑力强、行程高、撑顶面大、操作简便、安全可靠等性能； </w:t>
            </w:r>
          </w:p>
          <w:p>
            <w:pPr>
              <w:numPr>
                <w:ilvl w:val="0"/>
                <w:numId w:val="10"/>
              </w:numPr>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无级调节，可用于水平及垂直方向的顶升；                                                                </w:t>
            </w:r>
          </w:p>
          <w:p>
            <w:pPr>
              <w:numPr>
                <w:ilvl w:val="0"/>
                <w:numId w:val="10"/>
              </w:numPr>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最大撑顶力≥10吨；</w:t>
            </w:r>
          </w:p>
          <w:p>
            <w:pPr>
              <w:numPr>
                <w:ilvl w:val="0"/>
                <w:numId w:val="10"/>
              </w:numPr>
              <w:bidi w:val="0"/>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置要求：全套包含且不限于，液压支撑杆2根、液压泵2个、机械撑杆2根、100mm以上延长撑杆1根、200mm以上延长撑杆1根、500mm以上延长撑杆1根、双向垫块1个，底部支撑板4个，十字头2个，旋转头2个、底座2个、V型支座2个、旋转底座1个、支撑底托盘1个、固定带2条、可调弯型扳手2把。</w:t>
            </w:r>
          </w:p>
          <w:p>
            <w:pPr>
              <w:numPr>
                <w:ilvl w:val="0"/>
                <w:numId w:val="10"/>
              </w:num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提供国家消防装备质量检验检测中心或其他国家级消防产品检测机构出具的检测报告，用于建筑物倒塌撑顶作业以及坑道救援时进行支撑保护的装备。</w:t>
            </w:r>
          </w:p>
        </w:tc>
      </w:tr>
    </w:tbl>
    <w:p>
      <w:pPr>
        <w:spacing w:line="288" w:lineRule="auto"/>
        <w:outlineLvl w:val="2"/>
        <w:rPr>
          <w:rFonts w:hint="eastAsia" w:ascii="宋体" w:hAnsi="宋体" w:eastAsia="宋体" w:cs="宋体"/>
          <w:b/>
          <w:bCs/>
          <w:color w:val="auto"/>
          <w:sz w:val="21"/>
          <w:szCs w:val="21"/>
          <w:highlight w:val="none"/>
        </w:rPr>
      </w:pPr>
    </w:p>
    <w:bookmarkEnd w:id="40"/>
    <w:p>
      <w:pPr>
        <w:spacing w:line="288" w:lineRule="auto"/>
        <w:ind w:firstLine="662" w:firstLineChars="214"/>
        <w:jc w:val="center"/>
        <w:outlineLvl w:val="0"/>
        <w:rPr>
          <w:rFonts w:hint="eastAsia" w:ascii="宋体" w:hAnsi="宋体" w:eastAsia="宋体" w:cs="宋体"/>
          <w:b/>
          <w:color w:val="auto"/>
          <w:spacing w:val="-6"/>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41" w:name="_Toc5762"/>
    </w:p>
    <w:p>
      <w:pPr>
        <w:spacing w:line="288" w:lineRule="auto"/>
        <w:ind w:firstLine="662" w:firstLineChars="214"/>
        <w:jc w:val="center"/>
        <w:outlineLvl w:val="0"/>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第四部分  评分办法及评分标准</w:t>
      </w:r>
      <w:bookmarkEnd w:id="41"/>
    </w:p>
    <w:p>
      <w:pPr>
        <w:adjustRightInd w:val="0"/>
        <w:snapToGrid w:val="0"/>
        <w:spacing w:line="360" w:lineRule="auto"/>
        <w:ind w:firstLine="42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为公正、公平、科学地选择中标供应商，根据有关法律法规的规定，并结合本项目的实际，制定本办法。</w:t>
      </w:r>
    </w:p>
    <w:p>
      <w:pPr>
        <w:spacing w:line="360" w:lineRule="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一、总则</w:t>
      </w:r>
    </w:p>
    <w:p>
      <w:pPr>
        <w:adjustRightInd w:val="0"/>
        <w:snapToGrid w:val="0"/>
        <w:spacing w:line="360" w:lineRule="auto"/>
        <w:ind w:firstLine="456" w:firstLineChars="20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本次评标采用</w:t>
      </w:r>
      <w:r>
        <w:rPr>
          <w:rFonts w:hint="eastAsia" w:ascii="宋体" w:hAnsi="宋体" w:eastAsia="宋体" w:cs="宋体"/>
          <w:b/>
          <w:color w:val="auto"/>
          <w:spacing w:val="-6"/>
          <w:sz w:val="24"/>
          <w:szCs w:val="24"/>
          <w:highlight w:val="none"/>
        </w:rPr>
        <w:t>综合评分法</w:t>
      </w:r>
      <w:r>
        <w:rPr>
          <w:rFonts w:hint="eastAsia" w:ascii="宋体" w:hAnsi="宋体" w:eastAsia="宋体" w:cs="宋体"/>
          <w:bCs/>
          <w:color w:val="auto"/>
          <w:spacing w:val="-6"/>
          <w:sz w:val="24"/>
          <w:szCs w:val="24"/>
          <w:highlight w:val="none"/>
        </w:rPr>
        <w:t>，总分为100分。合格投标人的评标得分为各项目汇总得分，中标候选资格按评标得分由高到低顺序排列，得分相同的，按投标报价得分由高到低顺序排列；得分且投标报价相同的，按技术得分由高到低顺序排列。排名第一的投标人为中标候选供应商,排名第二的投标人为候补中标候选供应商</w:t>
      </w:r>
      <w:r>
        <w:rPr>
          <w:rFonts w:hint="eastAsia" w:ascii="宋体" w:hAnsi="宋体" w:eastAsia="宋体" w:cs="宋体"/>
          <w:bCs/>
          <w:color w:val="auto"/>
          <w:spacing w:val="-6"/>
          <w:sz w:val="24"/>
          <w:szCs w:val="24"/>
          <w:highlight w:val="none"/>
          <w:lang w:eastAsia="zh-CN"/>
        </w:rPr>
        <w:t>。</w:t>
      </w:r>
      <w:r>
        <w:rPr>
          <w:rFonts w:hint="eastAsia" w:ascii="宋体" w:hAnsi="宋体" w:eastAsia="宋体" w:cs="宋体"/>
          <w:bCs/>
          <w:color w:val="auto"/>
          <w:spacing w:val="-6"/>
          <w:sz w:val="24"/>
          <w:szCs w:val="24"/>
          <w:highlight w:val="none"/>
        </w:rPr>
        <w:t>其他投标人中标候选资格依此类推。评分过程中采用四舍五入法，并保留小数2位。</w:t>
      </w:r>
    </w:p>
    <w:p>
      <w:pPr>
        <w:adjustRightInd w:val="0"/>
        <w:snapToGrid w:val="0"/>
        <w:spacing w:line="360" w:lineRule="auto"/>
        <w:ind w:firstLine="456" w:firstLineChars="20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技术、资信及价格分按照评标委员会成员的独立评分结果汇总后的算术平均分计算，计算公式为：</w:t>
      </w:r>
    </w:p>
    <w:p>
      <w:pPr>
        <w:adjustRightInd w:val="0"/>
        <w:snapToGrid w:val="0"/>
        <w:spacing w:line="360" w:lineRule="auto"/>
        <w:ind w:firstLine="456" w:firstLineChars="20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技术、资信及商务分=评标委员会所有成员评分合计数/评标委员会人数</w:t>
      </w:r>
    </w:p>
    <w:p>
      <w:pPr>
        <w:adjustRightInd w:val="0"/>
        <w:snapToGrid w:val="0"/>
        <w:spacing w:line="360" w:lineRule="auto"/>
        <w:ind w:firstLine="456" w:firstLineChars="20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投标人评标综合得分=价格分+资信分+技术分</w:t>
      </w:r>
    </w:p>
    <w:p>
      <w:pPr>
        <w:spacing w:line="360" w:lineRule="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二、评标内容及标准</w:t>
      </w:r>
    </w:p>
    <w:p>
      <w:pPr>
        <w:adjustRightInd w:val="0"/>
        <w:snapToGrid w:val="0"/>
        <w:spacing w:line="360" w:lineRule="auto"/>
        <w:ind w:firstLine="458"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1、投标价格（30分）</w:t>
      </w:r>
    </w:p>
    <w:p>
      <w:pPr>
        <w:adjustRightInd w:val="0"/>
        <w:snapToGrid w:val="0"/>
        <w:spacing w:line="360" w:lineRule="auto"/>
        <w:ind w:firstLine="456" w:firstLineChars="200"/>
        <w:rPr>
          <w:rFonts w:hint="default" w:ascii="宋体" w:hAnsi="宋体" w:eastAsia="宋体" w:cs="宋体"/>
          <w:bCs/>
          <w:color w:val="auto"/>
          <w:spacing w:val="-6"/>
          <w:sz w:val="24"/>
          <w:szCs w:val="24"/>
          <w:highlight w:val="none"/>
          <w:lang w:val="en-US" w:eastAsia="zh-CN"/>
        </w:rPr>
      </w:pPr>
      <w:r>
        <w:rPr>
          <w:rFonts w:hint="eastAsia" w:ascii="宋体" w:hAnsi="宋体" w:eastAsia="宋体" w:cs="宋体"/>
          <w:bCs/>
          <w:color w:val="auto"/>
          <w:spacing w:val="-6"/>
          <w:sz w:val="24"/>
          <w:szCs w:val="24"/>
          <w:highlight w:val="none"/>
        </w:rPr>
        <w:t>报价的合理性：分析总报价及各个分项报价是否合理，报价范围是否完整，有否重大错漏项，评标委员会认为投标报价出现异常时，有权要求投标人在评标期间对投标报价的详细组成和投标产品的供应渠道等事项作出解释和澄清，并确认其投标报价是否有效</w:t>
      </w:r>
      <w:bookmarkStart w:id="42" w:name="_Toc345320402"/>
      <w:r>
        <w:rPr>
          <w:rFonts w:hint="eastAsia" w:ascii="宋体" w:hAnsi="宋体" w:eastAsia="宋体" w:cs="宋体"/>
          <w:bCs/>
          <w:color w:val="auto"/>
          <w:spacing w:val="-6"/>
          <w:sz w:val="24"/>
          <w:szCs w:val="24"/>
          <w:highlight w:val="none"/>
          <w:lang w:eastAsia="zh-CN"/>
        </w:rPr>
        <w:t>；</w:t>
      </w:r>
      <w:r>
        <w:rPr>
          <w:rFonts w:hint="eastAsia" w:ascii="宋体" w:hAnsi="宋体" w:eastAsia="宋体" w:cs="宋体"/>
          <w:bCs/>
          <w:color w:val="auto"/>
          <w:spacing w:val="-6"/>
          <w:sz w:val="24"/>
          <w:szCs w:val="24"/>
          <w:highlight w:val="none"/>
          <w:lang w:val="en-US" w:eastAsia="zh-CN"/>
        </w:rPr>
        <w:t>投标人不能证明其报价合理性的，评标委员会应当将其作为无效投标处理。</w:t>
      </w:r>
    </w:p>
    <w:p>
      <w:pPr>
        <w:adjustRightInd w:val="0"/>
        <w:snapToGrid w:val="0"/>
        <w:spacing w:line="360" w:lineRule="auto"/>
        <w:ind w:firstLine="458" w:firstLineChars="200"/>
        <w:rPr>
          <w:rFonts w:hint="eastAsia" w:ascii="宋体" w:hAnsi="宋体" w:eastAsia="宋体" w:cs="宋体"/>
          <w:b/>
          <w:color w:val="auto"/>
          <w:spacing w:val="-6"/>
          <w:sz w:val="24"/>
          <w:szCs w:val="24"/>
          <w:highlight w:val="none"/>
        </w:rPr>
      </w:pPr>
      <w:r>
        <w:rPr>
          <w:rFonts w:hint="eastAsia" w:ascii="宋体" w:hAnsi="宋体" w:eastAsia="宋体" w:cs="宋体"/>
          <w:b/>
          <w:bCs w:val="0"/>
          <w:color w:val="auto"/>
          <w:spacing w:val="-6"/>
          <w:sz w:val="24"/>
          <w:szCs w:val="24"/>
          <w:highlight w:val="none"/>
          <w:lang w:val="en-US" w:eastAsia="zh-CN"/>
        </w:rPr>
        <w:t>2、</w:t>
      </w:r>
      <w:r>
        <w:rPr>
          <w:rFonts w:hint="eastAsia" w:ascii="宋体" w:hAnsi="宋体" w:eastAsia="宋体" w:cs="宋体"/>
          <w:b/>
          <w:bCs w:val="0"/>
          <w:color w:val="auto"/>
          <w:spacing w:val="-6"/>
          <w:sz w:val="24"/>
          <w:szCs w:val="24"/>
          <w:highlight w:val="none"/>
        </w:rPr>
        <w:t>商务</w:t>
      </w:r>
      <w:r>
        <w:rPr>
          <w:rFonts w:hint="eastAsia" w:ascii="宋体" w:hAnsi="宋体" w:eastAsia="宋体" w:cs="宋体"/>
          <w:b/>
          <w:color w:val="auto"/>
          <w:spacing w:val="-6"/>
          <w:sz w:val="24"/>
          <w:szCs w:val="24"/>
          <w:highlight w:val="none"/>
        </w:rPr>
        <w:t>技术</w:t>
      </w:r>
      <w:bookmarkEnd w:id="42"/>
      <w:r>
        <w:rPr>
          <w:rFonts w:hint="eastAsia" w:ascii="宋体" w:hAnsi="宋体" w:eastAsia="宋体" w:cs="宋体"/>
          <w:b/>
          <w:color w:val="auto"/>
          <w:spacing w:val="-6"/>
          <w:sz w:val="24"/>
          <w:szCs w:val="24"/>
          <w:highlight w:val="none"/>
        </w:rPr>
        <w:t>（70分）</w:t>
      </w:r>
    </w:p>
    <w:p>
      <w:pPr>
        <w:adjustRightInd w:val="0"/>
        <w:snapToGrid w:val="0"/>
        <w:spacing w:line="360" w:lineRule="auto"/>
        <w:ind w:firstLine="456" w:firstLineChars="200"/>
        <w:rPr>
          <w:rFonts w:hint="eastAsia" w:ascii="宋体" w:hAnsi="宋体" w:eastAsia="宋体" w:cs="宋体"/>
          <w:color w:val="auto"/>
          <w:highlight w:val="none"/>
          <w:lang w:eastAsia="zh-CN"/>
        </w:rPr>
      </w:pPr>
      <w:r>
        <w:rPr>
          <w:rFonts w:hint="eastAsia" w:ascii="宋体" w:hAnsi="宋体" w:eastAsia="宋体" w:cs="宋体"/>
          <w:bCs/>
          <w:color w:val="auto"/>
          <w:spacing w:val="-6"/>
          <w:sz w:val="24"/>
          <w:szCs w:val="24"/>
          <w:highlight w:val="none"/>
        </w:rPr>
        <w:t>该评分分值由评标委员会根据评审情况在分值范围内独立打分（具体分值设定详见表格），小数点后保留一位小数。每个投标人的最终得分为评标委员会打分汇总后的算术平均值（小数点后保留二位小数，第三位四舍五入）</w:t>
      </w:r>
      <w:r>
        <w:rPr>
          <w:rFonts w:hint="eastAsia" w:ascii="宋体" w:hAnsi="宋体" w:eastAsia="宋体" w:cs="宋体"/>
          <w:bCs/>
          <w:color w:val="auto"/>
          <w:spacing w:val="-6"/>
          <w:sz w:val="24"/>
          <w:szCs w:val="24"/>
          <w:highlight w:val="none"/>
          <w:lang w:eastAsia="zh-CN"/>
        </w:rPr>
        <w:t>。</w:t>
      </w:r>
    </w:p>
    <w:tbl>
      <w:tblPr>
        <w:tblStyle w:val="33"/>
        <w:tblpPr w:leftFromText="180" w:rightFromText="180" w:vertAnchor="text" w:horzAnchor="page" w:tblpX="1327" w:tblpY="878"/>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710"/>
        <w:gridCol w:w="7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710"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493"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45" w:type="dxa"/>
            <w:gridSpan w:val="3"/>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投标报价</w:t>
            </w:r>
          </w:p>
        </w:tc>
        <w:tc>
          <w:tcPr>
            <w:tcW w:w="7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0-30</w:t>
            </w:r>
          </w:p>
        </w:tc>
        <w:tc>
          <w:tcPr>
            <w:tcW w:w="7493" w:type="dxa"/>
            <w:vAlign w:val="center"/>
          </w:tcPr>
          <w:p>
            <w:pPr>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报价分计算方法：根据各投标人的有效投标报价，以满足招标文件要求且有效投标价格的最低的投标报价为评标基准价，其价格分为30分。其他投标人的价格分统一按照下列公式计算：投标报价得分＝(评标基准价/有效投标报价)×价格权值×100(精确到小数点后二位，由采购机构当场统一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45" w:type="dxa"/>
            <w:gridSpan w:val="3"/>
            <w:vAlign w:val="center"/>
          </w:tcPr>
          <w:p>
            <w:pPr>
              <w:adjustRightInd w:val="0"/>
              <w:snapToGrid w:val="0"/>
              <w:spacing w:line="360" w:lineRule="auto"/>
              <w:ind w:firstLine="422"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质保期</w:t>
            </w:r>
          </w:p>
        </w:tc>
        <w:tc>
          <w:tcPr>
            <w:tcW w:w="7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0-2</w:t>
            </w:r>
          </w:p>
        </w:tc>
        <w:tc>
          <w:tcPr>
            <w:tcW w:w="7493" w:type="dxa"/>
            <w:vAlign w:val="center"/>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质保期每增加半年得0.5分，最高得2分。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w:t>
            </w:r>
          </w:p>
        </w:tc>
        <w:tc>
          <w:tcPr>
            <w:tcW w:w="710" w:type="dxa"/>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3</w:t>
            </w:r>
          </w:p>
        </w:tc>
        <w:tc>
          <w:tcPr>
            <w:tcW w:w="7493" w:type="dxa"/>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投标人2019年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月1日至</w:t>
            </w:r>
            <w:r>
              <w:rPr>
                <w:rFonts w:hint="eastAsia" w:ascii="宋体" w:hAnsi="宋体" w:eastAsia="宋体" w:cs="宋体"/>
                <w:color w:val="auto"/>
                <w:sz w:val="21"/>
                <w:szCs w:val="21"/>
                <w:highlight w:val="none"/>
                <w:lang w:val="en-US" w:eastAsia="zh-CN"/>
              </w:rPr>
              <w:t>采购公告发布之前15天</w:t>
            </w:r>
            <w:r>
              <w:rPr>
                <w:rFonts w:hint="eastAsia" w:ascii="宋体" w:hAnsi="宋体" w:eastAsia="宋体" w:cs="宋体"/>
                <w:color w:val="auto"/>
                <w:sz w:val="21"/>
                <w:szCs w:val="21"/>
                <w:highlight w:val="none"/>
              </w:rPr>
              <w:t>承接过各标项对应相关业绩，每提供1个得0.5分，最高得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1、须同时提供每个业绩的合同复印件以及投标人与合同需求方转账凭证</w:t>
            </w:r>
            <w:r>
              <w:rPr>
                <w:rFonts w:hint="eastAsia" w:ascii="宋体" w:hAnsi="宋体" w:eastAsia="宋体" w:cs="宋体"/>
                <w:color w:val="auto"/>
                <w:sz w:val="21"/>
                <w:szCs w:val="21"/>
                <w:highlight w:val="none"/>
                <w:lang w:val="en-US" w:eastAsia="zh-CN"/>
              </w:rPr>
              <w:t>复印件及发票</w:t>
            </w:r>
            <w:r>
              <w:rPr>
                <w:rFonts w:hint="eastAsia" w:ascii="宋体" w:hAnsi="宋体" w:eastAsia="宋体" w:cs="宋体"/>
                <w:color w:val="auto"/>
                <w:sz w:val="21"/>
                <w:szCs w:val="21"/>
                <w:highlight w:val="none"/>
              </w:rPr>
              <w:t>复印件，否则不予认可。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2、统招分签的合同按一个合同业绩计。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45" w:type="dxa"/>
            <w:gridSpan w:val="3"/>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技术方案</w:t>
            </w:r>
          </w:p>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实施计划</w:t>
            </w:r>
          </w:p>
        </w:tc>
        <w:tc>
          <w:tcPr>
            <w:tcW w:w="7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0-16</w:t>
            </w:r>
          </w:p>
        </w:tc>
        <w:tc>
          <w:tcPr>
            <w:tcW w:w="7493" w:type="dxa"/>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针对本项目建设的详细</w:t>
            </w:r>
            <w:r>
              <w:rPr>
                <w:rFonts w:hint="eastAsia" w:ascii="宋体" w:hAnsi="宋体" w:eastAsia="宋体" w:cs="宋体"/>
                <w:color w:val="auto"/>
                <w:sz w:val="21"/>
                <w:szCs w:val="21"/>
                <w:highlight w:val="none"/>
                <w:lang w:val="en-US" w:eastAsia="zh-CN"/>
              </w:rPr>
              <w:t>技术方案、</w:t>
            </w:r>
            <w:r>
              <w:rPr>
                <w:rFonts w:hint="eastAsia" w:ascii="宋体" w:hAnsi="宋体" w:eastAsia="宋体" w:cs="宋体"/>
                <w:color w:val="auto"/>
                <w:sz w:val="21"/>
                <w:szCs w:val="21"/>
                <w:highlight w:val="none"/>
              </w:rPr>
              <w:t>实施计划</w:t>
            </w:r>
            <w:r>
              <w:rPr>
                <w:rFonts w:hint="eastAsia" w:ascii="宋体" w:hAnsi="宋体" w:eastAsia="宋体" w:cs="宋体"/>
                <w:color w:val="auto"/>
                <w:sz w:val="21"/>
                <w:szCs w:val="21"/>
                <w:highlight w:val="none"/>
                <w:lang w:eastAsia="zh-CN"/>
              </w:rPr>
              <w:t>。</w:t>
            </w:r>
          </w:p>
          <w:p>
            <w:pPr>
              <w:numPr>
                <w:ilvl w:val="0"/>
                <w:numId w:val="11"/>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技术方案</w:t>
            </w:r>
            <w:r>
              <w:rPr>
                <w:rFonts w:hint="eastAsia" w:ascii="宋体" w:hAnsi="宋体" w:eastAsia="宋体" w:cs="宋体"/>
                <w:color w:val="auto"/>
                <w:sz w:val="21"/>
                <w:szCs w:val="21"/>
                <w:highlight w:val="none"/>
                <w:lang w:val="en-US" w:eastAsia="zh-CN"/>
              </w:rPr>
              <w:t>(0-5分）</w:t>
            </w:r>
          </w:p>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满足或明显优于招标文件明确的全部技术条款要求的得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分，允许偏离的技术条款低于技术要求（负偏离）的每项扣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分，扣完</w:t>
            </w:r>
            <w:r>
              <w:rPr>
                <w:rFonts w:hint="eastAsia" w:ascii="宋体" w:hAnsi="宋体" w:eastAsia="宋体" w:cs="宋体"/>
                <w:color w:val="auto"/>
                <w:sz w:val="21"/>
                <w:szCs w:val="21"/>
                <w:highlight w:val="none"/>
                <w:lang w:val="en-US" w:eastAsia="zh-CN"/>
              </w:rPr>
              <w:t>为止。</w:t>
            </w:r>
          </w:p>
          <w:p>
            <w:pPr>
              <w:numPr>
                <w:ilvl w:val="0"/>
                <w:numId w:val="11"/>
              </w:num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详细配置</w:t>
            </w:r>
            <w:r>
              <w:rPr>
                <w:rFonts w:hint="eastAsia" w:ascii="宋体" w:hAnsi="宋体" w:eastAsia="宋体" w:cs="宋体"/>
                <w:color w:val="auto"/>
                <w:sz w:val="21"/>
                <w:szCs w:val="21"/>
                <w:highlight w:val="none"/>
                <w:lang w:val="en-US" w:eastAsia="zh-CN"/>
              </w:rPr>
              <w:t>及选型（含使用材质等方面）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0-6分</w:t>
            </w:r>
            <w:r>
              <w:rPr>
                <w:rFonts w:hint="eastAsia" w:ascii="宋体" w:hAnsi="宋体" w:eastAsia="宋体" w:cs="宋体"/>
                <w:color w:val="auto"/>
                <w:sz w:val="21"/>
                <w:szCs w:val="21"/>
                <w:highlight w:val="none"/>
                <w:lang w:eastAsia="zh-CN"/>
              </w:rPr>
              <w:t>）</w:t>
            </w:r>
          </w:p>
          <w:p>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产品配置高、选型方案结构优且投标文件中关于上述要素阐述齐全的并经评标委员会认定全面符合上述要求的得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分，经评标委员会认定产品配置或选型方案结构</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有1项一般的扣1分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内容缺少或内容简要不具备可行性或内容非专门针对本项目或内容不能满足本项目实际需要的每有1项扣2分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p>
            <w:pPr>
              <w:numPr>
                <w:ilvl w:val="0"/>
                <w:numId w:val="11"/>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投标产品功能性、实用性（0-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numPr>
                <w:ilvl w:val="0"/>
                <w:numId w:val="0"/>
              </w:numPr>
              <w:spacing w:line="360" w:lineRule="auto"/>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w:t>
            </w:r>
            <w:r>
              <w:rPr>
                <w:rFonts w:hint="eastAsia" w:ascii="宋体" w:hAnsi="宋体" w:eastAsia="宋体" w:cs="宋体"/>
                <w:color w:val="auto"/>
                <w:sz w:val="21"/>
                <w:szCs w:val="21"/>
                <w:highlight w:val="none"/>
              </w:rPr>
              <w:t>品性能先进、功能先进、可靠性高、实用性高且投标文件中关于上述要素阐述齐全的并经评标委员会认定全面符合上述要求的得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分，经评标委员会认定产品性能、功能、可靠性、实用性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有1项一般的扣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内容缺少或内容简要不具备可行性或内容非专门针对本项目或内容不能满足本项目实际需要的每有1项扣2分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rPr>
              <w:t>检测报告</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rPr>
              <w:t>0-4</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提供有效合格的国家消防装备质量检验检测中心或其他国家级消防产品检测机构出具检测报告的得4分，未提供或经评标委员会评定不符合本项目要求的不得分。</w:t>
            </w:r>
            <w:r>
              <w:rPr>
                <w:rFonts w:hint="eastAsia" w:ascii="宋体" w:hAnsi="宋体" w:eastAsia="宋体" w:cs="宋体"/>
                <w:color w:val="auto"/>
                <w:kern w:val="2"/>
                <w:sz w:val="21"/>
                <w:szCs w:val="24"/>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产品质量</w:t>
            </w:r>
          </w:p>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保证措施</w:t>
            </w:r>
          </w:p>
        </w:tc>
        <w:tc>
          <w:tcPr>
            <w:tcW w:w="7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w:t>
            </w:r>
          </w:p>
        </w:tc>
        <w:tc>
          <w:tcPr>
            <w:tcW w:w="7493" w:type="dxa"/>
            <w:vAlign w:val="center"/>
          </w:tcPr>
          <w:p>
            <w:pPr>
              <w:numPr>
                <w:ilvl w:val="0"/>
                <w:numId w:val="0"/>
              </w:numPr>
              <w:spacing w:line="360" w:lineRule="auto"/>
              <w:ind w:leftChars="0"/>
              <w:rPr>
                <w:rFonts w:hint="eastAsia" w:ascii="宋体" w:hAnsi="宋体" w:eastAsia="宋体" w:cs="宋体"/>
                <w:color w:val="auto"/>
                <w:highlight w:val="none"/>
                <w:lang w:eastAsia="zh-CN"/>
              </w:rPr>
            </w:pPr>
            <w:r>
              <w:rPr>
                <w:rFonts w:hint="eastAsia" w:ascii="宋体" w:hAnsi="宋体" w:eastAsia="宋体" w:cs="宋体"/>
                <w:color w:val="auto"/>
                <w:highlight w:val="none"/>
              </w:rPr>
              <w:t>生产工艺流程，质量控制措施等</w:t>
            </w:r>
            <w:r>
              <w:rPr>
                <w:rFonts w:hint="eastAsia" w:ascii="宋体" w:hAnsi="宋体" w:eastAsia="宋体" w:cs="宋体"/>
                <w:color w:val="auto"/>
                <w:highlight w:val="none"/>
                <w:lang w:eastAsia="zh-CN"/>
              </w:rPr>
              <w:t>。</w:t>
            </w:r>
          </w:p>
          <w:p>
            <w:pPr>
              <w:numPr>
                <w:ilvl w:val="0"/>
                <w:numId w:val="0"/>
              </w:numPr>
              <w:spacing w:line="360" w:lineRule="auto"/>
              <w:ind w:lef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w:t>
            </w:r>
            <w:r>
              <w:rPr>
                <w:rFonts w:hint="eastAsia" w:ascii="宋体" w:hAnsi="宋体" w:eastAsia="宋体" w:cs="宋体"/>
                <w:color w:val="auto"/>
                <w:highlight w:val="none"/>
              </w:rPr>
              <w:t>品</w:t>
            </w:r>
            <w:r>
              <w:rPr>
                <w:rFonts w:hint="eastAsia" w:ascii="宋体" w:hAnsi="宋体" w:eastAsia="宋体" w:cs="宋体"/>
                <w:color w:val="auto"/>
                <w:highlight w:val="none"/>
                <w:lang w:val="en-US" w:eastAsia="zh-CN"/>
              </w:rPr>
              <w:t>工艺</w:t>
            </w:r>
            <w:r>
              <w:rPr>
                <w:rFonts w:hint="eastAsia" w:ascii="宋体" w:hAnsi="宋体" w:eastAsia="宋体" w:cs="宋体"/>
                <w:color w:val="auto"/>
                <w:highlight w:val="none"/>
              </w:rPr>
              <w:t>先进、</w:t>
            </w:r>
            <w:r>
              <w:rPr>
                <w:rFonts w:hint="eastAsia" w:ascii="宋体" w:hAnsi="宋体" w:eastAsia="宋体" w:cs="宋体"/>
                <w:color w:val="auto"/>
                <w:highlight w:val="none"/>
                <w:lang w:val="en-US" w:eastAsia="zh-CN"/>
              </w:rPr>
              <w:t>可操作性强、</w:t>
            </w:r>
            <w:r>
              <w:rPr>
                <w:rFonts w:hint="eastAsia" w:ascii="宋体" w:hAnsi="宋体" w:eastAsia="宋体" w:cs="宋体"/>
                <w:color w:val="auto"/>
                <w:highlight w:val="none"/>
              </w:rPr>
              <w:t>质量控制措施</w:t>
            </w:r>
            <w:r>
              <w:rPr>
                <w:rFonts w:hint="eastAsia" w:ascii="宋体" w:hAnsi="宋体" w:eastAsia="宋体" w:cs="宋体"/>
                <w:color w:val="auto"/>
                <w:highlight w:val="none"/>
                <w:lang w:val="en-US" w:eastAsia="zh-CN"/>
              </w:rPr>
              <w:t>可行</w:t>
            </w:r>
            <w:r>
              <w:rPr>
                <w:rFonts w:hint="eastAsia" w:ascii="宋体" w:hAnsi="宋体" w:eastAsia="宋体" w:cs="宋体"/>
                <w:color w:val="auto"/>
                <w:highlight w:val="none"/>
              </w:rPr>
              <w:t>且投标文件中关于上述要素阐述齐全的并经评标委员会认定全面符合上述要求的得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分，经评标委员会认定产品</w:t>
            </w:r>
            <w:r>
              <w:rPr>
                <w:rFonts w:hint="eastAsia" w:ascii="宋体" w:hAnsi="宋体" w:eastAsia="宋体" w:cs="宋体"/>
                <w:color w:val="auto"/>
                <w:highlight w:val="none"/>
                <w:lang w:val="en-US" w:eastAsia="zh-CN"/>
              </w:rPr>
              <w:t>工艺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操作性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质量控制措施</w:t>
            </w:r>
            <w:r>
              <w:rPr>
                <w:rFonts w:hint="eastAsia" w:ascii="宋体" w:hAnsi="宋体" w:eastAsia="宋体" w:cs="宋体"/>
                <w:color w:val="auto"/>
                <w:highlight w:val="none"/>
                <w:lang w:val="en-US" w:eastAsia="zh-CN"/>
              </w:rPr>
              <w:t>每</w:t>
            </w:r>
            <w:r>
              <w:rPr>
                <w:rFonts w:hint="eastAsia" w:ascii="宋体" w:hAnsi="宋体" w:eastAsia="宋体" w:cs="宋体"/>
                <w:color w:val="auto"/>
                <w:highlight w:val="none"/>
              </w:rPr>
              <w:t>有1项一般的扣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内容缺少或内容简要不具备可行性或内容非专门针对本项目或内容不能满足本项目实际需要的每有1项扣2分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rPr>
              <w:t>项目理解</w:t>
            </w:r>
            <w:r>
              <w:rPr>
                <w:rFonts w:hint="eastAsia" w:ascii="宋体" w:hAnsi="宋体" w:eastAsia="宋体" w:cs="宋体"/>
                <w:b/>
                <w:bCs/>
                <w:color w:val="auto"/>
                <w:kern w:val="2"/>
                <w:sz w:val="21"/>
                <w:szCs w:val="21"/>
                <w:highlight w:val="none"/>
                <w:lang w:val="en-US" w:eastAsia="zh-CN"/>
              </w:rPr>
              <w:t>和</w:t>
            </w:r>
            <w:r>
              <w:rPr>
                <w:rFonts w:hint="eastAsia" w:ascii="宋体" w:hAnsi="宋体" w:eastAsia="宋体" w:cs="宋体"/>
                <w:b/>
                <w:bCs/>
                <w:color w:val="auto"/>
                <w:kern w:val="2"/>
                <w:sz w:val="21"/>
                <w:szCs w:val="21"/>
                <w:highlight w:val="none"/>
              </w:rPr>
              <w:t>分析</w:t>
            </w:r>
          </w:p>
        </w:tc>
        <w:tc>
          <w:tcPr>
            <w:tcW w:w="710" w:type="dxa"/>
            <w:vAlign w:val="center"/>
          </w:tcPr>
          <w:p>
            <w:pPr>
              <w:widowControl w:val="0"/>
              <w:adjustRightInd/>
              <w:snapToGrid/>
              <w:spacing w:after="0"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lang w:val="en-US" w:eastAsia="zh-CN"/>
              </w:rPr>
              <w:t>4</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针对本项目的特点，进行重点难点的理解和分析；并提供项目技术解决方案和措施。内容理解和分析深入全面</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解决方案可行</w:t>
            </w:r>
            <w:r>
              <w:rPr>
                <w:rFonts w:hint="eastAsia" w:ascii="宋体" w:hAnsi="宋体" w:eastAsia="宋体" w:cs="宋体"/>
                <w:color w:val="auto"/>
                <w:kern w:val="2"/>
                <w:sz w:val="21"/>
                <w:szCs w:val="21"/>
                <w:highlight w:val="none"/>
              </w:rPr>
              <w:t>、操作性强、贴近采购人需求的得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分析</w:t>
            </w:r>
            <w:r>
              <w:rPr>
                <w:rFonts w:hint="eastAsia" w:ascii="宋体" w:hAnsi="宋体" w:eastAsia="宋体" w:cs="宋体"/>
                <w:color w:val="auto"/>
                <w:kern w:val="2"/>
                <w:sz w:val="21"/>
                <w:szCs w:val="21"/>
                <w:highlight w:val="none"/>
              </w:rPr>
              <w:t>内容缺少或</w:t>
            </w:r>
            <w:r>
              <w:rPr>
                <w:rFonts w:hint="eastAsia" w:ascii="宋体" w:hAnsi="宋体" w:eastAsia="宋体" w:cs="宋体"/>
                <w:color w:val="auto"/>
                <w:kern w:val="2"/>
                <w:sz w:val="21"/>
                <w:szCs w:val="21"/>
                <w:highlight w:val="none"/>
                <w:lang w:val="en-US" w:eastAsia="zh-CN"/>
              </w:rPr>
              <w:t>解决方案</w:t>
            </w:r>
            <w:r>
              <w:rPr>
                <w:rFonts w:hint="eastAsia" w:ascii="宋体" w:hAnsi="宋体" w:eastAsia="宋体" w:cs="宋体"/>
                <w:color w:val="auto"/>
                <w:kern w:val="2"/>
                <w:sz w:val="21"/>
                <w:szCs w:val="21"/>
                <w:highlight w:val="none"/>
              </w:rPr>
              <w:t>不具备可行性或内容非专门针对本项目或内容不能满足本项目实际需要的每有1项扣1分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扣完为止</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项目组织</w:t>
            </w:r>
          </w:p>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实施方案</w:t>
            </w:r>
          </w:p>
        </w:tc>
        <w:tc>
          <w:tcPr>
            <w:tcW w:w="7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4</w:t>
            </w:r>
          </w:p>
        </w:tc>
        <w:tc>
          <w:tcPr>
            <w:tcW w:w="7493" w:type="dxa"/>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产品的供货、验收、安装调试方案及配送承诺等方案</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供货、安装（若需要）、验收等方案内容详实、计划明确、措施完善、方案科学合理的得4分，实施方案内容不详实、计划不明确、措施不完善、方案不科学合理等情况每有1项扣1分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技术培训</w:t>
            </w:r>
          </w:p>
        </w:tc>
        <w:tc>
          <w:tcPr>
            <w:tcW w:w="7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3</w:t>
            </w:r>
          </w:p>
        </w:tc>
        <w:tc>
          <w:tcPr>
            <w:tcW w:w="7493" w:type="dxa"/>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培训方案内容详实、全面、专业针对性强、安排合理科学。针对项目特点结合采购人需求制定包括但不限于培训内容、培训方式、培训计划、培训对象、培训团队配备等技术培训方案，方案内容关于上述要素阐述齐全、科学合理、操作性强、贴近采购人需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分，内容缺少或内容简要不具备可行性或内容非专门针对本项目或内容不能满足本项目实际需要的每有1项扣1分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42"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售后服务</w:t>
            </w:r>
          </w:p>
        </w:tc>
        <w:tc>
          <w:tcPr>
            <w:tcW w:w="710" w:type="dxa"/>
            <w:vAlign w:val="center"/>
          </w:tcPr>
          <w:p>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4</w:t>
            </w:r>
          </w:p>
        </w:tc>
        <w:tc>
          <w:tcPr>
            <w:tcW w:w="7493" w:type="dxa"/>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承诺提供的</w:t>
            </w:r>
            <w:r>
              <w:rPr>
                <w:rFonts w:hint="eastAsia" w:ascii="宋体" w:hAnsi="宋体" w:eastAsia="宋体" w:cs="宋体"/>
                <w:color w:val="auto"/>
                <w:sz w:val="21"/>
                <w:szCs w:val="21"/>
                <w:highlight w:val="none"/>
              </w:rPr>
              <w:t>售后服务体系、售后服务点分布，售后服务响应时间（0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针对项目特点结合采购人需求制定包括但不限于服务承诺、服务体系、售后机构、响应时间等售后服务方案，方案内容关于上述要素阐述齐全、科学合理、操作性强、贴近采购人需求的得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分，内容缺少或内容简要不具备可行性或内容非专门针对本项目或内容不能满足本项目实际需要的每有1项扣1分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人力资源</w:t>
            </w:r>
          </w:p>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安排</w:t>
            </w:r>
          </w:p>
        </w:tc>
        <w:tc>
          <w:tcPr>
            <w:tcW w:w="7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w:t>
            </w:r>
          </w:p>
        </w:tc>
        <w:tc>
          <w:tcPr>
            <w:tcW w:w="7493" w:type="dxa"/>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针对项目特点结合采购人需求制定包括但不限于</w:t>
            </w:r>
            <w:r>
              <w:rPr>
                <w:rFonts w:hint="eastAsia" w:ascii="宋体" w:hAnsi="宋体" w:eastAsia="宋体" w:cs="宋体"/>
                <w:color w:val="auto"/>
                <w:sz w:val="21"/>
                <w:szCs w:val="21"/>
                <w:highlight w:val="none"/>
                <w:lang w:val="en-US" w:eastAsia="zh-CN"/>
              </w:rPr>
              <w:t>项目实施人员安排合理</w:t>
            </w:r>
            <w:r>
              <w:rPr>
                <w:rFonts w:hint="eastAsia" w:ascii="宋体" w:hAnsi="宋体" w:eastAsia="宋体" w:cs="宋体"/>
                <w:color w:val="auto"/>
                <w:sz w:val="21"/>
                <w:szCs w:val="21"/>
                <w:highlight w:val="none"/>
              </w:rPr>
              <w:t>，方案内容关于上述要素阐述齐全、科学合理、操作性强、贴近采购人需求的得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分，内容缺少或内容简要不具备可行性或内容非专门针对本项目或内容不能满足本项目实际需要的每有1项扣1分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应急预案</w:t>
            </w:r>
          </w:p>
        </w:tc>
        <w:tc>
          <w:tcPr>
            <w:tcW w:w="710" w:type="dxa"/>
            <w:vAlign w:val="center"/>
          </w:tcPr>
          <w:p>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w:t>
            </w:r>
          </w:p>
        </w:tc>
        <w:tc>
          <w:tcPr>
            <w:tcW w:w="7493" w:type="dxa"/>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投标人应提供项目保障应急预案，其中应包括现场应急处理、技术支撑保障、</w:t>
            </w:r>
            <w:r>
              <w:rPr>
                <w:rFonts w:hint="eastAsia" w:ascii="宋体" w:hAnsi="宋体" w:eastAsia="宋体" w:cs="宋体"/>
                <w:color w:val="auto"/>
                <w:sz w:val="21"/>
                <w:szCs w:val="21"/>
                <w:highlight w:val="none"/>
                <w:lang w:val="en-US" w:eastAsia="zh-CN"/>
              </w:rPr>
              <w:t>易损件备品备件、专用工具清单</w:t>
            </w:r>
            <w:r>
              <w:rPr>
                <w:rFonts w:hint="eastAsia" w:ascii="宋体" w:hAnsi="宋体" w:eastAsia="宋体" w:cs="宋体"/>
                <w:color w:val="auto"/>
                <w:sz w:val="21"/>
                <w:szCs w:val="21"/>
                <w:highlight w:val="none"/>
              </w:rPr>
              <w:t>等。方案内容关于上述要素阐述齐全、科学合理、操作性强、贴近采购人需求的得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分，内容缺少或内容简要不具备可行性或内容非专门针对本项目或内容不能满足本项目实际需要的每有1项扣1分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优惠承诺</w:t>
            </w:r>
          </w:p>
        </w:tc>
        <w:tc>
          <w:tcPr>
            <w:tcW w:w="710"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0-2</w:t>
            </w:r>
          </w:p>
        </w:tc>
        <w:tc>
          <w:tcPr>
            <w:tcW w:w="7493" w:type="dxa"/>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投标人针对本次采购的优惠承诺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质保期除外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且经评标专家认定有效的，最高得2分，无承诺的不得分。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42" w:type="dxa"/>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政策分</w:t>
            </w:r>
          </w:p>
        </w:tc>
        <w:tc>
          <w:tcPr>
            <w:tcW w:w="710" w:type="dxa"/>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lang w:val="en-US" w:eastAsia="zh-CN"/>
              </w:rPr>
              <w:t>2</w:t>
            </w:r>
          </w:p>
        </w:tc>
        <w:tc>
          <w:tcPr>
            <w:tcW w:w="7493" w:type="dxa"/>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投标产品具有国家确定的认证机构出具的、处于有效期之内的节能产品认证证书的得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分，投标产品具有国家确定的认证机构出具的、处于有效期之内的环境标志产品认证证书的得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Merge w:val="restar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样品</w:t>
            </w:r>
          </w:p>
          <w:p>
            <w:pPr>
              <w:pStyle w:val="1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（暗标评审）</w:t>
            </w:r>
          </w:p>
          <w:p>
            <w:pPr>
              <w:spacing w:line="360" w:lineRule="auto"/>
              <w:jc w:val="center"/>
              <w:rPr>
                <w:rFonts w:hint="eastAsia" w:ascii="宋体" w:hAnsi="宋体" w:eastAsia="宋体" w:cs="宋体"/>
                <w:b/>
                <w:bCs/>
                <w:color w:val="auto"/>
                <w:sz w:val="21"/>
                <w:szCs w:val="21"/>
                <w:highlight w:val="none"/>
              </w:rPr>
            </w:pPr>
          </w:p>
        </w:tc>
        <w:tc>
          <w:tcPr>
            <w:tcW w:w="710" w:type="dxa"/>
            <w:vMerge w:val="restart"/>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0-15分</w:t>
            </w:r>
          </w:p>
        </w:tc>
        <w:tc>
          <w:tcPr>
            <w:tcW w:w="7493"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highlight w:val="none"/>
              </w:rPr>
              <w:t>标项一：</w:t>
            </w:r>
            <w:r>
              <w:rPr>
                <w:rFonts w:hint="eastAsia" w:ascii="宋体" w:hAnsi="宋体" w:eastAsia="宋体" w:cs="宋体"/>
                <w:b/>
                <w:bCs/>
                <w:i w:val="0"/>
                <w:iCs w:val="0"/>
                <w:color w:val="auto"/>
                <w:kern w:val="0"/>
                <w:sz w:val="21"/>
                <w:szCs w:val="21"/>
                <w:highlight w:val="none"/>
                <w:u w:val="none"/>
                <w:lang w:val="en-US" w:eastAsia="zh-CN" w:bidi="ar"/>
              </w:rPr>
              <w:t>救援支架</w:t>
            </w:r>
          </w:p>
          <w:p>
            <w:pPr>
              <w:bidi w:val="0"/>
              <w:rPr>
                <w:rFonts w:hint="eastAsia"/>
                <w:color w:val="auto"/>
                <w:highlight w:val="none"/>
                <w:lang w:val="en-US" w:eastAsia="zh-CN"/>
              </w:rPr>
            </w:pPr>
            <w:r>
              <w:rPr>
                <w:rFonts w:hint="eastAsia"/>
                <w:color w:val="auto"/>
                <w:highlight w:val="none"/>
                <w:lang w:val="en-US" w:eastAsia="zh-CN"/>
              </w:rPr>
              <w:t>评分内容：</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是否符合XF3009-2020《救援三脚架》标准，提供国家消防装备质量检验检测中心或其他国家级消防产品检测机构出具的检测报告；</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外观表面应光滑平整，无明显划伤、变形等缺陷，各金属部件无机械性损伤、裂纹、毛刺等缺陷；</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救援支架最大工作状态高度≤3000mm；</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★救援支架额定负载质量是否≥200kg；</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★顶端设置不少于2个固定锚点，且均应能安装通用型滑轮装置；</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各条支撑脚完全展开后，各支撑脚之间的最大长度差不大于1CM；</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设置连接每条支撑脚、可调节长度的保护链（带、绳），并有相应的捆绑固定措施；</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支撑脚应具备防滑功能,从完全展开并承载起至作业完成为止；</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★救援三脚架使用的承载连接部件工作负荷不小于5kN，极限负荷不小于20kN；</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★手动绞盘转动灵活，无卡顿现象；</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手动绞盘的平均提拉速度≥0.1m/s；</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手动绞盘具备自锁功能。</w:t>
            </w:r>
          </w:p>
          <w:p>
            <w:pPr>
              <w:keepNext w:val="0"/>
              <w:keepLines w:val="0"/>
              <w:widowControl/>
              <w:numPr>
                <w:ilvl w:val="0"/>
                <w:numId w:val="12"/>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根据公开招投标参数相关内容及实战要求性能等进行比对。</w:t>
            </w:r>
          </w:p>
          <w:p>
            <w:pPr>
              <w:bidi w:val="0"/>
              <w:rPr>
                <w:rFonts w:hint="eastAsia" w:ascii="宋体" w:hAnsi="宋体" w:eastAsia="宋体" w:cs="宋体"/>
                <w:color w:val="auto"/>
                <w:highlight w:val="none"/>
                <w:lang w:val="en-US" w:eastAsia="zh-CN"/>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标项三：消防轻型安全绳</w:t>
            </w:r>
          </w:p>
          <w:p>
            <w:pPr>
              <w:bidi w:val="0"/>
              <w:rPr>
                <w:rFonts w:hint="eastAsia"/>
                <w:color w:val="auto"/>
                <w:highlight w:val="none"/>
                <w:lang w:val="en-US" w:eastAsia="zh-CN"/>
              </w:rPr>
            </w:pPr>
            <w:r>
              <w:rPr>
                <w:rFonts w:hint="eastAsia"/>
                <w:color w:val="auto"/>
                <w:highlight w:val="none"/>
                <w:lang w:val="en-US" w:eastAsia="zh-CN"/>
              </w:rPr>
              <w:t>评分内容：</w:t>
            </w:r>
          </w:p>
          <w:p>
            <w:pPr>
              <w:keepNext w:val="0"/>
              <w:keepLines w:val="0"/>
              <w:widowControl/>
              <w:numPr>
                <w:ilvl w:val="0"/>
                <w:numId w:val="13"/>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总体性能符合XF494-2004《消防用防坠落装备》标准，提供国家消防装备质量检验检测中心或其他国家级消防产品检测机构出具的检测报告。</w:t>
            </w:r>
          </w:p>
          <w:p>
            <w:pPr>
              <w:keepNext w:val="0"/>
              <w:keepLines w:val="0"/>
              <w:widowControl/>
              <w:numPr>
                <w:ilvl w:val="0"/>
                <w:numId w:val="13"/>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消防轻型安全绳直径 9.5mm；长度≥20m；</w:t>
            </w:r>
          </w:p>
          <w:p>
            <w:pPr>
              <w:keepNext w:val="0"/>
              <w:keepLines w:val="0"/>
              <w:widowControl/>
              <w:numPr>
                <w:ilvl w:val="0"/>
                <w:numId w:val="13"/>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安全绳索外皮、内芯均为阻燃耐高温材质；</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4.★安全绳最小破断强度应不低于20kN；</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5.延伸率应大于1%且不大于 10%（承重达到最小破断强度的 10%时）；经 204℃±5℃的耐高温性能试验后，不应出现融熔、焦化现象；在 600℃±5℃、1.33kN 负荷环境下的承载 45s，在 400℃±5℃、1.33kN 负荷环境下承载300s，不应出现断裂现象；</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6.安全绳芯内应编入一根宽度不小于 2mm、贯穿全绳的信息条，安全绳环下方应设置永久性标志；</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7.根据公开招投标参数相关内容及实战要求性能等进行比对。</w:t>
            </w:r>
          </w:p>
          <w:p>
            <w:pPr>
              <w:bidi w:val="0"/>
              <w:rPr>
                <w:rFonts w:hint="eastAsia" w:ascii="宋体" w:hAnsi="宋体" w:eastAsia="宋体" w:cs="宋体"/>
                <w:color w:val="auto"/>
                <w:highlight w:val="none"/>
                <w:lang w:val="en-US" w:eastAsia="zh-CN"/>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：消防通用安全绳（按米报价）</w:t>
            </w:r>
          </w:p>
          <w:p>
            <w:pPr>
              <w:bidi w:val="0"/>
              <w:rPr>
                <w:rFonts w:hint="eastAsia"/>
                <w:color w:val="auto"/>
                <w:highlight w:val="none"/>
              </w:rPr>
            </w:pPr>
            <w:r>
              <w:rPr>
                <w:rFonts w:hint="eastAsia"/>
                <w:color w:val="auto"/>
                <w:highlight w:val="none"/>
                <w:lang w:val="en-US" w:eastAsia="zh-CN"/>
              </w:rPr>
              <w:t>评分内容：</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1.符合XF494-2004《消防用防坠落装备》标准，提供国家消防装备质量检验检测中心或其他国家级消防产品检测机构出具的检测报告； </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2.材料为尼龙或优于尼龙材质；</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3.消防通用安全绳直径16mm；</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4.安全绳为连续结构，夹心绳；</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5.★消防通用安全绳最小破断强≥50kN；</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6.安全绳的延伸率≤5%；</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7.在高温情况下安全绳不会出现融熔、焦化现象；</w:t>
            </w:r>
          </w:p>
          <w:p>
            <w:pPr>
              <w:spacing w:line="360" w:lineRule="auto"/>
              <w:rPr>
                <w:rFonts w:hint="eastAsia" w:ascii="宋体" w:hAnsi="宋体" w:eastAsia="宋体" w:cs="宋体"/>
                <w:bCs w:val="0"/>
                <w:color w:val="auto"/>
                <w:kern w:val="2"/>
                <w:sz w:val="21"/>
                <w:szCs w:val="24"/>
                <w:highlight w:val="none"/>
                <w:lang w:val="en-US" w:eastAsia="zh-CN" w:bidi="ar-SA"/>
              </w:rPr>
            </w:pPr>
            <w:r>
              <w:rPr>
                <w:rFonts w:hint="eastAsia" w:ascii="宋体" w:hAnsi="宋体" w:eastAsia="宋体" w:cs="宋体"/>
                <w:color w:val="auto"/>
                <w:highlight w:val="none"/>
              </w:rPr>
              <w:t>8</w:t>
            </w:r>
            <w:r>
              <w:rPr>
                <w:rFonts w:hint="eastAsia" w:ascii="宋体" w:hAnsi="宋体" w:eastAsia="宋体" w:cs="宋体"/>
                <w:b w:val="0"/>
                <w:bCs w:val="0"/>
                <w:color w:val="auto"/>
                <w:sz w:val="21"/>
                <w:szCs w:val="21"/>
                <w:highlight w:val="none"/>
              </w:rPr>
              <w:t>.根据公开招投标参数相关内容及实战要求性能等进行比对。</w:t>
            </w:r>
          </w:p>
          <w:p>
            <w:pPr>
              <w:bidi w:val="0"/>
              <w:rPr>
                <w:rFonts w:hint="eastAsia" w:ascii="宋体" w:hAnsi="宋体" w:eastAsia="宋体" w:cs="宋体"/>
                <w:bCs w:val="0"/>
                <w:color w:val="auto"/>
                <w:kern w:val="2"/>
                <w:sz w:val="21"/>
                <w:szCs w:val="24"/>
                <w:highlight w:val="none"/>
                <w:lang w:val="en-US" w:eastAsia="zh-CN" w:bidi="ar-SA"/>
              </w:rPr>
            </w:pPr>
            <w:r>
              <w:rPr>
                <w:rFonts w:hint="eastAsia"/>
                <w:color w:val="auto"/>
                <w:highlight w:val="none"/>
                <w:lang w:val="en-US" w:eastAsia="zh-CN"/>
              </w:rPr>
              <w:t>评分标准：</w:t>
            </w:r>
          </w:p>
          <w:p>
            <w:pPr>
              <w:numPr>
                <w:ilvl w:val="0"/>
                <w:numId w:val="14"/>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根据投标人所提供的样品外观、材质、工艺、功能（性能）性、可操作性、舒适性等方面进行综合评审（标注“★”的指标为主要指标）（0-12分）</w:t>
            </w:r>
          </w:p>
          <w:p>
            <w:pPr>
              <w:numPr>
                <w:ilvl w:val="0"/>
                <w:numId w:val="0"/>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highlight w:val="none"/>
                <w:lang w:eastAsia="zh-CN"/>
              </w:rPr>
            </w:pPr>
            <w:r>
              <w:rPr>
                <w:rFonts w:hint="eastAsia" w:ascii="宋体" w:hAnsi="宋体" w:eastAsia="宋体" w:cs="宋体"/>
                <w:bCs w:val="0"/>
                <w:color w:val="auto"/>
                <w:kern w:val="2"/>
                <w:sz w:val="21"/>
                <w:szCs w:val="24"/>
                <w:highlight w:val="none"/>
                <w:lang w:val="en-US" w:eastAsia="zh-CN" w:bidi="ar-SA"/>
              </w:rPr>
              <w:t>（2）</w:t>
            </w:r>
            <w:r>
              <w:rPr>
                <w:rFonts w:hint="eastAsia" w:ascii="宋体" w:hAnsi="宋体" w:eastAsia="宋体" w:cs="宋体"/>
                <w:color w:val="auto"/>
                <w:highlight w:val="none"/>
              </w:rPr>
              <w:t>在满足招标文件明确的全部技术条款基础上技术参数经评审小组认定为实质性正偏离的、根据正偏离程度每项得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bidi w:val="0"/>
              <w:spacing w:line="360" w:lineRule="auto"/>
              <w:rPr>
                <w:rFonts w:hint="eastAsia" w:ascii="宋体" w:hAnsi="宋体" w:eastAsia="宋体" w:cs="宋体"/>
                <w:color w:val="auto"/>
                <w:highlight w:val="none"/>
              </w:rPr>
            </w:pPr>
            <w:r>
              <w:rPr>
                <w:rFonts w:hint="eastAsia" w:ascii="宋体" w:hAnsi="宋体" w:eastAsia="宋体" w:cs="宋体"/>
                <w:bCs w:val="0"/>
                <w:color w:val="auto"/>
                <w:kern w:val="2"/>
                <w:sz w:val="21"/>
                <w:szCs w:val="24"/>
                <w:highlight w:val="none"/>
                <w:lang w:val="en-US" w:eastAsia="zh-CN" w:bidi="ar-SA"/>
              </w:rPr>
              <w:t>（3）未提供样品不得分。</w:t>
            </w:r>
            <w:r>
              <w:rPr>
                <w:rFonts w:hint="eastAsia" w:ascii="宋体" w:hAnsi="宋体" w:eastAsia="宋体" w:cs="宋体"/>
                <w:color w:val="auto"/>
                <w:highlight w:val="none"/>
              </w:rPr>
              <w:t>标参数相关内容及实战要求性能等进行比对。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9"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静力绳（按米报价）</w:t>
            </w:r>
          </w:p>
          <w:p>
            <w:pPr>
              <w:bidi w:val="0"/>
              <w:rPr>
                <w:rFonts w:hint="eastAsia"/>
                <w:color w:val="auto"/>
                <w:highlight w:val="none"/>
                <w:lang w:val="en-US" w:eastAsia="zh-CN"/>
              </w:rPr>
            </w:pPr>
            <w:r>
              <w:rPr>
                <w:rFonts w:hint="eastAsia"/>
                <w:color w:val="auto"/>
                <w:highlight w:val="none"/>
                <w:lang w:val="en-US" w:eastAsia="zh-CN"/>
              </w:rPr>
              <w:t>评分内容：</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1.总体性能符合 XF494-2004《消防用防坠落装备》的标准，提供国家消防装备质量检验检测中心或其他国家级消防产品检测机构出具的检测报告。</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2.消防通用安全绳直径10.5mm；</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3.材料为尼龙材质；</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4.★安全绳断裂强力≥30 kN，强度打8字结:≥19kn</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5.安全绳静延伸率:≤3%；</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6.安全绳长度≥100m；</w:t>
            </w:r>
          </w:p>
          <w:p>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7.根据公开招投标参数相关内容及实战要求性能等进行比对。</w:t>
            </w:r>
          </w:p>
          <w:p>
            <w:pPr>
              <w:bidi w:val="0"/>
              <w:rPr>
                <w:rFonts w:hint="eastAsia" w:ascii="宋体" w:hAnsi="宋体" w:eastAsia="宋体" w:cs="宋体"/>
                <w:color w:val="auto"/>
                <w:highlight w:val="none"/>
                <w:lang w:val="en-US" w:eastAsia="zh-CN"/>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rPr>
                <w:rFonts w:hint="eastAsia" w:ascii="宋体" w:hAnsi="宋体" w:eastAsia="宋体" w:cs="宋体"/>
                <w:color w:val="auto"/>
                <w:highlight w:val="none"/>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restart"/>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 xml:space="preserve">：稳固保护附件 </w:t>
            </w:r>
          </w:p>
          <w:p>
            <w:pPr>
              <w:bidi w:val="0"/>
              <w:rPr>
                <w:rFonts w:hint="eastAsia"/>
                <w:color w:val="auto"/>
                <w:highlight w:val="none"/>
              </w:rPr>
            </w:pPr>
            <w:r>
              <w:rPr>
                <w:rFonts w:hint="eastAsia"/>
                <w:color w:val="auto"/>
                <w:highlight w:val="none"/>
                <w:lang w:val="en-US" w:eastAsia="zh-CN"/>
              </w:rPr>
              <w:t>评分内容：</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1.提供国家消防装备质量检验检测中心或其他国家级消防产品检测机构出具的检测报告；</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2.★支撑垫块组套：含6种型号垫块，每种型号不少于2块；</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3.★每套气垫包含小型支固气垫2只、中型支固气垫2只、小型机械支撑杆2只、中型机械支撑杆4只；</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4.★小型支固气垫：单个面积≥100x100cm，重量不大于5kg。</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5.★中型支固气垫：单个面积不小于230x100cm，重量不大于8kg；</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6.★操控组件：双路控制器2个，可同时控制两支气垫，支固气垫减压器2个，两种颜色输气管4根，每根长不小于5m，文丘里管2个，专用工具包2个。 </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7.★根据实战需求，比对实际功能性；</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8.根据公开招投标参数相关内容及实战要求性能等进行比对。</w:t>
            </w:r>
          </w:p>
          <w:p>
            <w:pPr>
              <w:bidi w:val="0"/>
              <w:rPr>
                <w:rFonts w:hint="eastAsia" w:ascii="宋体" w:hAnsi="宋体" w:eastAsia="宋体" w:cs="宋体"/>
                <w:color w:val="auto"/>
                <w:highlight w:val="none"/>
              </w:rPr>
            </w:pPr>
            <w:r>
              <w:rPr>
                <w:rFonts w:hint="eastAsia"/>
                <w:color w:val="auto"/>
                <w:highlight w:val="none"/>
                <w:lang w:val="en-US" w:eastAsia="zh-CN"/>
              </w:rPr>
              <w:t>评分标准：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气动起重气垫 A款</w:t>
            </w:r>
          </w:p>
          <w:p>
            <w:pPr>
              <w:bidi w:val="0"/>
              <w:rPr>
                <w:rFonts w:hint="eastAsia"/>
                <w:color w:val="auto"/>
                <w:highlight w:val="none"/>
                <w:lang w:val="en-US" w:eastAsia="zh-CN"/>
              </w:rPr>
            </w:pPr>
            <w:r>
              <w:rPr>
                <w:rFonts w:hint="eastAsia"/>
                <w:color w:val="auto"/>
                <w:highlight w:val="none"/>
                <w:lang w:val="en-US" w:eastAsia="zh-CN"/>
              </w:rPr>
              <w:t>评分内容：</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1.是否提供国家消防装备质量检验检测中心或其他国家级消防产品检测机构出具的检测报告；</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2.气垫材质具备抗静电、抗裂、耐磨、抗油、抗老化等和自熄灭特性，表层的特殊设计可提高在草地、泥沙等光滑地面上的抗滑性；</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3.★1块最大举升力≥10T，最大举升高度≥210mm</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4.★1块最大举升力≥15T，1块最大举升高度≥290mm，</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5.★1块最大举升力≥25T，最大举升高度≥360mm，</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6.★1块最大举升力≥50T，最大举升高度≥500mm；</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7.★气动起重气垫配件是否齐全好用；</w:t>
            </w:r>
          </w:p>
          <w:p>
            <w:pPr>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8.根据公开招投标参数相关内容及实战要求性能等进行比对。</w:t>
            </w:r>
          </w:p>
          <w:p>
            <w:pPr>
              <w:bidi w:val="0"/>
              <w:rPr>
                <w:rFonts w:hint="eastAsia" w:ascii="宋体" w:hAnsi="宋体" w:eastAsia="宋体" w:cs="宋体"/>
                <w:color w:val="auto"/>
                <w:highlight w:val="none"/>
                <w:lang w:val="en-US" w:eastAsia="zh-CN"/>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bidi w:val="0"/>
              <w:rPr>
                <w:rFonts w:hint="eastAsia" w:ascii="宋体" w:hAnsi="宋体" w:eastAsia="宋体" w:cs="宋体"/>
                <w:color w:val="auto"/>
                <w:highlight w:val="none"/>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气动起重气垫 B款</w:t>
            </w:r>
          </w:p>
          <w:p>
            <w:pPr>
              <w:bidi w:val="0"/>
              <w:rPr>
                <w:rFonts w:hint="eastAsia"/>
                <w:color w:val="auto"/>
                <w:highlight w:val="none"/>
                <w:lang w:val="en-US" w:eastAsia="zh-CN"/>
              </w:rPr>
            </w:pPr>
            <w:r>
              <w:rPr>
                <w:rFonts w:hint="eastAsia"/>
                <w:color w:val="auto"/>
                <w:highlight w:val="none"/>
                <w:lang w:val="en-US" w:eastAsia="zh-CN"/>
              </w:rPr>
              <w:t>评分内容：</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1.是否提供国家消防装备质量检验检测中心或其他国家级消防产品检测机构出具的检测报告；</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2.气垫材质具备抗静电、抗裂、耐磨、抗油、抗老化等和自熄灭特性，表层的特殊设计可提高在草地、泥沙等光滑地面上的抗滑性；</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en-US" w:eastAsia="zh-CN"/>
              </w:rPr>
              <w:t>每套包括4个气垫，最多可以将3个气垫通过金属连接器件连接使用；最大起重能力≥20吨的气垫2个、最大起重能力≥50吨的气垫2个</w:t>
            </w:r>
            <w:r>
              <w:rPr>
                <w:rFonts w:hint="eastAsia" w:ascii="宋体" w:hAnsi="宋体" w:eastAsia="宋体" w:cs="宋体"/>
                <w:color w:val="auto"/>
                <w:highlight w:val="none"/>
              </w:rPr>
              <w:t>；</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4.每个气垫的上、下两面，分别固定内置有防滑设计的金属平面板，可以直接顶升尖锐物体；</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5.通过金属连接器件，可将2个以上气垫固定联接成为一个整体，增加顶升高度；</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6.★单个≥20吨气垫的最大顶升高度≥250mm；</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7.★单个≥50吨气垫的最大顶升高度≥400mm；</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8.★气动起重气垫配件是否齐全好用；</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9.★气动起重气垫最大起重、最大顶升高度；最大顶升高度时的最大起重等实战数据；</w:t>
            </w:r>
          </w:p>
          <w:p>
            <w:pPr>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10.根据公开招投标参数相关内容及实战要求性能等进行比对。</w:t>
            </w:r>
          </w:p>
          <w:p>
            <w:pPr>
              <w:bidi w:val="0"/>
              <w:rPr>
                <w:rFonts w:hint="eastAsia" w:ascii="宋体" w:hAnsi="宋体" w:eastAsia="宋体" w:cs="宋体"/>
                <w:color w:val="auto"/>
                <w:highlight w:val="none"/>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bidi w:val="0"/>
              <w:jc w:val="both"/>
              <w:rPr>
                <w:rFonts w:hint="eastAsia" w:ascii="宋体" w:hAnsi="宋体" w:eastAsia="宋体" w:cs="宋体"/>
                <w:color w:val="auto"/>
                <w:highlight w:val="none"/>
                <w:lang w:val="en-US" w:eastAsia="zh-CN"/>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1442"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：液压破拆工具组（含双输出液压机动泵、扩张器、剪切器、液压剪扩器、撑顶器、液压管） A款</w:t>
            </w:r>
          </w:p>
          <w:p>
            <w:pPr>
              <w:bidi w:val="0"/>
              <w:rPr>
                <w:rFonts w:hint="eastAsia"/>
                <w:color w:val="auto"/>
                <w:highlight w:val="none"/>
              </w:rPr>
            </w:pPr>
            <w:r>
              <w:rPr>
                <w:rFonts w:hint="eastAsia"/>
                <w:color w:val="auto"/>
                <w:highlight w:val="none"/>
                <w:lang w:val="en-US" w:eastAsia="zh-CN"/>
              </w:rPr>
              <w:t>评分内容：</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1.符合GB/T17906-</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 xml:space="preserve"> 《液压破拆工具通用技术条件》相关要求，提供国家消防装备质量检验检测中心或其他国家级消防产品检测机构出具的检测报告；</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2.★配置是否齐全好用；</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3.液压机动泵双输出用作液压破拆工具的动力源，</w:t>
            </w:r>
            <w:r>
              <w:rPr>
                <w:rFonts w:hint="eastAsia" w:ascii="宋体" w:hAnsi="宋体" w:eastAsia="宋体" w:cs="宋体"/>
                <w:color w:val="auto"/>
                <w:sz w:val="21"/>
                <w:szCs w:val="21"/>
                <w:highlight w:val="none"/>
                <w:lang w:val="en-US" w:eastAsia="zh-CN"/>
              </w:rPr>
              <w:t>汽油机驱动，</w:t>
            </w:r>
            <w:r>
              <w:rPr>
                <w:rFonts w:hint="eastAsia" w:ascii="宋体" w:hAnsi="宋体" w:eastAsia="宋体" w:cs="宋体"/>
                <w:color w:val="auto"/>
                <w:sz w:val="21"/>
                <w:szCs w:val="21"/>
                <w:highlight w:val="none"/>
              </w:rPr>
              <w:t>可同时接驳两件液压破拆工具同时工作3小时以上；</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4.★可同时供2组液压工具作业，最大工作压力是否≥</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5Mpa，功率是否≥2.2Kw，重量是否≤</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KG；</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5.★液压扩张器：用于灾害现场的扩张和牵引作业，可带压操作，扩张在任何位置不回缩，扩张力是否≥</w:t>
            </w:r>
            <w:r>
              <w:rPr>
                <w:rFonts w:hint="eastAsia" w:ascii="宋体" w:hAnsi="宋体" w:eastAsia="宋体" w:cs="宋体"/>
                <w:color w:val="auto"/>
                <w:sz w:val="21"/>
                <w:szCs w:val="21"/>
                <w:highlight w:val="none"/>
                <w:lang w:val="en-US" w:eastAsia="zh-CN"/>
              </w:rPr>
              <w:t>60KN</w:t>
            </w:r>
            <w:r>
              <w:rPr>
                <w:rFonts w:hint="eastAsia" w:ascii="宋体" w:hAnsi="宋体" w:eastAsia="宋体" w:cs="宋体"/>
                <w:color w:val="auto"/>
                <w:sz w:val="21"/>
                <w:szCs w:val="21"/>
                <w:highlight w:val="none"/>
              </w:rPr>
              <w:t>，开口行程是否≥700mm；</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6.★液压剪切器：用于剪切破拆金属或非金属结构，更适合在狭小的空间使用，单管工作原理、可带压操作。</w:t>
            </w:r>
            <w:r>
              <w:rPr>
                <w:rFonts w:hint="eastAsia" w:ascii="宋体" w:hAnsi="宋体" w:eastAsia="宋体" w:cs="宋体"/>
                <w:color w:val="auto"/>
                <w:sz w:val="21"/>
                <w:szCs w:val="21"/>
                <w:highlight w:val="none"/>
                <w:lang w:val="en-US" w:eastAsia="zh-CN"/>
              </w:rPr>
              <w:t>开口距离</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≥180mm，剪切钢板厚度</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≥15mm，剪切圆钢直径</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≥40mm；</w:t>
            </w:r>
          </w:p>
          <w:p>
            <w:pPr>
              <w:pageBreakBefore w:val="0"/>
              <w:numPr>
                <w:ilvl w:val="0"/>
                <w:numId w:val="0"/>
              </w:numPr>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★液压剪扩器：单管工作原理、可带压操作，</w:t>
            </w:r>
            <w:r>
              <w:rPr>
                <w:rFonts w:hint="eastAsia" w:ascii="宋体" w:hAnsi="宋体" w:eastAsia="宋体" w:cs="宋体"/>
                <w:color w:val="auto"/>
                <w:sz w:val="21"/>
                <w:szCs w:val="21"/>
                <w:highlight w:val="none"/>
                <w:lang w:val="en-US" w:eastAsia="zh-CN"/>
              </w:rPr>
              <w:t>可带压操作，剪切圆钢直径</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≥36mm、剪切钢板厚度</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≥20mm，最小扩张力</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≥50kN，扩张距离</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≥380mm，牵拉距离</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≥285mm；</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8、液压撑顶器：撑顶长度</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≥1000mm，一级撑顶力</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≥250kN，二级撑顶力</w:t>
            </w:r>
            <w:r>
              <w:rPr>
                <w:rFonts w:hint="eastAsia" w:ascii="宋体" w:hAnsi="宋体" w:eastAsia="宋体" w:cs="宋体"/>
                <w:color w:val="auto"/>
                <w:sz w:val="21"/>
                <w:szCs w:val="21"/>
                <w:highlight w:val="none"/>
              </w:rPr>
              <w:t>是否</w:t>
            </w:r>
            <w:r>
              <w:rPr>
                <w:rFonts w:hint="eastAsia" w:ascii="宋体" w:hAnsi="宋体" w:eastAsia="宋体" w:cs="宋体"/>
                <w:color w:val="auto"/>
                <w:sz w:val="21"/>
                <w:szCs w:val="21"/>
                <w:highlight w:val="none"/>
                <w:lang w:val="en-US" w:eastAsia="zh-CN"/>
              </w:rPr>
              <w:t>≥120kN；</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.★液压管：配2套是否≥</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米软管；</w:t>
            </w:r>
            <w:r>
              <w:rPr>
                <w:rFonts w:hint="eastAsia" w:ascii="宋体" w:hAnsi="宋体" w:eastAsia="宋体" w:cs="宋体"/>
                <w:color w:val="auto"/>
                <w:sz w:val="21"/>
                <w:szCs w:val="21"/>
                <w:highlight w:val="none"/>
                <w:lang w:val="en-US" w:eastAsia="zh-CN"/>
              </w:rPr>
              <w:t>单管设计，使用耐压高、抗磨损材料制成，是否可在工作状态下带压任意快速连接和插拔，360度自由旋转而不扭曲、不打结、不漏油、在使用过程中随着操作人员拖动自动理直，即使打结也能正常使用；是否当液压管长度不足时也可将多根液压管进行串联，延长使用长度。</w:t>
            </w:r>
          </w:p>
          <w:p>
            <w:pPr>
              <w:pageBreakBefore w:val="0"/>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.根据公开招投标参数相关内容及实战要求性能等进行比对。</w:t>
            </w:r>
          </w:p>
          <w:p>
            <w:pPr>
              <w:bidi w:val="0"/>
              <w:rPr>
                <w:rFonts w:hint="eastAsia" w:ascii="宋体" w:hAnsi="宋体" w:eastAsia="宋体" w:cs="宋体"/>
                <w:color w:val="auto"/>
                <w:highlight w:val="none"/>
                <w:lang w:val="en-US" w:eastAsia="zh-CN"/>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bidi w:val="0"/>
              <w:jc w:val="both"/>
              <w:rPr>
                <w:rFonts w:hint="eastAsia" w:ascii="宋体" w:hAnsi="宋体" w:eastAsia="宋体" w:cs="宋体"/>
                <w:color w:val="auto"/>
                <w:highlight w:val="none"/>
                <w:lang w:val="en-US" w:eastAsia="zh-CN"/>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1442" w:type="dxa"/>
            <w:vMerge w:val="continue"/>
            <w:vAlign w:val="center"/>
          </w:tcPr>
          <w:p>
            <w:pPr>
              <w:keepNext w:val="0"/>
              <w:keepLines w:val="0"/>
              <w:widowControl/>
              <w:suppressLineNumbers w:val="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支撑保护套具 </w:t>
            </w:r>
          </w:p>
        </w:tc>
        <w:tc>
          <w:tcPr>
            <w:tcW w:w="710" w:type="dxa"/>
            <w:vMerge w:val="continue"/>
            <w:vAlign w:val="center"/>
          </w:tcPr>
          <w:p>
            <w:pPr>
              <w:spacing w:line="360" w:lineRule="auto"/>
              <w:jc w:val="center"/>
              <w:rPr>
                <w:rFonts w:hint="eastAsia" w:ascii="宋体" w:hAnsi="宋体" w:eastAsia="宋体" w:cs="宋体"/>
                <w:b/>
                <w:bCs/>
                <w:color w:val="auto"/>
                <w:sz w:val="21"/>
                <w:szCs w:val="21"/>
                <w:highlight w:val="none"/>
              </w:rPr>
            </w:pPr>
          </w:p>
        </w:tc>
        <w:tc>
          <w:tcPr>
            <w:tcW w:w="7493" w:type="dxa"/>
            <w:vAlign w:val="center"/>
          </w:tcPr>
          <w:p>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标项</w:t>
            </w:r>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rPr>
              <w:t xml:space="preserve">：支撑保护套具 </w:t>
            </w:r>
          </w:p>
          <w:p>
            <w:pPr>
              <w:bidi w:val="0"/>
              <w:rPr>
                <w:rFonts w:hint="default" w:eastAsia="宋体"/>
                <w:color w:val="auto"/>
                <w:highlight w:val="none"/>
                <w:lang w:val="en-US" w:eastAsia="zh-CN"/>
              </w:rPr>
            </w:pPr>
            <w:r>
              <w:rPr>
                <w:rFonts w:hint="eastAsia"/>
                <w:color w:val="auto"/>
                <w:highlight w:val="none"/>
                <w:lang w:val="en-US" w:eastAsia="zh-CN"/>
              </w:rPr>
              <w:t>评分内容：</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1.是否提供国家消防装备质量检验检测中心或其他国家级消防产品检测机构出具的检测报告，</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2.是否可以无级调节，可用于水平及垂直方向的顶升；</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3.★支撑保护套具最大撑顶力是否≥10吨；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4.★支撑保护套具配置要求是否齐全好用；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5.★根据实战需求，比对实际功能性（支撑高度、长度、支撑力等）；</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6.根据公开招投标参数相关内容及实战要求性能等进行比对。</w:t>
            </w:r>
          </w:p>
          <w:p>
            <w:pPr>
              <w:bidi w:val="0"/>
              <w:rPr>
                <w:rFonts w:hint="eastAsia" w:ascii="宋体" w:hAnsi="宋体" w:eastAsia="宋体" w:cs="宋体"/>
                <w:color w:val="auto"/>
                <w:highlight w:val="none"/>
              </w:rPr>
            </w:pPr>
            <w:r>
              <w:rPr>
                <w:rFonts w:hint="eastAsia"/>
                <w:color w:val="auto"/>
                <w:highlight w:val="none"/>
                <w:lang w:val="en-US" w:eastAsia="zh-CN"/>
              </w:rPr>
              <w:t>评分标准：</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（1）根据投标人所提供的样品外观、材质、工艺、功能（性能）性、可操作性、舒适性等方面进行综合评审（标注“★”的指标为主要指标）（0-12分）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①根据测试报告所测试的产品的外观、材质关键指标，测试结果外观、材质优秀的得3分，良好的得2.5-1.5分，差的得1-0分。（0-3分）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②根据测试报告所测试的产品的工艺等相关关键指标，测试结果工艺品质优秀的得3分，良好的得2.5-1.5分，差的得1-0分。（0-3分）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③根据测试报告所测试的产品的功能（性能）性关键指标，测试结果功能（性能）性优秀的得3分，良好的2.5-1.5分，差的得1-0分。（0-3分）</w:t>
            </w:r>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④根据测试报告所测试的产品的可操作性、舒适性关键指标，测试结果可操作性、舒适性优秀的得3分，良好的得2.5-1.5分，差的得1-0分。（0-3分）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在满足招标文件明确的全部技术条款基础上技术参数经评审小组认定为实质性正偏离的、根据正偏离程度每项得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bidi w:val="0"/>
              <w:rPr>
                <w:rFonts w:hint="eastAsia" w:ascii="宋体" w:hAnsi="宋体" w:eastAsia="宋体" w:cs="宋体"/>
                <w:color w:val="auto"/>
                <w:highlight w:val="none"/>
                <w:lang w:val="en-US" w:eastAsia="zh-CN"/>
              </w:rPr>
            </w:pPr>
            <w:r>
              <w:rPr>
                <w:rFonts w:hint="eastAsia" w:ascii="宋体" w:hAnsi="宋体" w:eastAsia="宋体" w:cs="宋体"/>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未提供样品不得分。</w:t>
            </w:r>
          </w:p>
        </w:tc>
      </w:tr>
    </w:tbl>
    <w:p>
      <w:pPr>
        <w:pStyle w:val="13"/>
        <w:rPr>
          <w:rFonts w:hint="eastAsia" w:ascii="宋体" w:hAnsi="宋体" w:eastAsia="宋体" w:cs="宋体"/>
          <w:b/>
          <w:color w:val="auto"/>
          <w:szCs w:val="21"/>
          <w:highlight w:val="none"/>
        </w:rPr>
      </w:pPr>
    </w:p>
    <w:p>
      <w:pPr>
        <w:pStyle w:val="13"/>
        <w:rPr>
          <w:rFonts w:hint="eastAsia" w:ascii="宋体" w:hAnsi="宋体" w:eastAsia="宋体" w:cs="宋体"/>
          <w:b/>
          <w:color w:val="auto"/>
          <w:szCs w:val="21"/>
          <w:highlight w:val="none"/>
        </w:rPr>
      </w:pPr>
    </w:p>
    <w:p>
      <w:pPr>
        <w:keepNext w:val="0"/>
        <w:keepLines w:val="0"/>
        <w:widowControl/>
        <w:suppressLineNumbers w:val="0"/>
        <w:jc w:val="left"/>
        <w:textAlignment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标项</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u w:val="single"/>
          <w:lang w:val="en-US" w:eastAsia="zh-CN"/>
        </w:rPr>
        <w:t xml:space="preserve"> 救生软梯   ，</w:t>
      </w:r>
      <w:r>
        <w:rPr>
          <w:rFonts w:hint="eastAsia" w:ascii="宋体" w:hAnsi="宋体" w:eastAsia="宋体" w:cs="宋体"/>
          <w:b/>
          <w:color w:val="auto"/>
          <w:sz w:val="24"/>
          <w:szCs w:val="24"/>
          <w:highlight w:val="none"/>
        </w:rPr>
        <w:t>不需提供样品进行比对，按下表评分标准进行评分</w:t>
      </w:r>
      <w:r>
        <w:rPr>
          <w:rFonts w:hint="eastAsia" w:ascii="宋体" w:hAnsi="宋体" w:eastAsia="宋体" w:cs="宋体"/>
          <w:b/>
          <w:color w:val="auto"/>
          <w:sz w:val="24"/>
          <w:szCs w:val="24"/>
          <w:highlight w:val="none"/>
          <w:lang w:eastAsia="zh-CN"/>
        </w:rPr>
        <w:t>：</w:t>
      </w:r>
    </w:p>
    <w:tbl>
      <w:tblPr>
        <w:tblStyle w:val="33"/>
        <w:tblpPr w:leftFromText="180" w:rightFromText="180" w:vertAnchor="text" w:horzAnchor="page" w:tblpX="1307" w:tblpY="1302"/>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710"/>
        <w:gridCol w:w="7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评审因素</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分值</w:t>
            </w:r>
          </w:p>
        </w:tc>
        <w:tc>
          <w:tcPr>
            <w:tcW w:w="7493"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45" w:type="dxa"/>
            <w:gridSpan w:val="3"/>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投标报价</w:t>
            </w:r>
          </w:p>
        </w:tc>
        <w:tc>
          <w:tcPr>
            <w:tcW w:w="7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0-30</w:t>
            </w:r>
          </w:p>
        </w:tc>
        <w:tc>
          <w:tcPr>
            <w:tcW w:w="7493" w:type="dxa"/>
            <w:tcBorders>
              <w:top w:val="single" w:color="auto" w:sz="4" w:space="0"/>
              <w:left w:val="single" w:color="auto" w:sz="4" w:space="0"/>
              <w:bottom w:val="single" w:color="auto" w:sz="4" w:space="0"/>
              <w:right w:val="single" w:color="auto" w:sz="4" w:space="0"/>
            </w:tcBorders>
            <w:vAlign w:val="center"/>
          </w:tcPr>
          <w:p>
            <w:pPr>
              <w:widowControl w:val="0"/>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报价分计算方法：根据各投标人的有效投标报价，以满足招标文件要求且有效投标价格的最低的投标报价为评标基准价，其价格分为30分。其他投标人的价格分统一按照下列公式计算：投标报价得分＝(评标基准价/有效投标报价)×价格权值×100(精确到小数点后二位，由采购机构当场统一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45" w:type="dxa"/>
            <w:gridSpan w:val="3"/>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质保期</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0-2</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质保期每增加半年得0.5分，最高得2分。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0-3</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投标人2019年1月1日至采购公告发布之前15天承接过各标项对应相关业绩，每提供1个得0.5分，最高得3分。</w:t>
            </w:r>
          </w:p>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注：</w:t>
            </w:r>
            <w:r>
              <w:rPr>
                <w:rFonts w:hint="eastAsia" w:ascii="宋体" w:hAnsi="宋体" w:eastAsia="宋体" w:cs="宋体"/>
                <w:color w:val="auto"/>
                <w:kern w:val="2"/>
                <w:sz w:val="21"/>
                <w:szCs w:val="21"/>
                <w:highlight w:val="none"/>
              </w:rPr>
              <w:t>1、须同时提供每个业绩的合同复印件以及投标人与合同需求方转账凭证复印件及发票复印件，否则不予认可。</w:t>
            </w:r>
          </w:p>
          <w:p>
            <w:pPr>
              <w:widowControl w:val="0"/>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2、统招分签的合同按一个合同业绩计。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645" w:type="dxa"/>
            <w:gridSpan w:val="3"/>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实施计划</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0-24</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针对本项目建设的详细实施计划</w:t>
            </w:r>
          </w:p>
          <w:p>
            <w:pPr>
              <w:widowControl w:val="0"/>
              <w:numPr>
                <w:ilvl w:val="0"/>
                <w:numId w:val="15"/>
              </w:numPr>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技术方案 (0-6分）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满足或明显优于招标文件明确的全部技术条款要求的得6分，允许偏离的技术条款低于技术要求（负偏离）的每项扣1分，扣完为止。</w:t>
            </w:r>
          </w:p>
          <w:p>
            <w:pPr>
              <w:widowControl w:val="0"/>
              <w:numPr>
                <w:ilvl w:val="0"/>
                <w:numId w:val="15"/>
              </w:numPr>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所投产品详细配置及选型（0-6分）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产品配置高、选型方案结构优且投标文件中关于上述要素阐述齐全的并经评标委员会认定全面符合上述要求的得6分，经评标委员会认定产品配置或选型方案结构每有1项一般的扣1分，内容缺少或内容简要不具备可行性或内容非专门针对本项目或内容不能满足本项目实际需要的每有1项扣2分，扣完为止。</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3、投标产品功能性、实用性（0-6分）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产品性能先进、功能先进、可靠性高、实用性高且投标文件中关于上述要素阐述齐全的并经评标委员会认定全面符合上述要求的得5分，经评标委员会认定产品性能、功能、可靠性、实用性，每有1项一般的扣1分，内容缺少或内容简要不具备可行性或内容非专门针对本项目或内容不能满足本项目实际需要的每有1项扣2分，扣完为止。</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4、投标产品所用材质等明细（品牌、产地、规格、参数）（0-6分）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所投产品的材质包括品牌、产地、规格、参数的且投标文件中关于上述要素阐述齐全的并经评标委员会认定全面符合上述要求的得5分，经评标委员会认定产品的品牌、产地、规格、参数，每有1项一般的扣1分，内容缺少或内容简要不具备可行性或内容非专门针对本项目或内容不能满足本项目实际需要的每有1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产品质量</w:t>
            </w:r>
          </w:p>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保证措施</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0-6</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生产工艺流程，质量控制措施等。（0-6分）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产品工艺先进、可操作性强、质量控制措施可行且投标文件中关于上述要素阐述齐全的并经评标委员会认定全面符合上述要求的得6分，经评标委员会认定产品工艺、操作性，质量控制措施每有1项一般的扣1分，内容缺少或内容简要不具备可行性或内容非专门针对本项目或内容不能满足本项目实际需要的每有1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检测报告</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0-4</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提供有效合格的国家消防装备质量检验检测中心或其他国家级消防产品检测机构出具检测报告的得4分，未提供或经评标委员会评定不符合本项目要求的不得分。</w:t>
            </w:r>
            <w:r>
              <w:rPr>
                <w:rFonts w:hint="eastAsia" w:ascii="宋体" w:hAnsi="宋体" w:eastAsia="宋体" w:cs="宋体"/>
                <w:color w:val="auto"/>
                <w:kern w:val="2"/>
                <w:sz w:val="21"/>
                <w:szCs w:val="24"/>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项目理解</w:t>
            </w:r>
            <w:r>
              <w:rPr>
                <w:rFonts w:hint="eastAsia" w:ascii="宋体" w:hAnsi="宋体" w:eastAsia="宋体" w:cs="宋体"/>
                <w:b/>
                <w:bCs/>
                <w:color w:val="auto"/>
                <w:kern w:val="2"/>
                <w:sz w:val="21"/>
                <w:szCs w:val="21"/>
                <w:highlight w:val="none"/>
                <w:lang w:val="en-US" w:eastAsia="zh-CN"/>
              </w:rPr>
              <w:t>和</w:t>
            </w:r>
            <w:r>
              <w:rPr>
                <w:rFonts w:hint="eastAsia" w:ascii="宋体" w:hAnsi="宋体" w:eastAsia="宋体" w:cs="宋体"/>
                <w:b/>
                <w:bCs/>
                <w:color w:val="auto"/>
                <w:kern w:val="2"/>
                <w:sz w:val="21"/>
                <w:szCs w:val="21"/>
                <w:highlight w:val="none"/>
              </w:rPr>
              <w:t>分析</w:t>
            </w:r>
          </w:p>
        </w:tc>
        <w:tc>
          <w:tcPr>
            <w:tcW w:w="710" w:type="dxa"/>
            <w:vAlign w:val="center"/>
          </w:tcPr>
          <w:p>
            <w:pPr>
              <w:widowControl w:val="0"/>
              <w:adjustRightInd/>
              <w:snapToGrid/>
              <w:spacing w:after="0"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0-5</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针对本项目的特点，进行重点难点的理解和分析；并提供项目技术解决方案和措施。内容理解和分析深入全面</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解决方案可行</w:t>
            </w:r>
            <w:r>
              <w:rPr>
                <w:rFonts w:hint="eastAsia" w:ascii="宋体" w:hAnsi="宋体" w:eastAsia="宋体" w:cs="宋体"/>
                <w:color w:val="auto"/>
                <w:kern w:val="2"/>
                <w:sz w:val="21"/>
                <w:szCs w:val="21"/>
                <w:highlight w:val="none"/>
              </w:rPr>
              <w:t>、操作性强、贴近采购人需求的得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分析</w:t>
            </w:r>
            <w:r>
              <w:rPr>
                <w:rFonts w:hint="eastAsia" w:ascii="宋体" w:hAnsi="宋体" w:eastAsia="宋体" w:cs="宋体"/>
                <w:color w:val="auto"/>
                <w:kern w:val="2"/>
                <w:sz w:val="21"/>
                <w:szCs w:val="21"/>
                <w:highlight w:val="none"/>
              </w:rPr>
              <w:t>内容缺少或</w:t>
            </w:r>
            <w:r>
              <w:rPr>
                <w:rFonts w:hint="eastAsia" w:ascii="宋体" w:hAnsi="宋体" w:eastAsia="宋体" w:cs="宋体"/>
                <w:color w:val="auto"/>
                <w:kern w:val="2"/>
                <w:sz w:val="21"/>
                <w:szCs w:val="21"/>
                <w:highlight w:val="none"/>
                <w:lang w:val="en-US" w:eastAsia="zh-CN"/>
              </w:rPr>
              <w:t>解决方案</w:t>
            </w:r>
            <w:r>
              <w:rPr>
                <w:rFonts w:hint="eastAsia" w:ascii="宋体" w:hAnsi="宋体" w:eastAsia="宋体" w:cs="宋体"/>
                <w:color w:val="auto"/>
                <w:kern w:val="2"/>
                <w:sz w:val="21"/>
                <w:szCs w:val="21"/>
                <w:highlight w:val="none"/>
              </w:rPr>
              <w:t>不具备可行性或内容非专门针对本项目或内容不能满足本项目实际需要的每有1项扣1分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扣完为止</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项目组织</w:t>
            </w:r>
          </w:p>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实施方案</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0-6</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产品的供货、验收、安装调试方案及配送承诺等方案。（0-6分）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产品工艺先进、可操作性强、质量控制措施可行且投标文件中关于上述要素阐述齐全的并经评标委员会认定全面符合上述要求的得6分，经评标委员会认定产品工艺、操作性，质量控制措施每有1项一般的扣1分，内容缺少或内容简要不具备可行性或内容非专门针对本项目或内容不能满足本项目实际需要的每有1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技术培训</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0-4</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技术培训方案内容详实、全面、专业针对性强、安排合理科学。（0-4分）</w:t>
            </w:r>
          </w:p>
          <w:p>
            <w:pPr>
              <w:widowControl w:val="0"/>
              <w:adjustRightInd/>
              <w:snapToGrid/>
              <w:spacing w:after="0" w:line="360" w:lineRule="auto"/>
              <w:jc w:val="both"/>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针对项目特点结合采购人需求制定包括但不限于培训内容、培训方式、培训计划、培训对象、培训团队配备等技术培训方案，方案内容关于上述要素阐述齐全、科学合理、操作性强、贴近采购人需求的得4分，内容缺少或内容简要不具备可行性或内容非专门针对本项目或内容不能满足本项目实际需要的每有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售后服务</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0-5</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承诺提供的售后服务体系、售后服务点分布，售后服务响应时间（0-5分）</w:t>
            </w:r>
          </w:p>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针对项目特点结合采购人需求制定包括但不限于服务承诺、服务体系、售后机构、响应时间等售后服务方案，方案内容关于上述要素阐述齐全、科学合理、操作性强、贴近采购人需求的得5分，内容缺少或内容简要不具备可行性或内容非专门针对本项目或内容不能满足本项目实际需要的每有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人力资源</w:t>
            </w:r>
          </w:p>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安排</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0-4</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项目实施人员安排的合理性综合打分。（0-4分）</w:t>
            </w:r>
          </w:p>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针对项目特点结合采购人需求制定包括但不限于项目实施人员安排合理，方案内容关于上述要素阐述齐全、科学合理、操作性强、贴近采购人需求的得4分，内容缺少或内容简要不具备可行性或内容非专门针对本项目或内容不能满足本项目实际需要的每有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应急预案</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0-3</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应提供项目保障应急预案，其中应包括现场应急处理、技术支撑保障、易损件备品备件、专用工具清单等。方案内容关于上述要素阐述齐全、科学合理、操作性强、贴近采购人需求的得3分，内容缺少或内容简要不具备可行性或内容非专门针对本项目或内容不能满足本项目实际需要的每有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优惠承诺</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0-2</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投标人针对本次采购的优惠承诺（质保期除外）且经评标专家认定有效的，最高得2分，无承诺的不得分。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42"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政策分</w:t>
            </w:r>
          </w:p>
        </w:tc>
        <w:tc>
          <w:tcPr>
            <w:tcW w:w="710" w:type="dxa"/>
            <w:vAlign w:val="center"/>
          </w:tcPr>
          <w:p>
            <w:pPr>
              <w:widowControl w:val="0"/>
              <w:adjustRightInd/>
              <w:snapToGrid/>
              <w:spacing w:after="0" w:line="36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0-2</w:t>
            </w:r>
          </w:p>
        </w:tc>
        <w:tc>
          <w:tcPr>
            <w:tcW w:w="7493" w:type="dxa"/>
            <w:vAlign w:val="center"/>
          </w:tcPr>
          <w:p>
            <w:pPr>
              <w:widowControl w:val="0"/>
              <w:adjustRightInd/>
              <w:snapToGrid/>
              <w:spacing w:after="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投标产品具有国家确定的认证机构出具的、处于有效期之内的节能产品认证证书的得1分；投标产品具有国家确定的认证机构出具的、处于有效期之内的环境标志产品认证证书的得1分。</w:t>
            </w:r>
          </w:p>
        </w:tc>
      </w:tr>
    </w:tbl>
    <w:p>
      <w:pPr>
        <w:pStyle w:val="13"/>
        <w:spacing w:line="360" w:lineRule="auto"/>
        <w:rPr>
          <w:rFonts w:hint="eastAsia" w:ascii="宋体" w:hAnsi="宋体" w:eastAsia="宋体" w:cs="宋体"/>
          <w:b/>
          <w:color w:val="auto"/>
          <w:szCs w:val="21"/>
          <w:highlight w:val="none"/>
        </w:rPr>
      </w:pPr>
    </w:p>
    <w:p>
      <w:pPr>
        <w:spacing w:line="360" w:lineRule="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三、评标报告</w:t>
      </w:r>
      <w:r>
        <w:rPr>
          <w:rFonts w:hint="eastAsia" w:ascii="宋体" w:hAnsi="宋体" w:eastAsia="宋体" w:cs="宋体"/>
          <w:b/>
          <w:color w:val="auto"/>
          <w:spacing w:val="-6"/>
          <w:sz w:val="24"/>
          <w:szCs w:val="24"/>
          <w:highlight w:val="none"/>
        </w:rPr>
        <w:tab/>
      </w:r>
    </w:p>
    <w:p>
      <w:pPr>
        <w:adjustRightInd w:val="0"/>
        <w:snapToGrid w:val="0"/>
        <w:spacing w:line="360" w:lineRule="auto"/>
        <w:ind w:firstLine="433" w:firstLineChars="19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1、评标委员会根据最终得分从高到低，推荐1-2名中标候选供应商。</w:t>
      </w:r>
    </w:p>
    <w:p>
      <w:pPr>
        <w:adjustRightInd w:val="0"/>
        <w:snapToGrid w:val="0"/>
        <w:spacing w:line="360" w:lineRule="auto"/>
        <w:ind w:firstLine="433" w:firstLineChars="19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2、评标委员会应根据评标情况和结果，向采购人提交评标报告。评标报告由评标委员会起草，按少数服从多数的原则通过。评标委员会全体成员应在评标报告上签字认可，评标专家如有保留意见可以在评标报告中阐明。</w:t>
      </w:r>
    </w:p>
    <w:p>
      <w:pPr>
        <w:spacing w:line="360" w:lineRule="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四、定标</w:t>
      </w:r>
    </w:p>
    <w:p>
      <w:pPr>
        <w:adjustRightInd w:val="0"/>
        <w:snapToGrid w:val="0"/>
        <w:spacing w:line="360" w:lineRule="auto"/>
        <w:ind w:firstLine="433" w:firstLineChars="19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采购人根据评标委员会的评标结果和推荐的中标候选供应商，最终确定1名中标供应商。</w:t>
      </w:r>
    </w:p>
    <w:p>
      <w:pPr>
        <w:spacing w:line="360" w:lineRule="auto"/>
        <w:outlineLvl w:val="1"/>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五、其他</w:t>
      </w:r>
    </w:p>
    <w:p>
      <w:pPr>
        <w:tabs>
          <w:tab w:val="left" w:pos="8820"/>
        </w:tabs>
        <w:adjustRightInd w:val="0"/>
        <w:snapToGrid w:val="0"/>
        <w:spacing w:line="360" w:lineRule="auto"/>
        <w:ind w:firstLine="433" w:firstLineChars="19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各位评标人员应认真﹑客观﹑公正对待每个投标人，遵守评标纪律，不得泄漏任何评标信息，如违规违纪者，将严肃查处。</w:t>
      </w:r>
    </w:p>
    <w:p>
      <w:pPr>
        <w:tabs>
          <w:tab w:val="left" w:pos="8820"/>
        </w:tabs>
        <w:adjustRightInd w:val="0"/>
        <w:snapToGrid w:val="0"/>
        <w:spacing w:line="360" w:lineRule="auto"/>
        <w:ind w:firstLine="456" w:firstLineChars="200"/>
        <w:rPr>
          <w:rFonts w:hint="eastAsia" w:ascii="宋体" w:hAnsi="宋体" w:eastAsia="宋体" w:cs="宋体"/>
          <w:bCs/>
          <w:color w:val="auto"/>
          <w:spacing w:val="-6"/>
          <w:sz w:val="24"/>
          <w:szCs w:val="24"/>
          <w:highlight w:val="none"/>
        </w:rPr>
      </w:pPr>
      <w:r>
        <w:rPr>
          <w:rFonts w:hint="eastAsia" w:ascii="宋体" w:hAnsi="宋体" w:eastAsia="宋体" w:cs="宋体"/>
          <w:bCs/>
          <w:color w:val="auto"/>
          <w:spacing w:val="-6"/>
          <w:sz w:val="24"/>
          <w:szCs w:val="24"/>
          <w:highlight w:val="none"/>
        </w:rPr>
        <w:t>评标中，如发现有二份及以上投标文件的相互之间有相同或高度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采购人作进一步的调查处理，即使最终无法认定串通投标行为成立，也不影响对其按无效标处理的结果。</w:t>
      </w:r>
      <w:bookmarkStart w:id="43" w:name="_Toc171585532"/>
      <w:bookmarkEnd w:id="43"/>
      <w:bookmarkStart w:id="44" w:name="_Toc171585792"/>
      <w:bookmarkEnd w:id="44"/>
      <w:bookmarkStart w:id="45" w:name="_Toc171585530"/>
      <w:bookmarkEnd w:id="45"/>
      <w:bookmarkStart w:id="46" w:name="_第八部分___评标办法"/>
      <w:bookmarkEnd w:id="46"/>
      <w:bookmarkStart w:id="47" w:name="_Toc171585790"/>
      <w:bookmarkEnd w:id="47"/>
      <w:bookmarkStart w:id="48" w:name="_Toc172031723"/>
      <w:bookmarkEnd w:id="48"/>
      <w:bookmarkStart w:id="49" w:name="_Toc171585533"/>
      <w:bookmarkEnd w:id="49"/>
      <w:bookmarkStart w:id="50" w:name="_Toc172031722"/>
      <w:bookmarkEnd w:id="50"/>
      <w:bookmarkStart w:id="51" w:name="_Toc171585531"/>
      <w:bookmarkEnd w:id="51"/>
      <w:bookmarkStart w:id="52" w:name="_Toc171585791"/>
      <w:bookmarkEnd w:id="52"/>
      <w:bookmarkStart w:id="53" w:name="_Toc172031721"/>
      <w:bookmarkEnd w:id="53"/>
      <w:bookmarkStart w:id="54" w:name="_Toc172031724"/>
      <w:bookmarkEnd w:id="54"/>
      <w:bookmarkStart w:id="55" w:name="_Toc171585789"/>
      <w:bookmarkEnd w:id="55"/>
    </w:p>
    <w:p>
      <w:pPr>
        <w:tabs>
          <w:tab w:val="left" w:pos="8820"/>
        </w:tabs>
        <w:adjustRightInd w:val="0"/>
        <w:snapToGrid w:val="0"/>
        <w:spacing w:line="360" w:lineRule="auto"/>
        <w:ind w:firstLine="456" w:firstLineChars="200"/>
        <w:rPr>
          <w:rFonts w:hint="eastAsia" w:ascii="宋体" w:hAnsi="宋体" w:eastAsia="宋体" w:cs="宋体"/>
          <w:color w:val="auto"/>
          <w:highlight w:val="none"/>
        </w:rPr>
      </w:pPr>
      <w:r>
        <w:rPr>
          <w:rFonts w:hint="eastAsia" w:ascii="宋体" w:hAnsi="宋体" w:eastAsia="宋体" w:cs="宋体"/>
          <w:bCs/>
          <w:color w:val="auto"/>
          <w:spacing w:val="-6"/>
          <w:sz w:val="24"/>
          <w:szCs w:val="24"/>
          <w:highlight w:val="none"/>
        </w:rPr>
        <w:t>评标结果在发布招标公告的同一网站公示1个工作日。投标人和其他利害关系人认为招标投标活动不符合法律、法规和规章规定的，可按有关规定办理。</w:t>
      </w:r>
    </w:p>
    <w:p>
      <w:pPr>
        <w:tabs>
          <w:tab w:val="left" w:pos="8820"/>
        </w:tabs>
        <w:adjustRightInd w:val="0"/>
        <w:snapToGrid w:val="0"/>
        <w:spacing w:line="360" w:lineRule="auto"/>
        <w:jc w:val="center"/>
        <w:rPr>
          <w:rFonts w:hint="eastAsia" w:ascii="宋体" w:hAnsi="宋体" w:eastAsia="宋体" w:cs="宋体"/>
          <w:b/>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line="360" w:lineRule="auto"/>
        <w:jc w:val="center"/>
        <w:outlineLvl w:val="0"/>
        <w:rPr>
          <w:rFonts w:hint="eastAsia" w:ascii="宋体" w:hAnsi="宋体" w:eastAsia="宋体" w:cs="宋体"/>
          <w:b/>
          <w:color w:val="auto"/>
          <w:sz w:val="32"/>
          <w:szCs w:val="32"/>
          <w:highlight w:val="none"/>
        </w:rPr>
      </w:pPr>
      <w:bookmarkStart w:id="56" w:name="_Toc31754"/>
      <w:r>
        <w:rPr>
          <w:rFonts w:hint="eastAsia" w:ascii="宋体" w:hAnsi="宋体" w:eastAsia="宋体" w:cs="宋体"/>
          <w:b/>
          <w:color w:val="auto"/>
          <w:sz w:val="32"/>
          <w:szCs w:val="32"/>
          <w:highlight w:val="none"/>
        </w:rPr>
        <w:t>第五部分  合同主要条款</w:t>
      </w:r>
      <w:bookmarkEnd w:id="56"/>
    </w:p>
    <w:p>
      <w:pPr>
        <w:snapToGrid w:val="0"/>
        <w:spacing w:before="156" w:beforeLines="50" w:after="156" w:afterLines="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（本合同为合同样稿，最终稿由双方协商后确定）</w:t>
      </w:r>
    </w:p>
    <w:p>
      <w:pPr>
        <w:wordWrap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合同编号：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项目编号：</w:t>
      </w:r>
    </w:p>
    <w:p>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甲方（全称）：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乙方（全称）： </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依照</w:t>
      </w:r>
      <w:r>
        <w:rPr>
          <w:rFonts w:hint="eastAsia" w:ascii="宋体" w:hAnsi="宋体" w:eastAsia="宋体" w:cs="宋体"/>
          <w:color w:val="auto"/>
          <w:sz w:val="24"/>
          <w:highlight w:val="none"/>
          <w:lang w:val="zh-CN"/>
        </w:rPr>
        <w:t>《中华人民共和国民法典》、《中华人民共和国政府采购法》</w:t>
      </w:r>
      <w:r>
        <w:rPr>
          <w:rFonts w:hint="eastAsia" w:ascii="宋体" w:hAnsi="宋体" w:eastAsia="宋体" w:cs="宋体"/>
          <w:color w:val="auto"/>
          <w:sz w:val="24"/>
          <w:highlight w:val="none"/>
        </w:rPr>
        <w:t>及其他相关法律、行政法规，遵循平等、自愿、公平和诚实信用的原则，双方就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项目协商一致，订立本合同。</w:t>
      </w:r>
    </w:p>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一、合同货物、数量</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本合同项下包含的货物及价格清单如下表：</w:t>
      </w:r>
    </w:p>
    <w:tbl>
      <w:tblPr>
        <w:tblStyle w:val="33"/>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251"/>
        <w:gridCol w:w="951"/>
        <w:gridCol w:w="750"/>
        <w:gridCol w:w="750"/>
        <w:gridCol w:w="795"/>
        <w:gridCol w:w="1304"/>
        <w:gridCol w:w="121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序号</w:t>
            </w:r>
          </w:p>
        </w:tc>
        <w:tc>
          <w:tcPr>
            <w:tcW w:w="2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产品名称</w:t>
            </w:r>
          </w:p>
        </w:tc>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zh-CN"/>
              </w:rPr>
              <w:t>品牌</w:t>
            </w:r>
          </w:p>
        </w:tc>
        <w:tc>
          <w:tcPr>
            <w:tcW w:w="7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规格型号</w:t>
            </w:r>
          </w:p>
        </w:tc>
        <w:tc>
          <w:tcPr>
            <w:tcW w:w="7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单位</w:t>
            </w:r>
          </w:p>
        </w:tc>
        <w:tc>
          <w:tcPr>
            <w:tcW w:w="7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数量</w:t>
            </w: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单价（元）</w:t>
            </w:r>
          </w:p>
        </w:tc>
        <w:tc>
          <w:tcPr>
            <w:tcW w:w="12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总价（元）</w:t>
            </w:r>
          </w:p>
        </w:tc>
        <w:tc>
          <w:tcPr>
            <w:tcW w:w="12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1</w:t>
            </w:r>
          </w:p>
        </w:tc>
        <w:tc>
          <w:tcPr>
            <w:tcW w:w="22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7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7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7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12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szCs w:val="28"/>
                <w:highlight w:val="none"/>
                <w:lang w:val="zh-CN"/>
              </w:rPr>
            </w:pPr>
          </w:p>
        </w:tc>
        <w:tc>
          <w:tcPr>
            <w:tcW w:w="12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461" w:type="dxa"/>
            <w:gridSpan w:val="5"/>
            <w:vAlign w:val="center"/>
          </w:tcPr>
          <w:p>
            <w:pPr>
              <w:snapToGrid w:val="0"/>
              <w:spacing w:line="360" w:lineRule="auto"/>
              <w:jc w:val="center"/>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合计金额</w:t>
            </w:r>
          </w:p>
        </w:tc>
        <w:tc>
          <w:tcPr>
            <w:tcW w:w="4561" w:type="dxa"/>
            <w:gridSpan w:val="4"/>
            <w:vAlign w:val="center"/>
          </w:tcPr>
          <w:p>
            <w:pPr>
              <w:snapToGrid w:val="0"/>
              <w:spacing w:line="360" w:lineRule="auto"/>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小写：</w:t>
            </w:r>
          </w:p>
          <w:p>
            <w:pPr>
              <w:snapToGrid w:val="0"/>
              <w:spacing w:line="360" w:lineRule="auto"/>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大写：</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8"/>
                <w:highlight w:val="none"/>
                <w:lang w:val="zh-CN"/>
              </w:rPr>
              <w:t>元整</w:t>
            </w:r>
          </w:p>
        </w:tc>
      </w:tr>
    </w:tbl>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二、合同金额</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本合同总价为人民币</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8"/>
          <w:highlight w:val="none"/>
          <w:lang w:val="zh-CN"/>
        </w:rPr>
        <w:t>元（大写：</w:t>
      </w:r>
      <w:r>
        <w:rPr>
          <w:rFonts w:hint="eastAsia" w:ascii="宋体" w:hAnsi="宋体" w:eastAsia="宋体" w:cs="宋体"/>
          <w:color w:val="auto"/>
          <w:sz w:val="24"/>
          <w:szCs w:val="28"/>
          <w:highlight w:val="none"/>
        </w:rPr>
        <w:t xml:space="preserve">  </w:t>
      </w:r>
      <w:r>
        <w:rPr>
          <w:rFonts w:hint="eastAsia" w:ascii="宋体" w:hAnsi="宋体" w:eastAsia="宋体" w:cs="宋体"/>
          <w:color w:val="auto"/>
          <w:sz w:val="24"/>
          <w:szCs w:val="28"/>
          <w:highlight w:val="none"/>
          <w:lang w:val="zh-CN"/>
        </w:rPr>
        <w:t>元整）。本合同总价包括</w:t>
      </w:r>
      <w:r>
        <w:rPr>
          <w:rFonts w:hint="eastAsia" w:ascii="宋体" w:hAnsi="宋体" w:eastAsia="宋体" w:cs="宋体"/>
          <w:color w:val="auto"/>
          <w:sz w:val="24"/>
          <w:szCs w:val="28"/>
          <w:highlight w:val="none"/>
          <w:lang w:val="en-US" w:eastAsia="zh-CN"/>
        </w:rPr>
        <w:t>乙方提供</w:t>
      </w:r>
      <w:r>
        <w:rPr>
          <w:rFonts w:hint="eastAsia" w:ascii="宋体" w:hAnsi="宋体" w:eastAsia="宋体" w:cs="宋体"/>
          <w:color w:val="auto"/>
          <w:sz w:val="24"/>
          <w:szCs w:val="28"/>
          <w:highlight w:val="none"/>
          <w:lang w:val="zh-CN"/>
        </w:rPr>
        <w:t>项目全部货物、服务的</w:t>
      </w:r>
      <w:r>
        <w:rPr>
          <w:rFonts w:hint="eastAsia" w:ascii="宋体" w:hAnsi="宋体" w:eastAsia="宋体" w:cs="宋体"/>
          <w:color w:val="auto"/>
          <w:sz w:val="24"/>
          <w:szCs w:val="28"/>
          <w:highlight w:val="none"/>
          <w:lang w:val="en-US" w:eastAsia="zh-CN"/>
        </w:rPr>
        <w:t>一切费用</w:t>
      </w:r>
      <w:r>
        <w:rPr>
          <w:rFonts w:hint="eastAsia" w:ascii="宋体" w:hAnsi="宋体" w:eastAsia="宋体" w:cs="宋体"/>
          <w:color w:val="auto"/>
          <w:sz w:val="24"/>
          <w:szCs w:val="28"/>
          <w:highlight w:val="none"/>
          <w:lang w:val="zh-CN"/>
        </w:rPr>
        <w:t>（含货款、标准附件、备品备件、专用工具、包装、运输、装卸、保险、税金、货到就位以及安装、调试、培训、保修等一切税金和费用）。乙方负责提供本合同涉及的产品到甲方指定的实施地点。</w:t>
      </w:r>
    </w:p>
    <w:p>
      <w:pPr>
        <w:numPr>
          <w:ilvl w:val="0"/>
          <w:numId w:val="16"/>
        </w:numPr>
        <w:adjustRightIn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付款方式</w:t>
      </w:r>
    </w:p>
    <w:p>
      <w:pPr>
        <w:numPr>
          <w:ilvl w:val="0"/>
          <w:numId w:val="0"/>
        </w:numPr>
        <w:adjustRightIn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全部货物</w:t>
      </w:r>
      <w:r>
        <w:rPr>
          <w:rFonts w:hint="eastAsia" w:ascii="宋体" w:hAnsi="宋体" w:eastAsia="宋体" w:cs="宋体"/>
          <w:color w:val="auto"/>
          <w:sz w:val="24"/>
          <w:szCs w:val="28"/>
          <w:highlight w:val="none"/>
          <w:lang w:val="zh-CN"/>
        </w:rPr>
        <w:t>交货、</w:t>
      </w:r>
      <w:r>
        <w:rPr>
          <w:rFonts w:hint="eastAsia" w:ascii="宋体" w:hAnsi="宋体" w:eastAsia="宋体" w:cs="宋体"/>
          <w:color w:val="auto"/>
          <w:sz w:val="24"/>
          <w:szCs w:val="28"/>
          <w:highlight w:val="none"/>
          <w:lang w:val="en-US" w:eastAsia="zh-CN"/>
        </w:rPr>
        <w:t>经甲方</w:t>
      </w:r>
      <w:r>
        <w:rPr>
          <w:rFonts w:hint="eastAsia" w:ascii="宋体" w:hAnsi="宋体" w:eastAsia="宋体" w:cs="宋体"/>
          <w:color w:val="auto"/>
          <w:sz w:val="24"/>
          <w:szCs w:val="28"/>
          <w:highlight w:val="none"/>
          <w:lang w:val="zh-CN"/>
        </w:rPr>
        <w:t>验收合格后并经</w:t>
      </w:r>
      <w:r>
        <w:rPr>
          <w:rFonts w:hint="eastAsia" w:ascii="宋体" w:hAnsi="宋体" w:eastAsia="宋体" w:cs="宋体"/>
          <w:color w:val="auto"/>
          <w:sz w:val="24"/>
          <w:szCs w:val="28"/>
          <w:highlight w:val="none"/>
          <w:lang w:val="en-US" w:eastAsia="zh-CN"/>
        </w:rPr>
        <w:t>甲方委托的第三方审价机构</w:t>
      </w:r>
      <w:r>
        <w:rPr>
          <w:rFonts w:hint="eastAsia" w:ascii="宋体" w:hAnsi="宋体" w:eastAsia="宋体" w:cs="宋体"/>
          <w:color w:val="auto"/>
          <w:sz w:val="24"/>
          <w:szCs w:val="28"/>
          <w:highlight w:val="none"/>
          <w:lang w:val="zh-CN"/>
        </w:rPr>
        <w:t>审计完成后凭《装备验收单》（附件1）支付至审计价的9</w:t>
      </w:r>
      <w:r>
        <w:rPr>
          <w:rFonts w:hint="eastAsia" w:ascii="宋体" w:hAnsi="宋体" w:eastAsia="宋体" w:cs="宋体"/>
          <w:color w:val="auto"/>
          <w:sz w:val="24"/>
          <w:szCs w:val="28"/>
          <w:highlight w:val="none"/>
          <w:lang w:val="en-US" w:eastAsia="zh-CN"/>
        </w:rPr>
        <w:t>7.</w:t>
      </w:r>
      <w:r>
        <w:rPr>
          <w:rFonts w:hint="eastAsia" w:ascii="宋体" w:hAnsi="宋体" w:eastAsia="宋体" w:cs="宋体"/>
          <w:color w:val="auto"/>
          <w:sz w:val="24"/>
          <w:szCs w:val="28"/>
          <w:highlight w:val="none"/>
          <w:lang w:val="zh-CN"/>
        </w:rPr>
        <w:t>5%；剩余</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lang w:val="zh-CN"/>
        </w:rPr>
        <w:t>5%作为质量保证金，质保期满后若无质量问题的，</w:t>
      </w:r>
      <w:r>
        <w:rPr>
          <w:rFonts w:hint="eastAsia" w:ascii="宋体" w:hAnsi="宋体" w:eastAsia="宋体" w:cs="宋体"/>
          <w:color w:val="auto"/>
          <w:sz w:val="24"/>
          <w:szCs w:val="28"/>
          <w:highlight w:val="none"/>
          <w:lang w:val="en-US" w:eastAsia="zh-CN"/>
        </w:rPr>
        <w:t>乙方</w:t>
      </w:r>
      <w:r>
        <w:rPr>
          <w:rFonts w:hint="eastAsia" w:ascii="宋体" w:hAnsi="宋体" w:eastAsia="宋体" w:cs="宋体"/>
          <w:color w:val="auto"/>
          <w:sz w:val="24"/>
          <w:szCs w:val="28"/>
          <w:highlight w:val="none"/>
          <w:lang w:val="zh-CN"/>
        </w:rPr>
        <w:t>凭《质保期内无质量疑义证明文件》（附件2）</w:t>
      </w:r>
      <w:r>
        <w:rPr>
          <w:rFonts w:hint="eastAsia" w:ascii="宋体" w:hAnsi="宋体" w:eastAsia="宋体" w:cs="宋体"/>
          <w:color w:val="auto"/>
          <w:sz w:val="24"/>
          <w:szCs w:val="28"/>
          <w:highlight w:val="none"/>
          <w:lang w:val="en-US" w:eastAsia="zh-CN"/>
        </w:rPr>
        <w:t>申请甲方</w:t>
      </w:r>
      <w:r>
        <w:rPr>
          <w:rFonts w:hint="eastAsia" w:ascii="宋体" w:hAnsi="宋体" w:eastAsia="宋体" w:cs="宋体"/>
          <w:color w:val="auto"/>
          <w:sz w:val="24"/>
          <w:szCs w:val="28"/>
          <w:highlight w:val="none"/>
          <w:lang w:val="zh-CN"/>
        </w:rPr>
        <w:t>支付。</w:t>
      </w:r>
    </w:p>
    <w:p>
      <w:pPr>
        <w:numPr>
          <w:ilvl w:val="0"/>
          <w:numId w:val="0"/>
        </w:numPr>
        <w:adjustRightIn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bCs/>
          <w:color w:val="auto"/>
          <w:kern w:val="2"/>
          <w:sz w:val="24"/>
          <w:szCs w:val="24"/>
          <w:highlight w:val="none"/>
          <w:lang w:val="zh-CN" w:eastAsia="zh-CN" w:bidi="ar-SA"/>
        </w:rPr>
        <w:t>每次甲方付款前，乙方应提供相应金额的增值税专用发票，否则甲方有权暂不付款且不构成违约。</w:t>
      </w:r>
    </w:p>
    <w:p>
      <w:pPr>
        <w:pageBreakBefore w:val="0"/>
        <w:widowControl w:val="0"/>
        <w:kinsoku/>
        <w:wordWrap/>
        <w:overflowPunct/>
        <w:topLinePunct w:val="0"/>
        <w:autoSpaceDE/>
        <w:autoSpaceDN/>
        <w:bidi w:val="0"/>
        <w:adjustRightInd w:val="0"/>
        <w:snapToGrid/>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四、履约保证金</w:t>
      </w:r>
    </w:p>
    <w:p>
      <w:pPr>
        <w:pageBreakBefore w:val="0"/>
        <w:widowControl w:val="0"/>
        <w:kinsoku/>
        <w:wordWrap/>
        <w:overflowPunct/>
        <w:topLinePunct w:val="0"/>
        <w:autoSpaceDE/>
        <w:autoSpaceDN/>
        <w:bidi w:val="0"/>
        <w:adjustRightInd w:val="0"/>
        <w:snapToGrid/>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不缴纳。</w:t>
      </w:r>
    </w:p>
    <w:p>
      <w:pPr>
        <w:pageBreakBefore w:val="0"/>
        <w:widowControl w:val="0"/>
        <w:kinsoku/>
        <w:wordWrap/>
        <w:overflowPunct/>
        <w:topLinePunct w:val="0"/>
        <w:autoSpaceDE/>
        <w:autoSpaceDN/>
        <w:bidi w:val="0"/>
        <w:adjustRightInd w:val="0"/>
        <w:snapToGrid/>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w:t>
      </w:r>
      <w:r>
        <w:rPr>
          <w:rFonts w:hint="eastAsia" w:ascii="宋体" w:hAnsi="宋体" w:eastAsia="宋体" w:cs="宋体"/>
          <w:b/>
          <w:color w:val="auto"/>
          <w:sz w:val="24"/>
          <w:highlight w:val="none"/>
        </w:rPr>
        <w:t>质量保证及售后服务要求</w:t>
      </w:r>
    </w:p>
    <w:p>
      <w:pPr>
        <w:adjustRightIn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质量要求：所供产品是符合国家技术规范和质量标准的合格产品，且未曾使用，制造标准、安装标准及技术规范要求必须符合我国相关标准和使用方认可的有关国际标准，并符合</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要求。</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质保期：质保期</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年，时间自货物</w:t>
      </w:r>
      <w:r>
        <w:rPr>
          <w:rFonts w:hint="eastAsia" w:ascii="宋体" w:hAnsi="宋体" w:eastAsia="宋体" w:cs="宋体"/>
          <w:bCs/>
          <w:color w:val="auto"/>
          <w:sz w:val="24"/>
          <w:highlight w:val="none"/>
          <w:lang w:eastAsia="zh-CN"/>
        </w:rPr>
        <w:t>检测</w:t>
      </w:r>
      <w:r>
        <w:rPr>
          <w:rFonts w:hint="eastAsia" w:ascii="宋体" w:hAnsi="宋体" w:eastAsia="宋体" w:cs="宋体"/>
          <w:bCs/>
          <w:color w:val="auto"/>
          <w:sz w:val="24"/>
          <w:highlight w:val="none"/>
        </w:rPr>
        <w:t>完毕及</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验收合格之日起。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按投标文件实际响应年限调整</w:t>
      </w:r>
      <w:r>
        <w:rPr>
          <w:rFonts w:hint="eastAsia" w:ascii="宋体" w:hAnsi="宋体" w:eastAsia="宋体" w:cs="宋体"/>
          <w:bCs/>
          <w:color w:val="auto"/>
          <w:sz w:val="24"/>
          <w:highlight w:val="none"/>
          <w:lang w:eastAsia="zh-CN"/>
        </w:rPr>
        <w:t>）</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在质保期内如发现质量问题，实行包修、包换、包退，直至产品符合质量要求。</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应保证货物为全新、未使用过的原装正品，保证所提供的货物的外观和内在质量都无任何问题。如质量出现问题，</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负责“三包”，费用由</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负责。</w:t>
      </w:r>
    </w:p>
    <w:p>
      <w:pPr>
        <w:adjustRightIn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在产品保质期内，每年不少于2次定期上门对设备进行全面维护保养，保障设备正常运行。</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、包装要求：所有产品货物外包装按相关规定执行，不得有破损和霉烂。</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4、费用：</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负责产品的</w:t>
      </w:r>
      <w:r>
        <w:rPr>
          <w:rFonts w:hint="eastAsia" w:ascii="宋体" w:hAnsi="宋体" w:eastAsia="宋体" w:cs="宋体"/>
          <w:bCs/>
          <w:color w:val="auto"/>
          <w:sz w:val="24"/>
          <w:highlight w:val="none"/>
          <w:lang w:val="en-US" w:eastAsia="zh-CN"/>
        </w:rPr>
        <w:t>包装、</w:t>
      </w:r>
      <w:r>
        <w:rPr>
          <w:rFonts w:hint="eastAsia" w:ascii="宋体" w:hAnsi="宋体" w:eastAsia="宋体" w:cs="宋体"/>
          <w:bCs/>
          <w:color w:val="auto"/>
          <w:sz w:val="24"/>
          <w:highlight w:val="none"/>
          <w:lang w:eastAsia="zh-CN"/>
        </w:rPr>
        <w:t>运输、</w:t>
      </w:r>
      <w:r>
        <w:rPr>
          <w:rFonts w:hint="eastAsia" w:ascii="宋体" w:hAnsi="宋体" w:eastAsia="宋体" w:cs="宋体"/>
          <w:bCs/>
          <w:color w:val="auto"/>
          <w:sz w:val="24"/>
          <w:highlight w:val="none"/>
          <w:lang w:val="en-US" w:eastAsia="zh-CN"/>
        </w:rPr>
        <w:t>装卸、</w:t>
      </w:r>
      <w:r>
        <w:rPr>
          <w:rFonts w:hint="eastAsia" w:ascii="宋体" w:hAnsi="宋体" w:eastAsia="宋体" w:cs="宋体"/>
          <w:bCs/>
          <w:color w:val="auto"/>
          <w:sz w:val="24"/>
          <w:highlight w:val="none"/>
          <w:lang w:eastAsia="zh-CN"/>
        </w:rPr>
        <w:t>安装、调试、验收等工作，产品正式交付</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lang w:eastAsia="zh-CN"/>
        </w:rPr>
        <w:t>使用前进行安装、调试和质保期内设备正常运行所需一切必要耗材及其费用均由</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负责。</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5、保修要求：产品从</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lang w:eastAsia="zh-CN"/>
        </w:rPr>
        <w:t>验收合格之日起，保修按厂家规定标准执行。</w:t>
      </w:r>
    </w:p>
    <w:p>
      <w:pPr>
        <w:adjustRightInd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6、维修响应：</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保证所供产品在质保期内因设备本身缺陷造成各种故障应由</w:t>
      </w:r>
      <w:r>
        <w:rPr>
          <w:rFonts w:hint="eastAsia" w:ascii="宋体" w:hAnsi="宋体" w:eastAsia="宋体" w:cs="宋体"/>
          <w:bCs/>
          <w:color w:val="auto"/>
          <w:sz w:val="24"/>
          <w:highlight w:val="none"/>
          <w:lang w:val="en-US" w:eastAsia="zh-CN"/>
        </w:rPr>
        <w:t>乙方</w:t>
      </w:r>
      <w:r>
        <w:rPr>
          <w:rFonts w:hint="eastAsia" w:ascii="宋体" w:hAnsi="宋体" w:eastAsia="宋体" w:cs="宋体"/>
          <w:bCs/>
          <w:color w:val="auto"/>
          <w:sz w:val="24"/>
          <w:highlight w:val="none"/>
          <w:lang w:eastAsia="zh-CN"/>
        </w:rPr>
        <w:t>免费提供技术服务和维修，若出现产品质量问题应能够在1小时内响应，2小时内提出解决方案，6小时内派维修人员到达现场维修，对于维修期间超过10天的产品应提供备用件供</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lang w:eastAsia="zh-CN"/>
        </w:rPr>
        <w:t>使用。</w:t>
      </w:r>
      <w:r>
        <w:rPr>
          <w:rFonts w:hint="eastAsia" w:ascii="宋体" w:hAnsi="宋体" w:eastAsia="宋体" w:cs="宋体"/>
          <w:bCs/>
          <w:color w:val="auto"/>
          <w:sz w:val="24"/>
          <w:highlight w:val="none"/>
          <w:lang w:val="en-US" w:eastAsia="zh-CN"/>
        </w:rPr>
        <w:t>若乙方未能按时响应并完成维修的，甲方有权自行委托第三方维修或更换，甲方由此产生的费用由乙方全额承担，甲方并有权直接在未付乙方的款项中予以扣除。</w:t>
      </w:r>
    </w:p>
    <w:p>
      <w:pPr>
        <w:pStyle w:val="14"/>
        <w:numPr>
          <w:ilvl w:val="0"/>
          <w:numId w:val="0"/>
        </w:numPr>
        <w:spacing w:line="360" w:lineRule="auto"/>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交货前，乙方保证所有器材供货厂家须在应急管理部消防救援局消防装备物资信息采集系统（http://xfzb.119.gov.cn）录入装备信息，申请装备编码，并按照应急管理部消防救援局和浙江省消防救援总队要求，制作RFID数字管理标签。</w:t>
      </w:r>
    </w:p>
    <w:p>
      <w:pPr>
        <w:adjustRightIn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六、供货要求</w:t>
      </w:r>
    </w:p>
    <w:p>
      <w:pPr>
        <w:adjustRightIn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供货时间：合同签订完毕日起2个月内完成供货，交</w:t>
      </w:r>
      <w:r>
        <w:rPr>
          <w:rFonts w:hint="eastAsia" w:ascii="宋体" w:hAnsi="宋体" w:eastAsia="宋体" w:cs="宋体"/>
          <w:bCs/>
          <w:color w:val="auto"/>
          <w:sz w:val="24"/>
          <w:highlight w:val="none"/>
          <w:lang w:val="en-US" w:eastAsia="zh-CN"/>
        </w:rPr>
        <w:t>甲方</w:t>
      </w:r>
      <w:r>
        <w:rPr>
          <w:rFonts w:hint="eastAsia" w:ascii="宋体" w:hAnsi="宋体" w:eastAsia="宋体" w:cs="宋体"/>
          <w:bCs/>
          <w:color w:val="auto"/>
          <w:sz w:val="24"/>
          <w:highlight w:val="none"/>
        </w:rPr>
        <w:t>验收</w:t>
      </w:r>
      <w:r>
        <w:rPr>
          <w:rFonts w:hint="eastAsia" w:ascii="宋体" w:hAnsi="宋体" w:eastAsia="宋体" w:cs="宋体"/>
          <w:bCs/>
          <w:color w:val="auto"/>
          <w:sz w:val="24"/>
          <w:highlight w:val="none"/>
          <w:lang w:val="en-US" w:eastAsia="zh-CN"/>
        </w:rPr>
        <w:t>合格</w:t>
      </w:r>
      <w:r>
        <w:rPr>
          <w:rFonts w:hint="eastAsia" w:ascii="宋体" w:hAnsi="宋体" w:eastAsia="宋体" w:cs="宋体"/>
          <w:bCs/>
          <w:color w:val="auto"/>
          <w:sz w:val="24"/>
          <w:highlight w:val="none"/>
        </w:rPr>
        <w:t>。</w:t>
      </w:r>
    </w:p>
    <w:p>
      <w:pPr>
        <w:adjustRightIn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供货地点：甲方指定地点。</w:t>
      </w:r>
    </w:p>
    <w:p>
      <w:pPr>
        <w:snapToGrid w:val="0"/>
        <w:spacing w:line="360" w:lineRule="auto"/>
        <w:rPr>
          <w:rFonts w:hint="eastAsia" w:ascii="宋体" w:hAnsi="宋体" w:eastAsia="宋体" w:cs="宋体"/>
          <w:color w:val="auto"/>
          <w:sz w:val="24"/>
          <w:szCs w:val="28"/>
          <w:highlight w:val="none"/>
          <w:lang w:val="zh-CN"/>
        </w:rPr>
      </w:pPr>
      <w:r>
        <w:rPr>
          <w:rFonts w:hint="eastAsia" w:ascii="宋体" w:hAnsi="宋体" w:eastAsia="宋体" w:cs="宋体"/>
          <w:b/>
          <w:bCs/>
          <w:color w:val="auto"/>
          <w:sz w:val="24"/>
          <w:szCs w:val="28"/>
          <w:highlight w:val="none"/>
          <w:lang w:val="zh-CN"/>
        </w:rPr>
        <w:t>七、知识产权</w:t>
      </w:r>
      <w:r>
        <w:rPr>
          <w:rFonts w:hint="eastAsia" w:ascii="宋体" w:hAnsi="宋体" w:eastAsia="宋体" w:cs="宋体"/>
          <w:color w:val="auto"/>
          <w:sz w:val="24"/>
          <w:szCs w:val="28"/>
          <w:highlight w:val="none"/>
          <w:lang w:val="zh-CN"/>
        </w:rPr>
        <w:t xml:space="preserve">  </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乙方应保证，所供货物无任何抵押、查封等权属瑕疵，且甲方在中华人民共和国使用该货物或货物的任何一部分时，免受第三方提出的侵犯其知识产权的索赔或诉讼。</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如果甲方在使用该货物或货物的任何一部分时被任何第三方诉称侵犯了该第三方知识产权或任何其它权利，甲方将立即通知乙方。乙方应负责处理</w:t>
      </w:r>
      <w:r>
        <w:rPr>
          <w:rFonts w:hint="eastAsia" w:ascii="宋体" w:hAnsi="宋体" w:eastAsia="宋体" w:cs="宋体"/>
          <w:color w:val="auto"/>
          <w:sz w:val="24"/>
          <w:szCs w:val="28"/>
          <w:highlight w:val="none"/>
          <w:lang w:val="en-US" w:eastAsia="zh-CN"/>
        </w:rPr>
        <w:t>相关纠纷</w:t>
      </w:r>
      <w:r>
        <w:rPr>
          <w:rFonts w:hint="eastAsia" w:ascii="宋体" w:hAnsi="宋体" w:eastAsia="宋体" w:cs="宋体"/>
          <w:color w:val="auto"/>
          <w:sz w:val="24"/>
          <w:szCs w:val="28"/>
          <w:highlight w:val="none"/>
          <w:lang w:val="zh-CN"/>
        </w:rPr>
        <w:t>并应以乙方的名义自负费用向起诉方提出抗辩</w:t>
      </w:r>
      <w:r>
        <w:rPr>
          <w:rFonts w:hint="eastAsia" w:ascii="宋体" w:hAnsi="宋体" w:eastAsia="宋体" w:cs="宋体"/>
          <w:color w:val="auto"/>
          <w:sz w:val="24"/>
          <w:szCs w:val="28"/>
          <w:highlight w:val="none"/>
          <w:lang w:val="en-US" w:eastAsia="zh-CN"/>
        </w:rPr>
        <w:t>并承担最终的赔偿责任</w:t>
      </w:r>
      <w:r>
        <w:rPr>
          <w:rFonts w:hint="eastAsia" w:ascii="宋体" w:hAnsi="宋体" w:eastAsia="宋体" w:cs="宋体"/>
          <w:color w:val="auto"/>
          <w:sz w:val="24"/>
          <w:szCs w:val="28"/>
          <w:highlight w:val="none"/>
          <w:lang w:val="zh-CN"/>
        </w:rPr>
        <w:t>。由此可能产生的一切法律责任和经济责任均由乙方承担；</w:t>
      </w:r>
      <w:r>
        <w:rPr>
          <w:rFonts w:hint="eastAsia" w:ascii="宋体" w:hAnsi="宋体" w:eastAsia="宋体" w:cs="宋体"/>
          <w:color w:val="auto"/>
          <w:sz w:val="24"/>
          <w:szCs w:val="28"/>
          <w:highlight w:val="none"/>
          <w:lang w:val="en-US" w:eastAsia="zh-CN"/>
        </w:rPr>
        <w:t>如造成甲方向第三方承担责任的，由乙方赔偿甲方全部损失</w:t>
      </w:r>
      <w:r>
        <w:rPr>
          <w:rFonts w:hint="eastAsia" w:ascii="宋体" w:hAnsi="宋体" w:eastAsia="宋体" w:cs="宋体"/>
          <w:color w:val="auto"/>
          <w:sz w:val="24"/>
          <w:szCs w:val="28"/>
          <w:highlight w:val="none"/>
          <w:lang w:val="zh-CN"/>
        </w:rPr>
        <w:t>。甲方将尽可能地对乙方抗辩给予协助，由此发生的费用由乙方承担。</w:t>
      </w:r>
    </w:p>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八、违约责任</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1、乙方如不能按照合同规定的时限内供货，需承担违约责任并按</w:t>
      </w:r>
      <w:r>
        <w:rPr>
          <w:rFonts w:hint="eastAsia" w:ascii="宋体" w:hAnsi="宋体" w:eastAsia="宋体" w:cs="宋体"/>
          <w:color w:val="auto"/>
          <w:sz w:val="24"/>
          <w:szCs w:val="28"/>
          <w:highlight w:val="none"/>
          <w:lang w:val="en-US" w:eastAsia="zh-CN"/>
        </w:rPr>
        <w:t>以下约定向甲方支付</w:t>
      </w:r>
      <w:r>
        <w:rPr>
          <w:rFonts w:hint="eastAsia" w:ascii="宋体" w:hAnsi="宋体" w:eastAsia="宋体" w:cs="宋体"/>
          <w:color w:val="auto"/>
          <w:sz w:val="24"/>
          <w:szCs w:val="28"/>
          <w:highlight w:val="none"/>
          <w:lang w:val="zh-CN"/>
        </w:rPr>
        <w:t>违约金：</w:t>
      </w:r>
      <w:r>
        <w:rPr>
          <w:rFonts w:hint="eastAsia" w:ascii="宋体" w:hAnsi="宋体" w:eastAsia="宋体" w:cs="宋体"/>
          <w:color w:val="auto"/>
          <w:sz w:val="24"/>
          <w:szCs w:val="28"/>
          <w:highlight w:val="none"/>
          <w:lang w:val="en-US" w:eastAsia="zh-CN"/>
        </w:rPr>
        <w:t>逾期</w:t>
      </w:r>
      <w:r>
        <w:rPr>
          <w:rFonts w:hint="eastAsia" w:ascii="宋体" w:hAnsi="宋体" w:cs="宋体"/>
          <w:color w:val="auto"/>
          <w:sz w:val="24"/>
          <w:szCs w:val="28"/>
          <w:highlight w:val="none"/>
          <w:lang w:val="en-US" w:eastAsia="zh-CN"/>
        </w:rPr>
        <w:t>30</w:t>
      </w:r>
      <w:r>
        <w:rPr>
          <w:rFonts w:hint="eastAsia" w:ascii="宋体" w:hAnsi="宋体" w:eastAsia="宋体" w:cs="宋体"/>
          <w:color w:val="auto"/>
          <w:sz w:val="24"/>
          <w:szCs w:val="28"/>
          <w:highlight w:val="none"/>
          <w:lang w:val="zh-CN"/>
        </w:rPr>
        <w:t>天以内，每天支付合同总金额千分之一的违约金，</w:t>
      </w:r>
      <w:r>
        <w:rPr>
          <w:rFonts w:hint="eastAsia" w:ascii="宋体" w:hAnsi="宋体" w:eastAsia="宋体" w:cs="宋体"/>
          <w:color w:val="auto"/>
          <w:sz w:val="24"/>
          <w:szCs w:val="28"/>
          <w:highlight w:val="none"/>
          <w:lang w:val="en-US" w:eastAsia="zh-CN"/>
        </w:rPr>
        <w:t>该</w:t>
      </w:r>
      <w:r>
        <w:rPr>
          <w:rFonts w:hint="eastAsia" w:ascii="宋体" w:hAnsi="宋体" w:eastAsia="宋体" w:cs="宋体"/>
          <w:color w:val="auto"/>
          <w:sz w:val="24"/>
          <w:szCs w:val="28"/>
          <w:highlight w:val="none"/>
          <w:lang w:val="zh-CN"/>
        </w:rPr>
        <w:t>违约金</w:t>
      </w:r>
      <w:r>
        <w:rPr>
          <w:rFonts w:hint="eastAsia" w:ascii="宋体" w:hAnsi="宋体" w:eastAsia="宋体" w:cs="宋体"/>
          <w:color w:val="auto"/>
          <w:sz w:val="24"/>
          <w:szCs w:val="28"/>
          <w:highlight w:val="none"/>
          <w:lang w:val="en-US" w:eastAsia="zh-CN"/>
        </w:rPr>
        <w:t>最高</w:t>
      </w:r>
      <w:r>
        <w:rPr>
          <w:rFonts w:hint="eastAsia" w:ascii="宋体" w:hAnsi="宋体" w:eastAsia="宋体" w:cs="宋体"/>
          <w:color w:val="auto"/>
          <w:sz w:val="24"/>
          <w:szCs w:val="28"/>
          <w:highlight w:val="none"/>
          <w:lang w:val="zh-CN"/>
        </w:rPr>
        <w:t>为合同总金额的百分之五；逾期超过一个月的，甲方有权</w:t>
      </w:r>
      <w:r>
        <w:rPr>
          <w:rFonts w:hint="eastAsia" w:ascii="宋体" w:hAnsi="宋体" w:eastAsia="宋体" w:cs="宋体"/>
          <w:color w:val="auto"/>
          <w:sz w:val="24"/>
          <w:szCs w:val="28"/>
          <w:highlight w:val="none"/>
          <w:lang w:val="en-US" w:eastAsia="zh-CN"/>
        </w:rPr>
        <w:t>立即单方面</w:t>
      </w:r>
      <w:r>
        <w:rPr>
          <w:rFonts w:hint="eastAsia" w:ascii="宋体" w:hAnsi="宋体" w:eastAsia="宋体" w:cs="宋体"/>
          <w:color w:val="auto"/>
          <w:sz w:val="24"/>
          <w:szCs w:val="28"/>
          <w:highlight w:val="none"/>
          <w:lang w:val="zh-CN"/>
        </w:rPr>
        <w:t>解除本合同</w:t>
      </w:r>
      <w:r>
        <w:rPr>
          <w:rFonts w:hint="eastAsia" w:ascii="宋体" w:hAnsi="宋体" w:eastAsia="宋体" w:cs="宋体"/>
          <w:color w:val="auto"/>
          <w:sz w:val="24"/>
          <w:szCs w:val="28"/>
          <w:highlight w:val="none"/>
          <w:lang w:val="en-US" w:eastAsia="zh-CN"/>
        </w:rPr>
        <w:t>,甲方未支付的款项无需支付，乙方应退还已收取甲方的全部款项，并由乙方承担甲方的一切损失</w:t>
      </w:r>
      <w:r>
        <w:rPr>
          <w:rFonts w:hint="eastAsia" w:ascii="宋体" w:hAnsi="宋体" w:eastAsia="宋体" w:cs="宋体"/>
          <w:color w:val="auto"/>
          <w:sz w:val="24"/>
          <w:szCs w:val="28"/>
          <w:highlight w:val="none"/>
          <w:lang w:val="zh-CN"/>
        </w:rPr>
        <w:t>。</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2、在履行合同过程中，如果乙方</w:t>
      </w:r>
      <w:r>
        <w:rPr>
          <w:rFonts w:hint="eastAsia" w:ascii="宋体" w:hAnsi="宋体" w:eastAsia="宋体" w:cs="宋体"/>
          <w:color w:val="auto"/>
          <w:sz w:val="24"/>
          <w:szCs w:val="28"/>
          <w:highlight w:val="none"/>
          <w:lang w:val="en-US" w:eastAsia="zh-CN"/>
        </w:rPr>
        <w:t>非因自身原因</w:t>
      </w:r>
      <w:r>
        <w:rPr>
          <w:rFonts w:hint="eastAsia" w:ascii="宋体" w:hAnsi="宋体" w:eastAsia="宋体" w:cs="宋体"/>
          <w:color w:val="auto"/>
          <w:sz w:val="24"/>
          <w:szCs w:val="28"/>
          <w:highlight w:val="none"/>
          <w:lang w:val="zh-CN"/>
        </w:rPr>
        <w:t>遇到妨碍按时交货和提供服务的情况时，应及时以书面形式将拖延的事实、可能拖延的时间和原因通知甲方。甲方在收到乙方通知后，</w:t>
      </w:r>
      <w:r>
        <w:rPr>
          <w:rFonts w:hint="eastAsia" w:ascii="宋体" w:hAnsi="宋体" w:eastAsia="宋体" w:cs="宋体"/>
          <w:color w:val="auto"/>
          <w:sz w:val="24"/>
          <w:szCs w:val="28"/>
          <w:highlight w:val="none"/>
          <w:lang w:val="en-US" w:eastAsia="zh-CN"/>
        </w:rPr>
        <w:t>有权</w:t>
      </w:r>
      <w:r>
        <w:rPr>
          <w:rFonts w:hint="eastAsia" w:ascii="宋体" w:hAnsi="宋体" w:eastAsia="宋体" w:cs="宋体"/>
          <w:color w:val="auto"/>
          <w:sz w:val="24"/>
          <w:szCs w:val="28"/>
          <w:highlight w:val="none"/>
          <w:lang w:val="zh-CN"/>
        </w:rPr>
        <w:t>确定是否酌情延长交货时间和提供服务。</w:t>
      </w:r>
      <w:r>
        <w:rPr>
          <w:rFonts w:hint="eastAsia" w:ascii="宋体" w:hAnsi="宋体" w:eastAsia="宋体" w:cs="宋体"/>
          <w:color w:val="auto"/>
          <w:sz w:val="24"/>
          <w:szCs w:val="28"/>
          <w:highlight w:val="none"/>
          <w:lang w:val="en-US" w:eastAsia="zh-CN"/>
        </w:rPr>
        <w:t>乙方在</w:t>
      </w:r>
      <w:r>
        <w:rPr>
          <w:rFonts w:hint="eastAsia" w:ascii="宋体" w:hAnsi="宋体" w:eastAsia="宋体" w:cs="宋体"/>
          <w:color w:val="auto"/>
          <w:sz w:val="24"/>
          <w:szCs w:val="28"/>
          <w:highlight w:val="none"/>
          <w:lang w:val="zh-CN"/>
        </w:rPr>
        <w:t>经甲方</w:t>
      </w:r>
      <w:r>
        <w:rPr>
          <w:rFonts w:hint="eastAsia" w:ascii="宋体" w:hAnsi="宋体" w:eastAsia="宋体" w:cs="宋体"/>
          <w:color w:val="auto"/>
          <w:sz w:val="24"/>
          <w:szCs w:val="28"/>
          <w:highlight w:val="none"/>
          <w:lang w:val="en-US" w:eastAsia="zh-CN"/>
        </w:rPr>
        <w:t>书面</w:t>
      </w:r>
      <w:r>
        <w:rPr>
          <w:rFonts w:hint="eastAsia" w:ascii="宋体" w:hAnsi="宋体" w:eastAsia="宋体" w:cs="宋体"/>
          <w:color w:val="auto"/>
          <w:sz w:val="24"/>
          <w:szCs w:val="28"/>
          <w:highlight w:val="none"/>
          <w:lang w:val="zh-CN"/>
        </w:rPr>
        <w:t>确认的延</w:t>
      </w:r>
      <w:r>
        <w:rPr>
          <w:rFonts w:hint="eastAsia" w:ascii="宋体" w:hAnsi="宋体" w:eastAsia="宋体" w:cs="宋体"/>
          <w:color w:val="auto"/>
          <w:sz w:val="24"/>
          <w:szCs w:val="28"/>
          <w:highlight w:val="none"/>
          <w:lang w:val="en-US" w:eastAsia="zh-CN"/>
        </w:rPr>
        <w:t>长</w:t>
      </w:r>
      <w:r>
        <w:rPr>
          <w:rFonts w:hint="eastAsia" w:ascii="宋体" w:hAnsi="宋体" w:eastAsia="宋体" w:cs="宋体"/>
          <w:color w:val="auto"/>
          <w:sz w:val="24"/>
          <w:szCs w:val="28"/>
          <w:highlight w:val="none"/>
          <w:lang w:val="zh-CN"/>
        </w:rPr>
        <w:t>期</w:t>
      </w:r>
      <w:r>
        <w:rPr>
          <w:rFonts w:hint="eastAsia" w:ascii="宋体" w:hAnsi="宋体" w:eastAsia="宋体" w:cs="宋体"/>
          <w:color w:val="auto"/>
          <w:sz w:val="24"/>
          <w:szCs w:val="28"/>
          <w:highlight w:val="none"/>
          <w:lang w:val="en-US" w:eastAsia="zh-CN"/>
        </w:rPr>
        <w:t>内</w:t>
      </w:r>
      <w:r>
        <w:rPr>
          <w:rFonts w:hint="eastAsia" w:ascii="宋体" w:hAnsi="宋体" w:eastAsia="宋体" w:cs="宋体"/>
          <w:color w:val="auto"/>
          <w:sz w:val="24"/>
          <w:szCs w:val="28"/>
          <w:highlight w:val="none"/>
          <w:lang w:val="zh-CN"/>
        </w:rPr>
        <w:t>交货和提供服务的，可不作为乙方的履约延误，可免交违约金。</w:t>
      </w:r>
    </w:p>
    <w:p>
      <w:pPr>
        <w:tabs>
          <w:tab w:val="left" w:pos="1200"/>
        </w:tabs>
        <w:spacing w:line="360" w:lineRule="auto"/>
        <w:ind w:firstLine="480" w:firstLineChars="200"/>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rPr>
        <w:t>3、</w:t>
      </w:r>
      <w:r>
        <w:rPr>
          <w:rFonts w:hint="eastAsia" w:ascii="宋体" w:hAnsi="宋体" w:eastAsia="宋体" w:cs="宋体"/>
          <w:color w:val="auto"/>
          <w:sz w:val="24"/>
          <w:szCs w:val="28"/>
          <w:highlight w:val="none"/>
          <w:lang w:val="zh-CN" w:eastAsia="zh-CN"/>
        </w:rPr>
        <w:t>乙方保修、维修响应和项目组成员未按投标承诺履约的，</w:t>
      </w:r>
      <w:r>
        <w:rPr>
          <w:rFonts w:hint="eastAsia" w:ascii="宋体" w:hAnsi="宋体" w:eastAsia="宋体" w:cs="宋体"/>
          <w:color w:val="auto"/>
          <w:sz w:val="24"/>
          <w:szCs w:val="28"/>
          <w:highlight w:val="none"/>
          <w:lang w:val="zh-CN"/>
        </w:rPr>
        <w:t>每次按5000元</w:t>
      </w:r>
      <w:r>
        <w:rPr>
          <w:rFonts w:hint="eastAsia" w:ascii="宋体" w:hAnsi="宋体" w:eastAsia="宋体" w:cs="宋体"/>
          <w:color w:val="auto"/>
          <w:sz w:val="24"/>
          <w:szCs w:val="28"/>
          <w:highlight w:val="none"/>
          <w:lang w:val="zh-CN" w:eastAsia="zh-CN"/>
        </w:rPr>
        <w:t>向甲方支付违约金</w:t>
      </w:r>
      <w:r>
        <w:rPr>
          <w:rFonts w:hint="eastAsia" w:ascii="宋体" w:hAnsi="宋体" w:eastAsia="宋体" w:cs="宋体"/>
          <w:color w:val="auto"/>
          <w:sz w:val="24"/>
          <w:szCs w:val="28"/>
          <w:highlight w:val="none"/>
          <w:lang w:val="zh-CN"/>
        </w:rPr>
        <w:t>，最高限额为</w:t>
      </w:r>
      <w:r>
        <w:rPr>
          <w:rFonts w:hint="eastAsia" w:ascii="宋体" w:hAnsi="宋体" w:eastAsia="宋体" w:cs="宋体"/>
          <w:color w:val="auto"/>
          <w:sz w:val="24"/>
          <w:szCs w:val="28"/>
          <w:highlight w:val="none"/>
          <w:lang w:val="zh-CN" w:eastAsia="zh-CN"/>
        </w:rPr>
        <w:t>合同</w:t>
      </w:r>
      <w:r>
        <w:rPr>
          <w:rFonts w:hint="eastAsia" w:ascii="宋体" w:hAnsi="宋体" w:eastAsia="宋体" w:cs="宋体"/>
          <w:color w:val="auto"/>
          <w:sz w:val="24"/>
          <w:szCs w:val="28"/>
          <w:highlight w:val="none"/>
          <w:lang w:val="zh-CN"/>
        </w:rPr>
        <w:t>总价的2%。</w:t>
      </w:r>
    </w:p>
    <w:p>
      <w:pPr>
        <w:tabs>
          <w:tab w:val="left" w:pos="1200"/>
        </w:tabs>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培训或售后服务乙方</w:t>
      </w:r>
      <w:r>
        <w:rPr>
          <w:rFonts w:hint="eastAsia" w:ascii="宋体" w:hAnsi="宋体" w:eastAsia="宋体" w:cs="宋体"/>
          <w:color w:val="auto"/>
          <w:sz w:val="24"/>
          <w:szCs w:val="28"/>
          <w:highlight w:val="none"/>
          <w:lang w:val="en-US" w:eastAsia="zh-CN"/>
        </w:rPr>
        <w:t>须</w:t>
      </w:r>
      <w:r>
        <w:rPr>
          <w:rFonts w:hint="eastAsia" w:ascii="宋体" w:hAnsi="宋体" w:eastAsia="宋体" w:cs="宋体"/>
          <w:color w:val="auto"/>
          <w:sz w:val="24"/>
          <w:szCs w:val="28"/>
          <w:highlight w:val="none"/>
          <w:lang w:val="zh-CN"/>
        </w:rPr>
        <w:t>按投标承诺执行，</w:t>
      </w:r>
      <w:r>
        <w:rPr>
          <w:rFonts w:hint="eastAsia" w:ascii="宋体" w:hAnsi="宋体" w:eastAsia="宋体" w:cs="宋体"/>
          <w:color w:val="auto"/>
          <w:sz w:val="24"/>
          <w:szCs w:val="28"/>
          <w:highlight w:val="none"/>
          <w:lang w:val="en-US" w:eastAsia="zh-CN"/>
        </w:rPr>
        <w:t>乙方</w:t>
      </w:r>
      <w:r>
        <w:rPr>
          <w:rFonts w:hint="eastAsia" w:ascii="宋体" w:hAnsi="宋体" w:eastAsia="宋体" w:cs="宋体"/>
          <w:color w:val="auto"/>
          <w:sz w:val="24"/>
          <w:szCs w:val="28"/>
          <w:highlight w:val="none"/>
          <w:lang w:val="zh-CN"/>
        </w:rPr>
        <w:t>负责提供</w:t>
      </w:r>
      <w:r>
        <w:rPr>
          <w:rFonts w:hint="eastAsia" w:ascii="宋体" w:hAnsi="宋体" w:eastAsia="宋体" w:cs="宋体"/>
          <w:color w:val="auto"/>
          <w:sz w:val="24"/>
          <w:szCs w:val="28"/>
          <w:highlight w:val="none"/>
          <w:lang w:val="en-US" w:eastAsia="zh-CN"/>
        </w:rPr>
        <w:t>甲方</w:t>
      </w:r>
      <w:r>
        <w:rPr>
          <w:rFonts w:hint="eastAsia" w:ascii="宋体" w:hAnsi="宋体" w:eastAsia="宋体" w:cs="宋体"/>
          <w:color w:val="auto"/>
          <w:sz w:val="24"/>
          <w:szCs w:val="28"/>
          <w:highlight w:val="none"/>
          <w:lang w:val="zh-CN"/>
        </w:rPr>
        <w:t>操作人员的使用培训，提供技术咨询，并在供货后一个月内组织人员对产品的使用、维护等方面进行现场指导，所产生的一切费用由</w:t>
      </w:r>
      <w:r>
        <w:rPr>
          <w:rFonts w:hint="eastAsia" w:ascii="宋体" w:hAnsi="宋体" w:eastAsia="宋体" w:cs="宋体"/>
          <w:color w:val="auto"/>
          <w:sz w:val="24"/>
          <w:szCs w:val="28"/>
          <w:highlight w:val="none"/>
          <w:lang w:val="en-US" w:eastAsia="zh-CN"/>
        </w:rPr>
        <w:t>乙方</w:t>
      </w:r>
      <w:r>
        <w:rPr>
          <w:rFonts w:hint="eastAsia" w:ascii="宋体" w:hAnsi="宋体" w:eastAsia="宋体" w:cs="宋体"/>
          <w:color w:val="auto"/>
          <w:sz w:val="24"/>
          <w:szCs w:val="28"/>
          <w:highlight w:val="none"/>
          <w:lang w:val="zh-CN"/>
        </w:rPr>
        <w:t>支付。</w:t>
      </w:r>
      <w:r>
        <w:rPr>
          <w:rFonts w:hint="eastAsia" w:ascii="宋体" w:hAnsi="宋体" w:eastAsia="宋体" w:cs="宋体"/>
          <w:color w:val="auto"/>
          <w:sz w:val="24"/>
          <w:szCs w:val="28"/>
          <w:highlight w:val="none"/>
          <w:lang w:val="en-US" w:eastAsia="zh-CN"/>
        </w:rPr>
        <w:t>若乙方违约，</w:t>
      </w:r>
      <w:r>
        <w:rPr>
          <w:rFonts w:hint="eastAsia" w:ascii="宋体" w:hAnsi="宋体" w:eastAsia="宋体" w:cs="宋体"/>
          <w:color w:val="auto"/>
          <w:sz w:val="24"/>
          <w:szCs w:val="28"/>
          <w:highlight w:val="none"/>
          <w:lang w:val="zh-CN"/>
        </w:rPr>
        <w:t>每次按5000元</w:t>
      </w:r>
      <w:r>
        <w:rPr>
          <w:rFonts w:hint="eastAsia" w:ascii="宋体" w:hAnsi="宋体" w:eastAsia="宋体" w:cs="宋体"/>
          <w:color w:val="auto"/>
          <w:sz w:val="24"/>
          <w:szCs w:val="28"/>
          <w:highlight w:val="none"/>
          <w:lang w:val="en-US" w:eastAsia="zh-CN"/>
        </w:rPr>
        <w:t>向甲方支付违约金，最高限额为合同总价的2%。</w:t>
      </w:r>
    </w:p>
    <w:p>
      <w:pPr>
        <w:tabs>
          <w:tab w:val="left" w:pos="1200"/>
        </w:tabs>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val="zh-CN"/>
        </w:rPr>
        <w:t>乙方不得部分转让或全部转让其应履行的合同义务。否则，乙方应向甲方支付合同总金额30%的违约金，甲方并有权</w:t>
      </w:r>
      <w:r>
        <w:rPr>
          <w:rFonts w:hint="eastAsia" w:ascii="宋体" w:hAnsi="宋体" w:eastAsia="宋体" w:cs="宋体"/>
          <w:color w:val="auto"/>
          <w:sz w:val="24"/>
          <w:szCs w:val="28"/>
          <w:highlight w:val="none"/>
          <w:lang w:val="en-US" w:eastAsia="zh-CN"/>
        </w:rPr>
        <w:t>立即单方</w:t>
      </w:r>
      <w:r>
        <w:rPr>
          <w:rFonts w:hint="eastAsia" w:ascii="宋体" w:hAnsi="宋体" w:eastAsia="宋体" w:cs="宋体"/>
          <w:color w:val="auto"/>
          <w:sz w:val="24"/>
          <w:szCs w:val="28"/>
          <w:highlight w:val="none"/>
          <w:lang w:val="zh-CN"/>
        </w:rPr>
        <w:t>解除与乙方的合同。</w:t>
      </w:r>
    </w:p>
    <w:p>
      <w:pPr>
        <w:tabs>
          <w:tab w:val="left" w:pos="1200"/>
        </w:tabs>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lang w:val="zh-CN"/>
        </w:rPr>
        <w:t>、验收：由甲方组织验收，对产品技术性能指标验收不合格的，</w:t>
      </w:r>
      <w:r>
        <w:rPr>
          <w:rFonts w:hint="eastAsia" w:ascii="宋体" w:hAnsi="宋体" w:eastAsia="宋体" w:cs="宋体"/>
          <w:color w:val="auto"/>
          <w:sz w:val="24"/>
          <w:szCs w:val="28"/>
          <w:highlight w:val="none"/>
          <w:lang w:val="en-US" w:eastAsia="zh-CN"/>
        </w:rPr>
        <w:t>甲方</w:t>
      </w:r>
      <w:r>
        <w:rPr>
          <w:rFonts w:hint="eastAsia" w:ascii="宋体" w:hAnsi="宋体" w:eastAsia="宋体" w:cs="宋体"/>
          <w:color w:val="auto"/>
          <w:sz w:val="24"/>
          <w:szCs w:val="28"/>
          <w:highlight w:val="none"/>
          <w:lang w:val="zh-CN"/>
        </w:rPr>
        <w:t>将按国家相关法律法规</w:t>
      </w:r>
      <w:r>
        <w:rPr>
          <w:rFonts w:hint="eastAsia" w:ascii="宋体" w:hAnsi="宋体" w:eastAsia="宋体" w:cs="宋体"/>
          <w:color w:val="auto"/>
          <w:sz w:val="24"/>
          <w:szCs w:val="28"/>
          <w:highlight w:val="none"/>
          <w:lang w:val="en-US" w:eastAsia="zh-CN"/>
        </w:rPr>
        <w:t>和本合同约定</w:t>
      </w:r>
      <w:r>
        <w:rPr>
          <w:rFonts w:hint="eastAsia" w:ascii="宋体" w:hAnsi="宋体" w:eastAsia="宋体" w:cs="宋体"/>
          <w:color w:val="auto"/>
          <w:sz w:val="24"/>
          <w:szCs w:val="28"/>
          <w:highlight w:val="none"/>
          <w:lang w:val="zh-CN"/>
        </w:rPr>
        <w:t>对</w:t>
      </w:r>
      <w:r>
        <w:rPr>
          <w:rFonts w:hint="eastAsia" w:ascii="宋体" w:hAnsi="宋体" w:eastAsia="宋体" w:cs="宋体"/>
          <w:color w:val="auto"/>
          <w:sz w:val="24"/>
          <w:szCs w:val="28"/>
          <w:highlight w:val="none"/>
          <w:lang w:val="en-US" w:eastAsia="zh-CN"/>
        </w:rPr>
        <w:t>乙方</w:t>
      </w:r>
      <w:r>
        <w:rPr>
          <w:rFonts w:hint="eastAsia" w:ascii="宋体" w:hAnsi="宋体" w:eastAsia="宋体" w:cs="宋体"/>
          <w:color w:val="auto"/>
          <w:sz w:val="24"/>
          <w:szCs w:val="28"/>
          <w:highlight w:val="none"/>
          <w:lang w:val="zh-CN"/>
        </w:rPr>
        <w:t>进行违约处理。</w:t>
      </w:r>
    </w:p>
    <w:p>
      <w:pPr>
        <w:tabs>
          <w:tab w:val="left" w:pos="1200"/>
        </w:tabs>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lang w:val="zh-CN"/>
        </w:rPr>
        <w:t>在项目实施过程中，严格遵守国家相关保密与安全法律法规，遵循采购人各项安全保密制度和规章；</w:t>
      </w:r>
      <w:r>
        <w:rPr>
          <w:rFonts w:hint="eastAsia" w:ascii="宋体" w:hAnsi="宋体" w:eastAsia="宋体" w:cs="宋体"/>
          <w:color w:val="auto"/>
          <w:sz w:val="24"/>
          <w:szCs w:val="28"/>
          <w:highlight w:val="none"/>
          <w:lang w:val="en-US" w:eastAsia="zh-CN"/>
        </w:rPr>
        <w:t>乙方</w:t>
      </w:r>
      <w:r>
        <w:rPr>
          <w:rFonts w:hint="eastAsia" w:ascii="宋体" w:hAnsi="宋体" w:eastAsia="宋体" w:cs="宋体"/>
          <w:color w:val="auto"/>
          <w:sz w:val="24"/>
          <w:szCs w:val="28"/>
          <w:highlight w:val="none"/>
          <w:lang w:val="zh-CN"/>
        </w:rPr>
        <w:t>对工作中涉及到的</w:t>
      </w:r>
      <w:r>
        <w:rPr>
          <w:rFonts w:hint="eastAsia" w:ascii="宋体" w:hAnsi="宋体" w:eastAsia="宋体" w:cs="宋体"/>
          <w:color w:val="auto"/>
          <w:sz w:val="24"/>
          <w:szCs w:val="28"/>
          <w:highlight w:val="none"/>
          <w:lang w:val="en-US" w:eastAsia="zh-CN"/>
        </w:rPr>
        <w:t>甲方</w:t>
      </w:r>
      <w:r>
        <w:rPr>
          <w:rFonts w:hint="eastAsia" w:ascii="宋体" w:hAnsi="宋体" w:eastAsia="宋体" w:cs="宋体"/>
          <w:color w:val="auto"/>
          <w:sz w:val="24"/>
          <w:szCs w:val="28"/>
          <w:highlight w:val="none"/>
          <w:lang w:val="zh-CN"/>
        </w:rPr>
        <w:t>的数据、文件等任何资料进行保密。因</w:t>
      </w:r>
      <w:r>
        <w:rPr>
          <w:rFonts w:hint="eastAsia" w:ascii="宋体" w:hAnsi="宋体" w:eastAsia="宋体" w:cs="宋体"/>
          <w:color w:val="auto"/>
          <w:sz w:val="24"/>
          <w:szCs w:val="28"/>
          <w:highlight w:val="none"/>
          <w:lang w:val="en-US" w:eastAsia="zh-CN"/>
        </w:rPr>
        <w:t>乙方</w:t>
      </w:r>
      <w:r>
        <w:rPr>
          <w:rFonts w:hint="eastAsia" w:ascii="宋体" w:hAnsi="宋体" w:eastAsia="宋体" w:cs="宋体"/>
          <w:color w:val="auto"/>
          <w:sz w:val="24"/>
          <w:szCs w:val="28"/>
          <w:highlight w:val="none"/>
          <w:lang w:val="zh-CN"/>
        </w:rPr>
        <w:t>行为造成泄密等问题，</w:t>
      </w:r>
      <w:r>
        <w:rPr>
          <w:rFonts w:hint="eastAsia" w:ascii="宋体" w:hAnsi="宋体" w:eastAsia="宋体" w:cs="宋体"/>
          <w:color w:val="auto"/>
          <w:sz w:val="24"/>
          <w:szCs w:val="28"/>
          <w:highlight w:val="none"/>
          <w:lang w:val="en-US" w:eastAsia="zh-CN"/>
        </w:rPr>
        <w:t>乙方应</w:t>
      </w:r>
      <w:r>
        <w:rPr>
          <w:rFonts w:hint="eastAsia" w:ascii="宋体" w:hAnsi="宋体" w:eastAsia="宋体" w:cs="宋体"/>
          <w:color w:val="auto"/>
          <w:sz w:val="24"/>
          <w:szCs w:val="28"/>
          <w:highlight w:val="none"/>
          <w:lang w:val="zh-CN"/>
        </w:rPr>
        <w:t>承担相应的</w:t>
      </w:r>
      <w:r>
        <w:rPr>
          <w:rFonts w:hint="eastAsia" w:ascii="宋体" w:hAnsi="宋体" w:eastAsia="宋体" w:cs="宋体"/>
          <w:color w:val="auto"/>
          <w:sz w:val="24"/>
          <w:szCs w:val="28"/>
          <w:highlight w:val="none"/>
          <w:lang w:val="en-US" w:eastAsia="zh-CN"/>
        </w:rPr>
        <w:t>经济和法律</w:t>
      </w:r>
      <w:r>
        <w:rPr>
          <w:rFonts w:hint="eastAsia" w:ascii="宋体" w:hAnsi="宋体" w:eastAsia="宋体" w:cs="宋体"/>
          <w:color w:val="auto"/>
          <w:sz w:val="24"/>
          <w:szCs w:val="28"/>
          <w:highlight w:val="none"/>
          <w:lang w:val="zh-CN"/>
        </w:rPr>
        <w:t>责任。</w:t>
      </w:r>
    </w:p>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九、不可抗力</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双方任一方由于受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火灾、洪水、台风、地震等，以及双方同意的其他不可抗力事件。</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受阻一方应在不可抗力事件发生后尽快用电报、传真或电话通知对方，并于事件发生后14天内将有关当局出具的证明文件用特快专递或挂号信寄给对方审阅确认。一旦不可抗力事件的影响持续120天以上，双方应通过友好协商在合理的时间内达成进一步履行合同的协议，甲方也可考虑解除合同。</w:t>
      </w:r>
    </w:p>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十、争端的解决</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合同实施或与合同有关的一切争端应通过双方友好协商解决。如果友好协商开始后60天还不能解决，可向杭州仲裁委员会申请仲裁。</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仲裁裁决应为最终裁决，对双方均具有约束力。</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仲裁费除仲裁机关另有裁决外均应由败诉方负担。</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在仲裁期间，除正在进行仲裁的部分外，本合同其它部分应继续执行。</w:t>
      </w:r>
    </w:p>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十一、合同生效</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rPr>
        <w:t>本合同自双方授权代表签字并加盖公章后生效，合同有效期至甲乙双方权利义务履行完毕。</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对本合同条款的任何补充、增添或修改应以书面方式进行，由双方授权代表签字盖章，作为合同不可分割的组成部分。</w:t>
      </w:r>
    </w:p>
    <w:p>
      <w:pPr>
        <w:snapToGrid w:val="0"/>
        <w:spacing w:line="360" w:lineRule="auto"/>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十二、其它约定事项</w:t>
      </w:r>
    </w:p>
    <w:p>
      <w:pPr>
        <w:snapToGrid w:val="0"/>
        <w:spacing w:line="360" w:lineRule="auto"/>
        <w:ind w:firstLine="480"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在本合同执行过程中，乙方应及时答复和解决与合同设备有关的技术问题，并负责提供相应的技术文件。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lang w:val="zh-CN"/>
        </w:rPr>
        <w:t>双方的单位地址、邮编、开户行及帐号、项目负责人、电话等若有变更，须及时书面通知对方。</w:t>
      </w:r>
      <w:r>
        <w:rPr>
          <w:rFonts w:hint="eastAsia" w:ascii="宋体" w:hAnsi="宋体" w:eastAsia="宋体" w:cs="宋体"/>
          <w:color w:val="auto"/>
          <w:sz w:val="24"/>
          <w:highlight w:val="none"/>
        </w:rPr>
        <w:t xml:space="preserve"> </w:t>
      </w:r>
    </w:p>
    <w:p>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十三、附 则</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1、本合同执行期间，如遇不可抗力，致使合同无法履行时，双方应按有关法律规定及时协商处理。</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2、本合同未尽事宜，按法律和国家有关部门的规定执行，无规定的，双方协商解决。</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3、甲方的招标文件及乙方的投标文件均为本合同组成部分。</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4、本合同在履行中如发生争议，双方友好协商解决，调解不成的，双方同意由杭州仲裁委员会仲裁。</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5、本合同正本  页，一式陆份，甲乙双方各执叁份，具有同等法律效力。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6、本合同自甲乙双方签字盖章确认之日起生效。</w:t>
      </w: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地址：</w:t>
      </w: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          法定代表人或委托代理人：</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                            账号：</w:t>
      </w: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签订时间：</w:t>
      </w:r>
    </w:p>
    <w:p>
      <w:pPr>
        <w:snapToGrid w:val="0"/>
        <w:spacing w:line="360" w:lineRule="auto"/>
        <w:jc w:val="center"/>
        <w:rPr>
          <w:rFonts w:hint="eastAsia" w:ascii="宋体" w:hAnsi="宋体" w:eastAsia="宋体" w:cs="宋体"/>
          <w:b/>
          <w:color w:val="auto"/>
          <w:sz w:val="32"/>
          <w:szCs w:val="32"/>
          <w:highlight w:val="none"/>
        </w:rPr>
        <w:sectPr>
          <w:footerReference r:id="rId11" w:type="first"/>
          <w:pgSz w:w="11906" w:h="16838"/>
          <w:pgMar w:top="1440" w:right="1800" w:bottom="1440" w:left="1800" w:header="851" w:footer="992" w:gutter="0"/>
          <w:pgNumType w:fmt="decimal"/>
          <w:cols w:space="720" w:num="1"/>
          <w:titlePg/>
          <w:docGrid w:type="lines" w:linePitch="312" w:charSpace="0"/>
        </w:sectPr>
      </w:pPr>
    </w:p>
    <w:p>
      <w:pPr>
        <w:autoSpaceDE w:val="0"/>
        <w:autoSpaceDN w:val="0"/>
        <w:adjustRightIn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附件1：</w:t>
      </w:r>
    </w:p>
    <w:p>
      <w:pPr>
        <w:keepNext w:val="0"/>
        <w:keepLines w:val="0"/>
        <w:pageBreakBefore w:val="0"/>
        <w:widowControl/>
        <w:kinsoku/>
        <w:wordWrap/>
        <w:overflowPunct/>
        <w:topLinePunct w:val="0"/>
        <w:autoSpaceDE/>
        <w:autoSpaceDN/>
        <w:bidi w:val="0"/>
        <w:adjustRightInd w:val="0"/>
        <w:snapToGrid w:val="0"/>
        <w:spacing w:line="1000" w:lineRule="exact"/>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rPr>
        <w:t>装备验收</w:t>
      </w:r>
      <w:r>
        <w:rPr>
          <w:rFonts w:hint="eastAsia" w:ascii="宋体" w:hAnsi="宋体" w:eastAsia="宋体" w:cs="宋体"/>
          <w:b/>
          <w:bCs w:val="0"/>
          <w:color w:val="auto"/>
          <w:kern w:val="0"/>
          <w:sz w:val="28"/>
          <w:szCs w:val="28"/>
          <w:highlight w:val="none"/>
          <w:lang w:val="en-US" w:eastAsia="zh-CN"/>
        </w:rPr>
        <w:t>单</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 xml:space="preserve"> ：</w:t>
      </w:r>
    </w:p>
    <w:p>
      <w:pPr>
        <w:pStyle w:val="41"/>
        <w:keepNext w:val="0"/>
        <w:keepLines w:val="0"/>
        <w:pageBreakBefore w:val="0"/>
        <w:widowControl w:val="0"/>
        <w:kinsoku/>
        <w:wordWrap/>
        <w:overflowPunct/>
        <w:topLinePunct w:val="0"/>
        <w:bidi w:val="0"/>
        <w:adjustRightInd w:val="0"/>
        <w:spacing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bCs/>
          <w:color w:val="auto"/>
          <w:kern w:val="2"/>
          <w:sz w:val="24"/>
          <w:szCs w:val="24"/>
          <w:highlight w:val="none"/>
          <w:lang w:val="en-US" w:eastAsia="zh-CN" w:bidi="ar-SA"/>
        </w:rPr>
        <w:t>根据你公司装备到货验收申请，我单位装备验收小组按照验收相关规定组织开展实地验收，具体情况如下：</w:t>
      </w:r>
    </w:p>
    <w:tbl>
      <w:tblPr>
        <w:tblStyle w:val="33"/>
        <w:tblW w:w="9329" w:type="dxa"/>
        <w:jc w:val="center"/>
        <w:tblLayout w:type="fixed"/>
        <w:tblCellMar>
          <w:top w:w="0" w:type="dxa"/>
          <w:left w:w="108" w:type="dxa"/>
          <w:bottom w:w="0" w:type="dxa"/>
          <w:right w:w="108" w:type="dxa"/>
        </w:tblCellMar>
      </w:tblPr>
      <w:tblGrid>
        <w:gridCol w:w="752"/>
        <w:gridCol w:w="2"/>
        <w:gridCol w:w="1299"/>
        <w:gridCol w:w="1283"/>
        <w:gridCol w:w="1351"/>
        <w:gridCol w:w="903"/>
        <w:gridCol w:w="202"/>
        <w:gridCol w:w="905"/>
        <w:gridCol w:w="430"/>
        <w:gridCol w:w="691"/>
        <w:gridCol w:w="1511"/>
      </w:tblGrid>
      <w:tr>
        <w:tblPrEx>
          <w:tblCellMar>
            <w:top w:w="0" w:type="dxa"/>
            <w:left w:w="108" w:type="dxa"/>
            <w:bottom w:w="0" w:type="dxa"/>
            <w:right w:w="108" w:type="dxa"/>
          </w:tblCellMar>
        </w:tblPrEx>
        <w:trPr>
          <w:trHeight w:val="590" w:hRule="atLeast"/>
          <w:jc w:val="center"/>
        </w:trPr>
        <w:tc>
          <w:tcPr>
            <w:tcW w:w="9329" w:type="dxa"/>
            <w:gridSpan w:val="11"/>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验收装备情况</w:t>
            </w:r>
          </w:p>
        </w:tc>
      </w:tr>
      <w:tr>
        <w:tblPrEx>
          <w:tblCellMar>
            <w:top w:w="0" w:type="dxa"/>
            <w:left w:w="108" w:type="dxa"/>
            <w:bottom w:w="0" w:type="dxa"/>
            <w:right w:w="108" w:type="dxa"/>
          </w:tblCellMar>
        </w:tblPrEx>
        <w:trPr>
          <w:trHeight w:val="590" w:hRule="atLeast"/>
          <w:jc w:val="center"/>
        </w:trPr>
        <w:tc>
          <w:tcPr>
            <w:tcW w:w="75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序号</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合同编号</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装备名称</w:t>
            </w:r>
          </w:p>
        </w:tc>
        <w:tc>
          <w:tcPr>
            <w:tcW w:w="135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规格型号</w:t>
            </w:r>
          </w:p>
        </w:tc>
        <w:tc>
          <w:tcPr>
            <w:tcW w:w="9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数量</w:t>
            </w:r>
          </w:p>
        </w:tc>
        <w:tc>
          <w:tcPr>
            <w:tcW w:w="11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单价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lang w:eastAsia="zh-CN"/>
              </w:rPr>
              <w:t>）</w:t>
            </w: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总价</w:t>
            </w:r>
            <w:r>
              <w:rPr>
                <w:rFonts w:hint="eastAsia" w:ascii="宋体" w:hAnsi="宋体" w:eastAsia="宋体" w:cs="宋体"/>
                <w:bCs/>
                <w:color w:val="auto"/>
                <w:sz w:val="24"/>
                <w:szCs w:val="24"/>
                <w:highlight w:val="none"/>
                <w:lang w:val="en-US" w:eastAsia="zh-CN"/>
              </w:rPr>
              <w:t>(万)</w:t>
            </w:r>
          </w:p>
        </w:tc>
        <w:tc>
          <w:tcPr>
            <w:tcW w:w="1511"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备注</w:t>
            </w:r>
          </w:p>
        </w:tc>
      </w:tr>
      <w:tr>
        <w:tblPrEx>
          <w:tblCellMar>
            <w:top w:w="0" w:type="dxa"/>
            <w:left w:w="108" w:type="dxa"/>
            <w:bottom w:w="0" w:type="dxa"/>
            <w:right w:w="108" w:type="dxa"/>
          </w:tblCellMar>
        </w:tblPrEx>
        <w:trPr>
          <w:trHeight w:val="590" w:hRule="atLeast"/>
          <w:jc w:val="center"/>
        </w:trPr>
        <w:tc>
          <w:tcPr>
            <w:tcW w:w="7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511"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90" w:hRule="atLeast"/>
          <w:jc w:val="center"/>
        </w:trPr>
        <w:tc>
          <w:tcPr>
            <w:tcW w:w="7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511"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90" w:hRule="atLeast"/>
          <w:jc w:val="center"/>
        </w:trPr>
        <w:tc>
          <w:tcPr>
            <w:tcW w:w="7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511"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90" w:hRule="atLeast"/>
          <w:jc w:val="center"/>
        </w:trPr>
        <w:tc>
          <w:tcPr>
            <w:tcW w:w="7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511"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90" w:hRule="atLeast"/>
          <w:jc w:val="center"/>
        </w:trPr>
        <w:tc>
          <w:tcPr>
            <w:tcW w:w="7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Cs/>
                <w:color w:val="auto"/>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c>
          <w:tcPr>
            <w:tcW w:w="1511"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90" w:hRule="atLeast"/>
          <w:jc w:val="center"/>
        </w:trPr>
        <w:tc>
          <w:tcPr>
            <w:tcW w:w="9329"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一致性</w:t>
            </w:r>
            <w:r>
              <w:rPr>
                <w:rFonts w:hint="eastAsia" w:ascii="宋体" w:hAnsi="宋体" w:eastAsia="宋体" w:cs="宋体"/>
                <w:b w:val="0"/>
                <w:bCs w:val="0"/>
                <w:color w:val="auto"/>
                <w:kern w:val="0"/>
                <w:sz w:val="24"/>
                <w:szCs w:val="24"/>
                <w:highlight w:val="none"/>
                <w:lang w:val="en-US" w:eastAsia="zh-CN"/>
              </w:rPr>
              <w:t>检查</w:t>
            </w:r>
            <w:r>
              <w:rPr>
                <w:rFonts w:hint="eastAsia" w:ascii="宋体" w:hAnsi="宋体" w:eastAsia="宋体" w:cs="宋体"/>
                <w:b w:val="0"/>
                <w:bCs w:val="0"/>
                <w:color w:val="auto"/>
                <w:kern w:val="0"/>
                <w:sz w:val="24"/>
                <w:szCs w:val="24"/>
                <w:highlight w:val="none"/>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shd w:val="clear" w:color="auto" w:fill="auto"/>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82" w:type="dxa"/>
            <w:gridSpan w:val="2"/>
            <w:shd w:val="clear" w:color="auto" w:fill="FFFFFF"/>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检查</w:t>
            </w:r>
            <w:r>
              <w:rPr>
                <w:rFonts w:hint="eastAsia" w:ascii="宋体" w:hAnsi="宋体" w:eastAsia="宋体" w:cs="宋体"/>
                <w:color w:val="auto"/>
                <w:sz w:val="24"/>
                <w:szCs w:val="24"/>
                <w:highlight w:val="none"/>
                <w:lang w:val="en-US" w:eastAsia="zh-CN"/>
              </w:rPr>
              <w:t>内容</w:t>
            </w:r>
          </w:p>
        </w:tc>
        <w:tc>
          <w:tcPr>
            <w:tcW w:w="3791" w:type="dxa"/>
            <w:gridSpan w:val="5"/>
            <w:shd w:val="clear" w:color="auto" w:fill="FFFFFF"/>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检查情况</w:t>
            </w:r>
          </w:p>
        </w:tc>
        <w:tc>
          <w:tcPr>
            <w:tcW w:w="2202" w:type="dxa"/>
            <w:gridSpan w:val="2"/>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资料审查:...</w:t>
            </w: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rPr>
              <w:t>外观检查:...</w:t>
            </w: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主要部件检查:...</w:t>
            </w: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履约时间核查</w:t>
            </w:r>
            <w:r>
              <w:rPr>
                <w:rFonts w:hint="eastAsia" w:ascii="宋体" w:hAnsi="宋体" w:eastAsia="宋体" w:cs="宋体"/>
                <w:color w:val="auto"/>
                <w:sz w:val="24"/>
                <w:szCs w:val="24"/>
                <w:highlight w:val="none"/>
              </w:rPr>
              <w:t>...</w:t>
            </w: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82" w:type="dxa"/>
            <w:gridSpan w:val="2"/>
            <w:noWrap w:val="0"/>
            <w:vAlign w:val="center"/>
          </w:tcPr>
          <w:p>
            <w:pPr>
              <w:spacing w:line="360" w:lineRule="exac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其他</w:t>
            </w:r>
            <w:r>
              <w:rPr>
                <w:rFonts w:hint="eastAsia" w:ascii="宋体" w:hAnsi="宋体" w:eastAsia="宋体" w:cs="宋体"/>
                <w:color w:val="auto"/>
                <w:sz w:val="24"/>
                <w:szCs w:val="24"/>
                <w:highlight w:val="none"/>
              </w:rPr>
              <w:t>...</w:t>
            </w: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29" w:type="dxa"/>
            <w:gridSpan w:val="11"/>
            <w:noWrap w:val="0"/>
            <w:vAlign w:val="center"/>
          </w:tcPr>
          <w:p>
            <w:pPr>
              <w:widowControl/>
              <w:spacing w:line="3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kern w:val="0"/>
                <w:sz w:val="24"/>
                <w:szCs w:val="24"/>
                <w:highlight w:val="none"/>
              </w:rPr>
              <w:t>质量性能测试验收情况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2582" w:type="dxa"/>
            <w:gridSpan w:val="2"/>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测试内容</w:t>
            </w:r>
          </w:p>
        </w:tc>
        <w:tc>
          <w:tcPr>
            <w:tcW w:w="3791" w:type="dxa"/>
            <w:gridSpan w:val="5"/>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测试情况</w:t>
            </w:r>
          </w:p>
        </w:tc>
        <w:tc>
          <w:tcPr>
            <w:tcW w:w="2202" w:type="dxa"/>
            <w:gridSpan w:val="2"/>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lang w:val="en-US"/>
              </w:rPr>
            </w:pP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rPr>
            </w:pP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29" w:type="dxa"/>
            <w:gridSpan w:val="11"/>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其他验收情况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序号</w:t>
            </w:r>
          </w:p>
        </w:tc>
        <w:tc>
          <w:tcPr>
            <w:tcW w:w="2582" w:type="dxa"/>
            <w:gridSpan w:val="2"/>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检查内容</w:t>
            </w:r>
          </w:p>
        </w:tc>
        <w:tc>
          <w:tcPr>
            <w:tcW w:w="3791" w:type="dxa"/>
            <w:gridSpan w:val="5"/>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检查情况</w:t>
            </w:r>
          </w:p>
        </w:tc>
        <w:tc>
          <w:tcPr>
            <w:tcW w:w="2202" w:type="dxa"/>
            <w:gridSpan w:val="2"/>
            <w:noWrap w:val="0"/>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582" w:type="dxa"/>
            <w:gridSpan w:val="2"/>
            <w:noWrap w:val="0"/>
            <w:vAlign w:val="center"/>
          </w:tcPr>
          <w:p>
            <w:pPr>
              <w:spacing w:line="360" w:lineRule="exact"/>
              <w:ind w:firstLine="720" w:firstLineChars="300"/>
              <w:rPr>
                <w:rFonts w:hint="eastAsia" w:ascii="宋体" w:hAnsi="宋体" w:eastAsia="宋体" w:cs="宋体"/>
                <w:color w:val="auto"/>
                <w:sz w:val="24"/>
                <w:szCs w:val="24"/>
                <w:highlight w:val="none"/>
                <w:lang w:val="en-US" w:eastAsia="zh-CN"/>
              </w:rPr>
            </w:pP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gridSpan w:val="2"/>
            <w:noWrap w:val="0"/>
            <w:vAlign w:val="center"/>
          </w:tcPr>
          <w:p>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582" w:type="dxa"/>
            <w:gridSpan w:val="2"/>
            <w:noWrap w:val="0"/>
            <w:vAlign w:val="center"/>
          </w:tcPr>
          <w:p>
            <w:pPr>
              <w:spacing w:line="360" w:lineRule="exact"/>
              <w:rPr>
                <w:rFonts w:hint="eastAsia" w:ascii="宋体" w:hAnsi="宋体" w:eastAsia="宋体" w:cs="宋体"/>
                <w:color w:val="auto"/>
                <w:sz w:val="24"/>
                <w:szCs w:val="24"/>
                <w:highlight w:val="none"/>
              </w:rPr>
            </w:pPr>
          </w:p>
        </w:tc>
        <w:tc>
          <w:tcPr>
            <w:tcW w:w="3791" w:type="dxa"/>
            <w:gridSpan w:val="5"/>
            <w:noWrap w:val="0"/>
            <w:vAlign w:val="center"/>
          </w:tcPr>
          <w:p>
            <w:pPr>
              <w:spacing w:line="360" w:lineRule="exact"/>
              <w:rPr>
                <w:rFonts w:hint="eastAsia" w:ascii="宋体" w:hAnsi="宋体" w:eastAsia="宋体" w:cs="宋体"/>
                <w:color w:val="auto"/>
                <w:sz w:val="24"/>
                <w:szCs w:val="24"/>
                <w:highlight w:val="none"/>
              </w:rPr>
            </w:pPr>
          </w:p>
        </w:tc>
        <w:tc>
          <w:tcPr>
            <w:tcW w:w="2202" w:type="dxa"/>
            <w:gridSpan w:val="2"/>
            <w:noWrap w:val="0"/>
            <w:vAlign w:val="center"/>
          </w:tcPr>
          <w:p>
            <w:pPr>
              <w:spacing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29" w:type="dxa"/>
            <w:gridSpan w:val="11"/>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9329" w:type="dxa"/>
            <w:gridSpan w:val="11"/>
            <w:noWrap w:val="0"/>
            <w:vAlign w:val="center"/>
          </w:tcPr>
          <w:p>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装备厂家技术人员于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日到使用单位开展装备技术培训。装备售货服务联系人：         联系电话：</w:t>
            </w:r>
          </w:p>
          <w:p>
            <w:pPr>
              <w:pStyle w:val="41"/>
              <w:tabs>
                <w:tab w:val="left" w:pos="6234"/>
              </w:tabs>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b/>
            </w:r>
          </w:p>
          <w:p>
            <w:pPr>
              <w:pStyle w:val="41"/>
              <w:tabs>
                <w:tab w:val="left" w:pos="6234"/>
              </w:tabs>
              <w:ind w:firstLine="5280" w:firstLineChars="2200"/>
              <w:rPr>
                <w:rFonts w:hint="eastAsia" w:ascii="宋体" w:hAnsi="宋体" w:eastAsia="宋体" w:cs="宋体"/>
                <w:color w:val="auto"/>
                <w:kern w:val="2"/>
                <w:sz w:val="24"/>
                <w:szCs w:val="24"/>
                <w:highlight w:val="none"/>
                <w:lang w:val="en-US" w:eastAsia="zh-CN" w:bidi="ar-SA"/>
              </w:rPr>
            </w:pPr>
          </w:p>
          <w:p>
            <w:pPr>
              <w:pStyle w:val="41"/>
              <w:tabs>
                <w:tab w:val="left" w:pos="6234"/>
              </w:tabs>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使用单位：（签字盖章）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52" w:type="dxa"/>
            <w:vMerge w:val="restart"/>
            <w:noWrap w:val="0"/>
            <w:vAlign w:val="center"/>
          </w:tcPr>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验</w:t>
            </w:r>
          </w:p>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SA"/>
              </w:rPr>
            </w:pPr>
          </w:p>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收</w:t>
            </w:r>
          </w:p>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SA"/>
              </w:rPr>
            </w:pPr>
          </w:p>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结</w:t>
            </w:r>
          </w:p>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SA"/>
              </w:rPr>
            </w:pPr>
          </w:p>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论</w:t>
            </w:r>
          </w:p>
        </w:tc>
        <w:tc>
          <w:tcPr>
            <w:tcW w:w="8577" w:type="dxa"/>
            <w:gridSpan w:val="10"/>
            <w:noWrap w:val="0"/>
            <w:vAlign w:val="center"/>
          </w:tcPr>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经综合判定，该批装备验收</w:t>
            </w:r>
            <w:r>
              <w:rPr>
                <w:rFonts w:hint="eastAsia" w:ascii="宋体" w:hAnsi="宋体" w:eastAsia="宋体" w:cs="宋体"/>
                <w:b/>
                <w:bCs/>
                <w:color w:val="auto"/>
                <w:kern w:val="2"/>
                <w:sz w:val="24"/>
                <w:szCs w:val="24"/>
                <w:highlight w:val="none"/>
                <w:lang w:val="en-US" w:eastAsia="zh-CN" w:bidi="ar-SA"/>
              </w:rPr>
              <w:t>□合格□基本合格□整改□不合格</w:t>
            </w:r>
            <w:r>
              <w:rPr>
                <w:rFonts w:hint="eastAsia" w:ascii="宋体" w:hAnsi="宋体" w:eastAsia="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752" w:type="dxa"/>
            <w:vMerge w:val="continue"/>
            <w:tcBorders>
              <w:bottom w:val="single" w:color="auto" w:sz="4" w:space="0"/>
            </w:tcBorders>
            <w:noWrap w:val="0"/>
            <w:vAlign w:val="center"/>
          </w:tcPr>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040" w:type="dxa"/>
            <w:gridSpan w:val="6"/>
            <w:tcBorders>
              <w:bottom w:val="single" w:color="auto" w:sz="4" w:space="0"/>
            </w:tcBorders>
            <w:noWrap w:val="0"/>
            <w:vAlign w:val="center"/>
          </w:tcPr>
          <w:p>
            <w:pPr>
              <w:pStyle w:val="41"/>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验收分管领导：</w:t>
            </w: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验收小组组长：</w:t>
            </w:r>
          </w:p>
          <w:p>
            <w:pPr>
              <w:pStyle w:val="4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pPr>
              <w:pStyle w:val="4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成员：    </w:t>
            </w: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pPr>
              <w:pStyle w:val="41"/>
              <w:ind w:firstLine="5760" w:firstLineChars="24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                    （签字盖章）</w:t>
            </w:r>
          </w:p>
          <w:p>
            <w:pPr>
              <w:pStyle w:val="41"/>
              <w:ind w:firstLine="2640" w:firstLineChars="1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  月  日</w:t>
            </w:r>
          </w:p>
          <w:p>
            <w:pPr>
              <w:pStyle w:val="41"/>
              <w:ind w:firstLine="2640" w:firstLineChars="1100"/>
              <w:rPr>
                <w:rFonts w:hint="eastAsia" w:ascii="宋体" w:hAnsi="宋体" w:eastAsia="宋体" w:cs="宋体"/>
                <w:color w:val="auto"/>
                <w:kern w:val="2"/>
                <w:sz w:val="24"/>
                <w:szCs w:val="24"/>
                <w:highlight w:val="none"/>
                <w:lang w:val="en-US" w:eastAsia="zh-CN" w:bidi="ar-SA"/>
              </w:rPr>
            </w:pPr>
          </w:p>
        </w:tc>
        <w:tc>
          <w:tcPr>
            <w:tcW w:w="3537" w:type="dxa"/>
            <w:gridSpan w:val="4"/>
            <w:noWrap w:val="0"/>
            <w:vAlign w:val="center"/>
          </w:tcPr>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w:t>
            </w:r>
          </w:p>
          <w:p>
            <w:pPr>
              <w:pStyle w:val="41"/>
              <w:rPr>
                <w:rFonts w:hint="eastAsia" w:ascii="宋体" w:hAnsi="宋体" w:eastAsia="宋体" w:cs="宋体"/>
                <w:color w:val="auto"/>
                <w:kern w:val="2"/>
                <w:sz w:val="24"/>
                <w:szCs w:val="24"/>
                <w:highlight w:val="none"/>
                <w:lang w:val="en-US" w:eastAsia="zh-CN" w:bidi="ar-SA"/>
              </w:rPr>
            </w:pPr>
          </w:p>
          <w:p>
            <w:pPr>
              <w:pStyle w:val="41"/>
              <w:rPr>
                <w:rFonts w:hint="eastAsia" w:ascii="宋体" w:hAnsi="宋体" w:eastAsia="宋体" w:cs="宋体"/>
                <w:color w:val="auto"/>
                <w:kern w:val="2"/>
                <w:sz w:val="24"/>
                <w:szCs w:val="24"/>
                <w:highlight w:val="none"/>
                <w:lang w:val="en-US" w:eastAsia="zh-CN" w:bidi="ar-SA"/>
              </w:rPr>
            </w:pPr>
          </w:p>
          <w:p>
            <w:pPr>
              <w:pStyle w:val="41"/>
              <w:ind w:firstLine="1200" w:firstLineChars="5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（签字盖章）</w:t>
            </w:r>
          </w:p>
          <w:p>
            <w:pPr>
              <w:pStyle w:val="41"/>
              <w:ind w:firstLine="1440" w:firstLineChars="6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  月  日</w:t>
            </w:r>
          </w:p>
        </w:tc>
      </w:tr>
    </w:tbl>
    <w:p>
      <w:pPr>
        <w:adjustRightInd w:val="0"/>
        <w:snapToGrid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val="en-US" w:eastAsia="zh-CN"/>
        </w:rPr>
        <w:t>装备验收单一式三份，验收单位、使用单位和供应商，正反面打印</w:t>
      </w:r>
      <w:r>
        <w:rPr>
          <w:rFonts w:hint="eastAsia" w:ascii="宋体" w:hAnsi="宋体" w:eastAsia="宋体" w:cs="宋体"/>
          <w:color w:val="auto"/>
          <w:sz w:val="24"/>
          <w:szCs w:val="24"/>
          <w:highlight w:val="none"/>
        </w:rPr>
        <w:t>。</w:t>
      </w:r>
    </w:p>
    <w:p>
      <w:pPr>
        <w:adjustRightInd w:val="0"/>
        <w:snapToGrid w:val="0"/>
        <w:spacing w:line="4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2.消防车辆验收，同时需填写附件3《新购消防车辆检查验收报告》。</w:t>
      </w:r>
    </w:p>
    <w:p>
      <w:pPr>
        <w:adjustRightInd w:val="0"/>
        <w:snapToGrid w:val="0"/>
        <w:spacing w:line="400" w:lineRule="exact"/>
        <w:ind w:firstLine="720" w:firstLineChars="3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kern w:val="0"/>
          <w:sz w:val="24"/>
          <w:highlight w:val="none"/>
        </w:rPr>
      </w:pPr>
    </w:p>
    <w:p>
      <w:pPr>
        <w:pStyle w:val="41"/>
        <w:rPr>
          <w:rFonts w:hint="eastAsia" w:ascii="宋体" w:hAnsi="宋体" w:eastAsia="宋体" w:cs="宋体"/>
          <w:color w:val="auto"/>
          <w:kern w:val="0"/>
          <w:sz w:val="24"/>
          <w:highlight w:val="none"/>
        </w:rPr>
      </w:pPr>
    </w:p>
    <w:p>
      <w:pPr>
        <w:pStyle w:val="41"/>
        <w:rPr>
          <w:rFonts w:hint="eastAsia" w:ascii="宋体" w:hAnsi="宋体" w:eastAsia="宋体" w:cs="宋体"/>
          <w:color w:val="auto"/>
          <w:kern w:val="0"/>
          <w:sz w:val="24"/>
          <w:highlight w:val="none"/>
        </w:rPr>
      </w:pPr>
    </w:p>
    <w:p>
      <w:pPr>
        <w:pStyle w:val="41"/>
        <w:rPr>
          <w:rFonts w:hint="eastAsia" w:ascii="宋体" w:hAnsi="宋体" w:eastAsia="宋体" w:cs="宋体"/>
          <w:color w:val="auto"/>
          <w:kern w:val="0"/>
          <w:sz w:val="24"/>
          <w:highlight w:val="none"/>
        </w:rPr>
      </w:pPr>
    </w:p>
    <w:p>
      <w:pPr>
        <w:pStyle w:val="41"/>
        <w:rPr>
          <w:rFonts w:hint="eastAsia" w:ascii="宋体" w:hAnsi="宋体" w:eastAsia="宋体" w:cs="宋体"/>
          <w:color w:val="auto"/>
          <w:kern w:val="0"/>
          <w:sz w:val="24"/>
          <w:highlight w:val="none"/>
        </w:rPr>
      </w:pPr>
    </w:p>
    <w:p>
      <w:pPr>
        <w:pStyle w:val="41"/>
        <w:rPr>
          <w:rFonts w:hint="eastAsia" w:ascii="宋体" w:hAnsi="宋体" w:eastAsia="宋体" w:cs="宋体"/>
          <w:color w:val="auto"/>
          <w:kern w:val="0"/>
          <w:sz w:val="24"/>
          <w:highlight w:val="none"/>
        </w:rPr>
      </w:pPr>
    </w:p>
    <w:p>
      <w:pPr>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附件2：</w:t>
      </w:r>
    </w:p>
    <w:p>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pPr>
        <w:autoSpaceDE w:val="0"/>
        <w:autoSpaceDN w:val="0"/>
        <w:adjustRightInd w:val="0"/>
        <w:spacing w:line="360" w:lineRule="auto"/>
        <w:jc w:val="center"/>
        <w:rPr>
          <w:rFonts w:hint="eastAsia" w:ascii="宋体" w:hAnsi="宋体" w:eastAsia="宋体" w:cs="宋体"/>
          <w:b/>
          <w:color w:val="auto"/>
          <w:kern w:val="28"/>
          <w:sz w:val="24"/>
          <w:highlight w:val="none"/>
        </w:rPr>
      </w:pPr>
      <w:r>
        <w:rPr>
          <w:rFonts w:hint="eastAsia" w:ascii="宋体" w:hAnsi="宋体" w:eastAsia="宋体" w:cs="宋体"/>
          <w:b/>
          <w:color w:val="auto"/>
          <w:kern w:val="28"/>
          <w:sz w:val="24"/>
          <w:highlight w:val="none"/>
        </w:rPr>
        <w:t>质保期内无质量疑义证明文件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贵单位合同项下《国产消防器材装备采购合同》(合同编号: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)质保期己满。在质保期内无质量问题，现经我单位确认，同意支付质量保证金，特此回复。清单如下：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28"/>
        <w:gridCol w:w="1692"/>
        <w:gridCol w:w="864"/>
        <w:gridCol w:w="147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品名</w:t>
            </w:r>
          </w:p>
        </w:tc>
        <w:tc>
          <w:tcPr>
            <w:tcW w:w="169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w:t>
            </w:r>
          </w:p>
        </w:tc>
        <w:tc>
          <w:tcPr>
            <w:tcW w:w="86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476"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216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配置简述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1476" w:type="dxa"/>
            <w:vAlign w:val="center"/>
          </w:tcPr>
          <w:p>
            <w:pPr>
              <w:spacing w:line="360" w:lineRule="auto"/>
              <w:jc w:val="center"/>
              <w:rPr>
                <w:rFonts w:hint="eastAsia" w:ascii="宋体" w:hAnsi="宋体" w:eastAsia="宋体" w:cs="宋体"/>
                <w:color w:val="auto"/>
                <w:sz w:val="24"/>
                <w:highlight w:val="none"/>
              </w:rPr>
            </w:pPr>
          </w:p>
        </w:tc>
        <w:tc>
          <w:tcPr>
            <w:tcW w:w="216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1476" w:type="dxa"/>
            <w:vAlign w:val="center"/>
          </w:tcPr>
          <w:p>
            <w:pPr>
              <w:spacing w:line="360" w:lineRule="auto"/>
              <w:jc w:val="center"/>
              <w:rPr>
                <w:rFonts w:hint="eastAsia" w:ascii="宋体" w:hAnsi="宋体" w:eastAsia="宋体" w:cs="宋体"/>
                <w:color w:val="auto"/>
                <w:sz w:val="24"/>
                <w:highlight w:val="none"/>
              </w:rPr>
            </w:pPr>
          </w:p>
        </w:tc>
        <w:tc>
          <w:tcPr>
            <w:tcW w:w="216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1476" w:type="dxa"/>
            <w:vAlign w:val="center"/>
          </w:tcPr>
          <w:p>
            <w:pPr>
              <w:spacing w:line="360" w:lineRule="auto"/>
              <w:jc w:val="center"/>
              <w:rPr>
                <w:rFonts w:hint="eastAsia" w:ascii="宋体" w:hAnsi="宋体" w:eastAsia="宋体" w:cs="宋体"/>
                <w:color w:val="auto"/>
                <w:sz w:val="24"/>
                <w:highlight w:val="none"/>
              </w:rPr>
            </w:pPr>
          </w:p>
        </w:tc>
        <w:tc>
          <w:tcPr>
            <w:tcW w:w="216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1476" w:type="dxa"/>
            <w:vAlign w:val="center"/>
          </w:tcPr>
          <w:p>
            <w:pPr>
              <w:spacing w:line="360" w:lineRule="auto"/>
              <w:jc w:val="center"/>
              <w:rPr>
                <w:rFonts w:hint="eastAsia" w:ascii="宋体" w:hAnsi="宋体" w:eastAsia="宋体" w:cs="宋体"/>
                <w:color w:val="auto"/>
                <w:sz w:val="24"/>
                <w:highlight w:val="none"/>
              </w:rPr>
            </w:pPr>
          </w:p>
        </w:tc>
        <w:tc>
          <w:tcPr>
            <w:tcW w:w="216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1476" w:type="dxa"/>
            <w:vAlign w:val="center"/>
          </w:tcPr>
          <w:p>
            <w:pPr>
              <w:spacing w:line="360" w:lineRule="auto"/>
              <w:jc w:val="center"/>
              <w:rPr>
                <w:rFonts w:hint="eastAsia" w:ascii="宋体" w:hAnsi="宋体" w:eastAsia="宋体" w:cs="宋体"/>
                <w:color w:val="auto"/>
                <w:sz w:val="24"/>
                <w:highlight w:val="none"/>
              </w:rPr>
            </w:pPr>
          </w:p>
        </w:tc>
        <w:tc>
          <w:tcPr>
            <w:tcW w:w="2160" w:type="dxa"/>
            <w:vAlign w:val="center"/>
          </w:tcPr>
          <w:p>
            <w:pPr>
              <w:spacing w:line="360" w:lineRule="auto"/>
              <w:jc w:val="center"/>
              <w:rPr>
                <w:rFonts w:hint="eastAsia" w:ascii="宋体" w:hAnsi="宋体" w:eastAsia="宋体" w:cs="宋体"/>
                <w:color w:val="auto"/>
                <w:sz w:val="24"/>
                <w:highlight w:val="none"/>
              </w:rPr>
            </w:pPr>
          </w:p>
        </w:tc>
      </w:tr>
    </w:tbl>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使用单位(大中队签字盖章)：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审核单位(支队签字盖章)：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注：本证明文件由使用单位打印填写，由审核单位查对后签字盖章。本证明文件一式三份，一份交采购人做</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5%货款支付凭证，一份由使用单位留存，一份由供应商留存。</w:t>
      </w:r>
    </w:p>
    <w:p>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pStyle w:val="2"/>
        <w:jc w:val="center"/>
        <w:rPr>
          <w:rFonts w:hint="eastAsia" w:ascii="宋体" w:hAnsi="宋体" w:eastAsia="宋体" w:cs="宋体"/>
          <w:color w:val="auto"/>
          <w:sz w:val="32"/>
          <w:szCs w:val="32"/>
          <w:highlight w:val="none"/>
        </w:rPr>
      </w:pPr>
      <w:bookmarkStart w:id="57" w:name="_Toc12849"/>
      <w:bookmarkStart w:id="58" w:name="_Toc19244"/>
      <w:r>
        <w:rPr>
          <w:rFonts w:hint="eastAsia" w:ascii="宋体" w:hAnsi="宋体" w:eastAsia="宋体" w:cs="宋体"/>
          <w:color w:val="auto"/>
          <w:sz w:val="32"/>
          <w:szCs w:val="32"/>
          <w:highlight w:val="none"/>
        </w:rPr>
        <w:t>送样清单</w:t>
      </w:r>
      <w:bookmarkEnd w:id="57"/>
      <w:bookmarkEnd w:id="58"/>
    </w:p>
    <w:tbl>
      <w:tblPr>
        <w:tblStyle w:val="3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28"/>
        <w:gridCol w:w="1692"/>
        <w:gridCol w:w="864"/>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品名</w:t>
            </w:r>
          </w:p>
        </w:tc>
        <w:tc>
          <w:tcPr>
            <w:tcW w:w="169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w:t>
            </w:r>
          </w:p>
        </w:tc>
        <w:tc>
          <w:tcPr>
            <w:tcW w:w="86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3636"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配置简述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bl>
    <w:p>
      <w:pPr>
        <w:rPr>
          <w:rFonts w:hint="eastAsia" w:ascii="宋体" w:hAnsi="宋体" w:eastAsia="宋体" w:cs="宋体"/>
          <w:b/>
          <w:color w:val="auto"/>
          <w:highlight w:val="none"/>
        </w:rPr>
      </w:pPr>
      <w:r>
        <w:rPr>
          <w:rFonts w:hint="eastAsia" w:ascii="宋体" w:hAnsi="宋体" w:eastAsia="宋体" w:cs="宋体"/>
          <w:b/>
          <w:color w:val="auto"/>
          <w:highlight w:val="none"/>
        </w:rPr>
        <w:t>注：送样时要求提供样品的检测报告。</w:t>
      </w: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送样单位(盖章)：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收样单位(签字或盖章)：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注：本单据由送样单位打印填写，由收样单位查对后签字或盖章。本证明文件一式三份，一份交采购人，一份由送样留存，一份由收样留存。</w:t>
      </w:r>
    </w:p>
    <w:p>
      <w:pPr>
        <w:pStyle w:val="2"/>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snapToGrid w:val="0"/>
        <w:spacing w:line="360" w:lineRule="auto"/>
        <w:jc w:val="center"/>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附件4</w:t>
      </w:r>
    </w:p>
    <w:p>
      <w:pPr>
        <w:pStyle w:val="2"/>
        <w:jc w:val="center"/>
        <w:rPr>
          <w:rFonts w:hint="eastAsia" w:ascii="宋体" w:hAnsi="宋体" w:eastAsia="宋体" w:cs="宋体"/>
          <w:color w:val="auto"/>
          <w:sz w:val="32"/>
          <w:szCs w:val="32"/>
          <w:highlight w:val="none"/>
        </w:rPr>
      </w:pPr>
      <w:bookmarkStart w:id="59" w:name="_Toc3338"/>
      <w:bookmarkStart w:id="60" w:name="_Toc12890"/>
      <w:r>
        <w:rPr>
          <w:rFonts w:hint="eastAsia" w:ascii="宋体" w:hAnsi="宋体" w:eastAsia="宋体" w:cs="宋体"/>
          <w:color w:val="auto"/>
          <w:sz w:val="32"/>
          <w:szCs w:val="32"/>
          <w:highlight w:val="none"/>
        </w:rPr>
        <w:t>退样清单</w:t>
      </w:r>
      <w:bookmarkEnd w:id="59"/>
      <w:bookmarkEnd w:id="60"/>
    </w:p>
    <w:tbl>
      <w:tblPr>
        <w:tblStyle w:val="3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28"/>
        <w:gridCol w:w="1692"/>
        <w:gridCol w:w="864"/>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品名</w:t>
            </w:r>
          </w:p>
        </w:tc>
        <w:tc>
          <w:tcPr>
            <w:tcW w:w="169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品牌、型号</w:t>
            </w:r>
          </w:p>
        </w:tc>
        <w:tc>
          <w:tcPr>
            <w:tcW w:w="86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3636"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配置简述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28" w:type="dxa"/>
            <w:vAlign w:val="center"/>
          </w:tcPr>
          <w:p>
            <w:pPr>
              <w:spacing w:line="360" w:lineRule="auto"/>
              <w:jc w:val="center"/>
              <w:rPr>
                <w:rFonts w:hint="eastAsia" w:ascii="宋体" w:hAnsi="宋体" w:eastAsia="宋体" w:cs="宋体"/>
                <w:color w:val="auto"/>
                <w:sz w:val="24"/>
                <w:highlight w:val="none"/>
              </w:rPr>
            </w:pPr>
          </w:p>
        </w:tc>
        <w:tc>
          <w:tcPr>
            <w:tcW w:w="1692" w:type="dxa"/>
            <w:vAlign w:val="center"/>
          </w:tcPr>
          <w:p>
            <w:pPr>
              <w:spacing w:line="360" w:lineRule="auto"/>
              <w:jc w:val="center"/>
              <w:rPr>
                <w:rFonts w:hint="eastAsia" w:ascii="宋体" w:hAnsi="宋体" w:eastAsia="宋体" w:cs="宋体"/>
                <w:color w:val="auto"/>
                <w:sz w:val="24"/>
                <w:highlight w:val="none"/>
              </w:rPr>
            </w:pPr>
          </w:p>
        </w:tc>
        <w:tc>
          <w:tcPr>
            <w:tcW w:w="864" w:type="dxa"/>
            <w:vAlign w:val="center"/>
          </w:tcPr>
          <w:p>
            <w:pPr>
              <w:spacing w:line="360" w:lineRule="auto"/>
              <w:jc w:val="center"/>
              <w:rPr>
                <w:rFonts w:hint="eastAsia" w:ascii="宋体" w:hAnsi="宋体" w:eastAsia="宋体" w:cs="宋体"/>
                <w:color w:val="auto"/>
                <w:sz w:val="24"/>
                <w:highlight w:val="none"/>
              </w:rPr>
            </w:pPr>
          </w:p>
        </w:tc>
        <w:tc>
          <w:tcPr>
            <w:tcW w:w="363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3" w:hRule="atLeast"/>
        </w:trPr>
        <w:tc>
          <w:tcPr>
            <w:tcW w:w="8748" w:type="dxa"/>
            <w:gridSpan w:val="5"/>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检测结果：</w:t>
            </w:r>
          </w:p>
        </w:tc>
      </w:tr>
    </w:tbl>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送样单位(盖章)：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收样单位(签字或盖章)：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注：本单据由送样单位打印填写，由收样单位查对后签字或盖章。本证明文件一式三份，一份交采购人，一份由送样留存，一份由收样留存。</w:t>
      </w:r>
    </w:p>
    <w:p>
      <w:pPr>
        <w:snapToGrid w:val="0"/>
        <w:spacing w:line="360" w:lineRule="auto"/>
        <w:jc w:val="center"/>
        <w:rPr>
          <w:rFonts w:hint="eastAsia" w:ascii="宋体" w:hAnsi="宋体" w:eastAsia="宋体" w:cs="宋体"/>
          <w:b/>
          <w:color w:val="auto"/>
          <w:sz w:val="32"/>
          <w:szCs w:val="32"/>
          <w:highlight w:val="none"/>
        </w:rPr>
      </w:pPr>
    </w:p>
    <w:p>
      <w:pPr>
        <w:snapToGrid w:val="0"/>
        <w:spacing w:line="360" w:lineRule="auto"/>
        <w:jc w:val="center"/>
        <w:outlineLvl w:val="0"/>
        <w:rPr>
          <w:rFonts w:hint="eastAsia" w:ascii="宋体" w:hAnsi="宋体" w:eastAsia="宋体" w:cs="宋体"/>
          <w:b/>
          <w:bCs/>
          <w:color w:val="auto"/>
          <w:sz w:val="32"/>
          <w:szCs w:val="32"/>
          <w:highlight w:val="none"/>
        </w:rPr>
      </w:pPr>
      <w:bookmarkStart w:id="61" w:name="_Toc28239"/>
      <w:r>
        <w:rPr>
          <w:rFonts w:hint="eastAsia" w:ascii="宋体" w:hAnsi="宋体" w:eastAsia="宋体" w:cs="宋体"/>
          <w:b/>
          <w:color w:val="auto"/>
          <w:sz w:val="32"/>
          <w:szCs w:val="32"/>
          <w:highlight w:val="none"/>
        </w:rPr>
        <w:t>第六部分  投标文件格式</w:t>
      </w:r>
      <w:bookmarkEnd w:id="61"/>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1、投标文件由投标人根据招标文件要求参照附件格式编制。</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2、投标人根据实际情况填写。</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3、招标文件中没有参考格式的，由投标人自行编制。</w:t>
      </w: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before="156" w:beforeLines="50" w:after="50" w:line="360" w:lineRule="auto"/>
        <w:outlineLvl w:val="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bookmarkStart w:id="62" w:name="_Toc23472"/>
      <w:bookmarkStart w:id="63" w:name="_Toc30674"/>
      <w:r>
        <w:rPr>
          <w:rFonts w:hint="eastAsia" w:ascii="宋体" w:hAnsi="宋体" w:eastAsia="宋体" w:cs="宋体"/>
          <w:color w:val="auto"/>
          <w:sz w:val="30"/>
          <w:szCs w:val="30"/>
          <w:highlight w:val="none"/>
        </w:rPr>
        <w:t>封面</w:t>
      </w:r>
      <w:r>
        <w:rPr>
          <w:rFonts w:hint="eastAsia" w:ascii="宋体" w:hAnsi="宋体" w:eastAsia="宋体" w:cs="宋体"/>
          <w:b/>
          <w:color w:val="auto"/>
          <w:sz w:val="30"/>
          <w:szCs w:val="30"/>
          <w:highlight w:val="none"/>
        </w:rPr>
        <w:t xml:space="preserve">：                                     </w:t>
      </w:r>
      <w:r>
        <w:rPr>
          <w:rFonts w:hint="eastAsia" w:ascii="宋体" w:hAnsi="宋体" w:eastAsia="宋体" w:cs="宋体"/>
          <w:bCs/>
          <w:color w:val="auto"/>
          <w:sz w:val="30"/>
          <w:szCs w:val="30"/>
          <w:highlight w:val="none"/>
        </w:rPr>
        <w:t>正本或副本</w:t>
      </w:r>
      <w:bookmarkEnd w:id="62"/>
      <w:bookmarkEnd w:id="63"/>
    </w:p>
    <w:p>
      <w:pPr>
        <w:snapToGrid w:val="0"/>
        <w:spacing w:before="156" w:beforeLines="50" w:after="50" w:line="360" w:lineRule="auto"/>
        <w:jc w:val="right"/>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rPr>
        <w:t xml:space="preserve">                                            </w:t>
      </w:r>
    </w:p>
    <w:p>
      <w:pPr>
        <w:snapToGrid w:val="0"/>
        <w:spacing w:line="360" w:lineRule="auto"/>
        <w:ind w:right="-110"/>
        <w:jc w:val="center"/>
        <w:outlineLvl w:val="0"/>
        <w:rPr>
          <w:rFonts w:hint="eastAsia" w:ascii="宋体" w:hAnsi="宋体" w:eastAsia="宋体" w:cs="宋体"/>
          <w:color w:val="auto"/>
          <w:spacing w:val="40"/>
          <w:sz w:val="52"/>
          <w:szCs w:val="52"/>
          <w:highlight w:val="none"/>
        </w:rPr>
      </w:pPr>
      <w:bookmarkStart w:id="64" w:name="_Toc11655"/>
      <w:bookmarkStart w:id="65" w:name="_Toc19883"/>
      <w:r>
        <w:rPr>
          <w:rFonts w:hint="eastAsia" w:ascii="宋体" w:hAnsi="宋体" w:eastAsia="宋体" w:cs="宋体"/>
          <w:color w:val="auto"/>
          <w:spacing w:val="40"/>
          <w:sz w:val="52"/>
          <w:szCs w:val="52"/>
          <w:highlight w:val="none"/>
        </w:rPr>
        <w:t>***项目名称</w:t>
      </w:r>
      <w:bookmarkEnd w:id="64"/>
      <w:bookmarkEnd w:id="65"/>
    </w:p>
    <w:p>
      <w:pPr>
        <w:snapToGrid w:val="0"/>
        <w:spacing w:before="312" w:beforeLines="100" w:line="360" w:lineRule="auto"/>
        <w:ind w:right="-108"/>
        <w:jc w:val="center"/>
        <w:outlineLvl w:val="0"/>
        <w:rPr>
          <w:rFonts w:hint="eastAsia" w:ascii="宋体" w:hAnsi="宋体" w:eastAsia="宋体" w:cs="宋体"/>
          <w:color w:val="auto"/>
          <w:sz w:val="36"/>
          <w:szCs w:val="36"/>
          <w:highlight w:val="none"/>
        </w:rPr>
      </w:pPr>
      <w:bookmarkStart w:id="66" w:name="_Toc12229"/>
      <w:bookmarkStart w:id="67" w:name="_Toc18207"/>
      <w:r>
        <w:rPr>
          <w:rFonts w:hint="eastAsia" w:ascii="宋体" w:hAnsi="宋体" w:eastAsia="宋体" w:cs="宋体"/>
          <w:color w:val="auto"/>
          <w:sz w:val="36"/>
          <w:szCs w:val="36"/>
          <w:highlight w:val="none"/>
        </w:rPr>
        <w:t>项目编号：</w:t>
      </w:r>
      <w:bookmarkEnd w:id="66"/>
      <w:bookmarkEnd w:id="67"/>
    </w:p>
    <w:p>
      <w:pPr>
        <w:snapToGrid w:val="0"/>
        <w:spacing w:before="312" w:beforeLines="100" w:line="360" w:lineRule="auto"/>
        <w:ind w:right="-108"/>
        <w:jc w:val="center"/>
        <w:outlineLvl w:val="0"/>
        <w:rPr>
          <w:rFonts w:hint="eastAsia" w:ascii="宋体" w:hAnsi="宋体" w:eastAsia="宋体" w:cs="宋体"/>
          <w:color w:val="auto"/>
          <w:sz w:val="36"/>
          <w:szCs w:val="36"/>
          <w:highlight w:val="none"/>
        </w:rPr>
      </w:pPr>
      <w:bookmarkStart w:id="68" w:name="_Toc30177"/>
      <w:bookmarkStart w:id="69" w:name="_Toc7109"/>
      <w:r>
        <w:rPr>
          <w:rFonts w:hint="eastAsia" w:ascii="宋体" w:hAnsi="宋体" w:eastAsia="宋体" w:cs="宋体"/>
          <w:color w:val="auto"/>
          <w:sz w:val="36"/>
          <w:szCs w:val="36"/>
          <w:highlight w:val="none"/>
        </w:rPr>
        <w:t>标项</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rPr>
        <w:t>：</w:t>
      </w:r>
      <w:bookmarkEnd w:id="68"/>
      <w:bookmarkEnd w:id="69"/>
    </w:p>
    <w:p>
      <w:pPr>
        <w:snapToGrid w:val="0"/>
        <w:ind w:right="-108"/>
        <w:jc w:val="center"/>
        <w:rPr>
          <w:rFonts w:hint="eastAsia" w:ascii="宋体" w:hAnsi="宋体" w:eastAsia="宋体" w:cs="宋体"/>
          <w:b/>
          <w:color w:val="auto"/>
          <w:spacing w:val="40"/>
          <w:sz w:val="72"/>
          <w:szCs w:val="72"/>
          <w:highlight w:val="none"/>
        </w:rPr>
      </w:pPr>
    </w:p>
    <w:p>
      <w:pPr>
        <w:snapToGrid w:val="0"/>
        <w:ind w:right="-108"/>
        <w:jc w:val="center"/>
        <w:outlineLvl w:val="0"/>
        <w:rPr>
          <w:rFonts w:hint="eastAsia" w:ascii="宋体" w:hAnsi="宋体" w:eastAsia="宋体" w:cs="宋体"/>
          <w:b/>
          <w:color w:val="auto"/>
          <w:spacing w:val="40"/>
          <w:sz w:val="72"/>
          <w:szCs w:val="72"/>
          <w:highlight w:val="none"/>
        </w:rPr>
      </w:pPr>
      <w:bookmarkStart w:id="70" w:name="_Toc13291"/>
      <w:bookmarkStart w:id="71" w:name="_Toc12687"/>
      <w:r>
        <w:rPr>
          <w:rFonts w:hint="eastAsia" w:ascii="宋体" w:hAnsi="宋体" w:eastAsia="宋体" w:cs="宋体"/>
          <w:b/>
          <w:color w:val="auto"/>
          <w:spacing w:val="40"/>
          <w:sz w:val="72"/>
          <w:szCs w:val="72"/>
          <w:highlight w:val="none"/>
        </w:rPr>
        <w:t>投</w:t>
      </w:r>
      <w:bookmarkEnd w:id="70"/>
      <w:bookmarkEnd w:id="71"/>
    </w:p>
    <w:p>
      <w:pPr>
        <w:snapToGrid w:val="0"/>
        <w:ind w:right="-108"/>
        <w:jc w:val="center"/>
        <w:outlineLvl w:val="0"/>
        <w:rPr>
          <w:rFonts w:hint="eastAsia" w:ascii="宋体" w:hAnsi="宋体" w:eastAsia="宋体" w:cs="宋体"/>
          <w:b/>
          <w:color w:val="auto"/>
          <w:spacing w:val="40"/>
          <w:sz w:val="72"/>
          <w:szCs w:val="72"/>
          <w:highlight w:val="none"/>
        </w:rPr>
      </w:pPr>
      <w:bookmarkStart w:id="72" w:name="_Toc28864"/>
      <w:bookmarkStart w:id="73" w:name="_Toc9229"/>
      <w:r>
        <w:rPr>
          <w:rFonts w:hint="eastAsia" w:ascii="宋体" w:hAnsi="宋体" w:eastAsia="宋体" w:cs="宋体"/>
          <w:b/>
          <w:color w:val="auto"/>
          <w:spacing w:val="40"/>
          <w:sz w:val="72"/>
          <w:szCs w:val="72"/>
          <w:highlight w:val="none"/>
        </w:rPr>
        <w:t>标</w:t>
      </w:r>
      <w:bookmarkEnd w:id="72"/>
      <w:bookmarkEnd w:id="73"/>
    </w:p>
    <w:p>
      <w:pPr>
        <w:snapToGrid w:val="0"/>
        <w:ind w:right="-108"/>
        <w:jc w:val="center"/>
        <w:outlineLvl w:val="0"/>
        <w:rPr>
          <w:rFonts w:hint="eastAsia" w:ascii="宋体" w:hAnsi="宋体" w:eastAsia="宋体" w:cs="宋体"/>
          <w:b/>
          <w:color w:val="auto"/>
          <w:spacing w:val="40"/>
          <w:sz w:val="72"/>
          <w:szCs w:val="72"/>
          <w:highlight w:val="none"/>
        </w:rPr>
      </w:pPr>
      <w:bookmarkStart w:id="74" w:name="_Toc18351"/>
      <w:bookmarkStart w:id="75" w:name="_Toc31067"/>
      <w:r>
        <w:rPr>
          <w:rFonts w:hint="eastAsia" w:ascii="宋体" w:hAnsi="宋体" w:eastAsia="宋体" w:cs="宋体"/>
          <w:b/>
          <w:color w:val="auto"/>
          <w:spacing w:val="40"/>
          <w:sz w:val="72"/>
          <w:szCs w:val="72"/>
          <w:highlight w:val="none"/>
        </w:rPr>
        <w:t>文</w:t>
      </w:r>
      <w:bookmarkEnd w:id="74"/>
      <w:bookmarkEnd w:id="75"/>
    </w:p>
    <w:p>
      <w:pPr>
        <w:snapToGrid w:val="0"/>
        <w:ind w:right="-108"/>
        <w:jc w:val="center"/>
        <w:outlineLvl w:val="0"/>
        <w:rPr>
          <w:rFonts w:hint="eastAsia" w:ascii="宋体" w:hAnsi="宋体" w:eastAsia="宋体" w:cs="宋体"/>
          <w:color w:val="auto"/>
          <w:sz w:val="36"/>
          <w:szCs w:val="36"/>
          <w:highlight w:val="none"/>
        </w:rPr>
      </w:pPr>
      <w:bookmarkStart w:id="76" w:name="_Toc720"/>
      <w:bookmarkStart w:id="77" w:name="_Toc23297"/>
      <w:r>
        <w:rPr>
          <w:rFonts w:hint="eastAsia" w:ascii="宋体" w:hAnsi="宋体" w:eastAsia="宋体" w:cs="宋体"/>
          <w:b/>
          <w:color w:val="auto"/>
          <w:spacing w:val="40"/>
          <w:sz w:val="72"/>
          <w:szCs w:val="72"/>
          <w:highlight w:val="none"/>
        </w:rPr>
        <w:t>件</w:t>
      </w:r>
      <w:bookmarkEnd w:id="76"/>
      <w:bookmarkEnd w:id="77"/>
    </w:p>
    <w:p>
      <w:pPr>
        <w:snapToGrid w:val="0"/>
        <w:spacing w:line="360" w:lineRule="auto"/>
        <w:ind w:right="532" w:firstLine="640" w:firstLineChars="200"/>
        <w:rPr>
          <w:rFonts w:hint="eastAsia" w:ascii="宋体" w:hAnsi="宋体" w:eastAsia="宋体" w:cs="宋体"/>
          <w:color w:val="auto"/>
          <w:sz w:val="32"/>
          <w:szCs w:val="32"/>
          <w:highlight w:val="none"/>
        </w:rPr>
      </w:pPr>
    </w:p>
    <w:p>
      <w:pPr>
        <w:snapToGrid w:val="0"/>
        <w:spacing w:line="360" w:lineRule="auto"/>
        <w:ind w:right="532" w:firstLine="640" w:firstLineChars="200"/>
        <w:rPr>
          <w:rFonts w:hint="eastAsia" w:ascii="宋体" w:hAnsi="宋体" w:eastAsia="宋体" w:cs="宋体"/>
          <w:color w:val="auto"/>
          <w:sz w:val="32"/>
          <w:szCs w:val="32"/>
          <w:highlight w:val="none"/>
        </w:rPr>
      </w:pPr>
    </w:p>
    <w:p>
      <w:pPr>
        <w:snapToGrid w:val="0"/>
        <w:spacing w:line="360" w:lineRule="auto"/>
        <w:ind w:right="532" w:firstLine="640" w:firstLineChars="200"/>
        <w:outlineLvl w:val="0"/>
        <w:rPr>
          <w:rFonts w:hint="eastAsia" w:ascii="宋体" w:hAnsi="宋体" w:eastAsia="宋体" w:cs="宋体"/>
          <w:color w:val="auto"/>
          <w:sz w:val="32"/>
          <w:szCs w:val="32"/>
          <w:highlight w:val="none"/>
        </w:rPr>
      </w:pPr>
      <w:bookmarkStart w:id="78" w:name="_Toc22865"/>
      <w:bookmarkStart w:id="79" w:name="_Toc22859"/>
      <w:r>
        <w:rPr>
          <w:rFonts w:hint="eastAsia" w:ascii="宋体" w:hAnsi="宋体" w:eastAsia="宋体" w:cs="宋体"/>
          <w:color w:val="auto"/>
          <w:sz w:val="32"/>
          <w:szCs w:val="32"/>
          <w:highlight w:val="none"/>
        </w:rPr>
        <w:t>投标人全称（公章）：</w:t>
      </w:r>
      <w:bookmarkEnd w:id="78"/>
      <w:bookmarkEnd w:id="79"/>
    </w:p>
    <w:p>
      <w:pPr>
        <w:snapToGrid w:val="0"/>
        <w:spacing w:line="360" w:lineRule="auto"/>
        <w:ind w:right="532" w:firstLine="640" w:firstLineChars="200"/>
        <w:outlineLvl w:val="0"/>
        <w:rPr>
          <w:rFonts w:hint="eastAsia" w:ascii="宋体" w:hAnsi="宋体" w:eastAsia="宋体" w:cs="宋体"/>
          <w:color w:val="auto"/>
          <w:sz w:val="32"/>
          <w:szCs w:val="32"/>
          <w:highlight w:val="none"/>
        </w:rPr>
      </w:pPr>
      <w:bookmarkStart w:id="80" w:name="_Toc9997"/>
      <w:bookmarkStart w:id="81" w:name="_Toc23785"/>
      <w:r>
        <w:rPr>
          <w:rFonts w:hint="eastAsia" w:ascii="宋体" w:hAnsi="宋体" w:eastAsia="宋体" w:cs="宋体"/>
          <w:color w:val="auto"/>
          <w:sz w:val="32"/>
          <w:szCs w:val="32"/>
          <w:highlight w:val="none"/>
        </w:rPr>
        <w:t>授权代表（签字）：</w:t>
      </w:r>
      <w:bookmarkEnd w:id="80"/>
      <w:bookmarkEnd w:id="81"/>
    </w:p>
    <w:p>
      <w:pPr>
        <w:snapToGrid w:val="0"/>
        <w:spacing w:line="360" w:lineRule="auto"/>
        <w:ind w:right="532" w:firstLine="640" w:firstLineChars="200"/>
        <w:outlineLvl w:val="0"/>
        <w:rPr>
          <w:rFonts w:hint="eastAsia" w:ascii="宋体" w:hAnsi="宋体" w:eastAsia="宋体" w:cs="宋体"/>
          <w:color w:val="auto"/>
          <w:sz w:val="32"/>
          <w:szCs w:val="32"/>
          <w:highlight w:val="none"/>
        </w:rPr>
      </w:pPr>
      <w:bookmarkStart w:id="82" w:name="_Toc24078"/>
      <w:bookmarkStart w:id="83" w:name="_Toc20300"/>
      <w:r>
        <w:rPr>
          <w:rFonts w:hint="eastAsia" w:ascii="宋体" w:hAnsi="宋体" w:eastAsia="宋体" w:cs="宋体"/>
          <w:color w:val="auto"/>
          <w:sz w:val="32"/>
          <w:szCs w:val="32"/>
          <w:highlight w:val="none"/>
        </w:rPr>
        <w:t>地    址：</w:t>
      </w:r>
      <w:bookmarkEnd w:id="82"/>
      <w:bookmarkEnd w:id="83"/>
    </w:p>
    <w:p>
      <w:pPr>
        <w:snapToGrid w:val="0"/>
        <w:spacing w:line="360" w:lineRule="auto"/>
        <w:ind w:right="532" w:firstLine="640" w:firstLineChars="200"/>
        <w:outlineLvl w:val="0"/>
        <w:rPr>
          <w:rFonts w:hint="eastAsia" w:ascii="宋体" w:hAnsi="宋体" w:eastAsia="宋体" w:cs="宋体"/>
          <w:color w:val="auto"/>
          <w:sz w:val="32"/>
          <w:szCs w:val="32"/>
          <w:highlight w:val="none"/>
        </w:rPr>
      </w:pPr>
      <w:bookmarkStart w:id="84" w:name="_Toc24658"/>
      <w:bookmarkStart w:id="85" w:name="_Toc21164"/>
      <w:r>
        <w:rPr>
          <w:rFonts w:hint="eastAsia" w:ascii="宋体" w:hAnsi="宋体" w:eastAsia="宋体" w:cs="宋体"/>
          <w:color w:val="auto"/>
          <w:sz w:val="32"/>
          <w:szCs w:val="32"/>
          <w:highlight w:val="none"/>
        </w:rPr>
        <w:t>时    间：</w:t>
      </w:r>
      <w:bookmarkEnd w:id="84"/>
      <w:bookmarkEnd w:id="85"/>
    </w:p>
    <w:p>
      <w:pPr>
        <w:snapToGrid w:val="0"/>
        <w:spacing w:line="360" w:lineRule="auto"/>
        <w:jc w:val="center"/>
        <w:rPr>
          <w:rFonts w:hint="eastAsia" w:ascii="宋体" w:hAnsi="宋体" w:eastAsia="宋体" w:cs="宋体"/>
          <w:b/>
          <w:bCs/>
          <w:color w:val="auto"/>
          <w:sz w:val="36"/>
          <w:szCs w:val="36"/>
          <w:highlight w:val="none"/>
        </w:rPr>
        <w:sectPr>
          <w:footerReference r:id="rId12" w:type="firs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line="360" w:lineRule="auto"/>
        <w:jc w:val="center"/>
        <w:outlineLvl w:val="0"/>
        <w:rPr>
          <w:rFonts w:hint="eastAsia" w:ascii="宋体" w:hAnsi="宋体" w:eastAsia="宋体" w:cs="宋体"/>
          <w:b/>
          <w:bCs/>
          <w:color w:val="auto"/>
          <w:sz w:val="36"/>
          <w:szCs w:val="36"/>
          <w:highlight w:val="none"/>
        </w:rPr>
      </w:pPr>
      <w:bookmarkStart w:id="86" w:name="_Toc744"/>
      <w:bookmarkStart w:id="87" w:name="_Toc2908"/>
      <w:r>
        <w:rPr>
          <w:rFonts w:hint="eastAsia" w:ascii="宋体" w:hAnsi="宋体" w:eastAsia="宋体" w:cs="宋体"/>
          <w:b/>
          <w:bCs/>
          <w:color w:val="auto"/>
          <w:sz w:val="36"/>
          <w:szCs w:val="36"/>
          <w:highlight w:val="none"/>
        </w:rPr>
        <w:t>资格证明文件</w:t>
      </w:r>
      <w:bookmarkEnd w:id="86"/>
      <w:bookmarkEnd w:id="87"/>
    </w:p>
    <w:p>
      <w:pPr>
        <w:pStyle w:val="2"/>
        <w:spacing w:line="240" w:lineRule="auto"/>
        <w:jc w:val="center"/>
        <w:rPr>
          <w:rFonts w:hint="eastAsia" w:ascii="宋体" w:hAnsi="宋体" w:eastAsia="宋体" w:cs="宋体"/>
          <w:color w:val="auto"/>
          <w:highlight w:val="none"/>
        </w:rPr>
      </w:pPr>
      <w:bookmarkStart w:id="88" w:name="_Toc30479"/>
      <w:bookmarkStart w:id="89" w:name="_Toc27634"/>
      <w:r>
        <w:rPr>
          <w:rFonts w:hint="eastAsia" w:ascii="宋体" w:hAnsi="宋体" w:eastAsia="宋体" w:cs="宋体"/>
          <w:b/>
          <w:bCs/>
          <w:color w:val="auto"/>
          <w:sz w:val="24"/>
          <w:szCs w:val="24"/>
          <w:highlight w:val="none"/>
          <w:lang w:val="en-US" w:eastAsia="zh-CN"/>
        </w:rPr>
        <w:t>（有格式的参照格式，无格式的自拟）</w:t>
      </w:r>
      <w:bookmarkEnd w:id="88"/>
      <w:bookmarkEnd w:id="89"/>
    </w:p>
    <w:p>
      <w:pPr>
        <w:widowControl/>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符合参加政府采购活动应当具备的一般条件的承诺函(格式见</w:t>
      </w:r>
      <w:r>
        <w:rPr>
          <w:rFonts w:hint="eastAsia" w:ascii="宋体" w:hAnsi="宋体" w:eastAsia="宋体" w:cs="宋体"/>
          <w:color w:val="auto"/>
          <w:sz w:val="24"/>
          <w:highlight w:val="none"/>
          <w:lang w:eastAsia="zh-CN"/>
        </w:rPr>
        <w:t>第六部分</w:t>
      </w:r>
      <w:r>
        <w:rPr>
          <w:rFonts w:hint="eastAsia" w:ascii="宋体" w:hAnsi="宋体" w:eastAsia="宋体" w:cs="宋体"/>
          <w:color w:val="auto"/>
          <w:sz w:val="24"/>
          <w:highlight w:val="none"/>
        </w:rPr>
        <w:t>)</w:t>
      </w:r>
    </w:p>
    <w:p>
      <w:pPr>
        <w:widowControl/>
        <w:spacing w:line="360" w:lineRule="auto"/>
        <w:ind w:firstLine="360" w:firstLineChars="15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）法人或者其他组织的营业执照等证明文件</w:t>
      </w:r>
      <w:r>
        <w:rPr>
          <w:rFonts w:hint="eastAsia" w:ascii="宋体" w:hAnsi="宋体" w:eastAsia="宋体" w:cs="宋体"/>
          <w:color w:val="auto"/>
          <w:kern w:val="0"/>
          <w:sz w:val="24"/>
          <w:highlight w:val="none"/>
          <w:lang w:val="en-US" w:eastAsia="zh-CN"/>
        </w:rPr>
        <w:t>复印件加盖公章</w:t>
      </w:r>
      <w:r>
        <w:rPr>
          <w:rFonts w:hint="eastAsia" w:ascii="宋体" w:hAnsi="宋体" w:eastAsia="宋体" w:cs="宋体"/>
          <w:color w:val="auto"/>
          <w:kern w:val="0"/>
          <w:sz w:val="24"/>
          <w:highlight w:val="none"/>
        </w:rPr>
        <w:t>（如投标人为自然人，则应提供自然人的身份证明）</w:t>
      </w:r>
    </w:p>
    <w:p>
      <w:pPr>
        <w:widowControl/>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）投标声明书(格式见</w:t>
      </w:r>
      <w:r>
        <w:rPr>
          <w:rFonts w:hint="eastAsia" w:ascii="宋体" w:hAnsi="宋体" w:eastAsia="宋体" w:cs="宋体"/>
          <w:color w:val="auto"/>
          <w:kern w:val="0"/>
          <w:sz w:val="24"/>
          <w:highlight w:val="none"/>
          <w:lang w:eastAsia="zh-CN"/>
        </w:rPr>
        <w:t>第六部分</w:t>
      </w:r>
      <w:r>
        <w:rPr>
          <w:rFonts w:hint="eastAsia" w:ascii="宋体" w:hAnsi="宋体" w:eastAsia="宋体" w:cs="宋体"/>
          <w:color w:val="auto"/>
          <w:kern w:val="0"/>
          <w:sz w:val="24"/>
          <w:highlight w:val="none"/>
        </w:rPr>
        <w:t>)</w:t>
      </w:r>
    </w:p>
    <w:p>
      <w:pPr>
        <w:widowControl/>
        <w:spacing w:line="360" w:lineRule="auto"/>
        <w:ind w:firstLine="360" w:firstLineChars="15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rPr>
        <w:t>中小企业的相关证明材料：中小企业声明函(格式见第六</w:t>
      </w:r>
      <w:r>
        <w:rPr>
          <w:rFonts w:hint="eastAsia" w:ascii="宋体" w:hAnsi="宋体" w:eastAsia="宋体" w:cs="宋体"/>
          <w:color w:val="auto"/>
          <w:sz w:val="24"/>
          <w:highlight w:val="none"/>
          <w:lang w:eastAsia="zh-CN"/>
        </w:rPr>
        <w:t>部分</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w:t>
      </w:r>
    </w:p>
    <w:p>
      <w:pPr>
        <w:widowControl/>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投标人资格条件中要求的其他材料</w:t>
      </w:r>
    </w:p>
    <w:p>
      <w:pPr>
        <w:widowControl/>
        <w:spacing w:line="360" w:lineRule="auto"/>
        <w:ind w:firstLine="360" w:firstLineChars="150"/>
        <w:jc w:val="left"/>
        <w:rPr>
          <w:rFonts w:hint="eastAsia" w:ascii="宋体" w:hAnsi="宋体" w:eastAsia="宋体" w:cs="宋体"/>
          <w:color w:val="auto"/>
          <w:kern w:val="0"/>
          <w:sz w:val="24"/>
          <w:highlight w:val="none"/>
        </w:rPr>
      </w:pPr>
    </w:p>
    <w:p>
      <w:pPr>
        <w:snapToGrid w:val="0"/>
        <w:spacing w:line="360" w:lineRule="auto"/>
        <w:jc w:val="center"/>
        <w:rPr>
          <w:rFonts w:hint="eastAsia" w:ascii="宋体" w:hAnsi="宋体" w:eastAsia="宋体" w:cs="宋体"/>
          <w:b/>
          <w:bCs/>
          <w:color w:val="auto"/>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符合参加政府采购活动应当具备的一般条件的承诺函格式：</w:t>
      </w:r>
    </w:p>
    <w:p>
      <w:pPr>
        <w:snapToGrid w:val="0"/>
        <w:spacing w:line="360" w:lineRule="auto"/>
        <w:ind w:right="480"/>
        <w:jc w:val="center"/>
        <w:rPr>
          <w:rFonts w:hint="eastAsia" w:ascii="宋体" w:hAnsi="宋体" w:eastAsia="宋体" w:cs="宋体"/>
          <w:b/>
          <w:color w:val="auto"/>
          <w:kern w:val="0"/>
          <w:sz w:val="32"/>
          <w:szCs w:val="32"/>
          <w:highlight w:val="none"/>
        </w:rPr>
      </w:pPr>
    </w:p>
    <w:p>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符合参加政府采购活动应当具备的一般条件的承诺函</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我方参与（项目名称）【招标编号：（采购编号）】政府采购活动，郑重承诺：</w:t>
      </w:r>
    </w:p>
    <w:p>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pPr>
        <w:autoSpaceDE w:val="0"/>
        <w:autoSpaceDN w:val="0"/>
        <w:snapToGrid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投标人名称（公章）：</w:t>
      </w:r>
    </w:p>
    <w:p>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投标声明书格式：</w:t>
      </w:r>
    </w:p>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投标声明书</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浙江省消防救援总队、</w:t>
      </w:r>
      <w:r>
        <w:rPr>
          <w:rFonts w:hint="eastAsia" w:ascii="宋体" w:hAnsi="宋体" w:eastAsia="宋体" w:cs="宋体"/>
          <w:color w:val="auto"/>
          <w:sz w:val="24"/>
          <w:highlight w:val="none"/>
          <w:lang w:eastAsia="zh-CN"/>
        </w:rPr>
        <w:t>浙江中诺招标代理有限公司</w:t>
      </w:r>
      <w:r>
        <w:rPr>
          <w:rFonts w:hint="eastAsia" w:ascii="宋体" w:hAnsi="宋体" w:eastAsia="宋体" w:cs="宋体"/>
          <w:color w:val="auto"/>
          <w:kern w:val="0"/>
          <w:sz w:val="24"/>
          <w:highlight w:val="none"/>
        </w:rPr>
        <w:t>：</w:t>
      </w:r>
    </w:p>
    <w:p>
      <w:pPr>
        <w:snapToGrid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我公司</w:t>
      </w:r>
      <w:r>
        <w:rPr>
          <w:rFonts w:hint="eastAsia" w:ascii="宋体" w:hAnsi="宋体" w:eastAsia="宋体" w:cs="宋体"/>
          <w:color w:val="auto"/>
          <w:sz w:val="24"/>
          <w:highlight w:val="none"/>
        </w:rPr>
        <w:t>声明截止投标时间近三年以来，在</w:t>
      </w:r>
      <w:r>
        <w:rPr>
          <w:rFonts w:hint="eastAsia" w:ascii="宋体" w:hAnsi="宋体" w:eastAsia="宋体" w:cs="宋体"/>
          <w:color w:val="auto"/>
          <w:kern w:val="0"/>
          <w:sz w:val="24"/>
          <w:highlight w:val="none"/>
        </w:rPr>
        <w:t>政府采购领域中</w:t>
      </w:r>
      <w:r>
        <w:rPr>
          <w:rFonts w:hint="eastAsia" w:ascii="宋体" w:hAnsi="宋体" w:eastAsia="宋体" w:cs="宋体"/>
          <w:color w:val="auto"/>
          <w:sz w:val="24"/>
          <w:highlight w:val="none"/>
        </w:rPr>
        <w:t>，在项目招标、投标和合同履约期间无任何不良行为记录和违法、违规行为</w:t>
      </w:r>
      <w:r>
        <w:rPr>
          <w:rFonts w:hint="eastAsia" w:ascii="宋体" w:hAnsi="宋体" w:eastAsia="宋体" w:cs="宋体"/>
          <w:color w:val="auto"/>
          <w:kern w:val="0"/>
          <w:sz w:val="24"/>
          <w:highlight w:val="none"/>
          <w:lang w:val="zh-CN"/>
        </w:rPr>
        <w:t>。</w:t>
      </w:r>
    </w:p>
    <w:p>
      <w:pPr>
        <w:snapToGrid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我公司自愿参</w:t>
      </w:r>
      <w:r>
        <w:rPr>
          <w:rFonts w:hint="eastAsia" w:ascii="宋体" w:hAnsi="宋体" w:eastAsia="宋体" w:cs="宋体"/>
          <w:color w:val="auto"/>
          <w:sz w:val="24"/>
          <w:highlight w:val="none"/>
        </w:rPr>
        <w:t>加</w:t>
      </w:r>
      <w:r>
        <w:rPr>
          <w:rFonts w:hint="eastAsia" w:ascii="宋体" w:hAnsi="宋体" w:eastAsia="宋体" w:cs="宋体"/>
          <w:color w:val="auto"/>
          <w:sz w:val="24"/>
          <w:highlight w:val="none"/>
          <w:lang w:eastAsia="zh-CN"/>
        </w:rPr>
        <w:t>浙江省消防救援总队消防器材装备（破拆类第一批）采购项目</w:t>
      </w:r>
      <w:r>
        <w:rPr>
          <w:rFonts w:hint="eastAsia" w:ascii="宋体" w:hAnsi="宋体" w:eastAsia="宋体" w:cs="宋体"/>
          <w:color w:val="auto"/>
          <w:sz w:val="24"/>
          <w:highlight w:val="none"/>
          <w:u w:val="single"/>
          <w:lang w:val="en-US" w:eastAsia="zh-CN"/>
        </w:rPr>
        <w:t xml:space="preserve">     （填写标项）     </w:t>
      </w:r>
      <w:r>
        <w:rPr>
          <w:rFonts w:hint="eastAsia" w:ascii="宋体" w:hAnsi="宋体" w:eastAsia="宋体" w:cs="宋体"/>
          <w:color w:val="auto"/>
          <w:kern w:val="0"/>
          <w:sz w:val="24"/>
          <w:highlight w:val="none"/>
          <w:lang w:val="zh-CN"/>
        </w:rPr>
        <w:t>(编号：</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的投标，并保证投标文件中所列举的投标报价文件及相关资料和公司基本情况资料是真实的、合法的。</w:t>
      </w:r>
    </w:p>
    <w:p>
      <w:pPr>
        <w:snapToGrid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我公司已详细阅读全部“招标文件”，包括修改文件（如果有）以及全部招标资料和相关附件，并已了解我公司在招投标过程中的权利和义务。</w:t>
      </w:r>
    </w:p>
    <w:p>
      <w:pPr>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我公司理解并接受招标文件的各项规定和要求，同意此次招标文件中的各项内容，</w:t>
      </w:r>
      <w:r>
        <w:rPr>
          <w:rFonts w:hint="eastAsia" w:ascii="宋体" w:hAnsi="宋体" w:eastAsia="宋体" w:cs="宋体"/>
          <w:color w:val="auto"/>
          <w:kern w:val="0"/>
          <w:sz w:val="24"/>
          <w:highlight w:val="none"/>
        </w:rPr>
        <w:t>并</w:t>
      </w:r>
      <w:r>
        <w:rPr>
          <w:rFonts w:hint="eastAsia" w:ascii="宋体" w:hAnsi="宋体" w:eastAsia="宋体" w:cs="宋体"/>
          <w:color w:val="auto"/>
          <w:kern w:val="0"/>
          <w:sz w:val="24"/>
          <w:highlight w:val="none"/>
          <w:lang w:val="zh-CN"/>
        </w:rPr>
        <w:t>同意提供按照贵方可能要求的与投标有关的一切数据或资料等。</w:t>
      </w:r>
    </w:p>
    <w:p>
      <w:pPr>
        <w:snapToGrid w:val="0"/>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本公司如中标，保证按照投标文件的承诺与贵方签订合同，保证履行合同条款。</w:t>
      </w:r>
    </w:p>
    <w:p>
      <w:pPr>
        <w:autoSpaceDE w:val="0"/>
        <w:autoSpaceDN w:val="0"/>
        <w:snapToGrid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投标人名称（公章）：</w:t>
      </w:r>
    </w:p>
    <w:p>
      <w:pPr>
        <w:autoSpaceDE w:val="0"/>
        <w:autoSpaceDN w:val="0"/>
        <w:snapToGrid w:val="0"/>
        <w:spacing w:line="360" w:lineRule="auto"/>
        <w:ind w:firstLine="4320" w:firstLineChars="18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法定代表人或其授权代表（签字）：</w:t>
      </w:r>
    </w:p>
    <w:p>
      <w:pPr>
        <w:snapToGrid w:val="0"/>
        <w:spacing w:line="360" w:lineRule="auto"/>
        <w:ind w:firstLine="4320" w:firstLineChars="18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日期：  年  月   日</w:t>
      </w:r>
    </w:p>
    <w:p>
      <w:pPr>
        <w:snapToGrid w:val="0"/>
        <w:spacing w:line="360" w:lineRule="auto"/>
        <w:ind w:firstLine="2877" w:firstLineChars="796"/>
        <w:jc w:val="left"/>
        <w:rPr>
          <w:rFonts w:hint="eastAsia" w:ascii="宋体" w:hAnsi="宋体" w:eastAsia="宋体" w:cs="宋体"/>
          <w:b/>
          <w:bCs/>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line="240" w:lineRule="auto"/>
        <w:ind w:firstLine="2877" w:firstLineChars="796"/>
        <w:jc w:val="left"/>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商务技术文件</w:t>
      </w:r>
    </w:p>
    <w:p>
      <w:pPr>
        <w:pStyle w:val="2"/>
        <w:spacing w:line="240" w:lineRule="auto"/>
        <w:jc w:val="center"/>
        <w:rPr>
          <w:rFonts w:hint="eastAsia" w:ascii="宋体" w:hAnsi="宋体" w:eastAsia="宋体" w:cs="宋体"/>
          <w:color w:val="auto"/>
          <w:sz w:val="24"/>
          <w:szCs w:val="24"/>
          <w:highlight w:val="none"/>
          <w:lang w:val="en-US" w:eastAsia="zh-CN"/>
        </w:rPr>
      </w:pPr>
      <w:bookmarkStart w:id="90" w:name="_Toc32643"/>
      <w:bookmarkStart w:id="91" w:name="_Toc12343"/>
      <w:r>
        <w:rPr>
          <w:rFonts w:hint="eastAsia" w:ascii="宋体" w:hAnsi="宋体" w:eastAsia="宋体" w:cs="宋体"/>
          <w:b/>
          <w:bCs/>
          <w:color w:val="auto"/>
          <w:sz w:val="24"/>
          <w:szCs w:val="24"/>
          <w:highlight w:val="none"/>
          <w:lang w:val="en-US" w:eastAsia="zh-CN"/>
        </w:rPr>
        <w:t>（有格式的参照格式，无格式的自拟）</w:t>
      </w:r>
      <w:bookmarkEnd w:id="90"/>
      <w:bookmarkEnd w:id="91"/>
    </w:p>
    <w:p>
      <w:pPr>
        <w:snapToGrid w:val="0"/>
        <w:spacing w:line="360" w:lineRule="auto"/>
        <w:ind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（1）法定代表人授权委托书(格式见第六</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 xml:space="preserve">)； </w:t>
      </w:r>
    </w:p>
    <w:p>
      <w:pPr>
        <w:snapToGrid w:val="0"/>
        <w:spacing w:line="360" w:lineRule="auto"/>
        <w:ind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（2）节能产品的相关证明材料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highlight w:val="none"/>
        </w:rPr>
        <w:t>环境标志产品的相关证明材料：</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）投标人情况介绍（格式自拟）；</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）商务响应表（格式见第六</w:t>
      </w:r>
      <w:r>
        <w:rPr>
          <w:rFonts w:hint="eastAsia" w:ascii="宋体" w:hAnsi="宋体" w:eastAsia="宋体" w:cs="宋体"/>
          <w:color w:val="auto"/>
          <w:kern w:val="0"/>
          <w:sz w:val="24"/>
          <w:highlight w:val="none"/>
          <w:lang w:val="en-US" w:eastAsia="zh-CN"/>
        </w:rPr>
        <w:t>部分</w:t>
      </w:r>
      <w:r>
        <w:rPr>
          <w:rFonts w:hint="eastAsia" w:ascii="宋体" w:hAnsi="宋体" w:eastAsia="宋体" w:cs="宋体"/>
          <w:color w:val="auto"/>
          <w:kern w:val="0"/>
          <w:sz w:val="24"/>
          <w:highlight w:val="none"/>
        </w:rPr>
        <w:t>）；</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）同类项目业绩（格式见</w:t>
      </w:r>
      <w:r>
        <w:rPr>
          <w:rFonts w:hint="eastAsia" w:ascii="宋体" w:hAnsi="宋体" w:eastAsia="宋体" w:cs="宋体"/>
          <w:color w:val="auto"/>
          <w:kern w:val="0"/>
          <w:sz w:val="24"/>
          <w:highlight w:val="none"/>
          <w:lang w:eastAsia="zh-CN"/>
        </w:rPr>
        <w:t>第六部分</w:t>
      </w:r>
      <w:r>
        <w:rPr>
          <w:rFonts w:hint="eastAsia" w:ascii="宋体" w:hAnsi="宋体" w:eastAsia="宋体" w:cs="宋体"/>
          <w:color w:val="auto"/>
          <w:kern w:val="0"/>
          <w:sz w:val="24"/>
          <w:highlight w:val="none"/>
        </w:rPr>
        <w:t xml:space="preserve">）； </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）针对本项目建设的详细实施计划，包括技术方案、装备详细配置清单及所用材质等明细（品牌、产地、规格、参数）；</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）生产工艺流程，质量控制措施等；</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）所投产品或主要材质的检测报告；</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产品及原材料验收标准及检测具体办法；</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）技术偏离表（格式见附件）；</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）项目的组织实施方案，包括产品的供货、验收、安装调试方案及配送承诺等；</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12</w:t>
      </w:r>
      <w:r>
        <w:rPr>
          <w:rFonts w:hint="eastAsia" w:ascii="宋体" w:hAnsi="宋体" w:eastAsia="宋体" w:cs="宋体"/>
          <w:color w:val="auto"/>
          <w:kern w:val="0"/>
          <w:sz w:val="24"/>
          <w:highlight w:val="none"/>
        </w:rPr>
        <w:t>）技术服务、售后服务的内容和措施，明确售后服务承诺（范围、标准、期限等），并明示服务承诺可能涉及的前提设定和费用，否则将被认为是无条件和免费的；</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13</w:t>
      </w:r>
      <w:r>
        <w:rPr>
          <w:rFonts w:hint="eastAsia" w:ascii="宋体" w:hAnsi="宋体" w:eastAsia="宋体" w:cs="宋体"/>
          <w:color w:val="auto"/>
          <w:kern w:val="0"/>
          <w:sz w:val="24"/>
          <w:highlight w:val="none"/>
        </w:rPr>
        <w:t>）项目实施方案和人力资源安排，以及本项目实施人员一览表；</w:t>
      </w:r>
    </w:p>
    <w:p>
      <w:pPr>
        <w:snapToGrid w:val="0"/>
        <w:spacing w:line="360" w:lineRule="auto"/>
        <w:ind w:firstLine="468" w:firstLineChars="195"/>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）项目保障应急预案</w:t>
      </w:r>
      <w:r>
        <w:rPr>
          <w:rFonts w:hint="eastAsia" w:ascii="宋体" w:hAnsi="宋体" w:eastAsia="宋体" w:cs="宋体"/>
          <w:color w:val="auto"/>
          <w:kern w:val="0"/>
          <w:sz w:val="24"/>
          <w:highlight w:val="none"/>
          <w:lang w:eastAsia="zh-CN"/>
        </w:rPr>
        <w:t>；</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）承诺函</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提供关于“交货前，所有器材供货厂家须在应急管理部消防救援局消防装备物资信息采集系统（http://xfzb.119.gov.cn）录入装备信息，申请装备编码，并按照应急管理部消防救援局和浙江省消防救援总队要求，制作RFID数字管理标签，并且由此所产生的费用必须包含在投标报价内”的承诺函，格式自拟。</w:t>
      </w:r>
    </w:p>
    <w:p>
      <w:pPr>
        <w:snapToGrid w:val="0"/>
        <w:spacing w:line="360" w:lineRule="auto"/>
        <w:ind w:firstLine="468" w:firstLineChars="19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供应商提出的对本项目的实质性优惠条件和承诺情况；</w:t>
      </w:r>
    </w:p>
    <w:p>
      <w:pPr>
        <w:snapToGrid w:val="0"/>
        <w:spacing w:line="360" w:lineRule="auto"/>
        <w:ind w:firstLine="468" w:firstLineChars="195"/>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）供应商认为需要说明的其他文件和资料（请结合评标办法自行添加相应内容）。</w:t>
      </w:r>
    </w:p>
    <w:p>
      <w:pPr>
        <w:snapToGrid w:val="0"/>
        <w:spacing w:line="360" w:lineRule="auto"/>
        <w:jc w:val="left"/>
        <w:rPr>
          <w:rFonts w:hint="eastAsia" w:ascii="宋体" w:hAnsi="宋体" w:eastAsia="宋体" w:cs="宋体"/>
          <w:b/>
          <w:color w:val="auto"/>
          <w:sz w:val="24"/>
          <w:highlight w:val="none"/>
        </w:rPr>
      </w:pPr>
    </w:p>
    <w:p>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法定代表人授权委托书或法定代表人身份证明书格式（2选1）</w:t>
      </w:r>
      <w:r>
        <w:rPr>
          <w:rFonts w:hint="eastAsia" w:ascii="宋体" w:hAnsi="宋体" w:eastAsia="宋体" w:cs="宋体"/>
          <w:b/>
          <w:bCs/>
          <w:color w:val="auto"/>
          <w:sz w:val="24"/>
          <w:highlight w:val="none"/>
        </w:rPr>
        <w:t>：</w:t>
      </w:r>
    </w:p>
    <w:p>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投标人代表须携带有效身份证件。如投标人代表不是法定代表人，须有法定代表人出具的授权委托书;若是法定代表人参加，须填写法定代表人身份证明书。</w:t>
      </w:r>
    </w:p>
    <w:p>
      <w:pPr>
        <w:snapToGrid w:val="0"/>
        <w:spacing w:line="360" w:lineRule="auto"/>
        <w:jc w:val="center"/>
        <w:rPr>
          <w:rFonts w:hint="eastAsia" w:ascii="宋体" w:hAnsi="宋体" w:eastAsia="宋体" w:cs="宋体"/>
          <w:b/>
          <w:bCs/>
          <w:color w:val="auto"/>
          <w:sz w:val="24"/>
          <w:highlight w:val="none"/>
        </w:rPr>
      </w:pPr>
    </w:p>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法定代表人授权委托书</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浙江省消防救援总队、</w:t>
      </w:r>
      <w:r>
        <w:rPr>
          <w:rFonts w:hint="eastAsia" w:ascii="宋体" w:hAnsi="宋体" w:eastAsia="宋体" w:cs="宋体"/>
          <w:color w:val="auto"/>
          <w:sz w:val="24"/>
          <w:highlight w:val="none"/>
          <w:lang w:eastAsia="zh-CN"/>
        </w:rPr>
        <w:t>浙江中诺招标代理有限公司</w:t>
      </w:r>
      <w:r>
        <w:rPr>
          <w:rFonts w:hint="eastAsia" w:ascii="宋体" w:hAnsi="宋体" w:eastAsia="宋体" w:cs="宋体"/>
          <w:color w:val="auto"/>
          <w:kern w:val="0"/>
          <w:sz w:val="24"/>
          <w:highlight w:val="none"/>
          <w:lang w:val="zh-CN"/>
        </w:rPr>
        <w:t>：</w:t>
      </w:r>
    </w:p>
    <w:p>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兹委派我公司</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先生/女士(其在本公司的职务是：联系电话：手机：传真：)，代表我公司全权处理</w:t>
      </w:r>
      <w:r>
        <w:rPr>
          <w:rFonts w:hint="eastAsia" w:ascii="宋体" w:hAnsi="宋体" w:eastAsia="宋体" w:cs="宋体"/>
          <w:color w:val="auto"/>
          <w:sz w:val="24"/>
          <w:highlight w:val="none"/>
          <w:lang w:eastAsia="zh-CN"/>
        </w:rPr>
        <w:t>浙江省消防救援总队消防器材装备（破拆类第一批）采购项目</w:t>
      </w:r>
      <w:r>
        <w:rPr>
          <w:rFonts w:hint="eastAsia" w:ascii="宋体" w:hAnsi="宋体" w:eastAsia="宋体" w:cs="宋体"/>
          <w:color w:val="auto"/>
          <w:kern w:val="0"/>
          <w:sz w:val="24"/>
          <w:highlight w:val="none"/>
          <w:lang w:val="zh-CN"/>
        </w:rPr>
        <w:t>(编号：</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政府采购投标的一切事项，若中标则全权代表本公司签订相关合同，并负责处理合同履行等事宜。</w:t>
      </w: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本授权书有效期：自   年 月  日起至  年  月  日止。</w:t>
      </w:r>
    </w:p>
    <w:p>
      <w:pPr>
        <w:snapToGrid w:val="0"/>
        <w:spacing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特此告知。</w:t>
      </w:r>
    </w:p>
    <w:p>
      <w:pPr>
        <w:snapToGrid w:val="0"/>
        <w:spacing w:line="360" w:lineRule="auto"/>
        <w:ind w:firstLine="480"/>
        <w:rPr>
          <w:rFonts w:hint="eastAsia" w:ascii="宋体" w:hAnsi="宋体" w:eastAsia="宋体" w:cs="宋体"/>
          <w:color w:val="auto"/>
          <w:kern w:val="0"/>
          <w:sz w:val="24"/>
          <w:highlight w:val="none"/>
          <w:lang w:val="zh-CN"/>
        </w:rPr>
      </w:pPr>
    </w:p>
    <w:p>
      <w:pPr>
        <w:snapToGrid w:val="0"/>
        <w:spacing w:line="360" w:lineRule="auto"/>
        <w:ind w:firstLine="480"/>
        <w:rPr>
          <w:rFonts w:hint="eastAsia" w:ascii="宋体" w:hAnsi="宋体" w:eastAsia="宋体" w:cs="宋体"/>
          <w:color w:val="auto"/>
          <w:kern w:val="0"/>
          <w:sz w:val="24"/>
          <w:highlight w:val="none"/>
          <w:lang w:val="zh-CN"/>
        </w:rPr>
      </w:pPr>
    </w:p>
    <w:p>
      <w:pPr>
        <w:snapToGrid w:val="0"/>
        <w:spacing w:line="360" w:lineRule="auto"/>
        <w:ind w:firstLine="5160" w:firstLineChars="2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投标人名称(公章)：</w:t>
      </w:r>
    </w:p>
    <w:p>
      <w:pPr>
        <w:snapToGrid w:val="0"/>
        <w:spacing w:line="360" w:lineRule="auto"/>
        <w:ind w:firstLine="5160" w:firstLineChars="2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法定代表人(签字或盖章)：</w:t>
      </w:r>
    </w:p>
    <w:p>
      <w:pPr>
        <w:wordWrap w:val="0"/>
        <w:snapToGrid w:val="0"/>
        <w:spacing w:line="360" w:lineRule="auto"/>
        <w:ind w:right="240" w:firstLine="5160" w:firstLineChars="21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签发日期：  年  月   日</w:t>
      </w:r>
    </w:p>
    <w:p>
      <w:pPr>
        <w:wordWrap w:val="0"/>
        <w:snapToGrid w:val="0"/>
        <w:spacing w:line="360" w:lineRule="auto"/>
        <w:ind w:right="240" w:firstLine="5160" w:firstLineChars="2150"/>
        <w:jc w:val="left"/>
        <w:rPr>
          <w:rFonts w:hint="eastAsia" w:ascii="宋体" w:hAnsi="宋体" w:eastAsia="宋体" w:cs="宋体"/>
          <w:color w:val="auto"/>
          <w:kern w:val="0"/>
          <w:sz w:val="24"/>
          <w:highlight w:val="none"/>
          <w:lang w:val="zh-CN"/>
        </w:rPr>
      </w:pPr>
    </w:p>
    <w:p>
      <w:pPr>
        <w:wordWrap w:val="0"/>
        <w:snapToGrid w:val="0"/>
        <w:spacing w:line="360" w:lineRule="auto"/>
        <w:ind w:right="240" w:firstLine="5160" w:firstLineChars="2150"/>
        <w:jc w:val="left"/>
        <w:rPr>
          <w:rFonts w:hint="eastAsia" w:ascii="宋体" w:hAnsi="宋体" w:eastAsia="宋体" w:cs="宋体"/>
          <w:color w:val="auto"/>
          <w:kern w:val="0"/>
          <w:sz w:val="24"/>
          <w:highlight w:val="none"/>
          <w:lang w:val="zh-CN"/>
        </w:rPr>
      </w:pPr>
    </w:p>
    <w:p>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附：法定代表人和授权代表身份证复印件（须正反面复印）。</w:t>
      </w: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投标人全称（公章）：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snapToGrid w:val="0"/>
        <w:spacing w:line="360" w:lineRule="auto"/>
        <w:rPr>
          <w:rFonts w:hint="eastAsia" w:ascii="宋体" w:hAnsi="宋体" w:eastAsia="宋体" w:cs="宋体"/>
          <w:color w:val="auto"/>
          <w:sz w:val="24"/>
          <w:highlight w:val="none"/>
        </w:rPr>
      </w:pPr>
    </w:p>
    <w:p>
      <w:pPr>
        <w:snapToGrid w:val="0"/>
        <w:spacing w:before="156" w:beforeLines="50" w:after="156" w:afterLines="50" w:line="360" w:lineRule="auto"/>
        <w:outlineLvl w:val="9"/>
        <w:rPr>
          <w:rFonts w:hint="eastAsia" w:ascii="宋体" w:hAnsi="宋体" w:eastAsia="宋体" w:cs="宋体"/>
          <w:b/>
          <w:color w:val="auto"/>
          <w:sz w:val="24"/>
          <w:highlight w:val="none"/>
        </w:rPr>
      </w:pPr>
    </w:p>
    <w:p>
      <w:pPr>
        <w:snapToGrid w:val="0"/>
        <w:spacing w:before="156" w:beforeLines="50" w:after="156" w:afterLines="50" w:line="360" w:lineRule="auto"/>
        <w:jc w:val="center"/>
        <w:outlineLvl w:val="1"/>
        <w:rPr>
          <w:rFonts w:hint="eastAsia" w:ascii="宋体" w:hAnsi="宋体" w:eastAsia="宋体" w:cs="宋体"/>
          <w:b/>
          <w:color w:val="auto"/>
          <w:sz w:val="36"/>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法定代表人身份证明书</w:t>
      </w:r>
    </w:p>
    <w:p>
      <w:pPr>
        <w:snapToGrid w:val="0"/>
        <w:spacing w:line="360" w:lineRule="auto"/>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napToGrid w:val="0"/>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napToGrid w:val="0"/>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pPr>
        <w:snapToGrid w:val="0"/>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val="0"/>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snapToGrid w:val="0"/>
        <w:spacing w:line="36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snapToGrid w:val="0"/>
        <w:spacing w:line="36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pPr>
        <w:snapToGrid w:val="0"/>
        <w:spacing w:line="360" w:lineRule="auto"/>
        <w:ind w:firstLine="610"/>
        <w:rPr>
          <w:rFonts w:hint="eastAsia" w:ascii="宋体" w:hAnsi="宋体" w:eastAsia="宋体" w:cs="宋体"/>
          <w:color w:val="auto"/>
          <w:sz w:val="24"/>
          <w:highlight w:val="none"/>
        </w:rPr>
      </w:pPr>
    </w:p>
    <w:p>
      <w:pPr>
        <w:snapToGrid w:val="0"/>
        <w:spacing w:line="360" w:lineRule="auto"/>
        <w:ind w:firstLine="1329" w:firstLineChars="554"/>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napToGrid w:val="0"/>
        <w:spacing w:line="360" w:lineRule="auto"/>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附：法定代表人身份证复印件（须正反面复印）。</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投标人全称（公章）：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snapToGrid w:val="0"/>
        <w:spacing w:line="360" w:lineRule="auto"/>
        <w:rPr>
          <w:rFonts w:hint="eastAsia" w:ascii="宋体" w:hAnsi="宋体" w:eastAsia="宋体" w:cs="宋体"/>
          <w:b/>
          <w:color w:val="auto"/>
          <w:sz w:val="24"/>
          <w:highlight w:val="none"/>
        </w:rPr>
      </w:pPr>
    </w:p>
    <w:p>
      <w:pPr>
        <w:snapToGrid w:val="0"/>
        <w:spacing w:line="360" w:lineRule="auto"/>
        <w:rPr>
          <w:rFonts w:hint="eastAsia" w:ascii="宋体" w:hAnsi="宋体" w:eastAsia="宋体" w:cs="宋体"/>
          <w:b/>
          <w:color w:val="auto"/>
          <w:sz w:val="24"/>
          <w:highlight w:val="none"/>
        </w:rPr>
      </w:pPr>
    </w:p>
    <w:p>
      <w:pPr>
        <w:snapToGrid w:val="0"/>
        <w:spacing w:line="360" w:lineRule="auto"/>
        <w:jc w:val="center"/>
        <w:rPr>
          <w:rFonts w:hint="eastAsia" w:ascii="宋体" w:hAnsi="宋体" w:eastAsia="宋体" w:cs="宋体"/>
          <w:color w:val="auto"/>
          <w:sz w:val="24"/>
          <w:highlight w:val="none"/>
        </w:rPr>
      </w:pPr>
    </w:p>
    <w:p>
      <w:pPr>
        <w:snapToGrid w:val="0"/>
        <w:spacing w:before="156" w:beforeLines="50" w:after="156" w:afterLines="50" w:line="360" w:lineRule="auto"/>
        <w:jc w:val="center"/>
        <w:rPr>
          <w:rFonts w:hint="eastAsia" w:ascii="宋体" w:hAnsi="宋体" w:eastAsia="宋体" w:cs="宋体"/>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before="156" w:beforeLines="50" w:after="156" w:afterLines="5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类似成功业绩一览表</w:t>
      </w:r>
    </w:p>
    <w:tbl>
      <w:tblPr>
        <w:tblStyle w:val="33"/>
        <w:tblW w:w="0" w:type="auto"/>
        <w:jc w:val="center"/>
        <w:tblLayout w:type="fixed"/>
        <w:tblCellMar>
          <w:top w:w="0" w:type="dxa"/>
          <w:left w:w="108" w:type="dxa"/>
          <w:bottom w:w="0" w:type="dxa"/>
          <w:right w:w="108" w:type="dxa"/>
        </w:tblCellMar>
      </w:tblPr>
      <w:tblGrid>
        <w:gridCol w:w="1498"/>
        <w:gridCol w:w="951"/>
        <w:gridCol w:w="1356"/>
        <w:gridCol w:w="1008"/>
        <w:gridCol w:w="1155"/>
        <w:gridCol w:w="1965"/>
        <w:gridCol w:w="1215"/>
      </w:tblGrid>
      <w:tr>
        <w:tblPrEx>
          <w:tblCellMar>
            <w:top w:w="0" w:type="dxa"/>
            <w:left w:w="108" w:type="dxa"/>
            <w:bottom w:w="0" w:type="dxa"/>
            <w:right w:w="108" w:type="dxa"/>
          </w:tblCellMar>
        </w:tblPrEx>
        <w:trPr>
          <w:trHeight w:val="817" w:hRule="atLeast"/>
          <w:jc w:val="center"/>
        </w:trPr>
        <w:tc>
          <w:tcPr>
            <w:tcW w:w="14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简要描述</w:t>
            </w:r>
          </w:p>
        </w:tc>
        <w:tc>
          <w:tcPr>
            <w:tcW w:w="10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p>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服务起始日期</w:t>
            </w:r>
          </w:p>
        </w:tc>
        <w:tc>
          <w:tcPr>
            <w:tcW w:w="19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项目地址与服务单位联系电话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所在页码</w:t>
            </w:r>
          </w:p>
        </w:tc>
      </w:tr>
      <w:tr>
        <w:tblPrEx>
          <w:tblCellMar>
            <w:top w:w="0" w:type="dxa"/>
            <w:left w:w="108" w:type="dxa"/>
            <w:bottom w:w="0" w:type="dxa"/>
            <w:right w:w="108" w:type="dxa"/>
          </w:tblCellMar>
        </w:tblPrEx>
        <w:trPr>
          <w:trHeight w:val="415" w:hRule="atLeast"/>
          <w:jc w:val="center"/>
        </w:trPr>
        <w:tc>
          <w:tcPr>
            <w:tcW w:w="14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96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5" w:hRule="atLeast"/>
          <w:jc w:val="center"/>
        </w:trPr>
        <w:tc>
          <w:tcPr>
            <w:tcW w:w="149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96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宋体" w:hAnsi="宋体" w:eastAsia="宋体" w:cs="宋体"/>
                <w:color w:val="auto"/>
                <w:sz w:val="24"/>
                <w:highlight w:val="none"/>
              </w:rPr>
            </w:pPr>
          </w:p>
        </w:tc>
      </w:tr>
    </w:tbl>
    <w:p>
      <w:pPr>
        <w:snapToGrid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注：供应商可按上述的格式自行编制。</w:t>
      </w:r>
    </w:p>
    <w:p>
      <w:pPr>
        <w:snapToGrid w:val="0"/>
        <w:spacing w:line="360" w:lineRule="auto"/>
        <w:ind w:firstLine="480" w:firstLineChars="200"/>
        <w:jc w:val="left"/>
        <w:rPr>
          <w:rFonts w:hint="eastAsia" w:ascii="宋体" w:hAnsi="宋体" w:eastAsia="宋体" w:cs="宋体"/>
          <w:color w:val="auto"/>
          <w:sz w:val="24"/>
          <w:highlight w:val="none"/>
        </w:rPr>
      </w:pP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napToGrid w:val="0"/>
        <w:spacing w:line="360" w:lineRule="auto"/>
        <w:jc w:val="left"/>
        <w:rPr>
          <w:rFonts w:hint="eastAsia" w:ascii="宋体" w:hAnsi="宋体" w:eastAsia="宋体" w:cs="宋体"/>
          <w:b/>
          <w:bCs/>
          <w:color w:val="auto"/>
          <w:sz w:val="24"/>
          <w:highlight w:val="none"/>
        </w:rPr>
      </w:pPr>
    </w:p>
    <w:p>
      <w:pPr>
        <w:snapToGrid w:val="0"/>
        <w:spacing w:line="360" w:lineRule="auto"/>
        <w:jc w:val="left"/>
        <w:rPr>
          <w:rFonts w:hint="eastAsia" w:ascii="宋体" w:hAnsi="宋体" w:eastAsia="宋体" w:cs="宋体"/>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line="360" w:lineRule="auto"/>
        <w:jc w:val="left"/>
        <w:rPr>
          <w:rFonts w:hint="eastAsia" w:ascii="宋体" w:hAnsi="宋体" w:eastAsia="宋体" w:cs="宋体"/>
          <w:b/>
          <w:bCs/>
          <w:color w:val="auto"/>
          <w:sz w:val="24"/>
          <w:highlight w:val="none"/>
        </w:rPr>
      </w:pP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商务响应表格式：</w:t>
      </w:r>
    </w:p>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商务响应表</w:t>
      </w:r>
    </w:p>
    <w:p>
      <w:pPr>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1"/>
        <w:gridCol w:w="2013"/>
        <w:gridCol w:w="1365"/>
        <w:gridCol w:w="24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2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0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c>
          <w:tcPr>
            <w:tcW w:w="244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2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0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2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c>
          <w:tcPr>
            <w:tcW w:w="20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3"/>
              <w:jc w:val="center"/>
              <w:rPr>
                <w:rFonts w:hint="eastAsia" w:ascii="宋体" w:hAnsi="宋体" w:eastAsia="宋体" w:cs="宋体"/>
                <w:color w:val="auto"/>
                <w:sz w:val="24"/>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3"/>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2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01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c>
          <w:tcPr>
            <w:tcW w:w="244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p>
        </w:tc>
      </w:tr>
    </w:tbl>
    <w:p>
      <w:pPr>
        <w:snapToGrid w:val="0"/>
        <w:spacing w:line="360" w:lineRule="auto"/>
        <w:jc w:val="left"/>
        <w:rPr>
          <w:rFonts w:hint="eastAsia" w:ascii="宋体" w:hAnsi="宋体" w:eastAsia="宋体" w:cs="宋体"/>
          <w:color w:val="auto"/>
          <w:sz w:val="24"/>
          <w:highlight w:val="none"/>
        </w:rPr>
      </w:pP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投标人全称（公章）： </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szCs w:val="20"/>
          <w:highlight w:val="none"/>
        </w:rPr>
        <w:t>法定代表人或</w:t>
      </w:r>
      <w:r>
        <w:rPr>
          <w:rFonts w:hint="eastAsia" w:ascii="宋体" w:hAnsi="宋体" w:eastAsia="宋体" w:cs="宋体"/>
          <w:color w:val="auto"/>
          <w:sz w:val="24"/>
          <w:highlight w:val="none"/>
        </w:rPr>
        <w:t>授权代表（签字）：</w:t>
      </w: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napToGrid w:val="0"/>
        <w:spacing w:line="360" w:lineRule="auto"/>
        <w:jc w:val="left"/>
        <w:rPr>
          <w:rFonts w:hint="eastAsia" w:ascii="宋体" w:hAnsi="宋体" w:eastAsia="宋体" w:cs="宋体"/>
          <w:b/>
          <w:bCs/>
          <w:color w:val="auto"/>
          <w:sz w:val="24"/>
          <w:highlight w:val="none"/>
          <w:lang w:val="zh-CN"/>
        </w:rPr>
      </w:pPr>
    </w:p>
    <w:p>
      <w:pPr>
        <w:snapToGrid w:val="0"/>
        <w:spacing w:line="360" w:lineRule="auto"/>
        <w:jc w:val="left"/>
        <w:rPr>
          <w:rFonts w:hint="eastAsia" w:ascii="宋体" w:hAnsi="宋体" w:eastAsia="宋体" w:cs="宋体"/>
          <w:b/>
          <w:bCs/>
          <w:color w:val="auto"/>
          <w:sz w:val="24"/>
          <w:highlight w:val="none"/>
          <w:lang w:val="zh-CN"/>
        </w:rPr>
      </w:pPr>
    </w:p>
    <w:p>
      <w:pPr>
        <w:snapToGrid w:val="0"/>
        <w:spacing w:line="360" w:lineRule="auto"/>
        <w:jc w:val="left"/>
        <w:rPr>
          <w:rFonts w:hint="eastAsia" w:ascii="宋体" w:hAnsi="宋体" w:eastAsia="宋体" w:cs="宋体"/>
          <w:b/>
          <w:bCs/>
          <w:color w:val="auto"/>
          <w:sz w:val="24"/>
          <w:highlight w:val="none"/>
          <w:lang w:val="zh-CN"/>
        </w:rPr>
      </w:pPr>
    </w:p>
    <w:p>
      <w:pPr>
        <w:snapToGrid w:val="0"/>
        <w:spacing w:line="360" w:lineRule="auto"/>
        <w:jc w:val="left"/>
        <w:rPr>
          <w:rFonts w:hint="eastAsia" w:ascii="宋体" w:hAnsi="宋体" w:eastAsia="宋体" w:cs="宋体"/>
          <w:b/>
          <w:bCs/>
          <w:color w:val="auto"/>
          <w:sz w:val="24"/>
          <w:highlight w:val="none"/>
          <w:lang w:val="zh-CN"/>
        </w:rPr>
      </w:pPr>
    </w:p>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投标人、投标人法定代表人及本次投标的授权代表违法犯罪情况表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6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724" w:type="dxa"/>
            <w:vAlign w:val="center"/>
          </w:tcPr>
          <w:p>
            <w:pPr>
              <w:snapToGrid w:val="0"/>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内容</w:t>
            </w:r>
          </w:p>
        </w:tc>
        <w:tc>
          <w:tcPr>
            <w:tcW w:w="6132" w:type="dxa"/>
            <w:vAlign w:val="center"/>
          </w:tcPr>
          <w:p>
            <w:pPr>
              <w:snapToGrid w:val="0"/>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投标截止之日前</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年内违法犯罪情况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724" w:type="dxa"/>
            <w:vAlign w:val="center"/>
          </w:tcPr>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1、投标人违法犯罪记录</w:t>
            </w:r>
          </w:p>
        </w:tc>
        <w:tc>
          <w:tcPr>
            <w:tcW w:w="6132" w:type="dxa"/>
            <w:vAlign w:val="center"/>
          </w:tcPr>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                           无违法犯罪记录。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724" w:type="dxa"/>
            <w:vAlign w:val="center"/>
          </w:tcPr>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2、投标人法定代表人违法犯罪记录</w:t>
            </w:r>
          </w:p>
        </w:tc>
        <w:tc>
          <w:tcPr>
            <w:tcW w:w="6132" w:type="dxa"/>
            <w:vAlign w:val="center"/>
          </w:tcPr>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投标人法定代表人（姓名：     、身份证号码：        ）无违法犯罪记录。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2724" w:type="dxa"/>
            <w:vAlign w:val="center"/>
          </w:tcPr>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3、本次投标授权代表违法犯罪记录</w:t>
            </w:r>
          </w:p>
        </w:tc>
        <w:tc>
          <w:tcPr>
            <w:tcW w:w="6132" w:type="dxa"/>
            <w:vAlign w:val="center"/>
          </w:tcPr>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本次投标授权代表（姓名：       、身份证号码：       ）无违法犯罪记录。</w:t>
            </w:r>
          </w:p>
        </w:tc>
      </w:tr>
    </w:tbl>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注：若中标供应商经违法犯罪档案查询存在违法犯罪记录的，投标文件将被视为无效，取消中标资格。</w:t>
      </w:r>
    </w:p>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投标人全称（公章）：                  </w:t>
      </w:r>
    </w:p>
    <w:p>
      <w:pPr>
        <w:snapToGrid w:val="0"/>
        <w:spacing w:line="360" w:lineRule="auto"/>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　　　　　</w:t>
      </w:r>
    </w:p>
    <w:p>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日期：     年    月    日</w:t>
      </w:r>
    </w:p>
    <w:p>
      <w:pPr>
        <w:snapToGrid w:val="0"/>
        <w:spacing w:line="360" w:lineRule="auto"/>
        <w:jc w:val="left"/>
        <w:rPr>
          <w:rFonts w:hint="eastAsia" w:ascii="宋体" w:hAnsi="宋体" w:eastAsia="宋体" w:cs="宋体"/>
          <w:color w:val="auto"/>
          <w:kern w:val="0"/>
          <w:sz w:val="24"/>
          <w:highlight w:val="none"/>
          <w:lang w:val="zh-CN"/>
        </w:rPr>
      </w:pPr>
    </w:p>
    <w:p>
      <w:pPr>
        <w:snapToGrid w:val="0"/>
        <w:spacing w:line="360" w:lineRule="auto"/>
        <w:jc w:val="left"/>
        <w:rPr>
          <w:rFonts w:hint="eastAsia" w:ascii="宋体" w:hAnsi="宋体" w:eastAsia="宋体" w:cs="宋体"/>
          <w:b/>
          <w:bCs/>
          <w:color w:val="auto"/>
          <w:kern w:val="0"/>
          <w:sz w:val="24"/>
          <w:highlight w:val="none"/>
          <w:lang w:val="zh-CN"/>
        </w:rPr>
      </w:pPr>
    </w:p>
    <w:p>
      <w:pPr>
        <w:snapToGrid w:val="0"/>
        <w:spacing w:line="360" w:lineRule="auto"/>
        <w:jc w:val="left"/>
        <w:rPr>
          <w:rFonts w:hint="eastAsia" w:ascii="宋体" w:hAnsi="宋体" w:eastAsia="宋体" w:cs="宋体"/>
          <w:b/>
          <w:bCs/>
          <w:color w:val="auto"/>
          <w:kern w:val="0"/>
          <w:sz w:val="24"/>
          <w:highlight w:val="none"/>
          <w:lang w:val="zh-CN"/>
        </w:rPr>
      </w:pPr>
    </w:p>
    <w:p>
      <w:pPr>
        <w:snapToGrid w:val="0"/>
        <w:spacing w:line="360" w:lineRule="auto"/>
        <w:jc w:val="left"/>
        <w:rPr>
          <w:rFonts w:hint="eastAsia" w:ascii="宋体" w:hAnsi="宋体" w:eastAsia="宋体" w:cs="宋体"/>
          <w:color w:val="auto"/>
          <w:sz w:val="24"/>
          <w:highlight w:val="none"/>
        </w:rPr>
      </w:pPr>
    </w:p>
    <w:p>
      <w:pPr>
        <w:snapToGrid w:val="0"/>
        <w:spacing w:line="360" w:lineRule="auto"/>
        <w:jc w:val="left"/>
        <w:rPr>
          <w:rFonts w:hint="eastAsia" w:ascii="宋体" w:hAnsi="宋体" w:eastAsia="宋体" w:cs="宋体"/>
          <w:b/>
          <w:bCs/>
          <w:color w:val="auto"/>
          <w:sz w:val="24"/>
          <w:highlight w:val="none"/>
          <w:lang w:val="zh-CN"/>
        </w:rPr>
      </w:pPr>
    </w:p>
    <w:p>
      <w:pPr>
        <w:snapToGrid w:val="0"/>
        <w:spacing w:line="360" w:lineRule="auto"/>
        <w:ind w:right="-108"/>
        <w:rPr>
          <w:rFonts w:hint="eastAsia" w:ascii="宋体" w:hAnsi="宋体" w:eastAsia="宋体" w:cs="宋体"/>
          <w:b/>
          <w:color w:val="auto"/>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before="156" w:beforeLines="50" w:after="156" w:afterLines="5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技术偏离表</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标项：</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917"/>
        <w:gridCol w:w="2132"/>
        <w:gridCol w:w="169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213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投标文件响应</w:t>
            </w:r>
          </w:p>
        </w:tc>
        <w:tc>
          <w:tcPr>
            <w:tcW w:w="16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5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91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c>
          <w:tcPr>
            <w:tcW w:w="156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eastAsia" w:ascii="宋体" w:hAnsi="宋体" w:eastAsia="宋体" w:cs="宋体"/>
                <w:color w:val="auto"/>
                <w:sz w:val="24"/>
                <w:highlight w:val="none"/>
              </w:rPr>
            </w:pPr>
          </w:p>
        </w:tc>
      </w:tr>
    </w:tbl>
    <w:p>
      <w:pPr>
        <w:snapToGrid w:val="0"/>
        <w:spacing w:after="120" w:line="360" w:lineRule="auto"/>
        <w:rPr>
          <w:rFonts w:hint="eastAsia" w:ascii="宋体" w:hAnsi="宋体" w:eastAsia="宋体" w:cs="宋体"/>
          <w:color w:val="auto"/>
          <w:spacing w:val="20"/>
          <w:sz w:val="24"/>
          <w:szCs w:val="16"/>
          <w:highlight w:val="none"/>
        </w:rPr>
      </w:pPr>
      <w:r>
        <w:rPr>
          <w:rFonts w:hint="eastAsia" w:ascii="宋体" w:hAnsi="宋体" w:eastAsia="宋体" w:cs="宋体"/>
          <w:color w:val="auto"/>
          <w:sz w:val="24"/>
          <w:highlight w:val="none"/>
        </w:rPr>
        <w:t>注：供应商应根据投标设备的性能指标、对照招标文件要求在“偏离情况”栏注明“正偏离”、“负偏离”或“无偏离”。</w:t>
      </w:r>
    </w:p>
    <w:p>
      <w:pPr>
        <w:snapToGrid w:val="0"/>
        <w:spacing w:line="360" w:lineRule="auto"/>
        <w:jc w:val="left"/>
        <w:rPr>
          <w:rFonts w:hint="eastAsia" w:ascii="宋体" w:hAnsi="宋体" w:eastAsia="宋体" w:cs="宋体"/>
          <w:color w:val="auto"/>
          <w:sz w:val="24"/>
          <w:highlight w:val="none"/>
        </w:rPr>
      </w:pPr>
    </w:p>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供应商全称（公章）： </w:t>
      </w:r>
    </w:p>
    <w:p>
      <w:pPr>
        <w:snapToGrid w:val="0"/>
        <w:spacing w:before="152" w:after="16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szCs w:val="20"/>
          <w:highlight w:val="none"/>
        </w:rPr>
        <w:t>法定代表人或</w:t>
      </w:r>
      <w:r>
        <w:rPr>
          <w:rFonts w:hint="eastAsia" w:ascii="宋体" w:hAnsi="宋体" w:eastAsia="宋体" w:cs="宋体"/>
          <w:color w:val="auto"/>
          <w:sz w:val="24"/>
          <w:highlight w:val="none"/>
        </w:rPr>
        <w:t>授权代表（签字）：</w:t>
      </w:r>
    </w:p>
    <w:p>
      <w:pPr>
        <w:snapToGrid w:val="0"/>
        <w:spacing w:before="156" w:beforeLines="50" w:after="156" w:afterLines="50"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t>日期：     年    月    日</w:t>
      </w:r>
    </w:p>
    <w:p>
      <w:pPr>
        <w:snapToGrid w:val="0"/>
        <w:spacing w:line="360" w:lineRule="auto"/>
        <w:jc w:val="left"/>
        <w:rPr>
          <w:rFonts w:hint="eastAsia" w:ascii="宋体" w:hAnsi="宋体" w:eastAsia="宋体" w:cs="宋体"/>
          <w:b/>
          <w:bCs/>
          <w:color w:val="auto"/>
          <w:sz w:val="24"/>
          <w:highlight w:val="none"/>
        </w:rPr>
      </w:pPr>
    </w:p>
    <w:p>
      <w:pPr>
        <w:snapToGrid w:val="0"/>
        <w:spacing w:line="360" w:lineRule="auto"/>
        <w:jc w:val="left"/>
        <w:rPr>
          <w:rFonts w:hint="eastAsia" w:ascii="宋体" w:hAnsi="宋体" w:eastAsia="宋体" w:cs="宋体"/>
          <w:color w:val="auto"/>
          <w:kern w:val="0"/>
          <w:sz w:val="24"/>
          <w:highlight w:val="none"/>
          <w:lang w:val="zh-CN"/>
        </w:rPr>
      </w:pPr>
    </w:p>
    <w:p>
      <w:pPr>
        <w:snapToGrid w:val="0"/>
        <w:spacing w:before="156" w:beforeLines="50" w:after="156" w:afterLines="50" w:line="360" w:lineRule="auto"/>
        <w:rPr>
          <w:rFonts w:hint="eastAsia" w:ascii="宋体" w:hAnsi="宋体" w:eastAsia="宋体" w:cs="宋体"/>
          <w:b/>
          <w:bCs/>
          <w:color w:val="auto"/>
          <w:kern w:val="0"/>
          <w:sz w:val="24"/>
          <w:highlight w:val="none"/>
        </w:rPr>
      </w:pPr>
    </w:p>
    <w:p>
      <w:pPr>
        <w:snapToGrid w:val="0"/>
        <w:spacing w:before="156" w:beforeLines="50" w:after="156" w:afterLines="50" w:line="360" w:lineRule="auto"/>
        <w:rPr>
          <w:rFonts w:hint="eastAsia" w:ascii="宋体" w:hAnsi="宋体" w:eastAsia="宋体" w:cs="宋体"/>
          <w:b/>
          <w:bCs/>
          <w:color w:val="auto"/>
          <w:kern w:val="0"/>
          <w:sz w:val="24"/>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before="156" w:beforeLines="50" w:after="156" w:afterLines="50" w:line="360" w:lineRule="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val="zh-CN"/>
        </w:rPr>
        <w:t>项目实施方案和人力资源安排，以及本项目实施人员一览</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标项：</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1"/>
        <w:gridCol w:w="960"/>
        <w:gridCol w:w="1830"/>
        <w:gridCol w:w="1200"/>
        <w:gridCol w:w="1854"/>
        <w:gridCol w:w="1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专业技术资格</w:t>
            </w: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参加本单位工作时间</w:t>
            </w:r>
          </w:p>
        </w:tc>
        <w:tc>
          <w:tcPr>
            <w:tcW w:w="16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相关工作经验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c>
          <w:tcPr>
            <w:tcW w:w="16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auto"/>
                <w:sz w:val="24"/>
                <w:highlight w:val="none"/>
              </w:rPr>
            </w:pPr>
          </w:p>
        </w:tc>
      </w:tr>
    </w:tbl>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注：在填写时，如本表格不适合投标单位的实际情况，可根据本表格式自行划表填写。</w:t>
      </w:r>
    </w:p>
    <w:p>
      <w:pPr>
        <w:snapToGrid w:val="0"/>
        <w:spacing w:line="360" w:lineRule="auto"/>
        <w:jc w:val="left"/>
        <w:rPr>
          <w:rFonts w:hint="eastAsia" w:ascii="宋体" w:hAnsi="宋体" w:eastAsia="宋体" w:cs="宋体"/>
          <w:b/>
          <w:color w:val="auto"/>
          <w:sz w:val="24"/>
          <w:highlight w:val="none"/>
        </w:rPr>
      </w:pPr>
    </w:p>
    <w:p>
      <w:pPr>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供应商全称（公章）： </w:t>
      </w:r>
    </w:p>
    <w:p>
      <w:pPr>
        <w:snapToGrid w:val="0"/>
        <w:spacing w:line="360" w:lineRule="auto"/>
        <w:ind w:firstLine="240" w:firstLine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法定代表人或授权代表（签字）：</w:t>
      </w:r>
    </w:p>
    <w:p>
      <w:pPr>
        <w:snapToGrid w:val="0"/>
        <w:spacing w:line="360" w:lineRule="auto"/>
        <w:ind w:firstLine="240" w:firstLineChars="1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      年    月    日</w:t>
      </w:r>
    </w:p>
    <w:p>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附：项目实施人员相关经验或资质证明文件复印件</w:t>
      </w:r>
    </w:p>
    <w:p>
      <w:pPr>
        <w:snapToGrid w:val="0"/>
        <w:spacing w:line="360" w:lineRule="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姓名：</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职务：</w:t>
      </w:r>
      <w:r>
        <w:rPr>
          <w:rFonts w:hint="eastAsia" w:ascii="宋体" w:hAnsi="宋体" w:eastAsia="宋体" w:cs="宋体"/>
          <w:b/>
          <w:color w:val="auto"/>
          <w:sz w:val="24"/>
          <w:highlight w:val="none"/>
          <w:u w:val="singl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2" w:hRule="atLeast"/>
        </w:trPr>
        <w:tc>
          <w:tcPr>
            <w:tcW w:w="8522" w:type="dxa"/>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经验或资质证明文件复印件</w:t>
            </w:r>
          </w:p>
        </w:tc>
      </w:tr>
    </w:tbl>
    <w:p>
      <w:pPr>
        <w:snapToGrid w:val="0"/>
        <w:spacing w:before="156" w:beforeLines="50" w:after="156" w:afterLines="50"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lang w:val="zh-CN"/>
        </w:rPr>
      </w:pPr>
    </w:p>
    <w:p>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92" w:name="_Toc21891"/>
      <w:bookmarkStart w:id="93" w:name="_Toc5972"/>
      <w:r>
        <w:rPr>
          <w:rFonts w:hint="eastAsia" w:ascii="宋体" w:hAnsi="宋体" w:eastAsia="宋体" w:cs="宋体"/>
          <w:b/>
          <w:color w:val="auto"/>
          <w:sz w:val="36"/>
          <w:szCs w:val="36"/>
          <w:highlight w:val="none"/>
        </w:rPr>
        <w:t>报价文件</w:t>
      </w:r>
      <w:bookmarkEnd w:id="92"/>
      <w:bookmarkEnd w:id="93"/>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一、投标响应函格式：</w:t>
      </w:r>
    </w:p>
    <w:p>
      <w:pPr>
        <w:snapToGrid w:val="0"/>
        <w:spacing w:line="360" w:lineRule="auto"/>
        <w:jc w:val="center"/>
        <w:rPr>
          <w:rFonts w:hint="eastAsia" w:ascii="宋体" w:hAnsi="宋体" w:eastAsia="宋体" w:cs="宋体"/>
          <w:b/>
          <w:color w:val="auto"/>
          <w:kern w:val="44"/>
          <w:sz w:val="24"/>
          <w:highlight w:val="none"/>
        </w:rPr>
      </w:pPr>
      <w:bookmarkStart w:id="94" w:name="_Toc415734855"/>
      <w:r>
        <w:rPr>
          <w:rFonts w:hint="eastAsia" w:ascii="宋体" w:hAnsi="宋体" w:eastAsia="宋体" w:cs="宋体"/>
          <w:b/>
          <w:color w:val="auto"/>
          <w:kern w:val="44"/>
          <w:sz w:val="24"/>
          <w:highlight w:val="none"/>
        </w:rPr>
        <w:t>投标响应函</w:t>
      </w:r>
      <w:bookmarkEnd w:id="94"/>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浙江省消防救援总队、</w:t>
      </w:r>
      <w:r>
        <w:rPr>
          <w:rFonts w:hint="eastAsia" w:ascii="宋体" w:hAnsi="宋体" w:eastAsia="宋体" w:cs="宋体"/>
          <w:color w:val="auto"/>
          <w:sz w:val="24"/>
          <w:highlight w:val="none"/>
          <w:lang w:eastAsia="zh-CN"/>
        </w:rPr>
        <w:t>浙江中诺招标代理有限公司</w:t>
      </w:r>
      <w:r>
        <w:rPr>
          <w:rFonts w:hint="eastAsia" w:ascii="宋体" w:hAnsi="宋体" w:eastAsia="宋体" w:cs="宋体"/>
          <w:color w:val="auto"/>
          <w:sz w:val="24"/>
          <w:highlight w:val="none"/>
        </w:rPr>
        <w:t>：</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(投标人全称)授权(全权代表姓名)(职务、职称)为全权代表，参加贵方组织的</w:t>
      </w:r>
      <w:r>
        <w:rPr>
          <w:rFonts w:hint="eastAsia" w:ascii="宋体" w:hAnsi="宋体" w:eastAsia="宋体" w:cs="宋体"/>
          <w:color w:val="auto"/>
          <w:sz w:val="24"/>
          <w:highlight w:val="none"/>
          <w:lang w:eastAsia="zh-CN"/>
        </w:rPr>
        <w:t>浙江省消防救援总队消防器材装备（破拆类第一批）采购项目</w:t>
      </w:r>
      <w:r>
        <w:rPr>
          <w:rFonts w:hint="eastAsia" w:ascii="宋体" w:hAnsi="宋体" w:eastAsia="宋体" w:cs="宋体"/>
          <w:color w:val="auto"/>
          <w:sz w:val="24"/>
          <w:highlight w:val="none"/>
          <w:u w:val="single"/>
          <w:lang w:val="en-US" w:eastAsia="zh-CN"/>
        </w:rPr>
        <w:t xml:space="preserve">     （填写标项）     </w:t>
      </w:r>
      <w:r>
        <w:rPr>
          <w:rFonts w:hint="eastAsia" w:ascii="宋体" w:hAnsi="宋体" w:eastAsia="宋体" w:cs="宋体"/>
          <w:color w:val="auto"/>
          <w:sz w:val="24"/>
          <w:highlight w:val="none"/>
        </w:rPr>
        <w:t>(采购编号：  ) 招标的有关活动，并对此项目进行投标。为此：</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1、我方同意在投标人</w:t>
      </w:r>
      <w:r>
        <w:rPr>
          <w:rFonts w:hint="eastAsia" w:ascii="宋体" w:hAnsi="宋体" w:eastAsia="宋体" w:cs="宋体"/>
          <w:color w:val="auto"/>
          <w:kern w:val="44"/>
          <w:sz w:val="24"/>
          <w:highlight w:val="none"/>
        </w:rPr>
        <w:t>编制和提交采购响应文件须知</w:t>
      </w:r>
      <w:r>
        <w:rPr>
          <w:rFonts w:hint="eastAsia" w:ascii="宋体" w:hAnsi="宋体" w:eastAsia="宋体" w:cs="宋体"/>
          <w:color w:val="auto"/>
          <w:sz w:val="24"/>
          <w:highlight w:val="none"/>
        </w:rPr>
        <w:t>规定的开标日期起遵守本投标文件中的承诺且在投标有效期满之前均具有约束力。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2、我方承诺已经具备《中华人民共和国政府采购法》中规定的参加政府采购活动的供应商应当具备的条件：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(2)遵守国家法律、行政法规，具有良好的信誉和商业道德；</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(3)具有履行合同的能力和良好的履行合同记录；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(4)良好的资金、财务状况；</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(5)产品及生产所需装备符合中国政府规定的相应技术标准和环保标准；</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(6)没有违反政府采购法规、政策的记录；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(7)没有发生重大经济纠纷和走私犯罪记录。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w:t>
      </w:r>
      <w:r>
        <w:rPr>
          <w:rFonts w:hint="eastAsia" w:ascii="宋体" w:hAnsi="宋体" w:eastAsia="宋体" w:cs="宋体"/>
          <w:color w:val="auto"/>
          <w:kern w:val="44"/>
          <w:sz w:val="24"/>
          <w:highlight w:val="none"/>
        </w:rPr>
        <w:t>编制和提交采购响应文件须知</w:t>
      </w:r>
      <w:r>
        <w:rPr>
          <w:rFonts w:hint="eastAsia" w:ascii="宋体" w:hAnsi="宋体" w:eastAsia="宋体" w:cs="宋体"/>
          <w:color w:val="auto"/>
          <w:sz w:val="24"/>
          <w:highlight w:val="none"/>
        </w:rPr>
        <w:t>规定的全部投标文件，包括投标文件</w:t>
      </w:r>
      <w:r>
        <w:rPr>
          <w:rFonts w:hint="eastAsia" w:ascii="宋体" w:hAnsi="宋体" w:eastAsia="宋体" w:cs="宋体"/>
          <w:color w:val="auto"/>
          <w:kern w:val="44"/>
          <w:sz w:val="24"/>
          <w:highlight w:val="none"/>
        </w:rPr>
        <w:t>正本1份，副本</w:t>
      </w:r>
      <w:r>
        <w:rPr>
          <w:rFonts w:hint="eastAsia" w:ascii="宋体" w:hAnsi="宋体" w:eastAsia="宋体" w:cs="宋体"/>
          <w:color w:val="auto"/>
          <w:kern w:val="44"/>
          <w:sz w:val="24"/>
          <w:highlight w:val="none"/>
          <w:u w:val="single"/>
          <w:lang w:val="en-US" w:eastAsia="zh-CN"/>
        </w:rPr>
        <w:t>3</w:t>
      </w:r>
      <w:r>
        <w:rPr>
          <w:rFonts w:hint="eastAsia" w:ascii="宋体" w:hAnsi="宋体" w:eastAsia="宋体" w:cs="宋体"/>
          <w:color w:val="auto"/>
          <w:kern w:val="44"/>
          <w:sz w:val="24"/>
          <w:highlight w:val="none"/>
          <w:u w:val="single"/>
        </w:rPr>
        <w:t xml:space="preserve"> </w:t>
      </w:r>
      <w:r>
        <w:rPr>
          <w:rFonts w:hint="eastAsia" w:ascii="宋体" w:hAnsi="宋体" w:eastAsia="宋体" w:cs="宋体"/>
          <w:color w:val="auto"/>
          <w:kern w:val="44"/>
          <w:sz w:val="24"/>
          <w:highlight w:val="none"/>
        </w:rPr>
        <w:t>份（见投标须知前附表所述）。</w:t>
      </w:r>
      <w:r>
        <w:rPr>
          <w:rFonts w:hint="eastAsia" w:ascii="宋体" w:hAnsi="宋体" w:eastAsia="宋体" w:cs="宋体"/>
          <w:color w:val="auto"/>
          <w:sz w:val="24"/>
          <w:highlight w:val="none"/>
        </w:rPr>
        <w:t>具体内容为：</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(1)投标(开标)一览表及投标报价明细清单；</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w:t>
      </w:r>
      <w:r>
        <w:rPr>
          <w:rFonts w:hint="eastAsia" w:ascii="宋体" w:hAnsi="宋体" w:eastAsia="宋体" w:cs="宋体"/>
          <w:color w:val="auto"/>
          <w:kern w:val="0"/>
          <w:sz w:val="24"/>
          <w:highlight w:val="none"/>
          <w:lang w:val="zh-CN"/>
        </w:rPr>
        <w:t>技术文件和</w:t>
      </w:r>
      <w:r>
        <w:rPr>
          <w:rFonts w:hint="eastAsia" w:ascii="宋体" w:hAnsi="宋体" w:eastAsia="宋体" w:cs="宋体"/>
          <w:color w:val="auto"/>
          <w:sz w:val="24"/>
          <w:highlight w:val="none"/>
          <w:lang w:val="zh-CN"/>
        </w:rPr>
        <w:t>商务文件</w:t>
      </w:r>
      <w:r>
        <w:rPr>
          <w:rFonts w:hint="eastAsia" w:ascii="宋体" w:hAnsi="宋体" w:eastAsia="宋体" w:cs="宋体"/>
          <w:color w:val="auto"/>
          <w:sz w:val="24"/>
          <w:highlight w:val="none"/>
        </w:rPr>
        <w:t>；</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44"/>
          <w:sz w:val="24"/>
          <w:highlight w:val="none"/>
        </w:rPr>
        <w:t>编制和提交采购响应文件须知</w:t>
      </w:r>
      <w:r>
        <w:rPr>
          <w:rFonts w:hint="eastAsia" w:ascii="宋体" w:hAnsi="宋体" w:eastAsia="宋体" w:cs="宋体"/>
          <w:color w:val="auto"/>
          <w:sz w:val="24"/>
          <w:highlight w:val="none"/>
        </w:rPr>
        <w:t>要求投标人提交的全部文件；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(4)由银行出具的金额为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的投标保证金；</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(5)按招标文件要求提供和交付的货物和服务的投标报价详见投标(开标)一览表；</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(6)保证忠实地执行双方所签订的合同，并承担合同规定的责任和义务；</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(7)保证遵守招标文件中的其他有关规定。</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4、如果在开标后规定的投标有效期内撤回投标，我方的投标保证金可被贵方没收。</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5、我方完全理解贵方不一定要接受最低价的投标。</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6、我方愿意向贵方提供任何与该项投标有关的数据、情况和技术资料。若贵方需要，我方愿意提供我方作出的一切承诺的证明材料。</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7、我方已详细审核全部招标文件，包括招标文件修改书(如果有)、参考资料及有关附件，确认无误。</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a)提供虚假材料谋取中标、成交的；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b)采取不正当手段诋毁、排挤其他供应商的；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c)与采购人、其它供应商或者采购代理机构恶意串通的；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d)向采购人、采购代理机构行贿或者提供其他不正当利益的；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e)在招标采购过程中与采购人进行协商谈判的；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f)拒绝有关部门监督检查或提供虚假情况的。</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供应商有前款第a)至e)项情形之一的，中标、成交无效。</w:t>
      </w:r>
    </w:p>
    <w:p>
      <w:pPr>
        <w:snapToGrid w:val="0"/>
        <w:spacing w:line="360" w:lineRule="auto"/>
        <w:ind w:firstLine="3600" w:firstLineChars="1500"/>
        <w:rPr>
          <w:rFonts w:hint="eastAsia" w:ascii="宋体" w:hAnsi="宋体" w:eastAsia="宋体" w:cs="宋体"/>
          <w:color w:val="auto"/>
          <w:sz w:val="24"/>
          <w:highlight w:val="none"/>
        </w:rPr>
      </w:pPr>
    </w:p>
    <w:p>
      <w:pPr>
        <w:snapToGrid w:val="0"/>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w:t>
      </w:r>
    </w:p>
    <w:p>
      <w:pPr>
        <w:snapToGrid w:val="0"/>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法定代表人或其授权代表（签字或盖章）：</w:t>
      </w:r>
    </w:p>
    <w:p>
      <w:pPr>
        <w:snapToGrid w:val="0"/>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napToGrid w:val="0"/>
        <w:spacing w:line="360" w:lineRule="auto"/>
        <w:ind w:left="420" w:leftChars="200" w:firstLine="4200" w:firstLineChars="1750"/>
        <w:rPr>
          <w:rFonts w:hint="eastAsia" w:ascii="宋体" w:hAnsi="宋体" w:eastAsia="宋体" w:cs="宋体"/>
          <w:color w:val="auto"/>
          <w:kern w:val="0"/>
          <w:sz w:val="24"/>
          <w:highlight w:val="none"/>
          <w:u w:val="single"/>
          <w:lang w:val="zh-CN"/>
        </w:rPr>
      </w:pPr>
    </w:p>
    <w:p>
      <w:pPr>
        <w:snapToGrid w:val="0"/>
        <w:spacing w:line="360" w:lineRule="auto"/>
        <w:ind w:left="420" w:left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联系人：                               联系电话： </w:t>
      </w:r>
    </w:p>
    <w:p>
      <w:pPr>
        <w:snapToGrid w:val="0"/>
        <w:spacing w:line="360" w:lineRule="auto"/>
        <w:ind w:left="420" w:left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联系地址：</w:t>
      </w:r>
    </w:p>
    <w:p>
      <w:pPr>
        <w:snapToGrid w:val="0"/>
        <w:spacing w:line="360" w:lineRule="auto"/>
        <w:ind w:left="420" w:left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邮政编码：                             传真号码：</w:t>
      </w:r>
    </w:p>
    <w:p>
      <w:pPr>
        <w:snapToGrid w:val="0"/>
        <w:spacing w:line="360" w:lineRule="auto"/>
        <w:rPr>
          <w:rFonts w:hint="eastAsia" w:ascii="宋体" w:hAnsi="宋体" w:eastAsia="宋体" w:cs="宋体"/>
          <w:b/>
          <w:color w:val="auto"/>
          <w:kern w:val="0"/>
          <w:sz w:val="24"/>
          <w:highlight w:val="none"/>
          <w:lang w:val="zh-CN"/>
        </w:rPr>
      </w:pPr>
    </w:p>
    <w:p>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注：未按照本投标响应函要求填报的将被视为非实质性响应投标，从而可能导致该投标被拒绝。</w:t>
      </w: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二、投标（开标）一览表格式：</w:t>
      </w:r>
    </w:p>
    <w:p>
      <w:pPr>
        <w:snapToGrid w:val="0"/>
        <w:spacing w:line="360" w:lineRule="auto"/>
        <w:jc w:val="center"/>
        <w:rPr>
          <w:rFonts w:hint="eastAsia" w:ascii="宋体" w:hAnsi="宋体" w:eastAsia="宋体" w:cs="宋体"/>
          <w:b/>
          <w:bCs/>
          <w:color w:val="auto"/>
          <w:sz w:val="24"/>
          <w:highlight w:val="none"/>
        </w:rPr>
      </w:pPr>
    </w:p>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投标（开标）一览表</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标项：</w:t>
      </w:r>
    </w:p>
    <w:p>
      <w:pPr>
        <w:snapToGrid w:val="0"/>
        <w:spacing w:line="360" w:lineRule="auto"/>
        <w:ind w:firstLine="240" w:firstLineChars="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金额单位：人民币（元）</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2359"/>
        <w:gridCol w:w="1473"/>
        <w:gridCol w:w="152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001" w:type="dxa"/>
            <w:vAlign w:val="center"/>
          </w:tcPr>
          <w:p>
            <w:pPr>
              <w:autoSpaceDE w:val="0"/>
              <w:autoSpaceDN w:val="0"/>
              <w:snapToGrid w:val="0"/>
              <w:spacing w:line="360" w:lineRule="auto"/>
              <w:jc w:val="center"/>
              <w:textAlignment w:val="bottom"/>
              <w:outlineLvl w:val="0"/>
              <w:rPr>
                <w:rFonts w:hint="eastAsia" w:ascii="宋体" w:hAnsi="宋体" w:eastAsia="宋体" w:cs="宋体"/>
                <w:color w:val="auto"/>
                <w:kern w:val="0"/>
                <w:sz w:val="24"/>
                <w:highlight w:val="none"/>
              </w:rPr>
            </w:pPr>
            <w:bookmarkStart w:id="95" w:name="_Toc20313"/>
            <w:bookmarkStart w:id="96" w:name="_Toc28654"/>
            <w:r>
              <w:rPr>
                <w:rFonts w:hint="eastAsia" w:ascii="宋体" w:hAnsi="宋体" w:eastAsia="宋体" w:cs="宋体"/>
                <w:color w:val="auto"/>
                <w:kern w:val="0"/>
                <w:sz w:val="24"/>
                <w:highlight w:val="none"/>
              </w:rPr>
              <w:t>项目内容</w:t>
            </w:r>
            <w:bookmarkEnd w:id="95"/>
            <w:bookmarkEnd w:id="96"/>
          </w:p>
        </w:tc>
        <w:tc>
          <w:tcPr>
            <w:tcW w:w="2359" w:type="dxa"/>
            <w:vAlign w:val="center"/>
          </w:tcPr>
          <w:p>
            <w:pPr>
              <w:autoSpaceDE w:val="0"/>
              <w:autoSpaceDN w:val="0"/>
              <w:snapToGrid w:val="0"/>
              <w:spacing w:line="360" w:lineRule="auto"/>
              <w:jc w:val="center"/>
              <w:textAlignment w:val="bottom"/>
              <w:outlineLvl w:val="0"/>
              <w:rPr>
                <w:rFonts w:hint="eastAsia" w:ascii="宋体" w:hAnsi="宋体" w:eastAsia="宋体" w:cs="宋体"/>
                <w:color w:val="auto"/>
                <w:kern w:val="0"/>
                <w:sz w:val="24"/>
                <w:highlight w:val="none"/>
              </w:rPr>
            </w:pPr>
            <w:bookmarkStart w:id="97" w:name="_Toc9344"/>
            <w:bookmarkStart w:id="98" w:name="_Toc11075"/>
            <w:r>
              <w:rPr>
                <w:rFonts w:hint="eastAsia" w:ascii="宋体" w:hAnsi="宋体" w:eastAsia="宋体" w:cs="宋体"/>
                <w:color w:val="auto"/>
                <w:kern w:val="0"/>
                <w:sz w:val="24"/>
                <w:highlight w:val="none"/>
              </w:rPr>
              <w:t>投标报价</w:t>
            </w:r>
            <w:bookmarkEnd w:id="97"/>
            <w:bookmarkEnd w:id="98"/>
          </w:p>
        </w:tc>
        <w:tc>
          <w:tcPr>
            <w:tcW w:w="1473" w:type="dxa"/>
            <w:vAlign w:val="center"/>
          </w:tcPr>
          <w:p>
            <w:pPr>
              <w:autoSpaceDE w:val="0"/>
              <w:autoSpaceDN w:val="0"/>
              <w:snapToGrid w:val="0"/>
              <w:spacing w:line="360" w:lineRule="auto"/>
              <w:jc w:val="center"/>
              <w:textAlignment w:val="bottom"/>
              <w:outlineLvl w:val="0"/>
              <w:rPr>
                <w:rFonts w:hint="eastAsia" w:ascii="宋体" w:hAnsi="宋体" w:eastAsia="宋体" w:cs="宋体"/>
                <w:color w:val="auto"/>
                <w:kern w:val="0"/>
                <w:sz w:val="24"/>
                <w:highlight w:val="none"/>
              </w:rPr>
            </w:pPr>
            <w:bookmarkStart w:id="99" w:name="_Toc31362"/>
            <w:bookmarkStart w:id="100" w:name="_Toc7434"/>
            <w:r>
              <w:rPr>
                <w:rFonts w:hint="eastAsia" w:ascii="宋体" w:hAnsi="宋体" w:eastAsia="宋体" w:cs="宋体"/>
                <w:color w:val="auto"/>
                <w:sz w:val="24"/>
                <w:highlight w:val="none"/>
              </w:rPr>
              <w:t>质保期</w:t>
            </w:r>
            <w:bookmarkEnd w:id="99"/>
            <w:bookmarkEnd w:id="100"/>
          </w:p>
        </w:tc>
        <w:tc>
          <w:tcPr>
            <w:tcW w:w="1524" w:type="dxa"/>
            <w:vAlign w:val="center"/>
          </w:tcPr>
          <w:p>
            <w:pPr>
              <w:autoSpaceDE w:val="0"/>
              <w:autoSpaceDN w:val="0"/>
              <w:snapToGrid w:val="0"/>
              <w:spacing w:line="360" w:lineRule="auto"/>
              <w:jc w:val="center"/>
              <w:textAlignment w:val="bottom"/>
              <w:outlineLvl w:val="0"/>
              <w:rPr>
                <w:rFonts w:hint="eastAsia" w:ascii="宋体" w:hAnsi="宋体" w:eastAsia="宋体" w:cs="宋体"/>
                <w:color w:val="auto"/>
                <w:kern w:val="0"/>
                <w:sz w:val="24"/>
                <w:highlight w:val="none"/>
              </w:rPr>
            </w:pPr>
            <w:bookmarkStart w:id="101" w:name="_Toc17104"/>
            <w:bookmarkStart w:id="102" w:name="_Toc24521"/>
            <w:r>
              <w:rPr>
                <w:rFonts w:hint="eastAsia" w:ascii="宋体" w:hAnsi="宋体" w:eastAsia="宋体" w:cs="宋体"/>
                <w:color w:val="auto"/>
                <w:kern w:val="0"/>
                <w:sz w:val="24"/>
                <w:highlight w:val="none"/>
              </w:rPr>
              <w:t>交货期</w:t>
            </w:r>
            <w:bookmarkEnd w:id="101"/>
            <w:bookmarkEnd w:id="102"/>
          </w:p>
        </w:tc>
        <w:tc>
          <w:tcPr>
            <w:tcW w:w="1580" w:type="dxa"/>
            <w:vAlign w:val="center"/>
          </w:tcPr>
          <w:p>
            <w:pPr>
              <w:autoSpaceDE w:val="0"/>
              <w:autoSpaceDN w:val="0"/>
              <w:snapToGrid w:val="0"/>
              <w:spacing w:line="360" w:lineRule="auto"/>
              <w:jc w:val="center"/>
              <w:textAlignment w:val="bottom"/>
              <w:outlineLvl w:val="0"/>
              <w:rPr>
                <w:rFonts w:hint="eastAsia" w:ascii="宋体" w:hAnsi="宋体" w:eastAsia="宋体" w:cs="宋体"/>
                <w:color w:val="auto"/>
                <w:kern w:val="0"/>
                <w:sz w:val="24"/>
                <w:highlight w:val="none"/>
              </w:rPr>
            </w:pPr>
            <w:bookmarkStart w:id="103" w:name="_Toc763"/>
            <w:bookmarkStart w:id="104" w:name="_Toc27869"/>
            <w:r>
              <w:rPr>
                <w:rFonts w:hint="eastAsia" w:ascii="宋体" w:hAnsi="宋体" w:eastAsia="宋体" w:cs="宋体"/>
                <w:color w:val="auto"/>
                <w:kern w:val="0"/>
                <w:sz w:val="24"/>
                <w:highlight w:val="none"/>
              </w:rPr>
              <w:t>备注</w:t>
            </w:r>
            <w:bookmarkEnd w:id="103"/>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001" w:type="dxa"/>
            <w:vAlign w:val="center"/>
          </w:tcPr>
          <w:p>
            <w:pPr>
              <w:autoSpaceDE w:val="0"/>
              <w:autoSpaceDN w:val="0"/>
              <w:snapToGrid w:val="0"/>
              <w:spacing w:line="360" w:lineRule="auto"/>
              <w:jc w:val="center"/>
              <w:textAlignment w:val="bottom"/>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lang w:eastAsia="zh-CN"/>
              </w:rPr>
              <w:t>浙江省消防救援总队消防器材装备（破拆类第一批）采购项目</w:t>
            </w:r>
          </w:p>
        </w:tc>
        <w:tc>
          <w:tcPr>
            <w:tcW w:w="2359" w:type="dxa"/>
            <w:vAlign w:val="center"/>
          </w:tcPr>
          <w:p>
            <w:pPr>
              <w:autoSpaceDE w:val="0"/>
              <w:autoSpaceDN w:val="0"/>
              <w:snapToGrid w:val="0"/>
              <w:spacing w:line="360" w:lineRule="auto"/>
              <w:textAlignment w:val="bottom"/>
              <w:outlineLvl w:val="0"/>
              <w:rPr>
                <w:rFonts w:hint="eastAsia" w:ascii="宋体" w:hAnsi="宋体" w:eastAsia="宋体" w:cs="宋体"/>
                <w:color w:val="auto"/>
                <w:kern w:val="0"/>
                <w:sz w:val="24"/>
                <w:highlight w:val="none"/>
              </w:rPr>
            </w:pPr>
            <w:bookmarkStart w:id="105" w:name="_Toc18969"/>
            <w:bookmarkStart w:id="106" w:name="_Toc29741"/>
            <w:r>
              <w:rPr>
                <w:rFonts w:hint="eastAsia" w:ascii="宋体" w:hAnsi="宋体" w:eastAsia="宋体" w:cs="宋体"/>
                <w:color w:val="auto"/>
                <w:kern w:val="0"/>
                <w:sz w:val="24"/>
                <w:highlight w:val="none"/>
              </w:rPr>
              <w:t>小写：￥</w:t>
            </w:r>
            <w:bookmarkEnd w:id="105"/>
            <w:bookmarkEnd w:id="106"/>
          </w:p>
          <w:p>
            <w:pPr>
              <w:autoSpaceDE w:val="0"/>
              <w:autoSpaceDN w:val="0"/>
              <w:snapToGrid w:val="0"/>
              <w:spacing w:line="360" w:lineRule="auto"/>
              <w:textAlignment w:val="bottom"/>
              <w:outlineLvl w:val="0"/>
              <w:rPr>
                <w:rFonts w:hint="eastAsia" w:ascii="宋体" w:hAnsi="宋体" w:eastAsia="宋体" w:cs="宋体"/>
                <w:color w:val="auto"/>
                <w:kern w:val="0"/>
                <w:sz w:val="24"/>
                <w:highlight w:val="none"/>
              </w:rPr>
            </w:pPr>
            <w:bookmarkStart w:id="107" w:name="_Toc9869"/>
            <w:bookmarkStart w:id="108" w:name="_Toc21686"/>
            <w:r>
              <w:rPr>
                <w:rFonts w:hint="eastAsia" w:ascii="宋体" w:hAnsi="宋体" w:eastAsia="宋体" w:cs="宋体"/>
                <w:color w:val="auto"/>
                <w:kern w:val="0"/>
                <w:sz w:val="24"/>
                <w:highlight w:val="none"/>
              </w:rPr>
              <w:t>大写：</w:t>
            </w:r>
            <w:bookmarkEnd w:id="107"/>
            <w:bookmarkEnd w:id="108"/>
            <w:r>
              <w:rPr>
                <w:rFonts w:hint="eastAsia" w:ascii="宋体" w:hAnsi="宋体" w:eastAsia="宋体" w:cs="宋体"/>
                <w:color w:val="auto"/>
                <w:kern w:val="0"/>
                <w:sz w:val="24"/>
                <w:highlight w:val="none"/>
              </w:rPr>
              <w:t xml:space="preserve"> </w:t>
            </w:r>
          </w:p>
        </w:tc>
        <w:tc>
          <w:tcPr>
            <w:tcW w:w="1473" w:type="dxa"/>
            <w:vAlign w:val="center"/>
          </w:tcPr>
          <w:p>
            <w:pPr>
              <w:autoSpaceDE w:val="0"/>
              <w:autoSpaceDN w:val="0"/>
              <w:snapToGrid w:val="0"/>
              <w:spacing w:line="360" w:lineRule="auto"/>
              <w:jc w:val="center"/>
              <w:textAlignment w:val="bottom"/>
              <w:outlineLvl w:val="9"/>
              <w:rPr>
                <w:rFonts w:hint="eastAsia" w:ascii="宋体" w:hAnsi="宋体" w:eastAsia="宋体" w:cs="宋体"/>
                <w:color w:val="auto"/>
                <w:kern w:val="0"/>
                <w:sz w:val="24"/>
                <w:highlight w:val="none"/>
              </w:rPr>
            </w:pPr>
          </w:p>
        </w:tc>
        <w:tc>
          <w:tcPr>
            <w:tcW w:w="1524" w:type="dxa"/>
            <w:vAlign w:val="center"/>
          </w:tcPr>
          <w:p>
            <w:pPr>
              <w:autoSpaceDE w:val="0"/>
              <w:autoSpaceDN w:val="0"/>
              <w:snapToGrid w:val="0"/>
              <w:spacing w:line="360" w:lineRule="auto"/>
              <w:jc w:val="center"/>
              <w:textAlignment w:val="bottom"/>
              <w:outlineLvl w:val="9"/>
              <w:rPr>
                <w:rFonts w:hint="eastAsia" w:ascii="宋体" w:hAnsi="宋体" w:eastAsia="宋体" w:cs="宋体"/>
                <w:color w:val="auto"/>
                <w:kern w:val="0"/>
                <w:sz w:val="24"/>
                <w:highlight w:val="none"/>
              </w:rPr>
            </w:pPr>
          </w:p>
        </w:tc>
        <w:tc>
          <w:tcPr>
            <w:tcW w:w="1580" w:type="dxa"/>
            <w:vAlign w:val="center"/>
          </w:tcPr>
          <w:p>
            <w:pPr>
              <w:autoSpaceDE w:val="0"/>
              <w:autoSpaceDN w:val="0"/>
              <w:snapToGrid w:val="0"/>
              <w:spacing w:line="360" w:lineRule="auto"/>
              <w:jc w:val="center"/>
              <w:textAlignment w:val="bottom"/>
              <w:outlineLvl w:val="9"/>
              <w:rPr>
                <w:rFonts w:hint="eastAsia" w:ascii="宋体" w:hAnsi="宋体" w:eastAsia="宋体" w:cs="宋体"/>
                <w:color w:val="auto"/>
                <w:kern w:val="0"/>
                <w:sz w:val="24"/>
                <w:highlight w:val="none"/>
              </w:rPr>
            </w:pPr>
          </w:p>
        </w:tc>
      </w:tr>
    </w:tbl>
    <w:p>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 1、报价一经涂改，应在涂改处加盖单位公章或者由法定代表人或授权代表签字，否则其投标作无效标处理；</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2、投标报价应包括为完成本项目所涉及的一切费用；</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3、以上报价应与“投标报价明细表”中的“合计”相一致。</w:t>
      </w:r>
    </w:p>
    <w:p>
      <w:pPr>
        <w:snapToGrid w:val="0"/>
        <w:spacing w:line="360" w:lineRule="auto"/>
        <w:jc w:val="left"/>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投标人全称（公章）： </w:t>
      </w:r>
    </w:p>
    <w:p>
      <w:pPr>
        <w:snapToGrid w:val="0"/>
        <w:spacing w:line="360" w:lineRule="auto"/>
        <w:ind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法定代表人或授权代表（签字）： </w:t>
      </w:r>
    </w:p>
    <w:p>
      <w:pPr>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日 期：</w:t>
      </w: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三、投标报价明细表格式：</w:t>
      </w:r>
      <w:r>
        <w:rPr>
          <w:rFonts w:hint="eastAsia" w:ascii="宋体" w:hAnsi="宋体" w:eastAsia="宋体" w:cs="宋体"/>
          <w:color w:val="auto"/>
          <w:sz w:val="24"/>
          <w:highlight w:val="none"/>
        </w:rPr>
        <w:t xml:space="preserve">       </w:t>
      </w:r>
    </w:p>
    <w:p>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投标报价明细表</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标项：</w:t>
      </w:r>
      <w:r>
        <w:rPr>
          <w:rFonts w:hint="eastAsia" w:ascii="宋体" w:hAnsi="宋体" w:eastAsia="宋体" w:cs="宋体"/>
          <w:color w:val="auto"/>
          <w:sz w:val="24"/>
          <w:highlight w:val="none"/>
          <w:u w:val="single"/>
        </w:rPr>
        <w:t xml:space="preserve"> </w:t>
      </w:r>
    </w:p>
    <w:p>
      <w:pPr>
        <w:snapToGrid w:val="0"/>
        <w:spacing w:line="360" w:lineRule="auto"/>
        <w:rPr>
          <w:rFonts w:hint="eastAsia" w:ascii="宋体" w:hAnsi="宋体" w:eastAsia="宋体" w:cs="宋体"/>
          <w:color w:val="auto"/>
          <w:sz w:val="24"/>
          <w:highlight w:val="none"/>
        </w:rPr>
      </w:pPr>
    </w:p>
    <w:p>
      <w:pPr>
        <w:snapToGrid w:val="0"/>
        <w:spacing w:line="360" w:lineRule="auto"/>
        <w:ind w:firstLine="3120" w:firstLineChars="13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金额单位：人民币（元）</w:t>
      </w:r>
    </w:p>
    <w:tbl>
      <w:tblPr>
        <w:tblStyle w:val="33"/>
        <w:tblW w:w="95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4"/>
        <w:gridCol w:w="1396"/>
        <w:gridCol w:w="1774"/>
        <w:gridCol w:w="887"/>
        <w:gridCol w:w="887"/>
        <w:gridCol w:w="887"/>
        <w:gridCol w:w="887"/>
        <w:gridCol w:w="887"/>
        <w:gridCol w:w="1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有关说明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3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63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3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3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80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color w:val="auto"/>
                <w:sz w:val="24"/>
                <w:highlight w:val="none"/>
              </w:rPr>
            </w:pPr>
          </w:p>
        </w:tc>
      </w:tr>
    </w:tbl>
    <w:p>
      <w:pPr>
        <w:tabs>
          <w:tab w:val="left" w:pos="141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注：1、此表总计金额应与 “开标一览表”中投标报价相一致；</w:t>
      </w:r>
    </w:p>
    <w:p>
      <w:pPr>
        <w:tabs>
          <w:tab w:val="left" w:pos="141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2、此表可进一步细分，栏目可另加，应包括为完成本项目可能发生的全部费用。</w:t>
      </w:r>
    </w:p>
    <w:p>
      <w:pPr>
        <w:snapToGrid w:val="0"/>
        <w:spacing w:line="360" w:lineRule="auto"/>
        <w:rPr>
          <w:rFonts w:hint="eastAsia" w:ascii="宋体" w:hAnsi="宋体" w:eastAsia="宋体" w:cs="宋体"/>
          <w:color w:val="auto"/>
          <w:spacing w:val="20"/>
          <w:sz w:val="24"/>
          <w:highlight w:val="none"/>
        </w:rPr>
      </w:pPr>
    </w:p>
    <w:p>
      <w:pPr>
        <w:snapToGrid w:val="0"/>
        <w:spacing w:line="360" w:lineRule="auto"/>
        <w:rPr>
          <w:rFonts w:hint="eastAsia" w:ascii="宋体" w:hAnsi="宋体" w:eastAsia="宋体" w:cs="宋体"/>
          <w:color w:val="auto"/>
          <w:spacing w:val="20"/>
          <w:sz w:val="24"/>
          <w:highlight w:val="none"/>
        </w:rPr>
      </w:pPr>
      <w:r>
        <w:rPr>
          <w:rFonts w:hint="eastAsia" w:ascii="宋体" w:hAnsi="宋体" w:eastAsia="宋体" w:cs="宋体"/>
          <w:color w:val="auto"/>
          <w:sz w:val="24"/>
          <w:highlight w:val="none"/>
        </w:rPr>
        <w:t>投标人全称（公章）</w:t>
      </w:r>
      <w:r>
        <w:rPr>
          <w:rFonts w:hint="eastAsia" w:ascii="宋体" w:hAnsi="宋体" w:eastAsia="宋体" w:cs="宋体"/>
          <w:color w:val="auto"/>
          <w:spacing w:val="20"/>
          <w:sz w:val="24"/>
          <w:highlight w:val="none"/>
        </w:rPr>
        <w:t xml:space="preserve">：      </w:t>
      </w:r>
    </w:p>
    <w:p>
      <w:pPr>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z w:val="24"/>
          <w:highlight w:val="none"/>
        </w:rPr>
        <w:t>法定代表人或授权代表（签字）</w:t>
      </w:r>
      <w:r>
        <w:rPr>
          <w:rFonts w:hint="eastAsia" w:ascii="宋体" w:hAnsi="宋体" w:eastAsia="宋体" w:cs="宋体"/>
          <w:color w:val="auto"/>
          <w:spacing w:val="20"/>
          <w:sz w:val="24"/>
          <w:highlight w:val="none"/>
        </w:rPr>
        <w:t>：</w:t>
      </w:r>
    </w:p>
    <w:p>
      <w:pPr>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日  期：</w:t>
      </w:r>
      <w:r>
        <w:rPr>
          <w:rFonts w:hint="eastAsia" w:ascii="宋体" w:hAnsi="宋体" w:eastAsia="宋体" w:cs="宋体"/>
          <w:color w:val="auto"/>
          <w:sz w:val="24"/>
          <w:highlight w:val="none"/>
        </w:rPr>
        <w:t xml:space="preserve">     年    月    日</w:t>
      </w:r>
    </w:p>
    <w:p>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四、中小企业声明函</w:t>
      </w:r>
    </w:p>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中小企业声明函（货物）</w:t>
      </w:r>
    </w:p>
    <w:p>
      <w:pPr>
        <w:spacing w:before="2" w:after="120"/>
        <w:rPr>
          <w:rFonts w:hint="eastAsia" w:ascii="宋体" w:hAnsi="宋体" w:eastAsia="宋体" w:cs="宋体"/>
          <w:b/>
          <w:color w:val="auto"/>
          <w:sz w:val="24"/>
          <w:highlight w:val="none"/>
        </w:rPr>
      </w:pPr>
    </w:p>
    <w:p>
      <w:pPr>
        <w:autoSpaceDE w:val="0"/>
        <w:autoSpaceDN w:val="0"/>
        <w:spacing w:after="120" w:line="360" w:lineRule="auto"/>
        <w:ind w:right="-65" w:rightChars="-31"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w:t>
      </w:r>
      <w:r>
        <w:rPr>
          <w:rFonts w:hint="eastAsia" w:ascii="宋体" w:hAnsi="宋体" w:eastAsia="宋体" w:cs="宋体"/>
          <w:b/>
          <w:bCs/>
          <w:i w:val="0"/>
          <w:iCs w:val="0"/>
          <w:color w:val="auto"/>
          <w:sz w:val="24"/>
          <w:highlight w:val="none"/>
        </w:rPr>
        <w:t>提供的货物全部由符合政策要求的中小企业制造</w:t>
      </w:r>
      <w:r>
        <w:rPr>
          <w:rFonts w:hint="eastAsia" w:ascii="宋体" w:hAnsi="宋体" w:eastAsia="宋体" w:cs="宋体"/>
          <w:i w:val="0"/>
          <w:iCs w:val="0"/>
          <w:color w:val="auto"/>
          <w:sz w:val="24"/>
          <w:highlight w:val="none"/>
        </w:rPr>
        <w:t>。相关企业（含联合体中的中小企业、签订分包意向协议的中小企业）的具体情况如下：</w:t>
      </w:r>
    </w:p>
    <w:p>
      <w:pPr>
        <w:tabs>
          <w:tab w:val="left" w:pos="1183"/>
          <w:tab w:val="left" w:pos="1484"/>
          <w:tab w:val="left" w:pos="4662"/>
          <w:tab w:val="left" w:pos="6903"/>
        </w:tabs>
        <w:autoSpaceDE w:val="0"/>
        <w:autoSpaceDN w:val="0"/>
        <w:spacing w:line="360" w:lineRule="auto"/>
        <w:ind w:right="-65" w:rightChars="-31" w:firstLine="427" w:firstLineChars="178"/>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采购文件中明确的所属行业）行业；</w:t>
      </w:r>
      <w:r>
        <w:rPr>
          <w:rFonts w:hint="eastAsia" w:ascii="宋体" w:hAnsi="宋体" w:eastAsia="宋体" w:cs="宋体"/>
          <w:i w:val="0"/>
          <w:iCs w:val="0"/>
          <w:color w:val="auto"/>
          <w:sz w:val="24"/>
          <w:highlight w:val="none"/>
        </w:rPr>
        <w:t>制造商为</w:t>
      </w:r>
      <w:r>
        <w:rPr>
          <w:rFonts w:hint="eastAsia" w:ascii="宋体" w:hAnsi="宋体" w:eastAsia="宋体" w:cs="宋体"/>
          <w:i w:val="0"/>
          <w:iCs w:val="0"/>
          <w:color w:val="auto"/>
          <w:w w:val="96"/>
          <w:sz w:val="24"/>
          <w:highlight w:val="none"/>
          <w:u w:val="single"/>
        </w:rPr>
        <w:t>（</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lang w:val="en-US" w:eastAsia="zh-CN"/>
        </w:rPr>
        <w:t>从</w:t>
      </w:r>
      <w:r>
        <w:rPr>
          <w:rFonts w:hint="eastAsia" w:ascii="宋体" w:hAnsi="宋体" w:eastAsia="宋体" w:cs="宋体"/>
          <w:i w:val="0"/>
          <w:iCs w:val="0"/>
          <w:color w:val="auto"/>
          <w:sz w:val="24"/>
          <w:highlight w:val="none"/>
        </w:rPr>
        <w:t>业人员</w:t>
      </w:r>
      <w:r>
        <w:rPr>
          <w:rFonts w:hint="eastAsia" w:ascii="宋体" w:hAnsi="宋体" w:eastAsia="宋体" w:cs="宋体"/>
          <w:i w:val="0"/>
          <w:iCs w:val="0"/>
          <w:color w:val="auto"/>
          <w:w w:val="99"/>
          <w:sz w:val="24"/>
          <w:highlight w:val="none"/>
          <w:u w:val="single"/>
        </w:rPr>
        <w:t xml:space="preserve">      </w:t>
      </w:r>
      <w:r>
        <w:rPr>
          <w:rFonts w:hint="eastAsia" w:ascii="宋体" w:hAnsi="宋体" w:eastAsia="宋体" w:cs="宋体"/>
          <w:i w:val="0"/>
          <w:iCs w:val="0"/>
          <w:color w:val="auto"/>
          <w:w w:val="99"/>
          <w:sz w:val="24"/>
          <w:highlight w:val="none"/>
        </w:rPr>
        <w:t>人，</w:t>
      </w:r>
      <w:r>
        <w:rPr>
          <w:rFonts w:hint="eastAsia" w:ascii="宋体" w:hAnsi="宋体" w:eastAsia="宋体" w:cs="宋体"/>
          <w:i w:val="0"/>
          <w:iCs w:val="0"/>
          <w:color w:val="auto"/>
          <w:sz w:val="24"/>
          <w:highlight w:val="none"/>
        </w:rPr>
        <w:t>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w w:val="99"/>
          <w:sz w:val="24"/>
          <w:highlight w:val="none"/>
          <w:u w:val="single"/>
        </w:rPr>
        <w:t>；</w:t>
      </w:r>
    </w:p>
    <w:p>
      <w:pPr>
        <w:tabs>
          <w:tab w:val="left" w:pos="1165"/>
          <w:tab w:val="left" w:pos="1183"/>
          <w:tab w:val="left" w:pos="4362"/>
          <w:tab w:val="left" w:pos="6577"/>
        </w:tabs>
        <w:autoSpaceDE w:val="0"/>
        <w:autoSpaceDN w:val="0"/>
        <w:spacing w:line="360" w:lineRule="auto"/>
        <w:ind w:right="-65" w:rightChars="-31" w:firstLine="427" w:firstLineChars="178"/>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采购文件中明确的所属行业）行业；</w:t>
      </w:r>
      <w:r>
        <w:rPr>
          <w:rFonts w:hint="eastAsia" w:ascii="宋体" w:hAnsi="宋体" w:eastAsia="宋体" w:cs="宋体"/>
          <w:i w:val="0"/>
          <w:iCs w:val="0"/>
          <w:color w:val="auto"/>
          <w:sz w:val="24"/>
          <w:highlight w:val="none"/>
        </w:rPr>
        <w:t>制造商为</w:t>
      </w:r>
      <w:r>
        <w:rPr>
          <w:rFonts w:hint="eastAsia" w:ascii="宋体" w:hAnsi="宋体" w:eastAsia="宋体" w:cs="宋体"/>
          <w:i w:val="0"/>
          <w:iCs w:val="0"/>
          <w:color w:val="auto"/>
          <w:w w:val="96"/>
          <w:sz w:val="24"/>
          <w:highlight w:val="none"/>
          <w:u w:val="single"/>
        </w:rPr>
        <w:t>（</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lang w:val="en-US" w:eastAsia="zh-CN"/>
        </w:rPr>
        <w:t>从</w:t>
      </w:r>
      <w:r>
        <w:rPr>
          <w:rFonts w:hint="eastAsia" w:ascii="宋体" w:hAnsi="宋体" w:eastAsia="宋体" w:cs="宋体"/>
          <w:i w:val="0"/>
          <w:iCs w:val="0"/>
          <w:color w:val="auto"/>
          <w:sz w:val="24"/>
          <w:highlight w:val="none"/>
        </w:rPr>
        <w:t>业人员</w:t>
      </w:r>
      <w:r>
        <w:rPr>
          <w:rFonts w:hint="eastAsia" w:ascii="宋体" w:hAnsi="宋体" w:eastAsia="宋体" w:cs="宋体"/>
          <w:i w:val="0"/>
          <w:iCs w:val="0"/>
          <w:color w:val="auto"/>
          <w:w w:val="99"/>
          <w:sz w:val="24"/>
          <w:highlight w:val="none"/>
          <w:u w:val="single"/>
        </w:rPr>
        <w:t xml:space="preserve">      </w:t>
      </w:r>
      <w:r>
        <w:rPr>
          <w:rFonts w:hint="eastAsia" w:ascii="宋体" w:hAnsi="宋体" w:eastAsia="宋体" w:cs="宋体"/>
          <w:i w:val="0"/>
          <w:iCs w:val="0"/>
          <w:color w:val="auto"/>
          <w:w w:val="99"/>
          <w:sz w:val="24"/>
          <w:highlight w:val="none"/>
        </w:rPr>
        <w:t>人，</w:t>
      </w:r>
      <w:r>
        <w:rPr>
          <w:rFonts w:hint="eastAsia" w:ascii="宋体" w:hAnsi="宋体" w:eastAsia="宋体" w:cs="宋体"/>
          <w:i w:val="0"/>
          <w:iCs w:val="0"/>
          <w:color w:val="auto"/>
          <w:sz w:val="24"/>
          <w:highlight w:val="none"/>
        </w:rPr>
        <w:t>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w w:val="99"/>
          <w:sz w:val="24"/>
          <w:highlight w:val="none"/>
          <w:u w:val="single"/>
        </w:rPr>
        <w:t>；</w:t>
      </w:r>
    </w:p>
    <w:p>
      <w:pPr>
        <w:autoSpaceDE w:val="0"/>
        <w:autoSpaceDN w:val="0"/>
        <w:spacing w:after="120" w:line="360" w:lineRule="auto"/>
        <w:ind w:right="-65" w:rightChars="-31" w:firstLine="547" w:firstLineChars="228"/>
        <w:rPr>
          <w:rFonts w:hint="eastAsia" w:ascii="宋体" w:hAnsi="宋体" w:eastAsia="宋体" w:cs="宋体"/>
          <w:i w:val="0"/>
          <w:iCs w:val="0"/>
          <w:color w:val="auto"/>
          <w:sz w:val="24"/>
          <w:highlight w:val="none"/>
        </w:rPr>
      </w:pPr>
    </w:p>
    <w:p>
      <w:pPr>
        <w:autoSpaceDE w:val="0"/>
        <w:autoSpaceDN w:val="0"/>
        <w:spacing w:after="120" w:line="360" w:lineRule="auto"/>
        <w:ind w:right="-65" w:rightChars="-31" w:firstLine="547" w:firstLineChars="228"/>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pPr>
        <w:autoSpaceDE w:val="0"/>
        <w:autoSpaceDN w:val="0"/>
        <w:spacing w:after="120" w:line="360" w:lineRule="auto"/>
        <w:ind w:right="-65" w:rightChars="-31"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pPr>
        <w:autoSpaceDE w:val="0"/>
        <w:autoSpaceDN w:val="0"/>
        <w:spacing w:after="120" w:line="360" w:lineRule="auto"/>
        <w:ind w:right="-65" w:rightChars="-3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pPr>
        <w:autoSpaceDE w:val="0"/>
        <w:autoSpaceDN w:val="0"/>
        <w:spacing w:after="120" w:line="360" w:lineRule="auto"/>
        <w:ind w:right="372" w:firstLine="645"/>
        <w:rPr>
          <w:rFonts w:hint="eastAsia" w:ascii="宋体" w:hAnsi="宋体" w:eastAsia="宋体" w:cs="宋体"/>
          <w:color w:val="auto"/>
          <w:sz w:val="24"/>
          <w:highlight w:val="none"/>
        </w:rPr>
      </w:pPr>
    </w:p>
    <w:p>
      <w:pPr>
        <w:autoSpaceDE w:val="0"/>
        <w:autoSpaceDN w:val="0"/>
        <w:spacing w:after="120" w:line="360" w:lineRule="auto"/>
        <w:ind w:right="372" w:firstLine="645"/>
        <w:jc w:val="right"/>
        <w:rPr>
          <w:rFonts w:hint="eastAsia" w:ascii="宋体" w:hAnsi="宋体" w:eastAsia="宋体" w:cs="宋体"/>
          <w:color w:val="auto"/>
          <w:sz w:val="24"/>
          <w:highlight w:val="none"/>
        </w:rPr>
      </w:pPr>
    </w:p>
    <w:p>
      <w:pPr>
        <w:autoSpaceDE w:val="0"/>
        <w:autoSpaceDN w:val="0"/>
        <w:spacing w:after="120" w:line="360" w:lineRule="auto"/>
        <w:ind w:right="-65" w:rightChars="-31"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pPr>
        <w:autoSpaceDE w:val="0"/>
        <w:autoSpaceDN w:val="0"/>
        <w:spacing w:after="120" w:line="360" w:lineRule="auto"/>
        <w:ind w:right="-65" w:rightChars="-31"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utoSpaceDE w:val="0"/>
        <w:autoSpaceDN w:val="0"/>
        <w:spacing w:after="120" w:line="360" w:lineRule="auto"/>
        <w:ind w:right="2166"/>
        <w:rPr>
          <w:rFonts w:hint="eastAsia" w:ascii="宋体" w:hAnsi="宋体" w:eastAsia="宋体" w:cs="宋体"/>
          <w:color w:val="auto"/>
          <w:sz w:val="24"/>
          <w:highlight w:val="none"/>
        </w:rPr>
      </w:pPr>
    </w:p>
    <w:p>
      <w:pPr>
        <w:snapToGrid w:val="0"/>
        <w:spacing w:line="360" w:lineRule="auto"/>
        <w:ind w:left="105"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注：从业人员、营业收入、资产总额填报上一年度数据，无上一年度数据的新成立企业可不填报。</w:t>
      </w:r>
    </w:p>
    <w:p>
      <w:pPr>
        <w:autoSpaceDE w:val="0"/>
        <w:autoSpaceDN w:val="0"/>
        <w:spacing w:after="120" w:line="360" w:lineRule="auto"/>
        <w:ind w:left="4060" w:right="2166"/>
        <w:rPr>
          <w:rFonts w:hint="eastAsia" w:ascii="宋体" w:hAnsi="宋体" w:eastAsia="宋体" w:cs="宋体"/>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五、投标人为监狱企业的证明文件：省级以上监狱管理局、戒毒管理局（含新疆生产建设兵团）出具（如有）</w:t>
      </w:r>
    </w:p>
    <w:p>
      <w:pPr>
        <w:autoSpaceDE w:val="0"/>
        <w:autoSpaceDN w:val="0"/>
        <w:spacing w:after="120" w:line="360" w:lineRule="auto"/>
        <w:ind w:right="2166"/>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p>
    <w:p>
      <w:pPr>
        <w:snapToGrid w:val="0"/>
        <w:spacing w:before="50" w:after="50"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六、残疾人福利性单位声明函</w:t>
      </w:r>
    </w:p>
    <w:p>
      <w:pPr>
        <w:snapToGrid w:val="0"/>
        <w:spacing w:line="360" w:lineRule="auto"/>
        <w:rPr>
          <w:rFonts w:hint="eastAsia" w:ascii="宋体" w:hAnsi="宋体" w:eastAsia="宋体" w:cs="宋体"/>
          <w:color w:val="auto"/>
          <w:highlight w:val="none"/>
        </w:rPr>
      </w:pPr>
    </w:p>
    <w:p>
      <w:pPr>
        <w:snapToGrid w:val="0"/>
        <w:spacing w:before="50" w:after="50" w:line="360" w:lineRule="auto"/>
        <w:jc w:val="center"/>
        <w:rPr>
          <w:rFonts w:hint="eastAsia" w:ascii="宋体" w:hAnsi="宋体" w:eastAsia="宋体" w:cs="宋体"/>
          <w:b/>
          <w:bCs/>
          <w:color w:val="auto"/>
          <w:sz w:val="24"/>
          <w:highlight w:val="none"/>
        </w:rPr>
      </w:pPr>
      <w:bookmarkStart w:id="109" w:name="OLE_LINK14"/>
      <w:bookmarkStart w:id="110" w:name="OLE_LINK13"/>
      <w:r>
        <w:rPr>
          <w:rFonts w:hint="eastAsia" w:ascii="宋体" w:hAnsi="宋体" w:eastAsia="宋体" w:cs="宋体"/>
          <w:b/>
          <w:bCs/>
          <w:color w:val="auto"/>
          <w:sz w:val="24"/>
          <w:highlight w:val="none"/>
        </w:rPr>
        <w:t>残疾人福利性单位声明函</w:t>
      </w:r>
    </w:p>
    <w:bookmarkEnd w:id="109"/>
    <w:bookmarkEnd w:id="110"/>
    <w:p>
      <w:pPr>
        <w:snapToGrid w:val="0"/>
        <w:spacing w:line="360" w:lineRule="auto"/>
        <w:rPr>
          <w:rFonts w:hint="eastAsia" w:ascii="宋体" w:hAnsi="宋体" w:eastAsia="宋体" w:cs="宋体"/>
          <w:b/>
          <w:color w:val="auto"/>
          <w:spacing w:val="6"/>
          <w:sz w:val="30"/>
          <w:szCs w:val="30"/>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napToGrid w:val="0"/>
        <w:spacing w:line="360" w:lineRule="auto"/>
        <w:ind w:firstLine="560" w:firstLineChars="200"/>
        <w:rPr>
          <w:rFonts w:hint="eastAsia" w:ascii="宋体" w:hAnsi="宋体" w:eastAsia="宋体" w:cs="宋体"/>
          <w:color w:val="auto"/>
          <w:sz w:val="28"/>
          <w:szCs w:val="28"/>
          <w:highlight w:val="none"/>
        </w:rPr>
      </w:pPr>
    </w:p>
    <w:p>
      <w:pPr>
        <w:snapToGrid w:val="0"/>
        <w:spacing w:line="360" w:lineRule="auto"/>
        <w:ind w:firstLine="480" w:firstLineChars="200"/>
        <w:rPr>
          <w:rFonts w:hint="eastAsia" w:ascii="宋体" w:hAnsi="宋体" w:eastAsia="宋体" w:cs="宋体"/>
          <w:color w:val="auto"/>
          <w:sz w:val="24"/>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单位名称（盖章）：</w:t>
      </w:r>
    </w:p>
    <w:p>
      <w:pPr>
        <w:snapToGrid w:val="0"/>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日  期：</w:t>
      </w: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七、投标人针对报价需要说明的其他文件和说明（如有）</w:t>
      </w: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p>
    <w:p>
      <w:pPr>
        <w:snapToGrid w:val="0"/>
        <w:spacing w:line="360" w:lineRule="auto"/>
        <w:rPr>
          <w:rFonts w:hint="eastAsia" w:ascii="宋体" w:hAnsi="宋体" w:eastAsia="宋体" w:cs="宋体"/>
          <w:b/>
          <w:bCs/>
          <w:color w:val="auto"/>
          <w:sz w:val="24"/>
          <w:highlight w:val="none"/>
        </w:rPr>
      </w:pPr>
    </w:p>
    <w:p>
      <w:pPr>
        <w:rPr>
          <w:rFonts w:hint="eastAsia" w:ascii="宋体" w:hAnsi="宋体" w:eastAsia="宋体" w:cs="宋体"/>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360" w:lineRule="auto"/>
        <w:outlineLvl w:val="0"/>
        <w:rPr>
          <w:rFonts w:hint="eastAsia" w:ascii="宋体" w:hAnsi="宋体" w:eastAsia="宋体" w:cs="宋体"/>
          <w:b/>
          <w:color w:val="auto"/>
          <w:sz w:val="36"/>
          <w:szCs w:val="36"/>
          <w:highlight w:val="none"/>
        </w:rPr>
      </w:pPr>
      <w:bookmarkStart w:id="111" w:name="_Toc9814"/>
      <w:bookmarkStart w:id="112" w:name="_Toc27266"/>
      <w:r>
        <w:rPr>
          <w:rFonts w:hint="eastAsia" w:ascii="宋体" w:hAnsi="宋体" w:eastAsia="宋体" w:cs="宋体"/>
          <w:b/>
          <w:color w:val="auto"/>
          <w:sz w:val="36"/>
          <w:szCs w:val="36"/>
          <w:highlight w:val="none"/>
        </w:rPr>
        <w:t>附件：</w:t>
      </w:r>
      <w:bookmarkEnd w:id="111"/>
      <w:bookmarkEnd w:id="112"/>
    </w:p>
    <w:p>
      <w:pPr>
        <w:adjustRightInd w:val="0"/>
        <w:snapToGrid w:val="0"/>
        <w:spacing w:before="156" w:beforeLines="50" w:after="156" w:afterLines="50" w:line="360" w:lineRule="auto"/>
        <w:jc w:val="center"/>
        <w:outlineLvl w:val="0"/>
        <w:rPr>
          <w:rFonts w:hint="eastAsia" w:ascii="宋体" w:hAnsi="宋体" w:eastAsia="宋体" w:cs="宋体"/>
          <w:color w:val="auto"/>
          <w:kern w:val="10"/>
          <w:sz w:val="32"/>
          <w:szCs w:val="28"/>
          <w:highlight w:val="none"/>
        </w:rPr>
      </w:pPr>
      <w:bookmarkStart w:id="113" w:name="_Toc11201"/>
      <w:bookmarkStart w:id="114" w:name="_Toc14292"/>
      <w:r>
        <w:rPr>
          <w:rFonts w:hint="eastAsia" w:ascii="宋体" w:hAnsi="宋体" w:eastAsia="宋体" w:cs="宋体"/>
          <w:color w:val="auto"/>
          <w:kern w:val="10"/>
          <w:sz w:val="32"/>
          <w:szCs w:val="28"/>
          <w:highlight w:val="none"/>
        </w:rPr>
        <w:t>投标样品清单</w:t>
      </w:r>
      <w:bookmarkEnd w:id="113"/>
      <w:bookmarkEnd w:id="114"/>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xml:space="preserve">项目名称：             </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项目编号：</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标项号：</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pPr>
        <w:pStyle w:val="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退样联系人地址：</w:t>
      </w:r>
    </w:p>
    <w:p>
      <w:pPr>
        <w:pStyle w:val="2"/>
        <w:rPr>
          <w:rFonts w:hint="eastAsia" w:ascii="宋体" w:hAnsi="宋体" w:eastAsia="宋体" w:cs="宋体"/>
          <w:color w:val="auto"/>
          <w:highlight w:val="none"/>
          <w:lang w:val="en-US" w:eastAsia="zh-CN"/>
        </w:rPr>
      </w:pPr>
      <w:r>
        <w:rPr>
          <w:rFonts w:hint="eastAsia" w:ascii="宋体" w:hAnsi="宋体" w:eastAsia="宋体" w:cs="宋体"/>
          <w:bCs/>
          <w:color w:val="auto"/>
          <w:sz w:val="24"/>
          <w:highlight w:val="none"/>
          <w:lang w:val="en-US" w:eastAsia="zh-CN"/>
        </w:rPr>
        <w:t>退样联系人姓名及手机号码：</w:t>
      </w:r>
    </w:p>
    <w:tbl>
      <w:tblPr>
        <w:tblStyle w:val="33"/>
        <w:tblW w:w="935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191"/>
        <w:gridCol w:w="718"/>
        <w:gridCol w:w="850"/>
        <w:gridCol w:w="785"/>
        <w:gridCol w:w="1417"/>
        <w:gridCol w:w="127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8"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标项序号</w:t>
            </w:r>
          </w:p>
        </w:tc>
        <w:tc>
          <w:tcPr>
            <w:tcW w:w="1191"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标项名称</w:t>
            </w:r>
          </w:p>
        </w:tc>
        <w:tc>
          <w:tcPr>
            <w:tcW w:w="718"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品牌</w:t>
            </w:r>
          </w:p>
        </w:tc>
        <w:tc>
          <w:tcPr>
            <w:tcW w:w="850"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产地</w:t>
            </w:r>
          </w:p>
        </w:tc>
        <w:tc>
          <w:tcPr>
            <w:tcW w:w="785"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w:t>
            </w:r>
          </w:p>
        </w:tc>
        <w:tc>
          <w:tcPr>
            <w:tcW w:w="1417"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正面照片</w:t>
            </w:r>
          </w:p>
        </w:tc>
        <w:tc>
          <w:tcPr>
            <w:tcW w:w="1276"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背面照片</w:t>
            </w:r>
          </w:p>
        </w:tc>
        <w:tc>
          <w:tcPr>
            <w:tcW w:w="1843" w:type="dxa"/>
          </w:tcPr>
          <w:p>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左侧45度照片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spacing w:line="360" w:lineRule="auto"/>
              <w:rPr>
                <w:rFonts w:hint="eastAsia" w:ascii="宋体" w:hAnsi="宋体" w:eastAsia="宋体" w:cs="宋体"/>
                <w:bCs/>
                <w:color w:val="auto"/>
                <w:sz w:val="24"/>
                <w:highlight w:val="none"/>
              </w:rPr>
            </w:pPr>
          </w:p>
        </w:tc>
        <w:tc>
          <w:tcPr>
            <w:tcW w:w="1191" w:type="dxa"/>
          </w:tcPr>
          <w:p>
            <w:pPr>
              <w:spacing w:line="360" w:lineRule="auto"/>
              <w:rPr>
                <w:rFonts w:hint="eastAsia" w:ascii="宋体" w:hAnsi="宋体" w:eastAsia="宋体" w:cs="宋体"/>
                <w:bCs/>
                <w:color w:val="auto"/>
                <w:sz w:val="24"/>
                <w:highlight w:val="none"/>
              </w:rPr>
            </w:pPr>
          </w:p>
        </w:tc>
        <w:tc>
          <w:tcPr>
            <w:tcW w:w="718" w:type="dxa"/>
          </w:tcPr>
          <w:p>
            <w:pPr>
              <w:spacing w:line="360" w:lineRule="auto"/>
              <w:rPr>
                <w:rFonts w:hint="eastAsia" w:ascii="宋体" w:hAnsi="宋体" w:eastAsia="宋体" w:cs="宋体"/>
                <w:bCs/>
                <w:color w:val="auto"/>
                <w:sz w:val="24"/>
                <w:highlight w:val="none"/>
              </w:rPr>
            </w:pPr>
          </w:p>
        </w:tc>
        <w:tc>
          <w:tcPr>
            <w:tcW w:w="850" w:type="dxa"/>
          </w:tcPr>
          <w:p>
            <w:pPr>
              <w:spacing w:line="360" w:lineRule="auto"/>
              <w:rPr>
                <w:rFonts w:hint="eastAsia" w:ascii="宋体" w:hAnsi="宋体" w:eastAsia="宋体" w:cs="宋体"/>
                <w:bCs/>
                <w:color w:val="auto"/>
                <w:sz w:val="24"/>
                <w:highlight w:val="none"/>
              </w:rPr>
            </w:pPr>
          </w:p>
        </w:tc>
        <w:tc>
          <w:tcPr>
            <w:tcW w:w="785" w:type="dxa"/>
          </w:tcPr>
          <w:p>
            <w:pPr>
              <w:spacing w:line="360" w:lineRule="auto"/>
              <w:rPr>
                <w:rFonts w:hint="eastAsia" w:ascii="宋体" w:hAnsi="宋体" w:eastAsia="宋体" w:cs="宋体"/>
                <w:bCs/>
                <w:color w:val="auto"/>
                <w:sz w:val="24"/>
                <w:highlight w:val="none"/>
              </w:rPr>
            </w:pPr>
          </w:p>
        </w:tc>
        <w:tc>
          <w:tcPr>
            <w:tcW w:w="1417" w:type="dxa"/>
          </w:tcPr>
          <w:p>
            <w:pPr>
              <w:spacing w:line="360" w:lineRule="auto"/>
              <w:rPr>
                <w:rFonts w:hint="eastAsia" w:ascii="宋体" w:hAnsi="宋体" w:eastAsia="宋体" w:cs="宋体"/>
                <w:bCs/>
                <w:color w:val="auto"/>
                <w:sz w:val="24"/>
                <w:highlight w:val="none"/>
              </w:rPr>
            </w:pPr>
          </w:p>
        </w:tc>
        <w:tc>
          <w:tcPr>
            <w:tcW w:w="1276" w:type="dxa"/>
          </w:tcPr>
          <w:p>
            <w:pPr>
              <w:spacing w:line="360" w:lineRule="auto"/>
              <w:rPr>
                <w:rFonts w:hint="eastAsia" w:ascii="宋体" w:hAnsi="宋体" w:eastAsia="宋体" w:cs="宋体"/>
                <w:bCs/>
                <w:color w:val="auto"/>
                <w:sz w:val="24"/>
                <w:highlight w:val="none"/>
              </w:rPr>
            </w:pPr>
          </w:p>
        </w:tc>
        <w:tc>
          <w:tcPr>
            <w:tcW w:w="1843" w:type="dxa"/>
          </w:tcPr>
          <w:p>
            <w:pPr>
              <w:spacing w:line="360" w:lineRule="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spacing w:line="360" w:lineRule="auto"/>
              <w:rPr>
                <w:rFonts w:hint="eastAsia" w:ascii="宋体" w:hAnsi="宋体" w:eastAsia="宋体" w:cs="宋体"/>
                <w:bCs/>
                <w:color w:val="auto"/>
                <w:sz w:val="24"/>
                <w:highlight w:val="none"/>
              </w:rPr>
            </w:pPr>
          </w:p>
        </w:tc>
        <w:tc>
          <w:tcPr>
            <w:tcW w:w="1191" w:type="dxa"/>
          </w:tcPr>
          <w:p>
            <w:pPr>
              <w:spacing w:line="360" w:lineRule="auto"/>
              <w:rPr>
                <w:rFonts w:hint="eastAsia" w:ascii="宋体" w:hAnsi="宋体" w:eastAsia="宋体" w:cs="宋体"/>
                <w:bCs/>
                <w:color w:val="auto"/>
                <w:sz w:val="24"/>
                <w:highlight w:val="none"/>
              </w:rPr>
            </w:pPr>
          </w:p>
        </w:tc>
        <w:tc>
          <w:tcPr>
            <w:tcW w:w="718" w:type="dxa"/>
          </w:tcPr>
          <w:p>
            <w:pPr>
              <w:spacing w:line="360" w:lineRule="auto"/>
              <w:rPr>
                <w:rFonts w:hint="eastAsia" w:ascii="宋体" w:hAnsi="宋体" w:eastAsia="宋体" w:cs="宋体"/>
                <w:bCs/>
                <w:color w:val="auto"/>
                <w:sz w:val="24"/>
                <w:highlight w:val="none"/>
              </w:rPr>
            </w:pPr>
          </w:p>
        </w:tc>
        <w:tc>
          <w:tcPr>
            <w:tcW w:w="850" w:type="dxa"/>
          </w:tcPr>
          <w:p>
            <w:pPr>
              <w:spacing w:line="360" w:lineRule="auto"/>
              <w:rPr>
                <w:rFonts w:hint="eastAsia" w:ascii="宋体" w:hAnsi="宋体" w:eastAsia="宋体" w:cs="宋体"/>
                <w:bCs/>
                <w:color w:val="auto"/>
                <w:sz w:val="24"/>
                <w:highlight w:val="none"/>
              </w:rPr>
            </w:pPr>
          </w:p>
        </w:tc>
        <w:tc>
          <w:tcPr>
            <w:tcW w:w="785" w:type="dxa"/>
          </w:tcPr>
          <w:p>
            <w:pPr>
              <w:spacing w:line="360" w:lineRule="auto"/>
              <w:rPr>
                <w:rFonts w:hint="eastAsia" w:ascii="宋体" w:hAnsi="宋体" w:eastAsia="宋体" w:cs="宋体"/>
                <w:bCs/>
                <w:color w:val="auto"/>
                <w:sz w:val="24"/>
                <w:highlight w:val="none"/>
              </w:rPr>
            </w:pPr>
          </w:p>
        </w:tc>
        <w:tc>
          <w:tcPr>
            <w:tcW w:w="1417" w:type="dxa"/>
          </w:tcPr>
          <w:p>
            <w:pPr>
              <w:spacing w:line="360" w:lineRule="auto"/>
              <w:rPr>
                <w:rFonts w:hint="eastAsia" w:ascii="宋体" w:hAnsi="宋体" w:eastAsia="宋体" w:cs="宋体"/>
                <w:bCs/>
                <w:color w:val="auto"/>
                <w:sz w:val="24"/>
                <w:highlight w:val="none"/>
              </w:rPr>
            </w:pPr>
          </w:p>
        </w:tc>
        <w:tc>
          <w:tcPr>
            <w:tcW w:w="1276" w:type="dxa"/>
          </w:tcPr>
          <w:p>
            <w:pPr>
              <w:spacing w:line="360" w:lineRule="auto"/>
              <w:rPr>
                <w:rFonts w:hint="eastAsia" w:ascii="宋体" w:hAnsi="宋体" w:eastAsia="宋体" w:cs="宋体"/>
                <w:bCs/>
                <w:color w:val="auto"/>
                <w:sz w:val="24"/>
                <w:highlight w:val="none"/>
              </w:rPr>
            </w:pPr>
          </w:p>
        </w:tc>
        <w:tc>
          <w:tcPr>
            <w:tcW w:w="1843" w:type="dxa"/>
          </w:tcPr>
          <w:p>
            <w:pPr>
              <w:spacing w:line="360" w:lineRule="auto"/>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tcPr>
          <w:p>
            <w:pPr>
              <w:spacing w:line="360" w:lineRule="auto"/>
              <w:rPr>
                <w:rFonts w:hint="eastAsia" w:ascii="宋体" w:hAnsi="宋体" w:eastAsia="宋体" w:cs="宋体"/>
                <w:bCs/>
                <w:color w:val="auto"/>
                <w:sz w:val="24"/>
                <w:highlight w:val="none"/>
              </w:rPr>
            </w:pPr>
          </w:p>
        </w:tc>
        <w:tc>
          <w:tcPr>
            <w:tcW w:w="1191" w:type="dxa"/>
          </w:tcPr>
          <w:p>
            <w:pPr>
              <w:spacing w:line="360" w:lineRule="auto"/>
              <w:rPr>
                <w:rFonts w:hint="eastAsia" w:ascii="宋体" w:hAnsi="宋体" w:eastAsia="宋体" w:cs="宋体"/>
                <w:bCs/>
                <w:color w:val="auto"/>
                <w:sz w:val="24"/>
                <w:highlight w:val="none"/>
              </w:rPr>
            </w:pPr>
          </w:p>
        </w:tc>
        <w:tc>
          <w:tcPr>
            <w:tcW w:w="718" w:type="dxa"/>
          </w:tcPr>
          <w:p>
            <w:pPr>
              <w:spacing w:line="360" w:lineRule="auto"/>
              <w:rPr>
                <w:rFonts w:hint="eastAsia" w:ascii="宋体" w:hAnsi="宋体" w:eastAsia="宋体" w:cs="宋体"/>
                <w:bCs/>
                <w:color w:val="auto"/>
                <w:sz w:val="24"/>
                <w:highlight w:val="none"/>
              </w:rPr>
            </w:pPr>
          </w:p>
        </w:tc>
        <w:tc>
          <w:tcPr>
            <w:tcW w:w="850" w:type="dxa"/>
          </w:tcPr>
          <w:p>
            <w:pPr>
              <w:spacing w:line="360" w:lineRule="auto"/>
              <w:rPr>
                <w:rFonts w:hint="eastAsia" w:ascii="宋体" w:hAnsi="宋体" w:eastAsia="宋体" w:cs="宋体"/>
                <w:bCs/>
                <w:color w:val="auto"/>
                <w:sz w:val="24"/>
                <w:highlight w:val="none"/>
              </w:rPr>
            </w:pPr>
          </w:p>
        </w:tc>
        <w:tc>
          <w:tcPr>
            <w:tcW w:w="785" w:type="dxa"/>
          </w:tcPr>
          <w:p>
            <w:pPr>
              <w:spacing w:line="360" w:lineRule="auto"/>
              <w:rPr>
                <w:rFonts w:hint="eastAsia" w:ascii="宋体" w:hAnsi="宋体" w:eastAsia="宋体" w:cs="宋体"/>
                <w:bCs/>
                <w:color w:val="auto"/>
                <w:sz w:val="24"/>
                <w:highlight w:val="none"/>
              </w:rPr>
            </w:pPr>
          </w:p>
        </w:tc>
        <w:tc>
          <w:tcPr>
            <w:tcW w:w="1417" w:type="dxa"/>
          </w:tcPr>
          <w:p>
            <w:pPr>
              <w:spacing w:line="360" w:lineRule="auto"/>
              <w:rPr>
                <w:rFonts w:hint="eastAsia" w:ascii="宋体" w:hAnsi="宋体" w:eastAsia="宋体" w:cs="宋体"/>
                <w:bCs/>
                <w:color w:val="auto"/>
                <w:sz w:val="24"/>
                <w:highlight w:val="none"/>
              </w:rPr>
            </w:pPr>
          </w:p>
        </w:tc>
        <w:tc>
          <w:tcPr>
            <w:tcW w:w="1276" w:type="dxa"/>
          </w:tcPr>
          <w:p>
            <w:pPr>
              <w:spacing w:line="360" w:lineRule="auto"/>
              <w:rPr>
                <w:rFonts w:hint="eastAsia" w:ascii="宋体" w:hAnsi="宋体" w:eastAsia="宋体" w:cs="宋体"/>
                <w:bCs/>
                <w:color w:val="auto"/>
                <w:sz w:val="24"/>
                <w:highlight w:val="none"/>
              </w:rPr>
            </w:pPr>
          </w:p>
        </w:tc>
        <w:tc>
          <w:tcPr>
            <w:tcW w:w="1843" w:type="dxa"/>
          </w:tcPr>
          <w:p>
            <w:pPr>
              <w:spacing w:line="360" w:lineRule="auto"/>
              <w:rPr>
                <w:rFonts w:hint="eastAsia" w:ascii="宋体" w:hAnsi="宋体" w:eastAsia="宋体" w:cs="宋体"/>
                <w:bCs/>
                <w:color w:val="auto"/>
                <w:sz w:val="24"/>
                <w:highlight w:val="none"/>
              </w:rPr>
            </w:pPr>
          </w:p>
        </w:tc>
      </w:tr>
    </w:tbl>
    <w:p>
      <w:pPr>
        <w:tabs>
          <w:tab w:val="left" w:pos="4240"/>
        </w:tabs>
        <w:spacing w:line="360" w:lineRule="auto"/>
        <w:ind w:firstLine="141" w:firstLineChars="59"/>
        <w:rPr>
          <w:rFonts w:hint="eastAsia" w:ascii="宋体" w:hAnsi="宋体" w:eastAsia="宋体" w:cs="宋体"/>
          <w:color w:val="auto"/>
          <w:kern w:val="10"/>
          <w:sz w:val="24"/>
          <w:highlight w:val="none"/>
        </w:rPr>
      </w:pPr>
    </w:p>
    <w:p>
      <w:pPr>
        <w:tabs>
          <w:tab w:val="left" w:pos="4240"/>
        </w:tabs>
        <w:spacing w:line="360" w:lineRule="auto"/>
        <w:ind w:firstLine="141" w:firstLineChars="59"/>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注：送样时要求提供样品的检测报告。</w:t>
      </w:r>
    </w:p>
    <w:p>
      <w:pPr>
        <w:tabs>
          <w:tab w:val="left" w:pos="4240"/>
        </w:tabs>
        <w:spacing w:line="360" w:lineRule="auto"/>
        <w:ind w:firstLine="141" w:firstLineChars="59"/>
        <w:rPr>
          <w:rFonts w:hint="eastAsia" w:ascii="宋体" w:hAnsi="宋体" w:eastAsia="宋体" w:cs="宋体"/>
          <w:color w:val="auto"/>
          <w:kern w:val="10"/>
          <w:sz w:val="24"/>
          <w:highlight w:val="none"/>
        </w:rPr>
      </w:pPr>
    </w:p>
    <w:p>
      <w:pPr>
        <w:tabs>
          <w:tab w:val="left" w:pos="4240"/>
        </w:tabs>
        <w:spacing w:line="360" w:lineRule="auto"/>
        <w:ind w:firstLine="141" w:firstLineChars="59"/>
        <w:rPr>
          <w:rFonts w:hint="eastAsia" w:ascii="宋体" w:hAnsi="宋体" w:eastAsia="宋体" w:cs="宋体"/>
          <w:color w:val="auto"/>
          <w:kern w:val="10"/>
          <w:sz w:val="24"/>
          <w:highlight w:val="none"/>
        </w:rPr>
      </w:pP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xml:space="preserve"> 注: </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1、此表无需密封，也不要装订在投标响应文件/样品中，于递交样品时同时提交；</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xml:space="preserve">2、每个标项需单独提供一份。 </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3、样品在评标过程中发生破损、毁坏等情况，由投标人自行承担损失，投标时提供承诺函（格式自拟）。</w:t>
      </w:r>
    </w:p>
    <w:p>
      <w:pPr>
        <w:spacing w:after="120"/>
        <w:rPr>
          <w:rFonts w:hint="eastAsia" w:ascii="宋体" w:hAnsi="宋体" w:eastAsia="宋体" w:cs="宋体"/>
          <w:bCs/>
          <w:color w:val="auto"/>
          <w:highlight w:val="none"/>
        </w:rPr>
      </w:pPr>
    </w:p>
    <w:p>
      <w:pPr>
        <w:spacing w:after="120"/>
        <w:rPr>
          <w:rFonts w:hint="eastAsia" w:ascii="宋体" w:hAnsi="宋体" w:eastAsia="宋体" w:cs="宋体"/>
          <w:bCs/>
          <w:color w:val="auto"/>
          <w:highlight w:val="none"/>
        </w:rPr>
      </w:pPr>
    </w:p>
    <w:p>
      <w:pPr>
        <w:spacing w:after="120"/>
        <w:rPr>
          <w:rFonts w:hint="eastAsia" w:ascii="宋体" w:hAnsi="宋体" w:eastAsia="宋体" w:cs="宋体"/>
          <w:bCs/>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adjustRightInd w:val="0"/>
        <w:snapToGrid w:val="0"/>
        <w:spacing w:before="156" w:beforeLines="50" w:after="156" w:afterLines="50" w:line="360" w:lineRule="auto"/>
        <w:jc w:val="center"/>
        <w:outlineLvl w:val="0"/>
        <w:rPr>
          <w:rFonts w:hint="eastAsia" w:ascii="宋体" w:hAnsi="宋体" w:eastAsia="宋体" w:cs="宋体"/>
          <w:color w:val="auto"/>
          <w:kern w:val="10"/>
          <w:sz w:val="32"/>
          <w:szCs w:val="28"/>
          <w:highlight w:val="none"/>
        </w:rPr>
      </w:pPr>
      <w:bookmarkStart w:id="115" w:name="_Toc17643"/>
      <w:bookmarkStart w:id="116" w:name="_Toc157"/>
      <w:r>
        <w:rPr>
          <w:rFonts w:hint="eastAsia" w:ascii="宋体" w:hAnsi="宋体" w:eastAsia="宋体" w:cs="宋体"/>
          <w:color w:val="auto"/>
          <w:kern w:val="10"/>
          <w:sz w:val="32"/>
          <w:szCs w:val="28"/>
          <w:highlight w:val="none"/>
        </w:rPr>
        <w:t>递交投标响应文件/样品登记表</w:t>
      </w:r>
      <w:bookmarkEnd w:id="115"/>
      <w:bookmarkEnd w:id="116"/>
    </w:p>
    <w:p>
      <w:pPr>
        <w:spacing w:line="360" w:lineRule="auto"/>
        <w:ind w:firstLine="480" w:firstLineChars="200"/>
        <w:rPr>
          <w:rFonts w:hint="eastAsia" w:ascii="宋体" w:hAnsi="宋体" w:eastAsia="宋体" w:cs="宋体"/>
          <w:color w:val="auto"/>
          <w:kern w:val="10"/>
          <w:sz w:val="24"/>
          <w:highlight w:val="none"/>
        </w:rPr>
      </w:pPr>
      <w:r>
        <w:rPr>
          <w:rFonts w:hint="eastAsia" w:ascii="宋体" w:hAnsi="宋体" w:eastAsia="宋体" w:cs="宋体"/>
          <w:color w:val="auto"/>
          <w:kern w:val="10"/>
          <w:sz w:val="24"/>
          <w:szCs w:val="20"/>
          <w:highlight w:val="none"/>
        </w:rPr>
        <w:t>递交序号：</w:t>
      </w:r>
      <w:r>
        <w:rPr>
          <w:rFonts w:hint="eastAsia" w:ascii="宋体" w:hAnsi="宋体" w:eastAsia="宋体" w:cs="宋体"/>
          <w:color w:val="auto"/>
          <w:kern w:val="10"/>
          <w:sz w:val="24"/>
          <w:szCs w:val="20"/>
          <w:highlight w:val="none"/>
        </w:rPr>
        <w:tab/>
      </w:r>
      <w:r>
        <w:rPr>
          <w:rFonts w:hint="eastAsia" w:ascii="宋体" w:hAnsi="宋体" w:eastAsia="宋体" w:cs="宋体"/>
          <w:color w:val="auto"/>
          <w:kern w:val="10"/>
          <w:sz w:val="24"/>
          <w:szCs w:val="20"/>
          <w:highlight w:val="none"/>
        </w:rPr>
        <w:t xml:space="preserve">　                      </w:t>
      </w:r>
      <w:r>
        <w:rPr>
          <w:rFonts w:hint="eastAsia" w:ascii="宋体" w:hAnsi="宋体" w:eastAsia="宋体" w:cs="宋体"/>
          <w:color w:val="auto"/>
          <w:kern w:val="10"/>
          <w:sz w:val="24"/>
          <w:highlight w:val="none"/>
        </w:rPr>
        <w:t xml:space="preserve">          (序号由采购代理机构填写) </w:t>
      </w:r>
    </w:p>
    <w:p>
      <w:pPr>
        <w:spacing w:line="360" w:lineRule="auto"/>
        <w:ind w:firstLine="480" w:firstLineChars="200"/>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xml:space="preserve">项目名称：             </w:t>
      </w:r>
    </w:p>
    <w:p>
      <w:pPr>
        <w:spacing w:line="360" w:lineRule="auto"/>
        <w:ind w:firstLine="480" w:firstLineChars="200"/>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项目编号：</w:t>
      </w:r>
    </w:p>
    <w:p>
      <w:pPr>
        <w:spacing w:line="360" w:lineRule="auto"/>
        <w:ind w:firstLine="480" w:firstLineChars="200"/>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xml:space="preserve">标项号：                </w:t>
      </w:r>
    </w:p>
    <w:tbl>
      <w:tblPr>
        <w:tblStyle w:val="33"/>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710"/>
        <w:gridCol w:w="1437"/>
        <w:gridCol w:w="1500"/>
        <w:gridCol w:w="85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供应商名称</w:t>
            </w:r>
          </w:p>
        </w:tc>
        <w:tc>
          <w:tcPr>
            <w:tcW w:w="693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地址</w:t>
            </w:r>
          </w:p>
        </w:tc>
        <w:tc>
          <w:tcPr>
            <w:tcW w:w="693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联系人</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w:t>
            </w:r>
          </w:p>
        </w:tc>
        <w:tc>
          <w:tcPr>
            <w:tcW w:w="14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电话</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传真</w:t>
            </w:r>
          </w:p>
        </w:tc>
        <w:tc>
          <w:tcPr>
            <w:tcW w:w="142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移动电话</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w:t>
            </w:r>
          </w:p>
        </w:tc>
        <w:tc>
          <w:tcPr>
            <w:tcW w:w="14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电子邮件</w:t>
            </w:r>
          </w:p>
        </w:tc>
        <w:tc>
          <w:tcPr>
            <w:tcW w:w="378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投标文件/样品</w:t>
            </w:r>
          </w:p>
        </w:tc>
        <w:tc>
          <w:tcPr>
            <w:tcW w:w="314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left"/>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投标文件正本：  份</w:t>
            </w:r>
          </w:p>
        </w:tc>
        <w:tc>
          <w:tcPr>
            <w:tcW w:w="378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left"/>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投标文件副本：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20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color w:val="auto"/>
                <w:kern w:val="10"/>
                <w:sz w:val="24"/>
                <w:highlight w:val="none"/>
              </w:rPr>
            </w:pPr>
          </w:p>
        </w:tc>
        <w:tc>
          <w:tcPr>
            <w:tcW w:w="314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left"/>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样品</w:t>
            </w:r>
          </w:p>
        </w:tc>
        <w:tc>
          <w:tcPr>
            <w:tcW w:w="378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□有</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□无</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递交人（签字）：</w:t>
            </w:r>
          </w:p>
          <w:p>
            <w:pPr>
              <w:spacing w:line="360" w:lineRule="auto"/>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签收人（签字）：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备注</w:t>
            </w:r>
          </w:p>
        </w:tc>
        <w:tc>
          <w:tcPr>
            <w:tcW w:w="693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rPr>
                <w:rFonts w:hint="eastAsia" w:ascii="宋体" w:hAnsi="宋体" w:eastAsia="宋体" w:cs="宋体"/>
                <w:color w:val="auto"/>
                <w:kern w:val="10"/>
                <w:sz w:val="24"/>
                <w:highlight w:val="none"/>
              </w:rPr>
            </w:pPr>
          </w:p>
        </w:tc>
      </w:tr>
    </w:tbl>
    <w:p>
      <w:pPr>
        <w:adjustRightInd w:val="0"/>
        <w:snapToGrid w:val="0"/>
        <w:spacing w:line="360" w:lineRule="auto"/>
        <w:ind w:firstLine="3840" w:firstLineChars="1600"/>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 xml:space="preserve">法定代表人或授权代表（签字）：      </w:t>
      </w:r>
    </w:p>
    <w:p>
      <w:pPr>
        <w:adjustRightInd w:val="0"/>
        <w:snapToGrid w:val="0"/>
        <w:spacing w:line="360" w:lineRule="auto"/>
        <w:ind w:firstLine="3840" w:firstLineChars="1600"/>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供应商名称（加盖公章）：</w:t>
      </w:r>
    </w:p>
    <w:p>
      <w:pPr>
        <w:adjustRightInd w:val="0"/>
        <w:snapToGrid w:val="0"/>
        <w:spacing w:line="360" w:lineRule="auto"/>
        <w:ind w:firstLine="3840" w:firstLineChars="1600"/>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递交时间：  年   月   日   时   分</w:t>
      </w:r>
    </w:p>
    <w:p>
      <w:pPr>
        <w:tabs>
          <w:tab w:val="left" w:pos="4240"/>
        </w:tabs>
        <w:spacing w:line="360" w:lineRule="auto"/>
        <w:ind w:firstLine="141" w:firstLineChars="59"/>
        <w:rPr>
          <w:rFonts w:hint="eastAsia" w:ascii="宋体" w:hAnsi="宋体" w:eastAsia="宋体" w:cs="宋体"/>
          <w:color w:val="auto"/>
          <w:kern w:val="10"/>
          <w:sz w:val="24"/>
          <w:highlight w:val="none"/>
        </w:rPr>
      </w:pPr>
    </w:p>
    <w:p>
      <w:pPr>
        <w:tabs>
          <w:tab w:val="left" w:pos="4240"/>
        </w:tabs>
        <w:spacing w:line="360" w:lineRule="auto"/>
        <w:ind w:firstLine="141" w:firstLineChars="59"/>
        <w:rPr>
          <w:rFonts w:hint="eastAsia" w:ascii="宋体" w:hAnsi="宋体" w:eastAsia="宋体" w:cs="宋体"/>
          <w:color w:val="auto"/>
          <w:kern w:val="10"/>
          <w:sz w:val="24"/>
          <w:highlight w:val="none"/>
        </w:rPr>
      </w:pPr>
      <w:r>
        <w:rPr>
          <w:rFonts w:hint="eastAsia" w:ascii="宋体" w:hAnsi="宋体" w:eastAsia="宋体" w:cs="宋体"/>
          <w:color w:val="auto"/>
          <w:kern w:val="10"/>
          <w:sz w:val="24"/>
          <w:highlight w:val="none"/>
        </w:rPr>
        <w:t>注：</w:t>
      </w:r>
    </w:p>
    <w:p>
      <w:pPr>
        <w:tabs>
          <w:tab w:val="left" w:pos="4240"/>
        </w:tabs>
        <w:spacing w:line="360" w:lineRule="auto"/>
        <w:ind w:firstLine="141" w:firstLineChars="59"/>
        <w:outlineLvl w:val="0"/>
        <w:rPr>
          <w:rFonts w:hint="eastAsia" w:ascii="宋体" w:hAnsi="宋体" w:eastAsia="宋体" w:cs="宋体"/>
          <w:color w:val="auto"/>
          <w:kern w:val="10"/>
          <w:sz w:val="24"/>
          <w:highlight w:val="none"/>
        </w:rPr>
      </w:pPr>
      <w:bookmarkStart w:id="117" w:name="_Toc6897"/>
      <w:bookmarkStart w:id="118" w:name="_Toc14434"/>
      <w:r>
        <w:rPr>
          <w:rFonts w:hint="eastAsia" w:ascii="宋体" w:hAnsi="宋体" w:eastAsia="宋体" w:cs="宋体"/>
          <w:color w:val="auto"/>
          <w:kern w:val="10"/>
          <w:sz w:val="24"/>
          <w:highlight w:val="none"/>
        </w:rPr>
        <w:t>1.此表请供应商填好后，于递交投标响应文件/样品当日单独递交；</w:t>
      </w:r>
      <w:bookmarkEnd w:id="117"/>
      <w:bookmarkEnd w:id="118"/>
    </w:p>
    <w:p>
      <w:pPr>
        <w:tabs>
          <w:tab w:val="left" w:pos="4240"/>
        </w:tabs>
        <w:spacing w:line="360" w:lineRule="auto"/>
        <w:ind w:firstLine="141" w:firstLineChars="59"/>
        <w:outlineLvl w:val="0"/>
        <w:rPr>
          <w:rFonts w:hint="eastAsia" w:ascii="宋体" w:hAnsi="宋体" w:eastAsia="宋体" w:cs="宋体"/>
          <w:color w:val="auto"/>
          <w:kern w:val="10"/>
          <w:sz w:val="24"/>
          <w:highlight w:val="none"/>
        </w:rPr>
      </w:pPr>
      <w:bookmarkStart w:id="119" w:name="_Toc31997"/>
      <w:bookmarkStart w:id="120" w:name="_Toc19375"/>
      <w:r>
        <w:rPr>
          <w:rFonts w:hint="eastAsia" w:ascii="宋体" w:hAnsi="宋体" w:eastAsia="宋体" w:cs="宋体"/>
          <w:color w:val="auto"/>
          <w:kern w:val="10"/>
          <w:sz w:val="24"/>
          <w:highlight w:val="none"/>
        </w:rPr>
        <w:t>2.此表无需密封，也不要装订在投标响应文件/样品中；</w:t>
      </w:r>
      <w:bookmarkEnd w:id="119"/>
      <w:bookmarkEnd w:id="120"/>
    </w:p>
    <w:p>
      <w:pPr>
        <w:tabs>
          <w:tab w:val="left" w:pos="4240"/>
        </w:tabs>
        <w:spacing w:line="360" w:lineRule="auto"/>
        <w:ind w:firstLine="141" w:firstLineChars="59"/>
        <w:outlineLvl w:val="0"/>
        <w:rPr>
          <w:rFonts w:hint="eastAsia" w:ascii="宋体" w:hAnsi="宋体" w:eastAsia="宋体" w:cs="宋体"/>
          <w:color w:val="auto"/>
          <w:kern w:val="10"/>
          <w:sz w:val="24"/>
          <w:highlight w:val="none"/>
        </w:rPr>
      </w:pPr>
      <w:bookmarkStart w:id="121" w:name="_Toc32408"/>
      <w:bookmarkStart w:id="122" w:name="_Toc24822"/>
      <w:r>
        <w:rPr>
          <w:rFonts w:hint="eastAsia" w:ascii="宋体" w:hAnsi="宋体" w:eastAsia="宋体" w:cs="宋体"/>
          <w:color w:val="auto"/>
          <w:kern w:val="10"/>
          <w:sz w:val="24"/>
          <w:highlight w:val="none"/>
        </w:rPr>
        <w:t>3.每个标项需单独提供一份。</w:t>
      </w:r>
      <w:bookmarkEnd w:id="121"/>
      <w:bookmarkEnd w:id="122"/>
    </w:p>
    <w:p>
      <w:pPr>
        <w:pStyle w:val="13"/>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pStyle w:val="13"/>
        <w:jc w:val="center"/>
        <w:outlineLvl w:val="0"/>
        <w:rPr>
          <w:rFonts w:hint="eastAsia" w:ascii="宋体" w:hAnsi="宋体" w:eastAsia="宋体" w:cs="宋体"/>
          <w:i w:val="0"/>
          <w:iCs w:val="0"/>
          <w:caps w:val="0"/>
          <w:color w:val="auto"/>
          <w:spacing w:val="0"/>
          <w:sz w:val="24"/>
          <w:szCs w:val="24"/>
          <w:highlight w:val="none"/>
        </w:rPr>
      </w:pPr>
      <w:bookmarkStart w:id="123" w:name="_Toc10955"/>
      <w:bookmarkStart w:id="124" w:name="_Toc4587"/>
      <w:r>
        <w:rPr>
          <w:rFonts w:hint="eastAsia" w:ascii="宋体" w:hAnsi="宋体" w:eastAsia="宋体" w:cs="宋体"/>
          <w:i w:val="0"/>
          <w:iCs w:val="0"/>
          <w:caps w:val="0"/>
          <w:color w:val="auto"/>
          <w:spacing w:val="0"/>
          <w:sz w:val="32"/>
          <w:szCs w:val="32"/>
          <w:highlight w:val="none"/>
        </w:rPr>
        <w:t>承诺函 说明：</w:t>
      </w:r>
      <w:bookmarkEnd w:id="123"/>
      <w:bookmarkEnd w:id="124"/>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供关于“交货前，所有器材供货厂家须在应急管理部消防救援局消防装备物资信息采集系统（http://xfzb.119.gov.cn）录入装备信息，申请装备编码，并按照应急管理部消防救援局和浙江省消防救援总队要求，制作RFID数字管理标签，并且由此所产生的费用必须包含在投标报价内”的承诺函，格式自拟。</w:t>
      </w:r>
    </w:p>
    <w:sectPr>
      <w:pgSz w:w="11906" w:h="16838"/>
      <w:pgMar w:top="1440" w:right="1274" w:bottom="1440" w:left="127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roman"/>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4560"/>
        <w:tab w:val="left" w:pos="4836"/>
      </w:tabs>
      <w:ind w:right="900"/>
      <w:jc w:val="both"/>
      <w:rPr>
        <w:rFonts w:ascii="仿宋" w:hAnsi="仿宋" w:eastAsia="仿宋" w:cs="仿宋"/>
      </w:rPr>
    </w:pPr>
    <w:r>
      <w:rPr>
        <w:rFonts w:ascii="仿宋" w:hAnsi="仿宋" w:eastAsia="仿宋" w:cs="仿宋"/>
      </w:rP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tab w:relativeTo="indent" w:alignment="center"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4560"/>
        <w:tab w:val="left" w:pos="4836"/>
      </w:tabs>
      <w:ind w:right="900"/>
      <w:jc w:val="both"/>
      <w:rPr>
        <w:rFonts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ascii="仿宋" w:hAnsi="仿宋" w:eastAsia="仿宋" w:cs="仿宋"/>
      </w:rPr>
      <w:ptab w:relativeTo="margin" w:alignment="center"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ptab w:relativeTo="indent" w:alignment="center"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4560"/>
        <w:tab w:val="left" w:pos="4836"/>
      </w:tabs>
      <w:ind w:right="900"/>
      <w:jc w:val="both"/>
      <w:rPr>
        <w:rFonts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ascii="仿宋" w:hAnsi="仿宋" w:eastAsia="仿宋" w:cs="仿宋"/>
      </w:rPr>
      <w:ptab w:relativeTo="margin" w:alignment="center"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top w:val="none" w:color="auto" w:sz="0" w:space="1"/>
        <w:left w:val="none" w:color="auto" w:sz="0" w:space="4"/>
        <w:bottom w:val="single" w:color="auto" w:sz="4" w:space="1"/>
        <w:right w:val="none" w:color="auto" w:sz="0" w:space="4"/>
        <w:between w:val="none" w:color="auto" w:sz="0" w:space="0"/>
      </w:pBdr>
      <w:snapToGrid w:val="0"/>
      <w:jc w:val="center"/>
      <w:rPr>
        <w:rFonts w:hint="eastAsia"/>
        <w:lang w:eastAsia="zh-CN"/>
      </w:rPr>
    </w:pPr>
    <w:r>
      <w:rPr>
        <w:rFonts w:hint="eastAsia" w:ascii="宋体" w:hAnsi="宋体" w:cs="宋体"/>
        <w:b w:val="0"/>
        <w:bCs w:val="0"/>
        <w:color w:val="auto"/>
        <w:sz w:val="24"/>
        <w:szCs w:val="24"/>
        <w:u w:val="none"/>
        <w:lang w:val="en-US" w:eastAsia="zh-CN"/>
      </w:rPr>
      <w:t>浙</w:t>
    </w:r>
    <w:r>
      <w:rPr>
        <w:rFonts w:hint="eastAsia" w:ascii="宋体" w:hAnsi="宋体" w:cs="宋体"/>
        <w:b w:val="0"/>
        <w:bCs w:val="0"/>
        <w:color w:val="auto"/>
        <w:sz w:val="24"/>
        <w:highlight w:val="none"/>
        <w:u w:val="none"/>
        <w:lang w:eastAsia="zh-CN"/>
      </w:rPr>
      <w:t>江省消防救援总队消防器材装备（破拆类第一批）采购项目</w:t>
    </w:r>
    <w:r>
      <w:rPr>
        <w:rFonts w:hint="eastAsia" w:ascii="宋体" w:hAnsi="宋体" w:cs="宋体"/>
        <w:b w:val="0"/>
        <w:bCs w:val="0"/>
        <w:color w:val="auto"/>
        <w:sz w:val="24"/>
        <w:szCs w:val="24"/>
        <w:u w:val="none"/>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ascii="宋体" w:hAnsi="宋体" w:cs="宋体"/>
        <w:b w:val="0"/>
        <w:bCs w:val="0"/>
        <w:color w:val="auto"/>
        <w:sz w:val="24"/>
        <w:szCs w:val="24"/>
        <w:u w:val="none"/>
        <w:lang w:val="en-US" w:eastAsia="zh-CN"/>
      </w:rPr>
    </w:pPr>
  </w:p>
  <w:p>
    <w:pPr>
      <w:pStyle w:val="22"/>
      <w:jc w:val="center"/>
      <w:rPr>
        <w:color w:val="auto"/>
        <w:sz w:val="21"/>
        <w:szCs w:val="21"/>
      </w:rPr>
    </w:pPr>
    <w:r>
      <w:rPr>
        <w:rFonts w:hint="eastAsia" w:ascii="宋体" w:hAnsi="宋体" w:cs="宋体"/>
        <w:b w:val="0"/>
        <w:bCs w:val="0"/>
        <w:color w:val="auto"/>
        <w:sz w:val="24"/>
        <w:highlight w:val="none"/>
        <w:u w:val="none"/>
        <w:lang w:eastAsia="zh-CN"/>
      </w:rPr>
      <w:t>浙江省消防救援总队消防器材装备（破拆类第一批）采购项目</w:t>
    </w:r>
    <w:r>
      <w:rPr>
        <w:rFonts w:hint="eastAsia" w:ascii="宋体" w:hAnsi="宋体" w:cs="宋体"/>
        <w:b w:val="0"/>
        <w:bCs w:val="0"/>
        <w:color w:val="auto"/>
        <w:sz w:val="24"/>
        <w:szCs w:val="24"/>
        <w:u w:val="none"/>
        <w:lang w:val="en-US" w:eastAsia="zh-CN"/>
      </w:rPr>
      <w:t>招标文件</w:t>
    </w:r>
  </w:p>
  <w:p>
    <w:pPr>
      <w:pStyle w:val="20"/>
      <w:pBdr>
        <w:top w:val="none" w:color="auto" w:sz="0" w:space="1"/>
        <w:left w:val="none" w:color="auto" w:sz="0" w:space="4"/>
        <w:bottom w:val="none" w:color="auto" w:sz="0" w:space="1"/>
        <w:right w:val="none" w:color="auto" w:sz="0" w:space="4"/>
        <w:between w:val="none" w:color="auto" w:sz="0" w:space="0"/>
      </w:pBdr>
      <w:jc w:val="right"/>
      <w:rPr>
        <w:rFonts w:hint="eastAsia" w:eastAsia="宋体"/>
        <w:color w:val="auto"/>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93ACA"/>
    <w:multiLevelType w:val="singleLevel"/>
    <w:tmpl w:val="83493ACA"/>
    <w:lvl w:ilvl="0" w:tentative="0">
      <w:start w:val="2"/>
      <w:numFmt w:val="decimal"/>
      <w:suff w:val="nothing"/>
      <w:lvlText w:val="%1、"/>
      <w:lvlJc w:val="left"/>
      <w:pPr>
        <w:ind w:left="420"/>
      </w:pPr>
    </w:lvl>
  </w:abstractNum>
  <w:abstractNum w:abstractNumId="1">
    <w:nsid w:val="8D7DE9F0"/>
    <w:multiLevelType w:val="singleLevel"/>
    <w:tmpl w:val="8D7DE9F0"/>
    <w:lvl w:ilvl="0" w:tentative="0">
      <w:start w:val="1"/>
      <w:numFmt w:val="decimal"/>
      <w:suff w:val="nothing"/>
      <w:lvlText w:val="%1、"/>
      <w:lvlJc w:val="left"/>
      <w:pPr>
        <w:ind w:left="0" w:leftChars="0" w:firstLine="0" w:firstLineChars="0"/>
      </w:pPr>
    </w:lvl>
  </w:abstractNum>
  <w:abstractNum w:abstractNumId="2">
    <w:nsid w:val="9D842D45"/>
    <w:multiLevelType w:val="singleLevel"/>
    <w:tmpl w:val="9D842D45"/>
    <w:lvl w:ilvl="0" w:tentative="0">
      <w:start w:val="1"/>
      <w:numFmt w:val="decimal"/>
      <w:suff w:val="nothing"/>
      <w:lvlText w:val="%1、"/>
      <w:lvlJc w:val="left"/>
      <w:pPr>
        <w:ind w:left="0" w:leftChars="0" w:firstLine="0" w:firstLineChars="0"/>
      </w:pPr>
    </w:lvl>
  </w:abstractNum>
  <w:abstractNum w:abstractNumId="3">
    <w:nsid w:val="CFFF0F60"/>
    <w:multiLevelType w:val="singleLevel"/>
    <w:tmpl w:val="CFFF0F60"/>
    <w:lvl w:ilvl="0" w:tentative="0">
      <w:start w:val="2"/>
      <w:numFmt w:val="decimal"/>
      <w:suff w:val="nothing"/>
      <w:lvlText w:val="%1、"/>
      <w:lvlJc w:val="left"/>
    </w:lvl>
  </w:abstractNum>
  <w:abstractNum w:abstractNumId="4">
    <w:nsid w:val="E02575C6"/>
    <w:multiLevelType w:val="singleLevel"/>
    <w:tmpl w:val="E02575C6"/>
    <w:lvl w:ilvl="0" w:tentative="0">
      <w:start w:val="6"/>
      <w:numFmt w:val="chineseCounting"/>
      <w:suff w:val="nothing"/>
      <w:lvlText w:val="（%1）"/>
      <w:lvlJc w:val="left"/>
      <w:rPr>
        <w:rFonts w:hint="eastAsia"/>
      </w:rPr>
    </w:lvl>
  </w:abstractNum>
  <w:abstractNum w:abstractNumId="5">
    <w:nsid w:val="F2032B4A"/>
    <w:multiLevelType w:val="singleLevel"/>
    <w:tmpl w:val="F2032B4A"/>
    <w:lvl w:ilvl="0" w:tentative="0">
      <w:start w:val="3"/>
      <w:numFmt w:val="chineseCounting"/>
      <w:suff w:val="nothing"/>
      <w:lvlText w:val="%1、"/>
      <w:lvlJc w:val="left"/>
      <w:rPr>
        <w:rFonts w:hint="eastAsia"/>
      </w:rPr>
    </w:lvl>
  </w:abstractNum>
  <w:abstractNum w:abstractNumId="6">
    <w:nsid w:val="F5823EE2"/>
    <w:multiLevelType w:val="singleLevel"/>
    <w:tmpl w:val="F5823EE2"/>
    <w:lvl w:ilvl="0" w:tentative="0">
      <w:start w:val="1"/>
      <w:numFmt w:val="decimal"/>
      <w:lvlText w:val="%1."/>
      <w:lvlJc w:val="left"/>
      <w:pPr>
        <w:tabs>
          <w:tab w:val="left" w:pos="312"/>
        </w:tabs>
      </w:pPr>
    </w:lvl>
  </w:abstractNum>
  <w:abstractNum w:abstractNumId="7">
    <w:nsid w:val="00000005"/>
    <w:multiLevelType w:val="multilevel"/>
    <w:tmpl w:val="00000005"/>
    <w:lvl w:ilvl="0" w:tentative="0">
      <w:start w:val="1"/>
      <w:numFmt w:val="decimal"/>
      <w:pStyle w:val="7"/>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8">
    <w:nsid w:val="0F868900"/>
    <w:multiLevelType w:val="singleLevel"/>
    <w:tmpl w:val="0F868900"/>
    <w:lvl w:ilvl="0" w:tentative="0">
      <w:start w:val="1"/>
      <w:numFmt w:val="decimal"/>
      <w:suff w:val="nothing"/>
      <w:lvlText w:val="（%1）"/>
      <w:lvlJc w:val="left"/>
    </w:lvl>
  </w:abstractNum>
  <w:abstractNum w:abstractNumId="9">
    <w:nsid w:val="1D8F0D4B"/>
    <w:multiLevelType w:val="singleLevel"/>
    <w:tmpl w:val="1D8F0D4B"/>
    <w:lvl w:ilvl="0" w:tentative="0">
      <w:start w:val="1"/>
      <w:numFmt w:val="decimal"/>
      <w:suff w:val="nothing"/>
      <w:lvlText w:val="%1、"/>
      <w:lvlJc w:val="left"/>
    </w:lvl>
  </w:abstractNum>
  <w:abstractNum w:abstractNumId="10">
    <w:nsid w:val="1F0786DD"/>
    <w:multiLevelType w:val="singleLevel"/>
    <w:tmpl w:val="1F0786DD"/>
    <w:lvl w:ilvl="0" w:tentative="0">
      <w:start w:val="1"/>
      <w:numFmt w:val="decimal"/>
      <w:suff w:val="nothing"/>
      <w:lvlText w:val="%1、"/>
      <w:lvlJc w:val="left"/>
    </w:lvl>
  </w:abstractNum>
  <w:abstractNum w:abstractNumId="11">
    <w:nsid w:val="37612D6C"/>
    <w:multiLevelType w:val="singleLevel"/>
    <w:tmpl w:val="37612D6C"/>
    <w:lvl w:ilvl="0" w:tentative="0">
      <w:start w:val="1"/>
      <w:numFmt w:val="decimal"/>
      <w:lvlText w:val="%1."/>
      <w:lvlJc w:val="left"/>
      <w:pPr>
        <w:tabs>
          <w:tab w:val="left" w:pos="312"/>
        </w:tabs>
      </w:pPr>
    </w:lvl>
  </w:abstractNum>
  <w:abstractNum w:abstractNumId="12">
    <w:nsid w:val="37C5413C"/>
    <w:multiLevelType w:val="singleLevel"/>
    <w:tmpl w:val="37C5413C"/>
    <w:lvl w:ilvl="0" w:tentative="0">
      <w:start w:val="3"/>
      <w:numFmt w:val="chineseCounting"/>
      <w:suff w:val="nothing"/>
      <w:lvlText w:val="%1、"/>
      <w:lvlJc w:val="left"/>
      <w:rPr>
        <w:rFonts w:hint="eastAsia"/>
      </w:rPr>
    </w:lvl>
  </w:abstractNum>
  <w:abstractNum w:abstractNumId="13">
    <w:nsid w:val="39172B00"/>
    <w:multiLevelType w:val="singleLevel"/>
    <w:tmpl w:val="39172B00"/>
    <w:lvl w:ilvl="0" w:tentative="0">
      <w:start w:val="6"/>
      <w:numFmt w:val="chineseCounting"/>
      <w:suff w:val="nothing"/>
      <w:lvlText w:val="%1、"/>
      <w:lvlJc w:val="left"/>
      <w:rPr>
        <w:rFonts w:hint="eastAsia"/>
      </w:rPr>
    </w:lvl>
  </w:abstractNum>
  <w:abstractNum w:abstractNumId="14">
    <w:nsid w:val="4E197FD4"/>
    <w:multiLevelType w:val="singleLevel"/>
    <w:tmpl w:val="4E197FD4"/>
    <w:lvl w:ilvl="0" w:tentative="0">
      <w:start w:val="2"/>
      <w:numFmt w:val="chineseCounting"/>
      <w:suff w:val="nothing"/>
      <w:lvlText w:val="（%1）"/>
      <w:lvlJc w:val="left"/>
      <w:pPr>
        <w:ind w:left="-210"/>
      </w:pPr>
      <w:rPr>
        <w:rFonts w:hint="eastAsia"/>
      </w:rPr>
    </w:lvl>
  </w:abstractNum>
  <w:abstractNum w:abstractNumId="15">
    <w:nsid w:val="70ACEC2B"/>
    <w:multiLevelType w:val="singleLevel"/>
    <w:tmpl w:val="70ACEC2B"/>
    <w:lvl w:ilvl="0" w:tentative="0">
      <w:start w:val="2"/>
      <w:numFmt w:val="decimal"/>
      <w:suff w:val="nothing"/>
      <w:lvlText w:val="%1、"/>
      <w:lvlJc w:val="left"/>
    </w:lvl>
  </w:abstractNum>
  <w:num w:numId="1">
    <w:abstractNumId w:val="7"/>
  </w:num>
  <w:num w:numId="2">
    <w:abstractNumId w:val="0"/>
  </w:num>
  <w:num w:numId="3">
    <w:abstractNumId w:val="3"/>
  </w:num>
  <w:num w:numId="4">
    <w:abstractNumId w:val="13"/>
  </w:num>
  <w:num w:numId="5">
    <w:abstractNumId w:val="15"/>
  </w:num>
  <w:num w:numId="6">
    <w:abstractNumId w:val="4"/>
  </w:num>
  <w:num w:numId="7">
    <w:abstractNumId w:val="14"/>
  </w:num>
  <w:num w:numId="8">
    <w:abstractNumId w:val="12"/>
  </w:num>
  <w:num w:numId="9">
    <w:abstractNumId w:val="1"/>
  </w:num>
  <w:num w:numId="10">
    <w:abstractNumId w:val="2"/>
  </w:num>
  <w:num w:numId="11">
    <w:abstractNumId w:val="10"/>
  </w:num>
  <w:num w:numId="12">
    <w:abstractNumId w:val="6"/>
  </w:num>
  <w:num w:numId="13">
    <w:abstractNumId w:val="11"/>
  </w:num>
  <w:num w:numId="14">
    <w:abstractNumId w:val="8"/>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YTY2ZjBjOWIwOGIxNTllMjI4OTM5NmE1NjFjYzIifQ=="/>
  </w:docVars>
  <w:rsids>
    <w:rsidRoot w:val="00F953F1"/>
    <w:rsid w:val="000061A4"/>
    <w:rsid w:val="00024F7E"/>
    <w:rsid w:val="00030203"/>
    <w:rsid w:val="00053F2A"/>
    <w:rsid w:val="000B7DB0"/>
    <w:rsid w:val="000E7BF5"/>
    <w:rsid w:val="001033BD"/>
    <w:rsid w:val="00135281"/>
    <w:rsid w:val="0014149F"/>
    <w:rsid w:val="00151F4C"/>
    <w:rsid w:val="00160331"/>
    <w:rsid w:val="0016088D"/>
    <w:rsid w:val="00163264"/>
    <w:rsid w:val="00180739"/>
    <w:rsid w:val="00195307"/>
    <w:rsid w:val="001A02C5"/>
    <w:rsid w:val="001A4BA1"/>
    <w:rsid w:val="001B0DB4"/>
    <w:rsid w:val="001C3A62"/>
    <w:rsid w:val="001C3FD8"/>
    <w:rsid w:val="001C46DC"/>
    <w:rsid w:val="001D0E39"/>
    <w:rsid w:val="001D2FD6"/>
    <w:rsid w:val="001D7301"/>
    <w:rsid w:val="001D7470"/>
    <w:rsid w:val="001F17EA"/>
    <w:rsid w:val="001F61FA"/>
    <w:rsid w:val="001F7EDF"/>
    <w:rsid w:val="00200C85"/>
    <w:rsid w:val="00201B24"/>
    <w:rsid w:val="0020682D"/>
    <w:rsid w:val="00212355"/>
    <w:rsid w:val="00220582"/>
    <w:rsid w:val="002213A0"/>
    <w:rsid w:val="00254CCD"/>
    <w:rsid w:val="002714F7"/>
    <w:rsid w:val="00275535"/>
    <w:rsid w:val="00283845"/>
    <w:rsid w:val="002A6C47"/>
    <w:rsid w:val="002A767A"/>
    <w:rsid w:val="002C5D33"/>
    <w:rsid w:val="002C662A"/>
    <w:rsid w:val="002D4343"/>
    <w:rsid w:val="00302FDF"/>
    <w:rsid w:val="003046AA"/>
    <w:rsid w:val="00307A15"/>
    <w:rsid w:val="003121DD"/>
    <w:rsid w:val="00317990"/>
    <w:rsid w:val="003259FC"/>
    <w:rsid w:val="00334213"/>
    <w:rsid w:val="00343ABA"/>
    <w:rsid w:val="00357F5D"/>
    <w:rsid w:val="00364A4D"/>
    <w:rsid w:val="003C2951"/>
    <w:rsid w:val="003D3F4A"/>
    <w:rsid w:val="003E74F6"/>
    <w:rsid w:val="00401B4E"/>
    <w:rsid w:val="00412C27"/>
    <w:rsid w:val="00422E6C"/>
    <w:rsid w:val="004240CD"/>
    <w:rsid w:val="00431027"/>
    <w:rsid w:val="00445F0B"/>
    <w:rsid w:val="004550B3"/>
    <w:rsid w:val="004568E6"/>
    <w:rsid w:val="004720B3"/>
    <w:rsid w:val="00481DD8"/>
    <w:rsid w:val="004A0E6F"/>
    <w:rsid w:val="004C422F"/>
    <w:rsid w:val="004D6F6F"/>
    <w:rsid w:val="004E7FDD"/>
    <w:rsid w:val="004F045E"/>
    <w:rsid w:val="00502BEA"/>
    <w:rsid w:val="0053687F"/>
    <w:rsid w:val="00536F65"/>
    <w:rsid w:val="00541BEF"/>
    <w:rsid w:val="00551A6E"/>
    <w:rsid w:val="005A15BC"/>
    <w:rsid w:val="005C2570"/>
    <w:rsid w:val="005C47AF"/>
    <w:rsid w:val="005D0B0C"/>
    <w:rsid w:val="005E69AA"/>
    <w:rsid w:val="00602E2B"/>
    <w:rsid w:val="00666551"/>
    <w:rsid w:val="006710D3"/>
    <w:rsid w:val="00683EFD"/>
    <w:rsid w:val="006A08A7"/>
    <w:rsid w:val="006B056D"/>
    <w:rsid w:val="006B5C99"/>
    <w:rsid w:val="006B7C09"/>
    <w:rsid w:val="006C3EF8"/>
    <w:rsid w:val="006F0EE1"/>
    <w:rsid w:val="006F1BBC"/>
    <w:rsid w:val="006F377B"/>
    <w:rsid w:val="007009AE"/>
    <w:rsid w:val="00705635"/>
    <w:rsid w:val="00705694"/>
    <w:rsid w:val="00721306"/>
    <w:rsid w:val="007323F3"/>
    <w:rsid w:val="00762857"/>
    <w:rsid w:val="0077275A"/>
    <w:rsid w:val="007821CA"/>
    <w:rsid w:val="00782329"/>
    <w:rsid w:val="00783C74"/>
    <w:rsid w:val="007901E1"/>
    <w:rsid w:val="00791CEA"/>
    <w:rsid w:val="007A51D7"/>
    <w:rsid w:val="007B72F6"/>
    <w:rsid w:val="007B7320"/>
    <w:rsid w:val="007C5775"/>
    <w:rsid w:val="007D30A2"/>
    <w:rsid w:val="007E5E82"/>
    <w:rsid w:val="007E7BAA"/>
    <w:rsid w:val="007F2DF6"/>
    <w:rsid w:val="007F5C35"/>
    <w:rsid w:val="00811E09"/>
    <w:rsid w:val="008269F5"/>
    <w:rsid w:val="0084779D"/>
    <w:rsid w:val="0085548E"/>
    <w:rsid w:val="00861F51"/>
    <w:rsid w:val="0086492C"/>
    <w:rsid w:val="0086784B"/>
    <w:rsid w:val="00875FBF"/>
    <w:rsid w:val="00877F35"/>
    <w:rsid w:val="00891B2C"/>
    <w:rsid w:val="00893F98"/>
    <w:rsid w:val="008A6DDB"/>
    <w:rsid w:val="008B299E"/>
    <w:rsid w:val="008C0149"/>
    <w:rsid w:val="00900520"/>
    <w:rsid w:val="00905078"/>
    <w:rsid w:val="00921FDC"/>
    <w:rsid w:val="009223E0"/>
    <w:rsid w:val="009230D3"/>
    <w:rsid w:val="00951637"/>
    <w:rsid w:val="00953905"/>
    <w:rsid w:val="00983A2F"/>
    <w:rsid w:val="00993A54"/>
    <w:rsid w:val="00997AC2"/>
    <w:rsid w:val="009A282B"/>
    <w:rsid w:val="009E16AA"/>
    <w:rsid w:val="00A05F96"/>
    <w:rsid w:val="00A06D66"/>
    <w:rsid w:val="00A07010"/>
    <w:rsid w:val="00A071C7"/>
    <w:rsid w:val="00A13AD7"/>
    <w:rsid w:val="00A35496"/>
    <w:rsid w:val="00A578DB"/>
    <w:rsid w:val="00A661F4"/>
    <w:rsid w:val="00A81B6D"/>
    <w:rsid w:val="00AB3AE4"/>
    <w:rsid w:val="00AB428D"/>
    <w:rsid w:val="00AC36F7"/>
    <w:rsid w:val="00AD1530"/>
    <w:rsid w:val="00AD4014"/>
    <w:rsid w:val="00AD674A"/>
    <w:rsid w:val="00AE5262"/>
    <w:rsid w:val="00B1140A"/>
    <w:rsid w:val="00B233D1"/>
    <w:rsid w:val="00B33929"/>
    <w:rsid w:val="00B428C8"/>
    <w:rsid w:val="00B627AF"/>
    <w:rsid w:val="00B715BC"/>
    <w:rsid w:val="00B81BA8"/>
    <w:rsid w:val="00B83A22"/>
    <w:rsid w:val="00BA45B1"/>
    <w:rsid w:val="00BC6027"/>
    <w:rsid w:val="00BF0C61"/>
    <w:rsid w:val="00BF5B58"/>
    <w:rsid w:val="00C012D7"/>
    <w:rsid w:val="00C14045"/>
    <w:rsid w:val="00C2351A"/>
    <w:rsid w:val="00C25C6D"/>
    <w:rsid w:val="00C26259"/>
    <w:rsid w:val="00C505AF"/>
    <w:rsid w:val="00C77808"/>
    <w:rsid w:val="00CD3E5A"/>
    <w:rsid w:val="00CE1AF7"/>
    <w:rsid w:val="00CF0180"/>
    <w:rsid w:val="00CF4209"/>
    <w:rsid w:val="00D23833"/>
    <w:rsid w:val="00D33E52"/>
    <w:rsid w:val="00DB674F"/>
    <w:rsid w:val="00DB7E75"/>
    <w:rsid w:val="00DF0B4B"/>
    <w:rsid w:val="00DF376B"/>
    <w:rsid w:val="00E06404"/>
    <w:rsid w:val="00E260B1"/>
    <w:rsid w:val="00E535A9"/>
    <w:rsid w:val="00E738CE"/>
    <w:rsid w:val="00E843E7"/>
    <w:rsid w:val="00E84CCF"/>
    <w:rsid w:val="00E87E54"/>
    <w:rsid w:val="00E93604"/>
    <w:rsid w:val="00EA1FDA"/>
    <w:rsid w:val="00EA2B31"/>
    <w:rsid w:val="00EA3A35"/>
    <w:rsid w:val="00EB19C1"/>
    <w:rsid w:val="00EC6614"/>
    <w:rsid w:val="00EF2F0F"/>
    <w:rsid w:val="00F01DB8"/>
    <w:rsid w:val="00F10D00"/>
    <w:rsid w:val="00F15EAF"/>
    <w:rsid w:val="00F24D6A"/>
    <w:rsid w:val="00F26F17"/>
    <w:rsid w:val="00F815F3"/>
    <w:rsid w:val="00F86EA3"/>
    <w:rsid w:val="00F953F1"/>
    <w:rsid w:val="00FA3F2A"/>
    <w:rsid w:val="00FA52D5"/>
    <w:rsid w:val="00FB4668"/>
    <w:rsid w:val="00FC2B2E"/>
    <w:rsid w:val="00FD071D"/>
    <w:rsid w:val="00FF2D20"/>
    <w:rsid w:val="01062EEC"/>
    <w:rsid w:val="011C44BE"/>
    <w:rsid w:val="01352628"/>
    <w:rsid w:val="015B3238"/>
    <w:rsid w:val="016E5A1A"/>
    <w:rsid w:val="016F3BA8"/>
    <w:rsid w:val="01745C50"/>
    <w:rsid w:val="01904138"/>
    <w:rsid w:val="01CF1530"/>
    <w:rsid w:val="020E02AA"/>
    <w:rsid w:val="023D6EC0"/>
    <w:rsid w:val="02D23086"/>
    <w:rsid w:val="034A70C0"/>
    <w:rsid w:val="03887BE8"/>
    <w:rsid w:val="03D96696"/>
    <w:rsid w:val="03EC35E2"/>
    <w:rsid w:val="046C6BAD"/>
    <w:rsid w:val="047D46E8"/>
    <w:rsid w:val="048D195A"/>
    <w:rsid w:val="04C9670A"/>
    <w:rsid w:val="04D651D4"/>
    <w:rsid w:val="04E377CC"/>
    <w:rsid w:val="054879E7"/>
    <w:rsid w:val="065F7326"/>
    <w:rsid w:val="066D0BE7"/>
    <w:rsid w:val="06905726"/>
    <w:rsid w:val="06CB676A"/>
    <w:rsid w:val="06DC357B"/>
    <w:rsid w:val="074321DF"/>
    <w:rsid w:val="074A0591"/>
    <w:rsid w:val="075F5104"/>
    <w:rsid w:val="07C256A4"/>
    <w:rsid w:val="07FD4DC5"/>
    <w:rsid w:val="07FE4D16"/>
    <w:rsid w:val="082A73B1"/>
    <w:rsid w:val="08867A10"/>
    <w:rsid w:val="08C54326"/>
    <w:rsid w:val="08EC67E7"/>
    <w:rsid w:val="090441B5"/>
    <w:rsid w:val="091F4B4B"/>
    <w:rsid w:val="0934727A"/>
    <w:rsid w:val="094571EA"/>
    <w:rsid w:val="0A060DE8"/>
    <w:rsid w:val="0A252635"/>
    <w:rsid w:val="0A5C4C50"/>
    <w:rsid w:val="0A5F6D1F"/>
    <w:rsid w:val="0A6610BB"/>
    <w:rsid w:val="0A7D7D7B"/>
    <w:rsid w:val="0AAE78F9"/>
    <w:rsid w:val="0AC6388D"/>
    <w:rsid w:val="0AD36E36"/>
    <w:rsid w:val="0AE14E9A"/>
    <w:rsid w:val="0AE861B1"/>
    <w:rsid w:val="0B100BEF"/>
    <w:rsid w:val="0B6E5916"/>
    <w:rsid w:val="0B815649"/>
    <w:rsid w:val="0BC503B0"/>
    <w:rsid w:val="0BE80195"/>
    <w:rsid w:val="0C6367E1"/>
    <w:rsid w:val="0CC47EE3"/>
    <w:rsid w:val="0CD22B8F"/>
    <w:rsid w:val="0CD94D10"/>
    <w:rsid w:val="0CE0168F"/>
    <w:rsid w:val="0CE70A00"/>
    <w:rsid w:val="0D284335"/>
    <w:rsid w:val="0D3E1A08"/>
    <w:rsid w:val="0D3F3A0E"/>
    <w:rsid w:val="0D870F11"/>
    <w:rsid w:val="0D9E6E36"/>
    <w:rsid w:val="0DB461AA"/>
    <w:rsid w:val="0DE40111"/>
    <w:rsid w:val="0DE97EF3"/>
    <w:rsid w:val="0E6F425B"/>
    <w:rsid w:val="0EAF1E2A"/>
    <w:rsid w:val="0ED8201D"/>
    <w:rsid w:val="0EEA1757"/>
    <w:rsid w:val="0EF820C6"/>
    <w:rsid w:val="0F0F11BE"/>
    <w:rsid w:val="0F791285"/>
    <w:rsid w:val="0FEB20AE"/>
    <w:rsid w:val="10030D22"/>
    <w:rsid w:val="103837FD"/>
    <w:rsid w:val="10634DBB"/>
    <w:rsid w:val="10780801"/>
    <w:rsid w:val="109D1177"/>
    <w:rsid w:val="10CD181F"/>
    <w:rsid w:val="10EF574B"/>
    <w:rsid w:val="11466EFA"/>
    <w:rsid w:val="115E3A20"/>
    <w:rsid w:val="11950E8F"/>
    <w:rsid w:val="12AF6A58"/>
    <w:rsid w:val="130A23C8"/>
    <w:rsid w:val="13161C63"/>
    <w:rsid w:val="131C555B"/>
    <w:rsid w:val="13382D62"/>
    <w:rsid w:val="13436557"/>
    <w:rsid w:val="13547AE7"/>
    <w:rsid w:val="139F5D8C"/>
    <w:rsid w:val="13B660AC"/>
    <w:rsid w:val="1432607A"/>
    <w:rsid w:val="153C60B9"/>
    <w:rsid w:val="154B4D55"/>
    <w:rsid w:val="15525411"/>
    <w:rsid w:val="15804BC3"/>
    <w:rsid w:val="159B53F7"/>
    <w:rsid w:val="15B10EC9"/>
    <w:rsid w:val="15BF56EC"/>
    <w:rsid w:val="15CD5A17"/>
    <w:rsid w:val="161F43DC"/>
    <w:rsid w:val="16314C03"/>
    <w:rsid w:val="165C118C"/>
    <w:rsid w:val="16C83DF0"/>
    <w:rsid w:val="16D12E22"/>
    <w:rsid w:val="16DB3640"/>
    <w:rsid w:val="171F1E57"/>
    <w:rsid w:val="17247BCF"/>
    <w:rsid w:val="175F22DC"/>
    <w:rsid w:val="177F7DC5"/>
    <w:rsid w:val="17EF517D"/>
    <w:rsid w:val="180475F9"/>
    <w:rsid w:val="18565892"/>
    <w:rsid w:val="187327BD"/>
    <w:rsid w:val="189D537A"/>
    <w:rsid w:val="191F46F3"/>
    <w:rsid w:val="19241D0A"/>
    <w:rsid w:val="19291407"/>
    <w:rsid w:val="1929489D"/>
    <w:rsid w:val="19436634"/>
    <w:rsid w:val="19A33916"/>
    <w:rsid w:val="19E36822"/>
    <w:rsid w:val="19FF5865"/>
    <w:rsid w:val="1A1B3D93"/>
    <w:rsid w:val="1A420D87"/>
    <w:rsid w:val="1A6F3854"/>
    <w:rsid w:val="1A8567D8"/>
    <w:rsid w:val="1AB23A71"/>
    <w:rsid w:val="1B00078C"/>
    <w:rsid w:val="1B1F4E7E"/>
    <w:rsid w:val="1B612DA1"/>
    <w:rsid w:val="1B6A2AA1"/>
    <w:rsid w:val="1B851185"/>
    <w:rsid w:val="1B94523D"/>
    <w:rsid w:val="1BBB060D"/>
    <w:rsid w:val="1C1632AF"/>
    <w:rsid w:val="1C784846"/>
    <w:rsid w:val="1C7C30FD"/>
    <w:rsid w:val="1C80413E"/>
    <w:rsid w:val="1C9D7FFD"/>
    <w:rsid w:val="1CC8165E"/>
    <w:rsid w:val="1D257DE8"/>
    <w:rsid w:val="1D2859E8"/>
    <w:rsid w:val="1D497F91"/>
    <w:rsid w:val="1D541830"/>
    <w:rsid w:val="1D6222E7"/>
    <w:rsid w:val="1D916D0B"/>
    <w:rsid w:val="1D974E91"/>
    <w:rsid w:val="1DA14BC8"/>
    <w:rsid w:val="1DE83745"/>
    <w:rsid w:val="1E05035C"/>
    <w:rsid w:val="1E3B5065"/>
    <w:rsid w:val="1E5B441F"/>
    <w:rsid w:val="1E61373D"/>
    <w:rsid w:val="1E6B4261"/>
    <w:rsid w:val="1E9E3037"/>
    <w:rsid w:val="1EBF49AE"/>
    <w:rsid w:val="1EF108E0"/>
    <w:rsid w:val="1EF70436"/>
    <w:rsid w:val="1EFD3AF0"/>
    <w:rsid w:val="1F827B58"/>
    <w:rsid w:val="1F98501D"/>
    <w:rsid w:val="1F9A0F77"/>
    <w:rsid w:val="1FA20FAE"/>
    <w:rsid w:val="20011B8B"/>
    <w:rsid w:val="20344F28"/>
    <w:rsid w:val="205E024D"/>
    <w:rsid w:val="20AC0BBD"/>
    <w:rsid w:val="20FE387C"/>
    <w:rsid w:val="21583FAD"/>
    <w:rsid w:val="216711AC"/>
    <w:rsid w:val="217A01D4"/>
    <w:rsid w:val="21CF4F08"/>
    <w:rsid w:val="2224784D"/>
    <w:rsid w:val="223C35D1"/>
    <w:rsid w:val="224A5B4C"/>
    <w:rsid w:val="224D3964"/>
    <w:rsid w:val="227F435A"/>
    <w:rsid w:val="22B442C7"/>
    <w:rsid w:val="22BA468E"/>
    <w:rsid w:val="22F12886"/>
    <w:rsid w:val="22FB68AD"/>
    <w:rsid w:val="231921B3"/>
    <w:rsid w:val="231E77CA"/>
    <w:rsid w:val="24092228"/>
    <w:rsid w:val="24A26904"/>
    <w:rsid w:val="25147E11"/>
    <w:rsid w:val="25660F6D"/>
    <w:rsid w:val="2594658A"/>
    <w:rsid w:val="26034B6D"/>
    <w:rsid w:val="260809E9"/>
    <w:rsid w:val="262A0B85"/>
    <w:rsid w:val="263E0836"/>
    <w:rsid w:val="266E3FAA"/>
    <w:rsid w:val="26914E82"/>
    <w:rsid w:val="270C366A"/>
    <w:rsid w:val="271124EF"/>
    <w:rsid w:val="271909D4"/>
    <w:rsid w:val="27206206"/>
    <w:rsid w:val="2737124A"/>
    <w:rsid w:val="2786566E"/>
    <w:rsid w:val="279D6A4B"/>
    <w:rsid w:val="27AD7318"/>
    <w:rsid w:val="27D96930"/>
    <w:rsid w:val="2852435D"/>
    <w:rsid w:val="28702875"/>
    <w:rsid w:val="287451FA"/>
    <w:rsid w:val="295C1530"/>
    <w:rsid w:val="296E1D86"/>
    <w:rsid w:val="29CD63FC"/>
    <w:rsid w:val="29FA72FE"/>
    <w:rsid w:val="2A2E5310"/>
    <w:rsid w:val="2A3F1017"/>
    <w:rsid w:val="2A52703F"/>
    <w:rsid w:val="2ACF595D"/>
    <w:rsid w:val="2AE87A45"/>
    <w:rsid w:val="2AE93FB4"/>
    <w:rsid w:val="2AEC0F3A"/>
    <w:rsid w:val="2B1E7055"/>
    <w:rsid w:val="2B7E051F"/>
    <w:rsid w:val="2BA271EA"/>
    <w:rsid w:val="2BD63337"/>
    <w:rsid w:val="2C06259D"/>
    <w:rsid w:val="2C333D33"/>
    <w:rsid w:val="2C480E40"/>
    <w:rsid w:val="2C5E5C7B"/>
    <w:rsid w:val="2C9E2B6B"/>
    <w:rsid w:val="2CA05C37"/>
    <w:rsid w:val="2CB41C1C"/>
    <w:rsid w:val="2CD828CB"/>
    <w:rsid w:val="2D0143E4"/>
    <w:rsid w:val="2D1E6D44"/>
    <w:rsid w:val="2D1F330A"/>
    <w:rsid w:val="2D263E4A"/>
    <w:rsid w:val="2D2A362A"/>
    <w:rsid w:val="2D353649"/>
    <w:rsid w:val="2D36101B"/>
    <w:rsid w:val="2D716CA8"/>
    <w:rsid w:val="2D7F052B"/>
    <w:rsid w:val="2DC3422E"/>
    <w:rsid w:val="2DD218DC"/>
    <w:rsid w:val="2DDD0ECC"/>
    <w:rsid w:val="2DF85443"/>
    <w:rsid w:val="2E0E2659"/>
    <w:rsid w:val="2E100294"/>
    <w:rsid w:val="2E19753A"/>
    <w:rsid w:val="2E5A6ECA"/>
    <w:rsid w:val="2E722435"/>
    <w:rsid w:val="2E7F79A8"/>
    <w:rsid w:val="2EA469EA"/>
    <w:rsid w:val="2EBC4C8D"/>
    <w:rsid w:val="2EC06D5A"/>
    <w:rsid w:val="2EE23DA1"/>
    <w:rsid w:val="2EE978BD"/>
    <w:rsid w:val="2F02474B"/>
    <w:rsid w:val="2F4D1B62"/>
    <w:rsid w:val="30014F7B"/>
    <w:rsid w:val="30077F63"/>
    <w:rsid w:val="30226B4B"/>
    <w:rsid w:val="304E1B36"/>
    <w:rsid w:val="307849BD"/>
    <w:rsid w:val="30EE2484"/>
    <w:rsid w:val="312866CF"/>
    <w:rsid w:val="312C7E96"/>
    <w:rsid w:val="314C343E"/>
    <w:rsid w:val="315F689E"/>
    <w:rsid w:val="31D04385"/>
    <w:rsid w:val="31E657AC"/>
    <w:rsid w:val="31F46875"/>
    <w:rsid w:val="321D310C"/>
    <w:rsid w:val="324C6101"/>
    <w:rsid w:val="324C7EAF"/>
    <w:rsid w:val="32754B0F"/>
    <w:rsid w:val="32990C1B"/>
    <w:rsid w:val="32A934AD"/>
    <w:rsid w:val="32C95D45"/>
    <w:rsid w:val="333657D8"/>
    <w:rsid w:val="33E40333"/>
    <w:rsid w:val="340028C2"/>
    <w:rsid w:val="345F01A4"/>
    <w:rsid w:val="345F38B1"/>
    <w:rsid w:val="348735F3"/>
    <w:rsid w:val="34C53F49"/>
    <w:rsid w:val="34DF61CD"/>
    <w:rsid w:val="354C14E3"/>
    <w:rsid w:val="35A522BA"/>
    <w:rsid w:val="35BB5A78"/>
    <w:rsid w:val="35C26A12"/>
    <w:rsid w:val="360016DD"/>
    <w:rsid w:val="360410EC"/>
    <w:rsid w:val="362058DB"/>
    <w:rsid w:val="36252EF1"/>
    <w:rsid w:val="36275EA7"/>
    <w:rsid w:val="362A2D48"/>
    <w:rsid w:val="366E2B3B"/>
    <w:rsid w:val="367C1CF9"/>
    <w:rsid w:val="36820193"/>
    <w:rsid w:val="375970CC"/>
    <w:rsid w:val="375C1259"/>
    <w:rsid w:val="375D66BB"/>
    <w:rsid w:val="37680BAE"/>
    <w:rsid w:val="37892452"/>
    <w:rsid w:val="3790206F"/>
    <w:rsid w:val="37902B02"/>
    <w:rsid w:val="37906A90"/>
    <w:rsid w:val="379506F8"/>
    <w:rsid w:val="37A75B88"/>
    <w:rsid w:val="3801554A"/>
    <w:rsid w:val="380F5D14"/>
    <w:rsid w:val="38305A13"/>
    <w:rsid w:val="38A74091"/>
    <w:rsid w:val="390B1389"/>
    <w:rsid w:val="391F21FB"/>
    <w:rsid w:val="3954558D"/>
    <w:rsid w:val="398546DC"/>
    <w:rsid w:val="39873EC3"/>
    <w:rsid w:val="399C17A9"/>
    <w:rsid w:val="39C66799"/>
    <w:rsid w:val="3A4018D3"/>
    <w:rsid w:val="3A4715E7"/>
    <w:rsid w:val="3A695373"/>
    <w:rsid w:val="3A6D0AD6"/>
    <w:rsid w:val="3AB6213A"/>
    <w:rsid w:val="3B0D21A6"/>
    <w:rsid w:val="3B3B4F57"/>
    <w:rsid w:val="3B487E4F"/>
    <w:rsid w:val="3B914B85"/>
    <w:rsid w:val="3C0B52F7"/>
    <w:rsid w:val="3C0C3679"/>
    <w:rsid w:val="3C4D400B"/>
    <w:rsid w:val="3C5E53AF"/>
    <w:rsid w:val="3C6526A9"/>
    <w:rsid w:val="3C6A302C"/>
    <w:rsid w:val="3CC15E65"/>
    <w:rsid w:val="3CC928FC"/>
    <w:rsid w:val="3CD34399"/>
    <w:rsid w:val="3D384F86"/>
    <w:rsid w:val="3D8C7CFA"/>
    <w:rsid w:val="3DA1343C"/>
    <w:rsid w:val="3DC85D27"/>
    <w:rsid w:val="3DD81C5A"/>
    <w:rsid w:val="3DEE4511"/>
    <w:rsid w:val="3E3B0B17"/>
    <w:rsid w:val="3E5720B6"/>
    <w:rsid w:val="3E667AC4"/>
    <w:rsid w:val="3E71537A"/>
    <w:rsid w:val="3E8565B7"/>
    <w:rsid w:val="3EAD617A"/>
    <w:rsid w:val="3ED22504"/>
    <w:rsid w:val="3ED6747E"/>
    <w:rsid w:val="3EF24E9F"/>
    <w:rsid w:val="3F0F0BE2"/>
    <w:rsid w:val="3F237357"/>
    <w:rsid w:val="3F4B51D3"/>
    <w:rsid w:val="3F56776C"/>
    <w:rsid w:val="3F5D194E"/>
    <w:rsid w:val="3F921308"/>
    <w:rsid w:val="3FC56198"/>
    <w:rsid w:val="3FE16167"/>
    <w:rsid w:val="402F329D"/>
    <w:rsid w:val="404B5C4A"/>
    <w:rsid w:val="406A3E04"/>
    <w:rsid w:val="40794297"/>
    <w:rsid w:val="407A17E8"/>
    <w:rsid w:val="40D0780B"/>
    <w:rsid w:val="41210759"/>
    <w:rsid w:val="414C4BDE"/>
    <w:rsid w:val="41AA4BF2"/>
    <w:rsid w:val="41BC1514"/>
    <w:rsid w:val="41BD4926"/>
    <w:rsid w:val="41DF3C61"/>
    <w:rsid w:val="41E33C60"/>
    <w:rsid w:val="42295B17"/>
    <w:rsid w:val="422D77E5"/>
    <w:rsid w:val="424974CE"/>
    <w:rsid w:val="426445DB"/>
    <w:rsid w:val="427B5797"/>
    <w:rsid w:val="428C1735"/>
    <w:rsid w:val="42B50F15"/>
    <w:rsid w:val="42C17FC9"/>
    <w:rsid w:val="42DA6267"/>
    <w:rsid w:val="42E91BC2"/>
    <w:rsid w:val="43091BE7"/>
    <w:rsid w:val="43660047"/>
    <w:rsid w:val="436B215F"/>
    <w:rsid w:val="440920A4"/>
    <w:rsid w:val="441B5933"/>
    <w:rsid w:val="444924A1"/>
    <w:rsid w:val="44A02D25"/>
    <w:rsid w:val="45247F91"/>
    <w:rsid w:val="45527129"/>
    <w:rsid w:val="455530C7"/>
    <w:rsid w:val="455530DC"/>
    <w:rsid w:val="456F392F"/>
    <w:rsid w:val="45703A5D"/>
    <w:rsid w:val="45846B79"/>
    <w:rsid w:val="462D1334"/>
    <w:rsid w:val="464245FC"/>
    <w:rsid w:val="464258AB"/>
    <w:rsid w:val="466C68EE"/>
    <w:rsid w:val="46805F22"/>
    <w:rsid w:val="46843C64"/>
    <w:rsid w:val="468E3956"/>
    <w:rsid w:val="46AA2E87"/>
    <w:rsid w:val="471E24AC"/>
    <w:rsid w:val="472A4F76"/>
    <w:rsid w:val="47486A40"/>
    <w:rsid w:val="474927B8"/>
    <w:rsid w:val="47734E7C"/>
    <w:rsid w:val="47AD5C97"/>
    <w:rsid w:val="47C243C7"/>
    <w:rsid w:val="47CA56B8"/>
    <w:rsid w:val="47CD5E52"/>
    <w:rsid w:val="47F05E2A"/>
    <w:rsid w:val="47F40975"/>
    <w:rsid w:val="47FB61A8"/>
    <w:rsid w:val="48307449"/>
    <w:rsid w:val="485352D6"/>
    <w:rsid w:val="487C74FC"/>
    <w:rsid w:val="48940292"/>
    <w:rsid w:val="48A739A4"/>
    <w:rsid w:val="48B37647"/>
    <w:rsid w:val="48DF5182"/>
    <w:rsid w:val="4901434E"/>
    <w:rsid w:val="4901565F"/>
    <w:rsid w:val="491C0184"/>
    <w:rsid w:val="49904D89"/>
    <w:rsid w:val="49B14A31"/>
    <w:rsid w:val="49D468A9"/>
    <w:rsid w:val="49FE3D2D"/>
    <w:rsid w:val="4A003601"/>
    <w:rsid w:val="4A8065B2"/>
    <w:rsid w:val="4A844587"/>
    <w:rsid w:val="4A894C29"/>
    <w:rsid w:val="4ADB52ED"/>
    <w:rsid w:val="4AE01685"/>
    <w:rsid w:val="4B096959"/>
    <w:rsid w:val="4B147235"/>
    <w:rsid w:val="4B5F2444"/>
    <w:rsid w:val="4BA21D49"/>
    <w:rsid w:val="4BCE3E9C"/>
    <w:rsid w:val="4BF85836"/>
    <w:rsid w:val="4C33502F"/>
    <w:rsid w:val="4C3C1F70"/>
    <w:rsid w:val="4CAF130F"/>
    <w:rsid w:val="4CB70A84"/>
    <w:rsid w:val="4CB9227D"/>
    <w:rsid w:val="4CC14CD0"/>
    <w:rsid w:val="4D111FCA"/>
    <w:rsid w:val="4D8702C0"/>
    <w:rsid w:val="4E054D90"/>
    <w:rsid w:val="4E2A42F4"/>
    <w:rsid w:val="4E2B506C"/>
    <w:rsid w:val="4E756BF1"/>
    <w:rsid w:val="4EF57594"/>
    <w:rsid w:val="4F052D0F"/>
    <w:rsid w:val="4F524066"/>
    <w:rsid w:val="4F5F01E1"/>
    <w:rsid w:val="4F734876"/>
    <w:rsid w:val="4F822CA9"/>
    <w:rsid w:val="4F824AB9"/>
    <w:rsid w:val="4F8E5B53"/>
    <w:rsid w:val="4F9B5B7A"/>
    <w:rsid w:val="4F9F1B0F"/>
    <w:rsid w:val="4FB05817"/>
    <w:rsid w:val="4FB44D36"/>
    <w:rsid w:val="501068BD"/>
    <w:rsid w:val="50337B46"/>
    <w:rsid w:val="50575F24"/>
    <w:rsid w:val="50712142"/>
    <w:rsid w:val="508E7B52"/>
    <w:rsid w:val="50B125BE"/>
    <w:rsid w:val="5147337A"/>
    <w:rsid w:val="51984A67"/>
    <w:rsid w:val="51E23F34"/>
    <w:rsid w:val="51F35176"/>
    <w:rsid w:val="52262073"/>
    <w:rsid w:val="52892530"/>
    <w:rsid w:val="528943B0"/>
    <w:rsid w:val="52911BE2"/>
    <w:rsid w:val="52BE4CDE"/>
    <w:rsid w:val="52EA20C4"/>
    <w:rsid w:val="53034A0C"/>
    <w:rsid w:val="531B14AC"/>
    <w:rsid w:val="53364077"/>
    <w:rsid w:val="536106FF"/>
    <w:rsid w:val="53D521ED"/>
    <w:rsid w:val="542763C6"/>
    <w:rsid w:val="54493DF7"/>
    <w:rsid w:val="549F610D"/>
    <w:rsid w:val="54A20F52"/>
    <w:rsid w:val="54CB7C50"/>
    <w:rsid w:val="552F423B"/>
    <w:rsid w:val="55434CEA"/>
    <w:rsid w:val="55473C9C"/>
    <w:rsid w:val="556804A3"/>
    <w:rsid w:val="55791BB1"/>
    <w:rsid w:val="55B01286"/>
    <w:rsid w:val="55EA600E"/>
    <w:rsid w:val="569B26FA"/>
    <w:rsid w:val="56A874FB"/>
    <w:rsid w:val="56E15F9D"/>
    <w:rsid w:val="56F40992"/>
    <w:rsid w:val="573A6145"/>
    <w:rsid w:val="57AA0684"/>
    <w:rsid w:val="57CF03CB"/>
    <w:rsid w:val="57FF111B"/>
    <w:rsid w:val="58395CD8"/>
    <w:rsid w:val="58445001"/>
    <w:rsid w:val="587D17B0"/>
    <w:rsid w:val="589F2191"/>
    <w:rsid w:val="58CF02BE"/>
    <w:rsid w:val="58D07C3F"/>
    <w:rsid w:val="5924482E"/>
    <w:rsid w:val="59294B69"/>
    <w:rsid w:val="592E6AC8"/>
    <w:rsid w:val="5984613E"/>
    <w:rsid w:val="59B12B6A"/>
    <w:rsid w:val="59E85E60"/>
    <w:rsid w:val="59F803CF"/>
    <w:rsid w:val="5A4C154E"/>
    <w:rsid w:val="5A4D3270"/>
    <w:rsid w:val="5B152C85"/>
    <w:rsid w:val="5B2A709E"/>
    <w:rsid w:val="5B580745"/>
    <w:rsid w:val="5B5E63DA"/>
    <w:rsid w:val="5B900A1A"/>
    <w:rsid w:val="5B92368E"/>
    <w:rsid w:val="5BA1576A"/>
    <w:rsid w:val="5BCA48B4"/>
    <w:rsid w:val="5C645C72"/>
    <w:rsid w:val="5C806824"/>
    <w:rsid w:val="5C8A16E1"/>
    <w:rsid w:val="5CC52608"/>
    <w:rsid w:val="5CCC478E"/>
    <w:rsid w:val="5CE36B93"/>
    <w:rsid w:val="5CE70651"/>
    <w:rsid w:val="5CEA7293"/>
    <w:rsid w:val="5CFC234E"/>
    <w:rsid w:val="5D132CC7"/>
    <w:rsid w:val="5D1E5F54"/>
    <w:rsid w:val="5D753EAF"/>
    <w:rsid w:val="5D852344"/>
    <w:rsid w:val="5D865304"/>
    <w:rsid w:val="5D976C48"/>
    <w:rsid w:val="5DC84035"/>
    <w:rsid w:val="5E587A58"/>
    <w:rsid w:val="5E6B0C81"/>
    <w:rsid w:val="5EB20EC7"/>
    <w:rsid w:val="5ECD4A53"/>
    <w:rsid w:val="5EE95696"/>
    <w:rsid w:val="5EEE5CC7"/>
    <w:rsid w:val="5F0B6879"/>
    <w:rsid w:val="5F27742B"/>
    <w:rsid w:val="5F385194"/>
    <w:rsid w:val="5F592E3F"/>
    <w:rsid w:val="5F6D598C"/>
    <w:rsid w:val="5F743723"/>
    <w:rsid w:val="5FB07420"/>
    <w:rsid w:val="5FE02930"/>
    <w:rsid w:val="6041193C"/>
    <w:rsid w:val="604D318A"/>
    <w:rsid w:val="6054725D"/>
    <w:rsid w:val="60857039"/>
    <w:rsid w:val="60EC610F"/>
    <w:rsid w:val="60FB291D"/>
    <w:rsid w:val="61210B4D"/>
    <w:rsid w:val="613461FD"/>
    <w:rsid w:val="615362B5"/>
    <w:rsid w:val="616703E1"/>
    <w:rsid w:val="617D1584"/>
    <w:rsid w:val="62066FBB"/>
    <w:rsid w:val="6220263B"/>
    <w:rsid w:val="622B5265"/>
    <w:rsid w:val="622B5437"/>
    <w:rsid w:val="6237232D"/>
    <w:rsid w:val="625E7607"/>
    <w:rsid w:val="627C4DA9"/>
    <w:rsid w:val="628232F6"/>
    <w:rsid w:val="62906902"/>
    <w:rsid w:val="62A42475"/>
    <w:rsid w:val="62DF24F6"/>
    <w:rsid w:val="62E80C7F"/>
    <w:rsid w:val="62EC34C6"/>
    <w:rsid w:val="62F15D85"/>
    <w:rsid w:val="62F7188B"/>
    <w:rsid w:val="634E41F4"/>
    <w:rsid w:val="635307EE"/>
    <w:rsid w:val="638C28C9"/>
    <w:rsid w:val="63966573"/>
    <w:rsid w:val="63C16DBD"/>
    <w:rsid w:val="63C27722"/>
    <w:rsid w:val="63C77D1D"/>
    <w:rsid w:val="63FF7497"/>
    <w:rsid w:val="64357EF4"/>
    <w:rsid w:val="6444590E"/>
    <w:rsid w:val="646E3536"/>
    <w:rsid w:val="648139E8"/>
    <w:rsid w:val="649C0802"/>
    <w:rsid w:val="64A62BA0"/>
    <w:rsid w:val="64AA2690"/>
    <w:rsid w:val="64B91102"/>
    <w:rsid w:val="65241D87"/>
    <w:rsid w:val="652D34AB"/>
    <w:rsid w:val="656C3DE9"/>
    <w:rsid w:val="65796481"/>
    <w:rsid w:val="65AB66C0"/>
    <w:rsid w:val="65BD7694"/>
    <w:rsid w:val="65C710BC"/>
    <w:rsid w:val="662D5327"/>
    <w:rsid w:val="66613732"/>
    <w:rsid w:val="668D0844"/>
    <w:rsid w:val="66A62A27"/>
    <w:rsid w:val="66C20165"/>
    <w:rsid w:val="66C51A03"/>
    <w:rsid w:val="66C8359D"/>
    <w:rsid w:val="66F916AD"/>
    <w:rsid w:val="66F9736F"/>
    <w:rsid w:val="67252EFA"/>
    <w:rsid w:val="677D6AFE"/>
    <w:rsid w:val="679B2764"/>
    <w:rsid w:val="680A3A06"/>
    <w:rsid w:val="685E2B02"/>
    <w:rsid w:val="6860290F"/>
    <w:rsid w:val="688B7082"/>
    <w:rsid w:val="68922D05"/>
    <w:rsid w:val="68A8008D"/>
    <w:rsid w:val="68EA7FB5"/>
    <w:rsid w:val="692036F0"/>
    <w:rsid w:val="6942262D"/>
    <w:rsid w:val="695233AA"/>
    <w:rsid w:val="695856CC"/>
    <w:rsid w:val="6985434F"/>
    <w:rsid w:val="69A20CC4"/>
    <w:rsid w:val="69A24880"/>
    <w:rsid w:val="69B63885"/>
    <w:rsid w:val="6A1B67AB"/>
    <w:rsid w:val="6A203528"/>
    <w:rsid w:val="6A786D8C"/>
    <w:rsid w:val="6A8219B9"/>
    <w:rsid w:val="6AB24ABD"/>
    <w:rsid w:val="6B074370"/>
    <w:rsid w:val="6B0D0B90"/>
    <w:rsid w:val="6B141536"/>
    <w:rsid w:val="6B1E3543"/>
    <w:rsid w:val="6B6E0C10"/>
    <w:rsid w:val="6B971F95"/>
    <w:rsid w:val="6BB95693"/>
    <w:rsid w:val="6BBA7E6F"/>
    <w:rsid w:val="6BD050D2"/>
    <w:rsid w:val="6BEC236D"/>
    <w:rsid w:val="6BF15EB8"/>
    <w:rsid w:val="6C2744B0"/>
    <w:rsid w:val="6C3118E9"/>
    <w:rsid w:val="6C376EFF"/>
    <w:rsid w:val="6C576A20"/>
    <w:rsid w:val="6C634DD7"/>
    <w:rsid w:val="6D577853"/>
    <w:rsid w:val="6D7F4EBE"/>
    <w:rsid w:val="6DC55223"/>
    <w:rsid w:val="6E0866A1"/>
    <w:rsid w:val="6E1B015A"/>
    <w:rsid w:val="6E6B6076"/>
    <w:rsid w:val="6E6B77D4"/>
    <w:rsid w:val="6E865BD5"/>
    <w:rsid w:val="6E896105"/>
    <w:rsid w:val="6EEC1EAB"/>
    <w:rsid w:val="6F1057E5"/>
    <w:rsid w:val="6F1572A0"/>
    <w:rsid w:val="6F4B0F13"/>
    <w:rsid w:val="6F60676D"/>
    <w:rsid w:val="6F912DCA"/>
    <w:rsid w:val="6F941F9B"/>
    <w:rsid w:val="6F9E2A6C"/>
    <w:rsid w:val="6FB6638D"/>
    <w:rsid w:val="6FEC0000"/>
    <w:rsid w:val="70020651"/>
    <w:rsid w:val="70155BE3"/>
    <w:rsid w:val="70372CED"/>
    <w:rsid w:val="704A5239"/>
    <w:rsid w:val="705636CC"/>
    <w:rsid w:val="70583DB3"/>
    <w:rsid w:val="70AB6137"/>
    <w:rsid w:val="70C22D41"/>
    <w:rsid w:val="70FC518E"/>
    <w:rsid w:val="71091FE1"/>
    <w:rsid w:val="711C28D5"/>
    <w:rsid w:val="7161057A"/>
    <w:rsid w:val="71D84CE0"/>
    <w:rsid w:val="71ED53AC"/>
    <w:rsid w:val="71F72C8D"/>
    <w:rsid w:val="723323C6"/>
    <w:rsid w:val="723E22A6"/>
    <w:rsid w:val="724600ED"/>
    <w:rsid w:val="725D59CE"/>
    <w:rsid w:val="726271B5"/>
    <w:rsid w:val="727D59BF"/>
    <w:rsid w:val="7286034B"/>
    <w:rsid w:val="729A1F96"/>
    <w:rsid w:val="72A20E4A"/>
    <w:rsid w:val="73005B27"/>
    <w:rsid w:val="7340179A"/>
    <w:rsid w:val="73410663"/>
    <w:rsid w:val="734C05E7"/>
    <w:rsid w:val="738467A2"/>
    <w:rsid w:val="7399723F"/>
    <w:rsid w:val="739F03C2"/>
    <w:rsid w:val="73C3376E"/>
    <w:rsid w:val="73C36FFB"/>
    <w:rsid w:val="7443040B"/>
    <w:rsid w:val="74C54B52"/>
    <w:rsid w:val="74DC194B"/>
    <w:rsid w:val="750202C6"/>
    <w:rsid w:val="754B19B8"/>
    <w:rsid w:val="757462FA"/>
    <w:rsid w:val="75996AD0"/>
    <w:rsid w:val="75BC70BC"/>
    <w:rsid w:val="75CC57CB"/>
    <w:rsid w:val="75CD61DE"/>
    <w:rsid w:val="75D21A46"/>
    <w:rsid w:val="75E1569E"/>
    <w:rsid w:val="75EF69E2"/>
    <w:rsid w:val="76520467"/>
    <w:rsid w:val="765E16AF"/>
    <w:rsid w:val="76634D94"/>
    <w:rsid w:val="76636B42"/>
    <w:rsid w:val="768F5F97"/>
    <w:rsid w:val="76935D4D"/>
    <w:rsid w:val="76B1471D"/>
    <w:rsid w:val="76C779A9"/>
    <w:rsid w:val="76CA2BA4"/>
    <w:rsid w:val="76CB2948"/>
    <w:rsid w:val="76D11CFE"/>
    <w:rsid w:val="77062450"/>
    <w:rsid w:val="772F154E"/>
    <w:rsid w:val="77405332"/>
    <w:rsid w:val="775C62D5"/>
    <w:rsid w:val="77A61A97"/>
    <w:rsid w:val="77AB798B"/>
    <w:rsid w:val="77C65E25"/>
    <w:rsid w:val="77F40D52"/>
    <w:rsid w:val="785E5FEA"/>
    <w:rsid w:val="78601311"/>
    <w:rsid w:val="788E4FAF"/>
    <w:rsid w:val="78B254D4"/>
    <w:rsid w:val="78F30652"/>
    <w:rsid w:val="792D0DC2"/>
    <w:rsid w:val="79630A35"/>
    <w:rsid w:val="796C59D2"/>
    <w:rsid w:val="79BB14C4"/>
    <w:rsid w:val="79D27DA0"/>
    <w:rsid w:val="7A21551A"/>
    <w:rsid w:val="7A220AAA"/>
    <w:rsid w:val="7A2A4A22"/>
    <w:rsid w:val="7A4E365A"/>
    <w:rsid w:val="7A7B13EC"/>
    <w:rsid w:val="7A8D0910"/>
    <w:rsid w:val="7A991DC1"/>
    <w:rsid w:val="7AB23AE6"/>
    <w:rsid w:val="7AC20D44"/>
    <w:rsid w:val="7AD26045"/>
    <w:rsid w:val="7AEA5A84"/>
    <w:rsid w:val="7B1C3B93"/>
    <w:rsid w:val="7B3F192C"/>
    <w:rsid w:val="7BCB5EE9"/>
    <w:rsid w:val="7BD171F7"/>
    <w:rsid w:val="7BD93860"/>
    <w:rsid w:val="7C016BE2"/>
    <w:rsid w:val="7C021813"/>
    <w:rsid w:val="7C2F570D"/>
    <w:rsid w:val="7C547F27"/>
    <w:rsid w:val="7C5E5DE2"/>
    <w:rsid w:val="7C67773B"/>
    <w:rsid w:val="7C6B3294"/>
    <w:rsid w:val="7CA54FA5"/>
    <w:rsid w:val="7CBC6FAC"/>
    <w:rsid w:val="7CCD740C"/>
    <w:rsid w:val="7CFC4CF4"/>
    <w:rsid w:val="7D263D47"/>
    <w:rsid w:val="7DC10846"/>
    <w:rsid w:val="7DC75005"/>
    <w:rsid w:val="7E355268"/>
    <w:rsid w:val="7E7F40C9"/>
    <w:rsid w:val="7E851D4C"/>
    <w:rsid w:val="7E857848"/>
    <w:rsid w:val="7F080206"/>
    <w:rsid w:val="7F5E4F6B"/>
    <w:rsid w:val="7F5E5349"/>
    <w:rsid w:val="7F6F6558"/>
    <w:rsid w:val="7FF340A0"/>
    <w:rsid w:val="7FFC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6" w:lineRule="auto"/>
      <w:textAlignment w:val="center"/>
      <w:outlineLvl w:val="0"/>
    </w:pPr>
    <w:rPr>
      <w:bCs/>
      <w:kern w:val="44"/>
      <w:sz w:val="44"/>
      <w:szCs w:val="44"/>
    </w:rPr>
  </w:style>
  <w:style w:type="paragraph" w:styleId="3">
    <w:name w:val="heading 2"/>
    <w:basedOn w:val="1"/>
    <w:next w:val="1"/>
    <w:link w:val="50"/>
    <w:qFormat/>
    <w:uiPriority w:val="9"/>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1"/>
    <w:qFormat/>
    <w:uiPriority w:val="0"/>
    <w:pPr>
      <w:keepNext/>
      <w:keepLines/>
      <w:spacing w:before="260" w:after="260" w:line="413" w:lineRule="auto"/>
      <w:outlineLvl w:val="2"/>
    </w:pPr>
    <w:rPr>
      <w:b/>
      <w:bCs/>
      <w:szCs w:val="32"/>
    </w:rPr>
  </w:style>
  <w:style w:type="paragraph" w:styleId="5">
    <w:name w:val="heading 4"/>
    <w:basedOn w:val="1"/>
    <w:next w:val="1"/>
    <w:link w:val="52"/>
    <w:qFormat/>
    <w:uiPriority w:val="0"/>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53"/>
    <w:qFormat/>
    <w:uiPriority w:val="9"/>
    <w:pPr>
      <w:keepNext/>
      <w:keepLines/>
      <w:spacing w:before="280" w:after="290" w:line="376" w:lineRule="auto"/>
      <w:outlineLvl w:val="4"/>
    </w:pPr>
    <w:rPr>
      <w:b/>
      <w:bCs/>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szCs w:val="20"/>
    </w:r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toa heading"/>
    <w:basedOn w:val="1"/>
    <w:next w:val="1"/>
    <w:qFormat/>
    <w:uiPriority w:val="0"/>
    <w:pPr>
      <w:spacing w:before="120"/>
    </w:pPr>
    <w:rPr>
      <w:rFonts w:ascii="Arial"/>
      <w:kern w:val="0"/>
      <w:sz w:val="24"/>
      <w:szCs w:val="20"/>
    </w:rPr>
  </w:style>
  <w:style w:type="paragraph" w:styleId="11">
    <w:name w:val="annotation text"/>
    <w:basedOn w:val="1"/>
    <w:link w:val="54"/>
    <w:semiHidden/>
    <w:qFormat/>
    <w:uiPriority w:val="0"/>
    <w:pPr>
      <w:jc w:val="left"/>
    </w:pPr>
  </w:style>
  <w:style w:type="paragraph" w:styleId="12">
    <w:name w:val="Body Text 3"/>
    <w:basedOn w:val="1"/>
    <w:link w:val="55"/>
    <w:qFormat/>
    <w:uiPriority w:val="0"/>
    <w:pPr>
      <w:spacing w:after="120"/>
    </w:pPr>
    <w:rPr>
      <w:sz w:val="16"/>
      <w:szCs w:val="16"/>
    </w:rPr>
  </w:style>
  <w:style w:type="paragraph" w:styleId="13">
    <w:name w:val="Body Text"/>
    <w:basedOn w:val="1"/>
    <w:link w:val="45"/>
    <w:unhideWhenUsed/>
    <w:qFormat/>
    <w:uiPriority w:val="0"/>
    <w:pPr>
      <w:spacing w:after="120"/>
    </w:pPr>
  </w:style>
  <w:style w:type="paragraph" w:styleId="14">
    <w:name w:val="Body Text Indent"/>
    <w:basedOn w:val="1"/>
    <w:next w:val="1"/>
    <w:link w:val="46"/>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Plain Text"/>
    <w:basedOn w:val="1"/>
    <w:link w:val="44"/>
    <w:qFormat/>
    <w:uiPriority w:val="0"/>
    <w:pPr>
      <w:spacing w:beforeLines="50" w:afterLines="50" w:line="400" w:lineRule="exact"/>
    </w:pPr>
    <w:rPr>
      <w:rFonts w:ascii="宋体" w:hAnsi="Courier New"/>
      <w:sz w:val="24"/>
    </w:rPr>
  </w:style>
  <w:style w:type="paragraph" w:styleId="17">
    <w:name w:val="Date"/>
    <w:basedOn w:val="1"/>
    <w:next w:val="1"/>
    <w:link w:val="56"/>
    <w:qFormat/>
    <w:uiPriority w:val="0"/>
    <w:pPr>
      <w:ind w:left="2500" w:leftChars="2500"/>
    </w:pPr>
    <w:rPr>
      <w:rFonts w:eastAsia="楷体_GB2312"/>
      <w:sz w:val="32"/>
      <w:szCs w:val="20"/>
    </w:rPr>
  </w:style>
  <w:style w:type="paragraph" w:styleId="18">
    <w:name w:val="Body Text Indent 2"/>
    <w:basedOn w:val="1"/>
    <w:link w:val="57"/>
    <w:qFormat/>
    <w:uiPriority w:val="0"/>
    <w:pPr>
      <w:snapToGrid w:val="0"/>
      <w:ind w:firstLine="542" w:firstLineChars="225"/>
    </w:pPr>
    <w:rPr>
      <w:rFonts w:ascii="仿宋_GB2312" w:hAnsi="宋体" w:cs="Arial"/>
      <w:b/>
      <w:bCs/>
      <w:color w:val="000000"/>
      <w:sz w:val="24"/>
    </w:rPr>
  </w:style>
  <w:style w:type="paragraph" w:styleId="19">
    <w:name w:val="Balloon Text"/>
    <w:basedOn w:val="1"/>
    <w:link w:val="58"/>
    <w:qFormat/>
    <w:uiPriority w:val="0"/>
    <w:rPr>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envelope return"/>
    <w:basedOn w:val="1"/>
    <w:semiHidden/>
    <w:unhideWhenUsed/>
    <w:qFormat/>
    <w:uiPriority w:val="99"/>
    <w:pPr>
      <w:snapToGrid w:val="0"/>
    </w:pPr>
    <w:rPr>
      <w:rFonts w:asciiTheme="majorHAnsi" w:hAnsiTheme="majorHAnsi" w:eastAsiaTheme="majorEastAsia" w:cstheme="majorBidi"/>
    </w:rPr>
  </w:style>
  <w:style w:type="paragraph" w:styleId="2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Subtitle"/>
    <w:basedOn w:val="1"/>
    <w:link w:val="59"/>
    <w:qFormat/>
    <w:uiPriority w:val="11"/>
    <w:pPr>
      <w:spacing w:afterLines="50"/>
      <w:jc w:val="center"/>
    </w:pPr>
    <w:rPr>
      <w:rFonts w:eastAsia="Times New Roman"/>
      <w:sz w:val="18"/>
      <w:szCs w:val="18"/>
    </w:rPr>
  </w:style>
  <w:style w:type="paragraph" w:styleId="25">
    <w:name w:val="List"/>
    <w:basedOn w:val="1"/>
    <w:qFormat/>
    <w:uiPriority w:val="0"/>
    <w:pPr>
      <w:ind w:left="200" w:hanging="200" w:hangingChars="200"/>
    </w:pPr>
  </w:style>
  <w:style w:type="paragraph" w:styleId="26">
    <w:name w:val="Body Text Indent 3"/>
    <w:basedOn w:val="1"/>
    <w:link w:val="47"/>
    <w:qFormat/>
    <w:uiPriority w:val="0"/>
    <w:pPr>
      <w:spacing w:after="120"/>
      <w:ind w:left="420" w:leftChars="200"/>
    </w:pPr>
    <w:rPr>
      <w:sz w:val="16"/>
      <w:szCs w:val="16"/>
    </w:rPr>
  </w:style>
  <w:style w:type="paragraph" w:styleId="27">
    <w:name w:val="Body Text 2"/>
    <w:basedOn w:val="1"/>
    <w:link w:val="48"/>
    <w:qFormat/>
    <w:uiPriority w:val="0"/>
    <w:pPr>
      <w:spacing w:after="120" w:line="480" w:lineRule="auto"/>
    </w:pPr>
  </w:style>
  <w:style w:type="paragraph" w:styleId="28">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9">
    <w:name w:val="Normal (Web)"/>
    <w:basedOn w:val="1"/>
    <w:qFormat/>
    <w:uiPriority w:val="0"/>
    <w:pPr>
      <w:widowControl/>
      <w:spacing w:before="100" w:beforeAutospacing="1" w:after="100" w:afterAutospacing="1" w:line="300" w:lineRule="atLeast"/>
      <w:jc w:val="left"/>
    </w:pPr>
    <w:rPr>
      <w:rFonts w:ascii="宋体" w:hAnsi="宋体"/>
      <w:color w:val="000000"/>
      <w:kern w:val="0"/>
      <w:sz w:val="18"/>
    </w:rPr>
  </w:style>
  <w:style w:type="paragraph" w:styleId="30">
    <w:name w:val="annotation subject"/>
    <w:basedOn w:val="11"/>
    <w:next w:val="11"/>
    <w:link w:val="61"/>
    <w:semiHidden/>
    <w:qFormat/>
    <w:uiPriority w:val="0"/>
    <w:rPr>
      <w:b/>
      <w:bCs/>
    </w:rPr>
  </w:style>
  <w:style w:type="paragraph" w:styleId="31">
    <w:name w:val="Body Text First Indent"/>
    <w:basedOn w:val="13"/>
    <w:unhideWhenUsed/>
    <w:qFormat/>
    <w:uiPriority w:val="99"/>
    <w:pPr>
      <w:ind w:firstLine="420" w:firstLineChars="100"/>
    </w:pPr>
  </w:style>
  <w:style w:type="paragraph" w:styleId="32">
    <w:name w:val="Body Text First Indent 2"/>
    <w:basedOn w:val="14"/>
    <w:qFormat/>
    <w:uiPriority w:val="0"/>
    <w:pPr>
      <w:ind w:firstLine="420"/>
    </w:p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basedOn w:val="35"/>
    <w:qFormat/>
    <w:uiPriority w:val="0"/>
    <w:rPr>
      <w:rFonts w:hint="eastAsia" w:ascii="微软雅黑" w:hAnsi="微软雅黑" w:eastAsia="微软雅黑" w:cs="微软雅黑"/>
      <w:color w:val="02396F"/>
      <w:u w:val="single"/>
    </w:rPr>
  </w:style>
  <w:style w:type="character" w:styleId="39">
    <w:name w:val="Hyperlink"/>
    <w:basedOn w:val="35"/>
    <w:qFormat/>
    <w:uiPriority w:val="0"/>
    <w:rPr>
      <w:rFonts w:hint="eastAsia" w:ascii="微软雅黑" w:hAnsi="微软雅黑" w:eastAsia="微软雅黑" w:cs="微软雅黑"/>
      <w:color w:val="02396F"/>
      <w:u w:val="single"/>
    </w:rPr>
  </w:style>
  <w:style w:type="character" w:styleId="40">
    <w:name w:val="annotation reference"/>
    <w:semiHidden/>
    <w:qFormat/>
    <w:uiPriority w:val="0"/>
    <w:rPr>
      <w:sz w:val="21"/>
      <w:szCs w:val="21"/>
    </w:rPr>
  </w:style>
  <w:style w:type="paragraph" w:customStyle="1" w:styleId="4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2">
    <w:name w:val="页眉 Char"/>
    <w:basedOn w:val="35"/>
    <w:link w:val="22"/>
    <w:qFormat/>
    <w:uiPriority w:val="99"/>
    <w:rPr>
      <w:sz w:val="18"/>
      <w:szCs w:val="18"/>
    </w:rPr>
  </w:style>
  <w:style w:type="character" w:customStyle="1" w:styleId="43">
    <w:name w:val="页脚 Char"/>
    <w:basedOn w:val="35"/>
    <w:link w:val="20"/>
    <w:qFormat/>
    <w:uiPriority w:val="99"/>
    <w:rPr>
      <w:sz w:val="18"/>
      <w:szCs w:val="18"/>
    </w:rPr>
  </w:style>
  <w:style w:type="character" w:customStyle="1" w:styleId="44">
    <w:name w:val="纯文本 Char"/>
    <w:basedOn w:val="35"/>
    <w:link w:val="16"/>
    <w:qFormat/>
    <w:uiPriority w:val="0"/>
    <w:rPr>
      <w:rFonts w:ascii="宋体" w:hAnsi="Courier New" w:eastAsia="宋体" w:cs="Times New Roman"/>
      <w:sz w:val="24"/>
      <w:szCs w:val="24"/>
    </w:rPr>
  </w:style>
  <w:style w:type="character" w:customStyle="1" w:styleId="45">
    <w:name w:val="正文文本 Char"/>
    <w:basedOn w:val="35"/>
    <w:link w:val="13"/>
    <w:semiHidden/>
    <w:qFormat/>
    <w:uiPriority w:val="99"/>
    <w:rPr>
      <w:rFonts w:ascii="Times New Roman" w:hAnsi="Times New Roman" w:eastAsia="宋体" w:cs="Times New Roman"/>
      <w:szCs w:val="24"/>
    </w:rPr>
  </w:style>
  <w:style w:type="character" w:customStyle="1" w:styleId="46">
    <w:name w:val="正文文本缩进 Char"/>
    <w:basedOn w:val="35"/>
    <w:link w:val="14"/>
    <w:qFormat/>
    <w:uiPriority w:val="0"/>
    <w:rPr>
      <w:rFonts w:ascii="Times New Roman" w:hAnsi="Times New Roman" w:eastAsia="宋体" w:cs="Times New Roman"/>
      <w:szCs w:val="24"/>
    </w:rPr>
  </w:style>
  <w:style w:type="character" w:customStyle="1" w:styleId="47">
    <w:name w:val="正文文本缩进 3 Char"/>
    <w:basedOn w:val="35"/>
    <w:link w:val="26"/>
    <w:qFormat/>
    <w:uiPriority w:val="0"/>
    <w:rPr>
      <w:rFonts w:ascii="Times New Roman" w:hAnsi="Times New Roman" w:eastAsia="宋体" w:cs="Times New Roman"/>
      <w:sz w:val="16"/>
      <w:szCs w:val="16"/>
    </w:rPr>
  </w:style>
  <w:style w:type="character" w:customStyle="1" w:styleId="48">
    <w:name w:val="正文文本 2 Char"/>
    <w:basedOn w:val="35"/>
    <w:link w:val="27"/>
    <w:qFormat/>
    <w:uiPriority w:val="0"/>
    <w:rPr>
      <w:rFonts w:ascii="Times New Roman" w:hAnsi="Times New Roman" w:eastAsia="宋体" w:cs="Times New Roman"/>
      <w:szCs w:val="24"/>
    </w:rPr>
  </w:style>
  <w:style w:type="character" w:customStyle="1" w:styleId="49">
    <w:name w:val="标题 1 Char"/>
    <w:basedOn w:val="35"/>
    <w:link w:val="2"/>
    <w:qFormat/>
    <w:uiPriority w:val="0"/>
    <w:rPr>
      <w:rFonts w:ascii="Times New Roman" w:hAnsi="Times New Roman" w:eastAsia="宋体" w:cs="Times New Roman"/>
      <w:bCs/>
      <w:kern w:val="44"/>
      <w:sz w:val="44"/>
      <w:szCs w:val="44"/>
    </w:rPr>
  </w:style>
  <w:style w:type="character" w:customStyle="1" w:styleId="50">
    <w:name w:val="标题 2 Char"/>
    <w:basedOn w:val="35"/>
    <w:link w:val="3"/>
    <w:qFormat/>
    <w:uiPriority w:val="9"/>
    <w:rPr>
      <w:rFonts w:ascii="Arial" w:hAnsi="Arial" w:eastAsia="黑体" w:cs="Times New Roman"/>
      <w:b/>
      <w:bCs/>
      <w:kern w:val="0"/>
      <w:sz w:val="32"/>
      <w:szCs w:val="32"/>
    </w:rPr>
  </w:style>
  <w:style w:type="character" w:customStyle="1" w:styleId="51">
    <w:name w:val="标题 3 Char"/>
    <w:basedOn w:val="35"/>
    <w:link w:val="4"/>
    <w:qFormat/>
    <w:uiPriority w:val="0"/>
    <w:rPr>
      <w:rFonts w:ascii="Times New Roman" w:hAnsi="Times New Roman" w:eastAsia="宋体" w:cs="Times New Roman"/>
      <w:b/>
      <w:bCs/>
      <w:szCs w:val="32"/>
    </w:rPr>
  </w:style>
  <w:style w:type="character" w:customStyle="1" w:styleId="52">
    <w:name w:val="标题 4 Char"/>
    <w:basedOn w:val="35"/>
    <w:link w:val="5"/>
    <w:qFormat/>
    <w:uiPriority w:val="0"/>
    <w:rPr>
      <w:rFonts w:ascii="Calibri Light" w:hAnsi="Calibri Light" w:eastAsia="宋体" w:cs="Times New Roman"/>
      <w:b/>
      <w:bCs/>
      <w:sz w:val="28"/>
      <w:szCs w:val="28"/>
    </w:rPr>
  </w:style>
  <w:style w:type="character" w:customStyle="1" w:styleId="53">
    <w:name w:val="标题 5 Char"/>
    <w:basedOn w:val="35"/>
    <w:link w:val="6"/>
    <w:qFormat/>
    <w:uiPriority w:val="9"/>
    <w:rPr>
      <w:rFonts w:ascii="Times New Roman" w:hAnsi="Times New Roman" w:eastAsia="宋体" w:cs="Times New Roman"/>
      <w:b/>
      <w:bCs/>
      <w:kern w:val="0"/>
      <w:sz w:val="28"/>
      <w:szCs w:val="28"/>
    </w:rPr>
  </w:style>
  <w:style w:type="character" w:customStyle="1" w:styleId="54">
    <w:name w:val="批注文字 Char"/>
    <w:basedOn w:val="35"/>
    <w:link w:val="11"/>
    <w:semiHidden/>
    <w:qFormat/>
    <w:uiPriority w:val="0"/>
    <w:rPr>
      <w:rFonts w:ascii="Times New Roman" w:hAnsi="Times New Roman" w:eastAsia="宋体" w:cs="Times New Roman"/>
      <w:szCs w:val="24"/>
    </w:rPr>
  </w:style>
  <w:style w:type="character" w:customStyle="1" w:styleId="55">
    <w:name w:val="正文文本 3 Char"/>
    <w:basedOn w:val="35"/>
    <w:link w:val="12"/>
    <w:qFormat/>
    <w:uiPriority w:val="0"/>
    <w:rPr>
      <w:rFonts w:ascii="Times New Roman" w:hAnsi="Times New Roman" w:eastAsia="宋体" w:cs="Times New Roman"/>
      <w:sz w:val="16"/>
      <w:szCs w:val="16"/>
    </w:rPr>
  </w:style>
  <w:style w:type="character" w:customStyle="1" w:styleId="56">
    <w:name w:val="日期 Char"/>
    <w:basedOn w:val="35"/>
    <w:link w:val="17"/>
    <w:qFormat/>
    <w:uiPriority w:val="0"/>
    <w:rPr>
      <w:rFonts w:ascii="Times New Roman" w:hAnsi="Times New Roman" w:eastAsia="楷体_GB2312" w:cs="Times New Roman"/>
      <w:sz w:val="32"/>
      <w:szCs w:val="20"/>
    </w:rPr>
  </w:style>
  <w:style w:type="character" w:customStyle="1" w:styleId="57">
    <w:name w:val="正文文本缩进 2 Char"/>
    <w:basedOn w:val="35"/>
    <w:link w:val="18"/>
    <w:qFormat/>
    <w:uiPriority w:val="0"/>
    <w:rPr>
      <w:rFonts w:ascii="仿宋_GB2312" w:hAnsi="宋体" w:eastAsia="宋体" w:cs="Arial"/>
      <w:b/>
      <w:bCs/>
      <w:color w:val="000000"/>
      <w:sz w:val="24"/>
      <w:szCs w:val="24"/>
    </w:rPr>
  </w:style>
  <w:style w:type="character" w:customStyle="1" w:styleId="58">
    <w:name w:val="批注框文本 Char"/>
    <w:basedOn w:val="35"/>
    <w:link w:val="19"/>
    <w:qFormat/>
    <w:uiPriority w:val="0"/>
    <w:rPr>
      <w:rFonts w:ascii="Times New Roman" w:hAnsi="Times New Roman" w:eastAsia="宋体" w:cs="Times New Roman"/>
      <w:sz w:val="18"/>
      <w:szCs w:val="18"/>
    </w:rPr>
  </w:style>
  <w:style w:type="character" w:customStyle="1" w:styleId="59">
    <w:name w:val="副标题 Char"/>
    <w:basedOn w:val="35"/>
    <w:link w:val="24"/>
    <w:qFormat/>
    <w:uiPriority w:val="11"/>
    <w:rPr>
      <w:rFonts w:ascii="Times New Roman" w:hAnsi="Times New Roman" w:eastAsia="Times New Roman" w:cs="Times New Roman"/>
      <w:sz w:val="18"/>
      <w:szCs w:val="18"/>
    </w:rPr>
  </w:style>
  <w:style w:type="character" w:customStyle="1" w:styleId="60">
    <w:name w:val="HTML 预设格式 Char"/>
    <w:basedOn w:val="35"/>
    <w:link w:val="28"/>
    <w:qFormat/>
    <w:uiPriority w:val="0"/>
    <w:rPr>
      <w:rFonts w:ascii="宋体" w:hAnsi="宋体" w:eastAsia="宋体" w:cs="Times New Roman"/>
      <w:kern w:val="0"/>
      <w:sz w:val="24"/>
      <w:szCs w:val="24"/>
    </w:rPr>
  </w:style>
  <w:style w:type="character" w:customStyle="1" w:styleId="61">
    <w:name w:val="批注主题 Char"/>
    <w:basedOn w:val="54"/>
    <w:link w:val="30"/>
    <w:semiHidden/>
    <w:qFormat/>
    <w:uiPriority w:val="0"/>
    <w:rPr>
      <w:rFonts w:ascii="Times New Roman" w:hAnsi="Times New Roman" w:eastAsia="宋体" w:cs="Times New Roman"/>
      <w:b/>
      <w:bCs/>
      <w:szCs w:val="24"/>
    </w:rPr>
  </w:style>
  <w:style w:type="character" w:customStyle="1" w:styleId="62">
    <w:name w:val="Char Char4"/>
    <w:qFormat/>
    <w:uiPriority w:val="0"/>
    <w:rPr>
      <w:rFonts w:ascii="宋体" w:hAnsi="Courier New" w:eastAsia="宋体"/>
      <w:sz w:val="21"/>
      <w:lang w:val="en-US" w:eastAsia="zh-CN"/>
    </w:rPr>
  </w:style>
  <w:style w:type="character" w:customStyle="1" w:styleId="63">
    <w:name w:val="10f0000001"/>
    <w:qFormat/>
    <w:uiPriority w:val="0"/>
    <w:rPr>
      <w:b/>
      <w:bCs/>
      <w:spacing w:val="320"/>
      <w:sz w:val="20"/>
      <w:szCs w:val="20"/>
    </w:rPr>
  </w:style>
  <w:style w:type="character" w:customStyle="1" w:styleId="64">
    <w:name w:val="正文2 Char"/>
    <w:link w:val="65"/>
    <w:qFormat/>
    <w:uiPriority w:val="0"/>
    <w:rPr>
      <w:rFonts w:eastAsia="宋体"/>
      <w:sz w:val="24"/>
    </w:rPr>
  </w:style>
  <w:style w:type="paragraph" w:customStyle="1" w:styleId="65">
    <w:name w:val="正文2"/>
    <w:basedOn w:val="1"/>
    <w:link w:val="64"/>
    <w:qFormat/>
    <w:uiPriority w:val="0"/>
    <w:pPr>
      <w:spacing w:before="156" w:line="360" w:lineRule="auto"/>
      <w:ind w:firstLine="510" w:firstLineChars="200"/>
    </w:pPr>
    <w:rPr>
      <w:rFonts w:asciiTheme="minorHAnsi" w:hAnsiTheme="minorHAnsi" w:cstheme="minorBidi"/>
      <w:sz w:val="24"/>
      <w:szCs w:val="22"/>
    </w:rPr>
  </w:style>
  <w:style w:type="character" w:customStyle="1" w:styleId="66">
    <w:name w:val="Unresolved Mention"/>
    <w:unhideWhenUsed/>
    <w:qFormat/>
    <w:uiPriority w:val="99"/>
    <w:rPr>
      <w:color w:val="605E5C"/>
      <w:shd w:val="clear" w:color="auto" w:fill="E1DFDD"/>
    </w:rPr>
  </w:style>
  <w:style w:type="character" w:customStyle="1" w:styleId="67">
    <w:name w:val="标题 1 Char Char"/>
    <w:qFormat/>
    <w:uiPriority w:val="0"/>
    <w:rPr>
      <w:rFonts w:eastAsia="宋体"/>
      <w:b/>
      <w:spacing w:val="-2"/>
      <w:sz w:val="24"/>
      <w:lang w:val="en-US" w:eastAsia="zh-CN"/>
    </w:rPr>
  </w:style>
  <w:style w:type="character" w:customStyle="1" w:styleId="68">
    <w:name w:val="p141"/>
    <w:qFormat/>
    <w:uiPriority w:val="0"/>
    <w:rPr>
      <w:sz w:val="21"/>
      <w:szCs w:val="21"/>
    </w:rPr>
  </w:style>
  <w:style w:type="paragraph" w:customStyle="1" w:styleId="69">
    <w:name w:val="_Style 48"/>
    <w:basedOn w:val="8"/>
    <w:qFormat/>
    <w:uiPriority w:val="0"/>
    <w:pPr>
      <w:widowControl/>
      <w:spacing w:afterLines="50" w:line="360" w:lineRule="auto"/>
      <w:ind w:firstLine="480" w:firstLineChars="200"/>
      <w:jc w:val="left"/>
    </w:pPr>
  </w:style>
  <w:style w:type="paragraph" w:customStyle="1" w:styleId="70">
    <w:name w:val="[Normal]"/>
    <w:qFormat/>
    <w:uiPriority w:val="0"/>
    <w:rPr>
      <w:rFonts w:ascii="宋体" w:hAnsi="宋体" w:eastAsia="宋体" w:cs="Times New Roman"/>
      <w:sz w:val="24"/>
      <w:szCs w:val="22"/>
      <w:lang w:val="zh-CN" w:eastAsia="zh-CN" w:bidi="ar-SA"/>
    </w:rPr>
  </w:style>
  <w:style w:type="paragraph" w:customStyle="1" w:styleId="71">
    <w:name w:val="无间隔1"/>
    <w:qFormat/>
    <w:uiPriority w:val="0"/>
    <w:rPr>
      <w:rFonts w:ascii="Times New Roman" w:hAnsi="Times New Roman" w:eastAsia="宋体" w:cs="Times New Roman"/>
      <w:sz w:val="22"/>
      <w:szCs w:val="22"/>
      <w:lang w:val="en-US" w:eastAsia="en-US" w:bidi="ar-SA"/>
    </w:rPr>
  </w:style>
  <w:style w:type="paragraph" w:customStyle="1" w:styleId="72">
    <w:name w:val="正文文本缩进 21"/>
    <w:basedOn w:val="1"/>
    <w:qFormat/>
    <w:uiPriority w:val="0"/>
    <w:pPr>
      <w:spacing w:after="120" w:line="480" w:lineRule="auto"/>
      <w:ind w:left="420" w:leftChars="200"/>
    </w:pPr>
    <w:rPr>
      <w:szCs w:val="20"/>
    </w:rPr>
  </w:style>
  <w:style w:type="paragraph" w:customStyle="1" w:styleId="73">
    <w:name w:val="Bullets"/>
    <w:basedOn w:val="1"/>
    <w:qFormat/>
    <w:uiPriority w:val="0"/>
    <w:pPr>
      <w:widowControl/>
      <w:adjustRightInd w:val="0"/>
      <w:snapToGrid w:val="0"/>
      <w:spacing w:before="60" w:after="60"/>
    </w:pPr>
    <w:rPr>
      <w:rFonts w:ascii="Calibri" w:hAnsi="Calibri"/>
      <w:kern w:val="0"/>
      <w:sz w:val="24"/>
      <w:szCs w:val="22"/>
      <w:lang w:val="en-GB"/>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Char Char Char Char Char Char Char Char Char Char"/>
    <w:basedOn w:val="1"/>
    <w:qFormat/>
    <w:uiPriority w:val="0"/>
    <w:rPr>
      <w:rFonts w:ascii="Tahoma" w:hAnsi="Tahoma"/>
      <w:sz w:val="24"/>
      <w:szCs w:val="20"/>
    </w:rPr>
  </w:style>
  <w:style w:type="paragraph" w:customStyle="1" w:styleId="76">
    <w:name w:val="样式 标题 5 + 右侧:  -0.18 字符"/>
    <w:basedOn w:val="1"/>
    <w:qFormat/>
    <w:uiPriority w:val="0"/>
    <w:pPr>
      <w:numPr>
        <w:ilvl w:val="4"/>
        <w:numId w:val="2"/>
      </w:numPr>
      <w:tabs>
        <w:tab w:val="left" w:pos="1008"/>
      </w:tabs>
    </w:pPr>
  </w:style>
  <w:style w:type="paragraph" w:customStyle="1" w:styleId="77">
    <w:name w:val="_Style 2"/>
    <w:basedOn w:val="1"/>
    <w:qFormat/>
    <w:uiPriority w:val="0"/>
    <w:pPr>
      <w:tabs>
        <w:tab w:val="left" w:pos="1008"/>
      </w:tabs>
      <w:ind w:left="1008" w:hanging="1008"/>
    </w:pPr>
  </w:style>
  <w:style w:type="paragraph" w:customStyle="1" w:styleId="78">
    <w:name w:val="标准小三"/>
    <w:basedOn w:val="1"/>
    <w:qFormat/>
    <w:uiPriority w:val="0"/>
    <w:pPr>
      <w:spacing w:line="700" w:lineRule="exact"/>
      <w:ind w:firstLine="200" w:firstLineChars="200"/>
    </w:pPr>
    <w:rPr>
      <w:rFonts w:ascii="仿宋_GB2312" w:hAnsi="Arial" w:eastAsia="仿宋_GB2312"/>
      <w:snapToGrid w:val="0"/>
      <w:color w:val="000000"/>
      <w:kern w:val="0"/>
      <w:sz w:val="30"/>
      <w:szCs w:val="32"/>
    </w:rPr>
  </w:style>
  <w:style w:type="paragraph" w:customStyle="1" w:styleId="7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Char Char Char Char Char Char"/>
    <w:basedOn w:val="1"/>
    <w:qFormat/>
    <w:uiPriority w:val="0"/>
    <w:pPr>
      <w:ind w:firstLine="200" w:firstLineChars="200"/>
    </w:pPr>
    <w:rPr>
      <w:rFonts w:ascii="Tahoma" w:hAnsi="Tahoma"/>
      <w:sz w:val="24"/>
      <w:szCs w:val="20"/>
    </w:rPr>
  </w:style>
  <w:style w:type="paragraph" w:styleId="81">
    <w:name w:val="List Paragraph"/>
    <w:basedOn w:val="1"/>
    <w:qFormat/>
    <w:uiPriority w:val="34"/>
    <w:pPr>
      <w:ind w:firstLine="420" w:firstLineChars="200"/>
    </w:pPr>
  </w:style>
  <w:style w:type="paragraph" w:customStyle="1" w:styleId="82">
    <w:name w:val="列表段落1"/>
    <w:basedOn w:val="1"/>
    <w:qFormat/>
    <w:uiPriority w:val="0"/>
    <w:pPr>
      <w:ind w:firstLine="420" w:firstLineChars="200"/>
    </w:pPr>
  </w:style>
  <w:style w:type="paragraph" w:customStyle="1" w:styleId="83">
    <w:name w:val="样式 标题 3 +"/>
    <w:basedOn w:val="4"/>
    <w:qFormat/>
    <w:uiPriority w:val="0"/>
    <w:pPr>
      <w:numPr>
        <w:ilvl w:val="2"/>
        <w:numId w:val="3"/>
      </w:numPr>
      <w:tabs>
        <w:tab w:val="left" w:pos="709"/>
      </w:tabs>
    </w:pPr>
    <w:rPr>
      <w:kern w:val="0"/>
    </w:rPr>
  </w:style>
  <w:style w:type="paragraph" w:customStyle="1" w:styleId="84">
    <w:name w:val="正文空2格  1."/>
    <w:basedOn w:val="1"/>
    <w:qFormat/>
    <w:uiPriority w:val="0"/>
    <w:pPr>
      <w:ind w:firstLine="480" w:firstLineChars="200"/>
    </w:pPr>
    <w:rPr>
      <w:rFonts w:cs="宋体"/>
      <w:sz w:val="28"/>
      <w:szCs w:val="20"/>
    </w:rPr>
  </w:style>
  <w:style w:type="paragraph" w:customStyle="1" w:styleId="85">
    <w:name w:val="IBM 正文"/>
    <w:basedOn w:val="1"/>
    <w:qFormat/>
    <w:uiPriority w:val="0"/>
    <w:pPr>
      <w:spacing w:line="360" w:lineRule="atLeast"/>
    </w:pPr>
    <w:rPr>
      <w:sz w:val="24"/>
    </w:rPr>
  </w:style>
  <w:style w:type="paragraph" w:customStyle="1" w:styleId="86">
    <w:name w:val="无间隔11"/>
    <w:qFormat/>
    <w:uiPriority w:val="0"/>
    <w:rPr>
      <w:rFonts w:ascii="Times New Roman" w:hAnsi="Times New Roman" w:eastAsia="宋体" w:cs="Times New Roman"/>
      <w:sz w:val="22"/>
      <w:szCs w:val="22"/>
      <w:lang w:val="en-US" w:eastAsia="en-US" w:bidi="ar-SA"/>
    </w:rPr>
  </w:style>
  <w:style w:type="paragraph" w:customStyle="1" w:styleId="87">
    <w:name w:val="表格文字"/>
    <w:basedOn w:val="1"/>
    <w:next w:val="13"/>
    <w:qFormat/>
    <w:uiPriority w:val="0"/>
    <w:rPr>
      <w:rFonts w:ascii="Arial" w:hAnsi="Arial"/>
      <w:szCs w:val="21"/>
    </w:rPr>
  </w:style>
  <w:style w:type="paragraph" w:customStyle="1" w:styleId="88">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89">
    <w:name w:val="正文段"/>
    <w:basedOn w:val="1"/>
    <w:qFormat/>
    <w:uiPriority w:val="0"/>
    <w:pPr>
      <w:widowControl/>
      <w:snapToGrid w:val="0"/>
      <w:spacing w:afterLines="50"/>
      <w:ind w:firstLine="200" w:firstLineChars="200"/>
    </w:pPr>
    <w:rPr>
      <w:kern w:val="0"/>
      <w:sz w:val="24"/>
      <w:szCs w:val="20"/>
    </w:rPr>
  </w:style>
  <w:style w:type="paragraph" w:customStyle="1" w:styleId="90">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91">
    <w:name w:val="KS表格"/>
    <w:basedOn w:val="1"/>
    <w:qFormat/>
    <w:uiPriority w:val="0"/>
    <w:pPr>
      <w:spacing w:line="300" w:lineRule="auto"/>
    </w:pPr>
    <w:rPr>
      <w:kern w:val="0"/>
      <w:sz w:val="20"/>
      <w:szCs w:val="20"/>
    </w:rPr>
  </w:style>
  <w:style w:type="paragraph" w:customStyle="1" w:styleId="92">
    <w:name w:val="列出段落1"/>
    <w:basedOn w:val="1"/>
    <w:qFormat/>
    <w:uiPriority w:val="99"/>
    <w:pPr>
      <w:ind w:firstLine="420" w:firstLineChars="200"/>
    </w:pPr>
    <w:rPr>
      <w:rFonts w:ascii="Calibri" w:hAnsi="Calibri"/>
      <w:sz w:val="24"/>
    </w:rPr>
  </w:style>
  <w:style w:type="character" w:customStyle="1" w:styleId="93">
    <w:name w:val="next"/>
    <w:basedOn w:val="35"/>
    <w:qFormat/>
    <w:uiPriority w:val="0"/>
    <w:rPr>
      <w:rFonts w:ascii="微软雅黑" w:hAnsi="微软雅黑" w:eastAsia="微软雅黑" w:cs="微软雅黑"/>
      <w:sz w:val="21"/>
      <w:szCs w:val="21"/>
    </w:rPr>
  </w:style>
  <w:style w:type="character" w:customStyle="1" w:styleId="94">
    <w:name w:val="next1"/>
    <w:basedOn w:val="35"/>
    <w:qFormat/>
    <w:uiPriority w:val="0"/>
    <w:rPr>
      <w:color w:val="888888"/>
    </w:rPr>
  </w:style>
  <w:style w:type="character" w:customStyle="1" w:styleId="95">
    <w:name w:val="displayarti"/>
    <w:basedOn w:val="35"/>
    <w:qFormat/>
    <w:uiPriority w:val="0"/>
    <w:rPr>
      <w:color w:val="FFFFFF"/>
      <w:shd w:val="clear" w:color="auto" w:fill="A00000"/>
    </w:rPr>
  </w:style>
  <w:style w:type="character" w:customStyle="1" w:styleId="96">
    <w:name w:val="gjfg"/>
    <w:basedOn w:val="35"/>
    <w:qFormat/>
    <w:uiPriority w:val="0"/>
  </w:style>
  <w:style w:type="character" w:customStyle="1" w:styleId="97">
    <w:name w:val="redfilefwwh"/>
    <w:basedOn w:val="35"/>
    <w:qFormat/>
    <w:uiPriority w:val="0"/>
    <w:rPr>
      <w:color w:val="BA2636"/>
      <w:sz w:val="18"/>
      <w:szCs w:val="18"/>
    </w:rPr>
  </w:style>
  <w:style w:type="character" w:customStyle="1" w:styleId="98">
    <w:name w:val="redfilenumber"/>
    <w:basedOn w:val="35"/>
    <w:qFormat/>
    <w:uiPriority w:val="0"/>
    <w:rPr>
      <w:color w:val="BA2636"/>
      <w:sz w:val="18"/>
      <w:szCs w:val="18"/>
    </w:rPr>
  </w:style>
  <w:style w:type="character" w:customStyle="1" w:styleId="99">
    <w:name w:val="cfdate"/>
    <w:basedOn w:val="35"/>
    <w:qFormat/>
    <w:uiPriority w:val="0"/>
    <w:rPr>
      <w:color w:val="333333"/>
      <w:sz w:val="18"/>
      <w:szCs w:val="18"/>
    </w:rPr>
  </w:style>
  <w:style w:type="character" w:customStyle="1" w:styleId="100">
    <w:name w:val="qxdate"/>
    <w:basedOn w:val="35"/>
    <w:qFormat/>
    <w:uiPriority w:val="0"/>
    <w:rPr>
      <w:color w:val="333333"/>
      <w:sz w:val="18"/>
      <w:szCs w:val="18"/>
    </w:rPr>
  </w:style>
  <w:style w:type="character" w:customStyle="1" w:styleId="101">
    <w:name w:val="prev"/>
    <w:basedOn w:val="35"/>
    <w:qFormat/>
    <w:uiPriority w:val="0"/>
    <w:rPr>
      <w:rFonts w:hint="eastAsia" w:ascii="微软雅黑" w:hAnsi="微软雅黑" w:eastAsia="微软雅黑" w:cs="微软雅黑"/>
      <w:sz w:val="21"/>
      <w:szCs w:val="21"/>
    </w:rPr>
  </w:style>
  <w:style w:type="character" w:customStyle="1" w:styleId="102">
    <w:name w:val="prev1"/>
    <w:basedOn w:val="35"/>
    <w:qFormat/>
    <w:uiPriority w:val="0"/>
    <w:rPr>
      <w:color w:val="888888"/>
    </w:rPr>
  </w:style>
  <w:style w:type="character" w:customStyle="1" w:styleId="103">
    <w:name w:val="prev2"/>
    <w:basedOn w:val="35"/>
    <w:qFormat/>
    <w:uiPriority w:val="0"/>
    <w:rPr>
      <w:color w:val="888888"/>
    </w:rPr>
  </w:style>
  <w:style w:type="character" w:customStyle="1" w:styleId="104">
    <w:name w:val="prev3"/>
    <w:basedOn w:val="35"/>
    <w:qFormat/>
    <w:uiPriority w:val="0"/>
    <w:rPr>
      <w:rFonts w:ascii="微软雅黑" w:hAnsi="微软雅黑" w:eastAsia="微软雅黑" w:cs="微软雅黑"/>
      <w:sz w:val="21"/>
      <w:szCs w:val="21"/>
    </w:rPr>
  </w:style>
  <w:style w:type="character" w:customStyle="1" w:styleId="105">
    <w:name w:val="next2"/>
    <w:basedOn w:val="35"/>
    <w:qFormat/>
    <w:uiPriority w:val="0"/>
    <w:rPr>
      <w:color w:val="888888"/>
    </w:rPr>
  </w:style>
  <w:style w:type="character" w:customStyle="1" w:styleId="106">
    <w:name w:val="next3"/>
    <w:basedOn w:val="35"/>
    <w:qFormat/>
    <w:uiPriority w:val="0"/>
    <w:rPr>
      <w:rFonts w:hint="eastAsia" w:ascii="微软雅黑" w:hAnsi="微软雅黑" w:eastAsia="微软雅黑" w:cs="微软雅黑"/>
      <w:sz w:val="21"/>
      <w:szCs w:val="21"/>
    </w:rPr>
  </w:style>
  <w:style w:type="paragraph" w:customStyle="1" w:styleId="107">
    <w:name w:val="正文文字"/>
    <w:basedOn w:val="1"/>
    <w:qFormat/>
    <w:uiPriority w:val="0"/>
    <w:pPr>
      <w:widowControl/>
      <w:spacing w:line="952" w:lineRule="atLeast"/>
      <w:ind w:firstLine="419"/>
      <w:textAlignment w:val="baseline"/>
    </w:pPr>
    <w:rPr>
      <w:b/>
      <w:color w:val="000000"/>
      <w:sz w:val="44"/>
    </w:rPr>
  </w:style>
  <w:style w:type="character" w:customStyle="1" w:styleId="108">
    <w:name w:val="bookmark-item"/>
    <w:qFormat/>
    <w:uiPriority w:val="0"/>
    <w:rPr>
      <w:rFonts w:ascii="Arial" w:hAnsi="Arial" w:eastAsia="黑体" w:cs="Arial"/>
      <w:snapToGrid w:val="0"/>
      <w:kern w:val="0"/>
      <w:szCs w:val="21"/>
    </w:rPr>
  </w:style>
  <w:style w:type="character" w:customStyle="1" w:styleId="109">
    <w:name w:val="font21"/>
    <w:basedOn w:val="35"/>
    <w:qFormat/>
    <w:uiPriority w:val="0"/>
    <w:rPr>
      <w:rFonts w:ascii="Calibri" w:hAnsi="Calibri" w:cs="Calibri"/>
      <w:color w:val="000000"/>
      <w:sz w:val="16"/>
      <w:szCs w:val="16"/>
      <w:u w:val="none"/>
    </w:rPr>
  </w:style>
  <w:style w:type="character" w:customStyle="1" w:styleId="110">
    <w:name w:val="font11"/>
    <w:basedOn w:val="35"/>
    <w:qFormat/>
    <w:uiPriority w:val="0"/>
    <w:rPr>
      <w:rFonts w:hint="eastAsia" w:ascii="宋体" w:hAnsi="宋体" w:eastAsia="宋体" w:cs="宋体"/>
      <w:color w:val="000000"/>
      <w:sz w:val="16"/>
      <w:szCs w:val="16"/>
      <w:u w:val="none"/>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AB71C-7BCF-4082-8903-4C928D6F37FF}">
  <ds:schemaRefs/>
</ds:datastoreItem>
</file>

<file path=docProps/app.xml><?xml version="1.0" encoding="utf-8"?>
<Properties xmlns="http://schemas.openxmlformats.org/officeDocument/2006/extended-properties" xmlns:vt="http://schemas.openxmlformats.org/officeDocument/2006/docPropsVTypes">
  <Template>Normal</Template>
  <Company>微软原版</Company>
  <Pages>82</Pages>
  <Words>39464</Words>
  <Characters>41715</Characters>
  <Lines>293</Lines>
  <Paragraphs>82</Paragraphs>
  <TotalTime>1</TotalTime>
  <ScaleCrop>false</ScaleCrop>
  <LinksUpToDate>false</LinksUpToDate>
  <CharactersWithSpaces>44187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2022-04-14T07:02:00Z</dcterms:created>
  <dc:creator>李 杰</dc:creator>
  <cp:lastModifiedBy>松花豆腐</cp:lastModifiedBy>
  <cp:lastPrinted>2022-07-01T01:34:00Z</cp:lastPrinted>
  <dcterms:modified xsi:type="dcterms:W3CDTF">2022-12-07T03:13:14Z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C124CF64A3DB4D6D8FF2F8CA2CB0A149</vt:lpwstr>
  </property>
</Properties>
</file>